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60" w:line="240" w:lineRule="auto"/>
        <w:ind w:left="0" w:right="0" w:firstLine="0"/>
        <w:jc w:val="center"/>
        <w:rPr>
          <w:sz w:val="34"/>
          <w:szCs w:val="34"/>
        </w:rPr>
      </w:pPr>
      <w:r>
        <w:rPr>
          <w:b/>
          <w:bCs/>
          <w:color w:val="000000"/>
          <w:spacing w:val="0"/>
          <w:w w:val="100"/>
          <w:position w:val="0"/>
          <w:sz w:val="34"/>
          <w:szCs w:val="34"/>
        </w:rPr>
        <w:t>同方国芯电子股份有限公司</w:t>
      </w:r>
    </w:p>
    <w:p>
      <w:pPr>
        <w:pStyle w:val="Style2"/>
        <w:keepNext w:val="0"/>
        <w:keepLines w:val="0"/>
        <w:widowControl w:val="0"/>
        <w:shd w:val="clear" w:color="auto" w:fill="auto"/>
        <w:bidi w:val="0"/>
        <w:spacing w:before="0" w:after="6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0" w:line="240" w:lineRule="auto"/>
        <w:ind w:left="0" w:right="0" w:firstLine="0"/>
        <w:jc w:val="center"/>
        <w:rPr>
          <w:sz w:val="276"/>
          <w:szCs w:val="276"/>
        </w:rPr>
      </w:pPr>
      <w:r>
        <w:rPr>
          <w:rFonts w:ascii="Arial" w:eastAsia="Arial" w:hAnsi="Arial" w:cs="Arial"/>
          <w:b/>
          <w:bCs/>
          <w:color w:val="04499F"/>
          <w:spacing w:val="0"/>
          <w:w w:val="100"/>
          <w:position w:val="0"/>
          <w:sz w:val="276"/>
          <w:szCs w:val="276"/>
        </w:rPr>
        <w:t>G_</w:t>
      </w:r>
    </w:p>
    <w:p>
      <w:pPr>
        <w:pStyle w:val="Style2"/>
        <w:keepNext w:val="0"/>
        <w:keepLines w:val="0"/>
        <w:widowControl w:val="0"/>
        <w:shd w:val="clear" w:color="auto" w:fill="auto"/>
        <w:bidi w:val="0"/>
        <w:spacing w:before="0" w:after="1100" w:line="240" w:lineRule="auto"/>
        <w:ind w:left="0" w:right="0" w:firstLine="0"/>
        <w:jc w:val="center"/>
        <w:rPr>
          <w:sz w:val="74"/>
          <w:szCs w:val="74"/>
        </w:rPr>
      </w:pPr>
      <w:r>
        <w:rPr>
          <w:rFonts w:ascii="SimHei" w:eastAsia="SimHei" w:hAnsi="SimHei" w:cs="SimHei"/>
          <w:color w:val="04499F"/>
          <w:spacing w:val="0"/>
          <w:w w:val="100"/>
          <w:position w:val="0"/>
          <w:sz w:val="74"/>
          <w:szCs w:val="74"/>
        </w:rPr>
        <w:t>同方国芯</w:t>
      </w:r>
    </w:p>
    <w:p>
      <w:pPr>
        <w:pStyle w:val="Style2"/>
        <w:keepNext w:val="0"/>
        <w:keepLines w:val="0"/>
        <w:widowControl w:val="0"/>
        <w:shd w:val="clear" w:color="auto" w:fill="auto"/>
        <w:bidi w:val="0"/>
        <w:spacing w:before="0" w:after="640" w:line="240" w:lineRule="auto"/>
        <w:ind w:left="0" w:right="0" w:firstLine="0"/>
        <w:jc w:val="center"/>
        <w:rPr>
          <w:sz w:val="32"/>
          <w:szCs w:val="32"/>
        </w:rPr>
        <w:sectPr>
          <w:footerReference w:type="default" r:id="rId5"/>
          <w:footerReference w:type="even" r:id="rId6"/>
          <w:footnotePr>
            <w:pos w:val="pageBottom"/>
            <w:numFmt w:val="decimal"/>
            <w:numRestart w:val="continuous"/>
          </w:footnotePr>
          <w:pgSz w:w="11900" w:h="16840"/>
          <w:pgMar w:top="2871" w:right="1105" w:bottom="2871" w:left="1099" w:header="2443"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4</w:t>
      </w:r>
      <w:r>
        <w:rPr>
          <w:b/>
          <w:bCs/>
          <w:color w:val="000000"/>
          <w:spacing w:val="0"/>
          <w:w w:val="100"/>
          <w:position w:val="0"/>
          <w:sz w:val="32"/>
          <w:szCs w:val="32"/>
        </w:rPr>
        <w:t>月</w:t>
      </w:r>
    </w:p>
    <w:p>
      <w:pPr>
        <w:pStyle w:val="Style11"/>
        <w:keepNext/>
        <w:keepLines/>
        <w:widowControl w:val="0"/>
        <w:shd w:val="clear" w:color="auto" w:fill="auto"/>
        <w:bidi w:val="0"/>
        <w:spacing w:before="13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公司负责人董事长陆致成、总裁赵维健、主管会计工作负责人杨秋平及会 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张典洪声明：保证年度报告中财务报告的真实、准 确、完整。</w:t>
      </w:r>
    </w:p>
    <w:p>
      <w:pPr>
        <w:pStyle w:val="Style1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0"/>
        <w:keepNext w:val="0"/>
        <w:keepLines w:val="0"/>
        <w:widowControl w:val="0"/>
        <w:shd w:val="clear" w:color="auto" w:fill="auto"/>
        <w:tabs>
          <w:tab w:pos="910" w:val="left"/>
          <w:tab w:leader="dot" w:pos="9613"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7"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33"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4"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187"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36"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28</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305"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355"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26" w:tooltip="Current Document">
        <w:r>
          <w:rPr>
            <w:color w:val="000000"/>
            <w:spacing w:val="0"/>
            <w:w w:val="100"/>
            <w:position w:val="0"/>
            <w:sz w:val="22"/>
            <w:szCs w:val="22"/>
          </w:rPr>
          <w:t>第九节内部控制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20"/>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4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20"/>
        <w:keepNext w:val="0"/>
        <w:keepLines w:val="0"/>
        <w:widowControl w:val="0"/>
        <w:shd w:val="clear" w:color="auto" w:fill="auto"/>
        <w:tabs>
          <w:tab w:leader="dot" w:pos="9613" w:val="right"/>
        </w:tabs>
        <w:bidi w:val="0"/>
        <w:spacing w:before="0" w:after="5300" w:line="240" w:lineRule="auto"/>
        <w:ind w:left="0" w:right="0" w:firstLine="0"/>
        <w:jc w:val="both"/>
        <w:rPr>
          <w:sz w:val="24"/>
          <w:szCs w:val="24"/>
        </w:rPr>
      </w:pPr>
      <w:hyperlink w:anchor="bookmark1148" w:tooltip="Current Document">
        <w:r>
          <w:rPr>
            <w:color w:val="000000"/>
            <w:spacing w:val="0"/>
            <w:w w:val="100"/>
            <w:position w:val="0"/>
            <w:sz w:val="22"/>
            <w:szCs w:val="22"/>
          </w:rPr>
          <w:t>第十一节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116</w:t>
        </w:r>
      </w:hyperlink>
      <w:r>
        <w:fldChar w:fldCharType="end"/>
      </w:r>
    </w:p>
    <w:p>
      <w:pPr>
        <w:widowControl w:val="0"/>
        <w:jc w:val="center"/>
        <w:rPr>
          <w:sz w:val="2"/>
          <w:szCs w:val="2"/>
        </w:rPr>
      </w:pPr>
      <w:r>
        <w:drawing>
          <wp:inline>
            <wp:extent cx="1718945" cy="9817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718945" cy="981710"/>
                    </a:xfrm>
                    <a:prstGeom prst="rect"/>
                  </pic:spPr>
                </pic:pic>
              </a:graphicData>
            </a:graphic>
          </wp:inline>
        </w:drawing>
      </w:r>
      <w:r>
        <w:br w:type="page"/>
      </w:r>
    </w:p>
    <w:p>
      <w:pPr>
        <w:pStyle w:val="Style11"/>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第二节公司简介</w:t>
      </w:r>
      <w:bookmarkEnd w:id="6"/>
      <w:bookmarkEnd w:id="7"/>
      <w:bookmarkEnd w:id="8"/>
    </w:p>
    <w:p>
      <w:pPr>
        <w:pStyle w:val="Style23"/>
        <w:keepNext/>
        <w:keepLines/>
        <w:widowControl w:val="0"/>
        <w:shd w:val="clear" w:color="auto" w:fill="auto"/>
        <w:bidi w:val="0"/>
        <w:spacing w:before="0" w:after="240" w:line="240" w:lineRule="auto"/>
        <w:ind w:left="0" w:right="0" w:firstLine="260"/>
        <w:jc w:val="left"/>
      </w:pPr>
      <w:bookmarkStart w:id="10" w:name="bookmark10"/>
      <w:bookmarkStart w:id="11" w:name="bookmark11"/>
      <w:bookmarkStart w:id="9" w:name="bookmark9"/>
      <w:r>
        <w:rPr>
          <w:color w:val="000000"/>
          <w:spacing w:val="0"/>
          <w:w w:val="100"/>
          <w:position w:val="0"/>
        </w:rPr>
        <w:t>、公司信息</w:t>
      </w:r>
      <w:bookmarkEnd w:id="10"/>
      <w:bookmarkEnd w:id="11"/>
      <w:bookmarkEnd w:id="9"/>
    </w:p>
    <w:tbl>
      <w:tblPr>
        <w:tblOverlap w:val="never"/>
        <w:jc w:val="center"/>
        <w:tblLayout w:type="fixed"/>
      </w:tblPr>
      <w:tblGrid>
        <w:gridCol w:w="2707"/>
        <w:gridCol w:w="2539"/>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002049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同方国芯电子股份有限公司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Tongfang Guoxin Electronics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TGE</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陆致成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www.j</w:t>
            </w:r>
            <w:r>
              <w:rPr>
                <w:rFonts w:ascii="Times New Roman" w:eastAsia="Times New Roman" w:hAnsi="Times New Roman" w:cs="Times New Roman"/>
                <w:color w:val="000000"/>
                <w:spacing w:val="0"/>
                <w:w w:val="100"/>
                <w:position w:val="0"/>
                <w:sz w:val="20"/>
                <w:szCs w:val="20"/>
              </w:rPr>
              <w:t>ingyuan.com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"mailto:zhengquan@jingyuan.com" </w:instrText>
            </w:r>
            <w:r>
              <w:fldChar w:fldCharType="separate"/>
            </w:r>
            <w:r>
              <w:rPr>
                <w:rFonts w:ascii="Times New Roman" w:eastAsia="Times New Roman" w:hAnsi="Times New Roman" w:cs="Times New Roman"/>
                <w:color w:val="000000"/>
                <w:spacing w:val="0"/>
                <w:w w:val="100"/>
                <w:position w:val="0"/>
                <w:sz w:val="20"/>
                <w:szCs w:val="20"/>
              </w:rPr>
              <w:t>zhengquan@jingyuan.com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杜林虎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董玉沾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"mailto:dulinhu@thtf.com" </w:instrText>
            </w:r>
            <w:r>
              <w:fldChar w:fldCharType="separate"/>
            </w:r>
            <w:r>
              <w:rPr>
                <w:rFonts w:ascii="Times New Roman" w:eastAsia="Times New Roman" w:hAnsi="Times New Roman" w:cs="Times New Roman"/>
                <w:color w:val="000000"/>
                <w:spacing w:val="0"/>
                <w:w w:val="100"/>
                <w:position w:val="0"/>
                <w:sz w:val="20"/>
                <w:szCs w:val="20"/>
              </w:rPr>
              <w:t>dulinhu@thtf.com</w:t>
            </w:r>
            <w:r>
              <w:fldChar w:fldCharType="end"/>
            </w:r>
            <w:r>
              <w:rPr>
                <w:rFonts w:ascii="Times New Roman" w:eastAsia="Times New Roman" w:hAnsi="Times New Roman" w:cs="Times New Roman"/>
                <w:color w:val="000000"/>
                <w:spacing w:val="0"/>
                <w:w w:val="100"/>
                <w:position w:val="0"/>
                <w:sz w:val="20"/>
                <w:szCs w:val="20"/>
              </w:rPr>
              <w:t xml:space="preserve">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"mailto:zhengquan@jingyuan.com" </w:instrText>
            </w:r>
            <w:r>
              <w:fldChar w:fldCharType="separate"/>
            </w:r>
            <w:r>
              <w:rPr>
                <w:rFonts w:ascii="Times New Roman" w:eastAsia="Times New Roman" w:hAnsi="Times New Roman" w:cs="Times New Roman"/>
                <w:color w:val="000000"/>
                <w:spacing w:val="0"/>
                <w:w w:val="100"/>
                <w:position w:val="0"/>
                <w:sz w:val="20"/>
                <w:szCs w:val="20"/>
              </w:rPr>
              <w:t>zhengquan@jingyuan.com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4690"/>
        <w:gridCol w:w="48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//www.cninfo.com</w:t>
            </w:r>
            <w:r>
              <w:rPr>
                <w:rFonts w:ascii="Times New Roman" w:eastAsia="Times New Roman" w:hAnsi="Times New Roman" w:cs="Times New Roman"/>
                <w:color w:val="000000"/>
                <w:spacing w:val="0"/>
                <w:w w:val="100"/>
                <w:position w:val="0"/>
                <w:sz w:val="20"/>
                <w:szCs w:val="20"/>
              </w:rPr>
              <w:t xml:space="preserve">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公司董事会办公室</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1450"/>
        <w:gridCol w:w="1618"/>
        <w:gridCol w:w="2160"/>
        <w:gridCol w:w="1594"/>
        <w:gridCol w:w="1594"/>
        <w:gridCol w:w="1325"/>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676" w:right="1029" w:bottom="917" w:left="1065" w:header="0" w:footer="3" w:gutter="0"/>
          <w:pgNumType w:start="1"/>
          <w:cols w:space="720"/>
          <w:noEndnote/>
          <w:rtlGutter w:val="0"/>
          <w:docGrid w:linePitch="360"/>
        </w:sectPr>
      </w:pPr>
    </w:p>
    <w:tbl>
      <w:tblPr>
        <w:tblOverlap w:val="never"/>
        <w:jc w:val="center"/>
        <w:tblLayout w:type="fixed"/>
      </w:tblPr>
      <w:tblGrid>
        <w:gridCol w:w="1450"/>
        <w:gridCol w:w="1618"/>
        <w:gridCol w:w="2160"/>
        <w:gridCol w:w="1594"/>
        <w:gridCol w:w="1594"/>
        <w:gridCol w:w="13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河北省工商行政管理局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1300001001989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130229601064691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60106469-1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唐山市工商行政管理局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130229601064691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60106469-1</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年公司上市时，主营业务为压电石英晶体元器件的开发、生产和销售。</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年起，公司开始自筹资金建设</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蓝宝石衬底生产线，进入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产业领域。</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年，公司实施重大资产重组，收购了北京同方微电子有限公司和深圳市国微电子有限 公司，将主营业务拓展至集成电路领域。</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w:t>
            </w:r>
            <w:r>
              <w:rPr>
                <w:color w:val="000000"/>
                <w:spacing w:val="0"/>
                <w:w w:val="100"/>
                <w:position w:val="0"/>
              </w:rPr>
              <w:t>公司控股股东由唐山晶源科技有限公司变更为同方股份有限公司， 实际控制人由自然人阎永江先生变更为教育部。</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3"/>
        <w:keepNext/>
        <w:keepLines/>
        <w:widowControl w:val="0"/>
        <w:shd w:val="clear" w:color="auto" w:fill="auto"/>
        <w:bidi w:val="0"/>
        <w:spacing w:before="0" w:after="40" w:line="240" w:lineRule="auto"/>
        <w:ind w:left="0" w:right="0" w:firstLine="0"/>
        <w:jc w:val="left"/>
      </w:pPr>
      <w:bookmarkStart w:id="24" w:name="bookmark24"/>
      <w:bookmarkStart w:id="25" w:name="bookmark25"/>
      <w:bookmarkStart w:id="28" w:name="bookmark28"/>
      <w:r>
        <w:rPr>
          <w:color w:val="000000"/>
          <w:spacing w:val="0"/>
          <w:w w:val="100"/>
          <w:position w:val="0"/>
        </w:rPr>
        <w:t>公司聘请的会计师事务所</w:t>
      </w:r>
      <w:bookmarkEnd w:id="24"/>
      <w:bookmarkEnd w:id="25"/>
      <w:bookmarkEnd w:id="28"/>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北京兴华会计师事务所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北京市西城区裕民路</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号北环中心</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2209</w:t>
            </w:r>
            <w:r>
              <w:rPr>
                <w:color w:val="000000"/>
                <w:spacing w:val="0"/>
                <w:w w:val="100"/>
                <w:position w:val="0"/>
                <w:sz w:val="20"/>
                <w:szCs w:val="20"/>
              </w:rPr>
              <w:t>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杨轶辉、王权生</w:t>
            </w:r>
          </w:p>
        </w:tc>
      </w:tr>
    </w:tbl>
    <w:p>
      <w:pPr>
        <w:widowControl w:val="0"/>
        <w:spacing w:after="419" w:line="1" w:lineRule="exact"/>
      </w:pPr>
    </w:p>
    <w:p>
      <w:pPr>
        <w:pStyle w:val="Style23"/>
        <w:keepNext/>
        <w:keepLines/>
        <w:widowControl w:val="0"/>
        <w:shd w:val="clear" w:color="auto" w:fill="auto"/>
        <w:bidi w:val="0"/>
        <w:spacing w:before="0" w:after="40" w:line="240" w:lineRule="auto"/>
        <w:ind w:left="0" w:right="0" w:firstLine="0"/>
        <w:jc w:val="left"/>
      </w:pPr>
      <w:bookmarkStart w:id="29" w:name="bookmark29"/>
      <w:bookmarkStart w:id="30" w:name="bookmark30"/>
      <w:bookmarkStart w:id="31" w:name="bookmark31"/>
      <w:r>
        <w:rPr>
          <w:color w:val="000000"/>
          <w:spacing w:val="0"/>
          <w:w w:val="100"/>
          <w:position w:val="0"/>
        </w:rPr>
        <w:t>公司聘请的报告期内履行持续督导职责的财务顾问</w:t>
      </w:r>
      <w:bookmarkEnd w:id="29"/>
      <w:bookmarkEnd w:id="30"/>
      <w:bookmarkEnd w:id="31"/>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西南证券股份有限公司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北京市西城区金融街</w:t>
            </w:r>
            <w:r>
              <w:rPr>
                <w:rFonts w:ascii="Times New Roman" w:eastAsia="Times New Roman" w:hAnsi="Times New Roman" w:cs="Times New Roman"/>
                <w:color w:val="000000"/>
                <w:spacing w:val="0"/>
                <w:w w:val="100"/>
                <w:position w:val="0"/>
                <w:sz w:val="20"/>
                <w:szCs w:val="20"/>
              </w:rPr>
              <w:t xml:space="preserve">35 </w:t>
            </w:r>
            <w:r>
              <w:rPr>
                <w:color w:val="000000"/>
                <w:spacing w:val="0"/>
                <w:w w:val="100"/>
                <w:position w:val="0"/>
                <w:sz w:val="20"/>
                <w:szCs w:val="20"/>
              </w:rPr>
              <w:t>号国际企业大厦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座四层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汪子文、葛晓云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2015</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深圳市红岭中路</w:t>
            </w:r>
            <w:r>
              <w:rPr>
                <w:rFonts w:ascii="Times New Roman" w:eastAsia="Times New Roman" w:hAnsi="Times New Roman" w:cs="Times New Roman"/>
                <w:color w:val="000000"/>
                <w:spacing w:val="0"/>
                <w:w w:val="100"/>
                <w:position w:val="0"/>
                <w:sz w:val="20"/>
                <w:szCs w:val="20"/>
              </w:rPr>
              <w:t>1012</w:t>
            </w:r>
            <w:r>
              <w:rPr>
                <w:color w:val="000000"/>
                <w:spacing w:val="0"/>
                <w:w w:val="100"/>
                <w:position w:val="0"/>
                <w:sz w:val="20"/>
                <w:szCs w:val="20"/>
              </w:rPr>
              <w:t>号 国信证券大厦</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林斌彦、徐新正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2013</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32" w:name="bookmark32"/>
      <w:bookmarkStart w:id="33" w:name="bookmark33"/>
      <w:bookmarkStart w:id="34" w:name="bookmark34"/>
      <w:r>
        <w:rPr>
          <w:color w:val="000000"/>
          <w:spacing w:val="0"/>
          <w:w w:val="100"/>
          <w:position w:val="0"/>
        </w:rPr>
        <w:t>第三节会计数据和财务指标摘要</w:t>
      </w:r>
      <w:bookmarkEnd w:id="32"/>
      <w:bookmarkEnd w:id="33"/>
      <w:bookmarkEnd w:id="34"/>
    </w:p>
    <w:p>
      <w:pPr>
        <w:pStyle w:val="Style23"/>
        <w:keepNext/>
        <w:keepLines/>
        <w:widowControl w:val="0"/>
        <w:shd w:val="clear" w:color="auto" w:fill="auto"/>
        <w:bidi w:val="0"/>
        <w:spacing w:before="0" w:after="3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一</w:t>
      </w:r>
      <w:bookmarkEnd w:id="37"/>
      <w:r>
        <w:rPr>
          <w:color w:val="000000"/>
          <w:spacing w:val="0"/>
          <w:w w:val="100"/>
          <w:position w:val="0"/>
        </w:rPr>
        <w:t>、主要会计数据和财务指标</w:t>
      </w:r>
      <w:bookmarkEnd w:id="35"/>
      <w:bookmarkEnd w:id="36"/>
      <w:bookmarkEnd w:id="38"/>
    </w:p>
    <w:p>
      <w:pPr>
        <w:pStyle w:val="Style23"/>
        <w:keepNext/>
        <w:keepLines/>
        <w:widowControl w:val="0"/>
        <w:shd w:val="clear" w:color="auto" w:fill="auto"/>
        <w:bidi w:val="0"/>
        <w:spacing w:before="0" w:after="100" w:line="240" w:lineRule="auto"/>
        <w:ind w:left="0" w:right="0" w:firstLine="0"/>
        <w:jc w:val="left"/>
      </w:pPr>
      <w:bookmarkStart w:id="35" w:name="bookmark35"/>
      <w:bookmarkStart w:id="36" w:name="bookmark36"/>
      <w:bookmarkStart w:id="39" w:name="bookmark39"/>
      <w:r>
        <w:rPr>
          <w:color w:val="000000"/>
          <w:spacing w:val="0"/>
          <w:w w:val="100"/>
          <w:position w:val="0"/>
        </w:rPr>
        <w:t>公司是否因会计政策变更及会计差错更正等追溯调整或重述以前年度会计数据</w:t>
      </w:r>
      <w:bookmarkEnd w:id="35"/>
      <w:bookmarkEnd w:id="36"/>
      <w:bookmarkEnd w:id="39"/>
    </w:p>
    <w:p>
      <w:pPr>
        <w:pStyle w:val="Style30"/>
        <w:keepNext w:val="0"/>
        <w:keepLines w:val="0"/>
        <w:widowControl w:val="0"/>
        <w:shd w:val="clear" w:color="auto" w:fill="auto"/>
        <w:bidi w:val="0"/>
        <w:spacing w:before="0" w:after="0" w:line="240" w:lineRule="auto"/>
        <w:ind w:left="5" w:right="0" w:firstLine="0"/>
        <w:jc w:val="left"/>
        <w:rPr>
          <w:sz w:val="17"/>
          <w:szCs w:val="17"/>
        </w:rPr>
      </w:pPr>
      <w:r>
        <w:rPr>
          <w:color w:val="000000"/>
          <w:spacing w:val="0"/>
          <w:w w:val="100"/>
          <w:position w:val="0"/>
          <w:sz w:val="17"/>
          <w:szCs w:val="17"/>
        </w:rPr>
        <w:t>□</w:t>
      </w:r>
      <w:r>
        <w:rPr>
          <w:color w:val="000000"/>
          <w:spacing w:val="0"/>
          <w:w w:val="100"/>
          <w:position w:val="0"/>
          <w:sz w:val="17"/>
          <w:szCs w:val="17"/>
        </w:rPr>
        <w:t>是</w:t>
      </w:r>
      <w:r>
        <w:rPr>
          <w:rFonts w:ascii="Arial" w:eastAsia="Arial" w:hAnsi="Arial" w:cs="Arial"/>
          <w:b w:val="0"/>
          <w:bCs w:val="0"/>
          <w:color w:val="000000"/>
          <w:spacing w:val="0"/>
          <w:w w:val="100"/>
          <w:position w:val="0"/>
          <w:sz w:val="18"/>
          <w:szCs w:val="18"/>
        </w:rPr>
        <w:t>V</w:t>
      </w:r>
      <w:r>
        <w:rPr>
          <w:color w:val="000000"/>
          <w:spacing w:val="0"/>
          <w:w w:val="100"/>
          <w:position w:val="0"/>
          <w:sz w:val="17"/>
          <w:szCs w:val="17"/>
        </w:rPr>
        <w:t>否</w:t>
      </w:r>
    </w:p>
    <w:tbl>
      <w:tblPr>
        <w:tblOverlap w:val="never"/>
        <w:jc w:val="center"/>
        <w:tblLayout w:type="fixed"/>
      </w:tblPr>
      <w:tblGrid>
        <w:gridCol w:w="2890"/>
        <w:gridCol w:w="1618"/>
        <w:gridCol w:w="1598"/>
        <w:gridCol w:w="2002"/>
        <w:gridCol w:w="14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919,987,596.18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584,562,790.74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629,981,220.65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272,515,185.89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141,275,120.01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103,425,503.51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203,827,445.20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109,402,964.40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29,149,703.43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232,976,026.91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124,678,174.37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201,783,288.79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本年末比上年末增减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3,078,013,080.20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2,725,153,021.34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1,329,641,123.45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2,351,771,877.52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1,983,851,701.81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1,040,779,185.47</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240"/>
        <w:jc w:val="left"/>
      </w:pPr>
      <w:bookmarkStart w:id="40" w:name="bookmark40"/>
      <w:bookmarkStart w:id="41" w:name="bookmark41"/>
      <w:bookmarkStart w:id="42" w:name="bookmark42"/>
      <w:r>
        <w:rPr>
          <w:color w:val="000000"/>
          <w:spacing w:val="0"/>
          <w:w w:val="100"/>
          <w:position w:val="0"/>
        </w:rPr>
        <w:t>、非经常性损益项目及金额</w:t>
      </w:r>
      <w:bookmarkEnd w:id="40"/>
      <w:bookmarkEnd w:id="41"/>
      <w:bookmarkEnd w:id="42"/>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302"/>
        <w:gridCol w:w="1579"/>
        <w:gridCol w:w="1574"/>
        <w:gridCol w:w="1574"/>
        <w:gridCol w:w="14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非流动资产处置损益（包括已计提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-318,298.88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-56,449.36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-71,032.54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78,729,248.37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35,735,868.04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1,663,618.08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1,304,887.96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72,692,786.21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-584,432.99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-2,347,512.56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123,002.39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8,197,903.65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2,788,212.04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137,279.11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940,872.16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-23,573.57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68,687,740.69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31,872,155.61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74,275,800.08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676" w:right="1029" w:bottom="917" w:left="1065" w:header="0" w:footer="3" w:gutter="0"/>
          <w:cols w:space="720"/>
          <w:noEndnote/>
          <w:rtlGutter w:val="0"/>
          <w:docGrid w:linePitch="360"/>
        </w:sectPr>
      </w:pPr>
    </w:p>
    <w:p>
      <w:pPr>
        <w:pStyle w:val="Style11"/>
        <w:keepNext/>
        <w:keepLines/>
        <w:widowControl w:val="0"/>
        <w:shd w:val="clear" w:color="auto" w:fill="auto"/>
        <w:bidi w:val="0"/>
        <w:spacing w:before="0" w:after="480" w:line="240" w:lineRule="auto"/>
        <w:ind w:left="0" w:right="0" w:firstLine="0"/>
        <w:jc w:val="center"/>
      </w:pPr>
      <w:bookmarkStart w:id="43" w:name="bookmark43"/>
      <w:bookmarkStart w:id="44" w:name="bookmark44"/>
      <w:bookmarkStart w:id="45" w:name="bookmark45"/>
      <w:r>
        <w:rPr>
          <w:color w:val="000000"/>
          <w:spacing w:val="0"/>
          <w:w w:val="100"/>
          <w:position w:val="0"/>
        </w:rPr>
        <w:t>第四节董事会报告</w:t>
      </w:r>
      <w:bookmarkEnd w:id="43"/>
      <w:bookmarkEnd w:id="44"/>
      <w:bookmarkEnd w:id="45"/>
    </w:p>
    <w:p>
      <w:pPr>
        <w:pStyle w:val="Style23"/>
        <w:keepNext/>
        <w:keepLines/>
        <w:widowControl w:val="0"/>
        <w:shd w:val="clear" w:color="auto" w:fill="auto"/>
        <w:tabs>
          <w:tab w:pos="514" w:val="left"/>
        </w:tabs>
        <w:bidi w:val="0"/>
        <w:spacing w:before="0" w:after="300" w:line="312" w:lineRule="exact"/>
        <w:ind w:left="0" w:right="0" w:firstLine="0"/>
        <w:jc w:val="both"/>
      </w:pPr>
      <w:bookmarkStart w:id="46" w:name="bookmark46"/>
      <w:bookmarkStart w:id="47" w:name="bookmark47"/>
      <w:bookmarkStart w:id="48" w:name="bookmark48"/>
      <w:bookmarkStart w:id="49" w:name="bookmark49"/>
      <w:r>
        <w:rPr>
          <w:color w:val="000000"/>
          <w:spacing w:val="0"/>
          <w:w w:val="100"/>
          <w:position w:val="0"/>
        </w:rPr>
        <w:t>一</w:t>
      </w:r>
      <w:bookmarkEnd w:id="48"/>
      <w:r>
        <w:rPr>
          <w:color w:val="000000"/>
          <w:spacing w:val="0"/>
          <w:w w:val="100"/>
          <w:position w:val="0"/>
        </w:rPr>
        <w:t>、</w:t>
        <w:tab/>
        <w:t>概述</w:t>
      </w:r>
      <w:bookmarkEnd w:id="46"/>
      <w:bookmarkEnd w:id="47"/>
      <w:bookmarkEnd w:id="49"/>
    </w:p>
    <w:p>
      <w:pPr>
        <w:pStyle w:val="Style35"/>
        <w:keepNext w:val="0"/>
        <w:keepLines w:val="0"/>
        <w:widowControl w:val="0"/>
        <w:shd w:val="clear" w:color="auto" w:fill="auto"/>
        <w:bidi w:val="0"/>
        <w:spacing w:before="0" w:line="315"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年，面对错综复杂的国内外形势，我国采取了一系列稳增长、调结构和促改革的政 策措施，整体经济运行企稳向好，呈现良好发展态势。集成电路行业在国家有关政策的重点 支持下，迎来了难得的发展机遇和巨大的发展空间。在董事会的领导下，公司管理层带领全 体员工准确把握机会，积极推进各项工作，综合竞争力大幅提升。</w:t>
      </w:r>
    </w:p>
    <w:p>
      <w:pPr>
        <w:pStyle w:val="Style35"/>
        <w:keepNext w:val="0"/>
        <w:keepLines w:val="0"/>
        <w:widowControl w:val="0"/>
        <w:shd w:val="clear" w:color="auto" w:fill="auto"/>
        <w:bidi w:val="0"/>
        <w:spacing w:before="0" w:line="312" w:lineRule="exact"/>
        <w:ind w:left="0" w:right="0" w:firstLine="480"/>
        <w:jc w:val="left"/>
      </w:pPr>
      <w:r>
        <w:rPr>
          <w:color w:val="000000"/>
          <w:spacing w:val="0"/>
          <w:w w:val="100"/>
          <w:position w:val="0"/>
        </w:rPr>
        <w:t>报告期内，国内外信息安全事件频发，引起了全社会的高度重视，对自主可控的国产集 成电路芯片技术与产品的需求日益迫切。公司凭借在智能卡芯片、特种集成电路领域的技术 与产品优势，大力开拓市场，强化了公司国产芯片设计领军企业的形象。</w:t>
      </w:r>
    </w:p>
    <w:p>
      <w:pPr>
        <w:pStyle w:val="Style35"/>
        <w:keepNext w:val="0"/>
        <w:keepLines w:val="0"/>
        <w:widowControl w:val="0"/>
        <w:shd w:val="clear" w:color="auto" w:fill="auto"/>
        <w:bidi w:val="0"/>
        <w:spacing w:before="0" w:after="300" w:line="313"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年，公司按照“中国芯”的总体战略布局，积极推进重大资产重组后的全面整合工 作，完善公司总部层面组织架构和相关制度，建立起了规范统一的公司管理体系。发挥自身 优势，优化资源配置，强化核心主业，促进了公司核心竞争力的不断提高。同时，加强品牌 建设和宣传力度，提升公司品牌影响力。目前，公司已成为我国集成电路设计领域知名企业, 行业地位进一步凸显，正在向一流集成电路设计公司迈进。</w:t>
      </w:r>
    </w:p>
    <w:p>
      <w:pPr>
        <w:pStyle w:val="Style35"/>
        <w:keepNext w:val="0"/>
        <w:keepLines w:val="0"/>
        <w:widowControl w:val="0"/>
        <w:shd w:val="clear" w:color="auto" w:fill="auto"/>
        <w:tabs>
          <w:tab w:pos="514" w:val="left"/>
        </w:tabs>
        <w:bidi w:val="0"/>
        <w:spacing w:before="0" w:after="360" w:line="312" w:lineRule="exact"/>
        <w:ind w:left="0" w:right="0" w:firstLine="0"/>
        <w:jc w:val="left"/>
      </w:pPr>
      <w:bookmarkStart w:id="50" w:name="bookmark50"/>
      <w:r>
        <w:rPr>
          <w:b/>
          <w:bCs/>
          <w:color w:val="000000"/>
          <w:spacing w:val="0"/>
          <w:w w:val="100"/>
          <w:position w:val="0"/>
        </w:rPr>
        <w:t>二</w:t>
      </w:r>
      <w:bookmarkEnd w:id="50"/>
      <w:r>
        <w:rPr>
          <w:b/>
          <w:bCs/>
          <w:color w:val="000000"/>
          <w:spacing w:val="0"/>
          <w:w w:val="100"/>
          <w:position w:val="0"/>
        </w:rPr>
        <w:t>、</w:t>
        <w:tab/>
        <w:t>主营业务分析</w:t>
      </w:r>
    </w:p>
    <w:p>
      <w:pPr>
        <w:pStyle w:val="Style35"/>
        <w:keepNext w:val="0"/>
        <w:keepLines w:val="0"/>
        <w:widowControl w:val="0"/>
        <w:shd w:val="clear" w:color="auto" w:fill="auto"/>
        <w:bidi w:val="0"/>
        <w:spacing w:before="0" w:line="240" w:lineRule="auto"/>
        <w:ind w:left="0" w:right="0" w:firstLine="0"/>
        <w:jc w:val="left"/>
        <w:rPr>
          <w:sz w:val="20"/>
          <w:szCs w:val="20"/>
        </w:rPr>
      </w:pPr>
      <w:bookmarkStart w:id="51" w:name="bookmark51"/>
      <w:r>
        <w:rPr>
          <w:rFonts w:ascii="Times New Roman" w:eastAsia="Times New Roman" w:hAnsi="Times New Roman" w:cs="Times New Roman"/>
          <w:b/>
          <w:bCs/>
          <w:color w:val="000000"/>
          <w:spacing w:val="0"/>
          <w:w w:val="100"/>
          <w:position w:val="0"/>
          <w:sz w:val="20"/>
          <w:szCs w:val="20"/>
        </w:rPr>
        <w:t>1</w:t>
      </w:r>
      <w:bookmarkEnd w:id="51"/>
      <w:r>
        <w:rPr>
          <w:b/>
          <w:bCs/>
          <w:color w:val="000000"/>
          <w:spacing w:val="0"/>
          <w:w w:val="100"/>
          <w:position w:val="0"/>
          <w:sz w:val="20"/>
          <w:szCs w:val="20"/>
        </w:rPr>
        <w:t>、概述</w:t>
      </w:r>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公司的主要业务为集成电路芯片设计与销售，包括智能卡芯片产品和特种集成电路产品, 分别由北京同方微电子有限公司（简称“同方微电子”）和深圳市国微电子有限公司（简称 “国微电子”）两个核心子公司承担。石英晶体元器件及蓝宝石衬底材料业务由晶体事业部 承担。</w:t>
      </w:r>
    </w:p>
    <w:p>
      <w:pPr>
        <w:pStyle w:val="Style35"/>
        <w:keepNext w:val="0"/>
        <w:keepLines w:val="0"/>
        <w:widowControl w:val="0"/>
        <w:shd w:val="clear" w:color="auto" w:fill="auto"/>
        <w:bidi w:val="0"/>
        <w:spacing w:before="0" w:line="311"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91,998.76</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24"/>
          <w:szCs w:val="24"/>
        </w:rPr>
        <w:t>57.38%</w:t>
      </w:r>
      <w:r>
        <w:rPr>
          <w:color w:val="000000"/>
          <w:spacing w:val="0"/>
          <w:w w:val="100"/>
          <w:position w:val="0"/>
        </w:rPr>
        <w:t>；归属于上市公司 股东的净利润</w:t>
      </w:r>
      <w:r>
        <w:rPr>
          <w:rFonts w:ascii="Times New Roman" w:eastAsia="Times New Roman" w:hAnsi="Times New Roman" w:cs="Times New Roman"/>
          <w:color w:val="000000"/>
          <w:spacing w:val="0"/>
          <w:w w:val="100"/>
          <w:position w:val="0"/>
          <w:sz w:val="24"/>
          <w:szCs w:val="24"/>
        </w:rPr>
        <w:t>27,251.52</w:t>
      </w:r>
      <w:r>
        <w:rPr>
          <w:color w:val="000000"/>
          <w:spacing w:val="0"/>
          <w:w w:val="100"/>
          <w:position w:val="0"/>
        </w:rPr>
        <w:t>万元，较上年同期增加了</w:t>
      </w:r>
      <w:r>
        <w:rPr>
          <w:rFonts w:ascii="Times New Roman" w:eastAsia="Times New Roman" w:hAnsi="Times New Roman" w:cs="Times New Roman"/>
          <w:color w:val="000000"/>
          <w:spacing w:val="0"/>
          <w:w w:val="100"/>
          <w:position w:val="0"/>
          <w:sz w:val="24"/>
          <w:szCs w:val="24"/>
        </w:rPr>
        <w:t>92.90%</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日，公司总资产 </w:t>
      </w:r>
      <w:r>
        <w:rPr>
          <w:rFonts w:ascii="Times New Roman" w:eastAsia="Times New Roman" w:hAnsi="Times New Roman" w:cs="Times New Roman"/>
          <w:color w:val="000000"/>
          <w:spacing w:val="0"/>
          <w:w w:val="100"/>
          <w:position w:val="0"/>
          <w:sz w:val="24"/>
          <w:szCs w:val="24"/>
        </w:rPr>
        <w:t>307,801.31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12.95%</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24"/>
          <w:szCs w:val="24"/>
        </w:rPr>
        <w:t>235,177.19</w:t>
      </w:r>
      <w:r>
        <w:rPr>
          <w:color w:val="000000"/>
          <w:spacing w:val="0"/>
          <w:w w:val="100"/>
          <w:position w:val="0"/>
        </w:rPr>
        <w:t>万元，同比 增长</w:t>
      </w:r>
      <w:r>
        <w:rPr>
          <w:rFonts w:ascii="Times New Roman" w:eastAsia="Times New Roman" w:hAnsi="Times New Roman" w:cs="Times New Roman"/>
          <w:color w:val="000000"/>
          <w:spacing w:val="0"/>
          <w:w w:val="100"/>
          <w:position w:val="0"/>
          <w:sz w:val="24"/>
          <w:szCs w:val="24"/>
        </w:rPr>
        <w:t>18.55%</w:t>
      </w:r>
      <w:r>
        <w:rPr>
          <w:color w:val="000000"/>
          <w:spacing w:val="0"/>
          <w:w w:val="100"/>
          <w:position w:val="0"/>
        </w:rPr>
        <w:t>。其中，集成电路业务实现营业收入</w:t>
      </w:r>
      <w:r>
        <w:rPr>
          <w:rFonts w:ascii="Times New Roman" w:eastAsia="Times New Roman" w:hAnsi="Times New Roman" w:cs="Times New Roman"/>
          <w:color w:val="000000"/>
          <w:spacing w:val="0"/>
          <w:w w:val="100"/>
          <w:position w:val="0"/>
          <w:sz w:val="24"/>
          <w:szCs w:val="24"/>
        </w:rPr>
        <w:t>69,130.4</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sz w:val="24"/>
          <w:szCs w:val="24"/>
        </w:rPr>
        <w:t>75.14%</w:t>
      </w:r>
      <w:r>
        <w:rPr>
          <w:color w:val="000000"/>
          <w:spacing w:val="0"/>
          <w:w w:val="100"/>
          <w:position w:val="0"/>
        </w:rPr>
        <w:t>； 实现净利润</w:t>
      </w:r>
      <w:r>
        <w:rPr>
          <w:rFonts w:ascii="Times New Roman" w:eastAsia="Times New Roman" w:hAnsi="Times New Roman" w:cs="Times New Roman"/>
          <w:color w:val="000000"/>
          <w:spacing w:val="0"/>
          <w:w w:val="100"/>
          <w:position w:val="0"/>
          <w:sz w:val="24"/>
          <w:szCs w:val="24"/>
        </w:rPr>
        <w:t>26,630.69</w:t>
      </w:r>
      <w:r>
        <w:rPr>
          <w:color w:val="000000"/>
          <w:spacing w:val="0"/>
          <w:w w:val="100"/>
          <w:position w:val="0"/>
        </w:rPr>
        <w:t>万元。石英晶体业务实现营业收入</w:t>
      </w:r>
      <w:r>
        <w:rPr>
          <w:rFonts w:ascii="Times New Roman" w:eastAsia="Times New Roman" w:hAnsi="Times New Roman" w:cs="Times New Roman"/>
          <w:color w:val="000000"/>
          <w:spacing w:val="0"/>
          <w:w w:val="100"/>
          <w:position w:val="0"/>
          <w:sz w:val="24"/>
          <w:szCs w:val="24"/>
        </w:rPr>
        <w:t>22,570.51</w:t>
      </w:r>
      <w:r>
        <w:rPr>
          <w:color w:val="000000"/>
          <w:spacing w:val="0"/>
          <w:w w:val="100"/>
          <w:position w:val="0"/>
        </w:rPr>
        <w:t xml:space="preserve">万元，占公司营业收入的 </w:t>
      </w:r>
      <w:r>
        <w:rPr>
          <w:rFonts w:ascii="Times New Roman" w:eastAsia="Times New Roman" w:hAnsi="Times New Roman" w:cs="Times New Roman"/>
          <w:color w:val="000000"/>
          <w:spacing w:val="0"/>
          <w:w w:val="100"/>
          <w:position w:val="0"/>
          <w:sz w:val="24"/>
          <w:szCs w:val="24"/>
        </w:rPr>
        <w:t>24.53%</w:t>
      </w:r>
      <w:r>
        <w:rPr>
          <w:color w:val="000000"/>
          <w:spacing w:val="0"/>
          <w:w w:val="100"/>
          <w:position w:val="0"/>
        </w:rPr>
        <w:t>，实现净利润</w:t>
      </w:r>
      <w:r>
        <w:rPr>
          <w:rFonts w:ascii="Times New Roman" w:eastAsia="Times New Roman" w:hAnsi="Times New Roman" w:cs="Times New Roman"/>
          <w:color w:val="000000"/>
          <w:spacing w:val="0"/>
          <w:w w:val="100"/>
          <w:position w:val="0"/>
          <w:sz w:val="24"/>
          <w:szCs w:val="24"/>
        </w:rPr>
        <w:t>1,448.64</w:t>
      </w:r>
      <w:r>
        <w:rPr>
          <w:color w:val="000000"/>
          <w:spacing w:val="0"/>
          <w:w w:val="100"/>
          <w:position w:val="0"/>
        </w:rPr>
        <w:t>万元。</w:t>
      </w:r>
    </w:p>
    <w:p>
      <w:pPr>
        <w:pStyle w:val="Style35"/>
        <w:keepNext w:val="0"/>
        <w:keepLines w:val="0"/>
        <w:widowControl w:val="0"/>
        <w:shd w:val="clear" w:color="auto" w:fill="auto"/>
        <w:bidi w:val="0"/>
        <w:spacing w:before="0" w:line="312" w:lineRule="exact"/>
        <w:ind w:left="0" w:right="0" w:firstLine="0"/>
        <w:jc w:val="left"/>
      </w:pPr>
      <w:r>
        <w:rPr>
          <w:b/>
          <w:bCs/>
          <w:color w:val="000000"/>
          <w:spacing w:val="0"/>
          <w:w w:val="100"/>
          <w:position w:val="0"/>
        </w:rPr>
        <w:t>公司回顾总结前期披露的发展战略和经营计划在报告期内的进展情况</w:t>
      </w:r>
    </w:p>
    <w:p>
      <w:pPr>
        <w:pStyle w:val="Style35"/>
        <w:keepNext w:val="0"/>
        <w:keepLines w:val="0"/>
        <w:widowControl w:val="0"/>
        <w:shd w:val="clear" w:color="auto" w:fill="auto"/>
        <w:bidi w:val="0"/>
        <w:spacing w:before="0" w:line="322" w:lineRule="exact"/>
        <w:ind w:left="0" w:right="0" w:firstLine="480"/>
        <w:jc w:val="both"/>
      </w:pPr>
      <w:r>
        <w:rPr>
          <w:color w:val="000000"/>
          <w:spacing w:val="0"/>
          <w:w w:val="100"/>
          <w:position w:val="0"/>
        </w:rPr>
        <w:t>报告期内，公司各项工作按照计划圆满完成，集成电路设计业务的收入和盈利保持持续 增长，其核心业务地位进一步增强。石英晶体业务业绩平稳发展，贡献了稳定收益。</w:t>
      </w:r>
    </w:p>
    <w:p>
      <w:pPr>
        <w:pStyle w:val="Style35"/>
        <w:keepNext w:val="0"/>
        <w:keepLines w:val="0"/>
        <w:widowControl w:val="0"/>
        <w:shd w:val="clear" w:color="auto" w:fill="auto"/>
        <w:bidi w:val="0"/>
        <w:spacing w:before="0" w:line="312" w:lineRule="exact"/>
        <w:ind w:left="0" w:right="0" w:firstLine="480"/>
        <w:jc w:val="both"/>
      </w:pPr>
      <w:r>
        <w:rPr>
          <w:color w:val="000000"/>
          <w:spacing w:val="0"/>
          <w:w w:val="100"/>
          <w:position w:val="0"/>
        </w:rPr>
        <w:t>公司各业务的具体发展情况如下：</w:t>
      </w:r>
    </w:p>
    <w:p>
      <w:pPr>
        <w:pStyle w:val="Style35"/>
        <w:keepNext w:val="0"/>
        <w:keepLines w:val="0"/>
        <w:widowControl w:val="0"/>
        <w:shd w:val="clear" w:color="auto" w:fill="auto"/>
        <w:bidi w:val="0"/>
        <w:spacing w:before="0" w:line="312" w:lineRule="exact"/>
        <w:ind w:left="0" w:right="0" w:firstLine="480"/>
        <w:jc w:val="both"/>
      </w:pPr>
      <w:r>
        <w:rPr>
          <w:b/>
          <w:bCs/>
          <w:color w:val="000000"/>
          <w:spacing w:val="0"/>
          <w:w w:val="100"/>
          <w:position w:val="0"/>
        </w:rPr>
        <w:t>集成电路业务：</w:t>
      </w:r>
    </w:p>
    <w:p>
      <w:pPr>
        <w:pStyle w:val="Style35"/>
        <w:keepNext w:val="0"/>
        <w:keepLines w:val="0"/>
        <w:widowControl w:val="0"/>
        <w:shd w:val="clear" w:color="auto" w:fill="auto"/>
        <w:bidi w:val="0"/>
        <w:spacing w:before="0" w:line="312" w:lineRule="exact"/>
        <w:ind w:left="0" w:right="0" w:firstLine="480"/>
        <w:jc w:val="both"/>
      </w:pPr>
      <w:bookmarkStart w:id="52" w:name="bookmark52"/>
      <w:r>
        <w:rPr>
          <w:b/>
          <w:bCs/>
          <w:color w:val="000000"/>
          <w:spacing w:val="0"/>
          <w:w w:val="100"/>
          <w:position w:val="0"/>
        </w:rPr>
        <w:t>1</w:t>
      </w:r>
      <w:bookmarkEnd w:id="52"/>
      <w:r>
        <w:rPr>
          <w:b/>
          <w:bCs/>
          <w:color w:val="000000"/>
          <w:spacing w:val="0"/>
          <w:w w:val="100"/>
          <w:position w:val="0"/>
        </w:rPr>
        <w:t>）智能卡芯片业务：</w:t>
      </w:r>
    </w:p>
    <w:p>
      <w:pPr>
        <w:pStyle w:val="Style35"/>
        <w:keepNext w:val="0"/>
        <w:keepLines w:val="0"/>
        <w:widowControl w:val="0"/>
        <w:shd w:val="clear" w:color="auto" w:fill="auto"/>
        <w:bidi w:val="0"/>
        <w:spacing w:before="0" w:line="312" w:lineRule="exact"/>
        <w:ind w:left="0" w:right="0" w:firstLine="48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676" w:right="1029" w:bottom="917" w:left="1065" w:header="248" w:footer="3" w:gutter="0"/>
          <w:pgNumType w:start="7"/>
          <w:cols w:space="720"/>
          <w:noEndnote/>
          <w:rtlGutter w:val="0"/>
          <w:docGrid w:linePitch="360"/>
        </w:sect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年度，公司的智能卡芯片业务实现营业收入</w:t>
      </w:r>
      <w:r>
        <w:rPr>
          <w:rFonts w:ascii="Times New Roman" w:eastAsia="Times New Roman" w:hAnsi="Times New Roman" w:cs="Times New Roman"/>
          <w:color w:val="000000"/>
          <w:spacing w:val="0"/>
          <w:w w:val="100"/>
          <w:position w:val="0"/>
          <w:sz w:val="24"/>
          <w:szCs w:val="24"/>
        </w:rPr>
        <w:t>4.23</w:t>
      </w:r>
      <w:r>
        <w:rPr>
          <w:color w:val="000000"/>
          <w:spacing w:val="0"/>
          <w:w w:val="100"/>
          <w:position w:val="0"/>
        </w:rPr>
        <w:t>亿元，实现净利润</w:t>
      </w:r>
      <w:r>
        <w:rPr>
          <w:rFonts w:ascii="Times New Roman" w:eastAsia="Times New Roman" w:hAnsi="Times New Roman" w:cs="Times New Roman"/>
          <w:color w:val="000000"/>
          <w:spacing w:val="0"/>
          <w:w w:val="100"/>
          <w:position w:val="0"/>
          <w:sz w:val="24"/>
          <w:szCs w:val="24"/>
        </w:rPr>
        <w:t>1.40</w:t>
      </w:r>
      <w:r>
        <w:rPr>
          <w:color w:val="000000"/>
          <w:spacing w:val="0"/>
          <w:w w:val="100"/>
          <w:position w:val="0"/>
        </w:rPr>
        <w:t>亿元；芯片销 售量同比</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年增长约</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w:t>
      </w:r>
    </w:p>
    <w:p>
      <w:pPr>
        <w:pStyle w:val="Style35"/>
        <w:keepNext w:val="0"/>
        <w:keepLines w:val="0"/>
        <w:widowControl w:val="0"/>
        <w:shd w:val="clear" w:color="auto" w:fill="auto"/>
        <w:bidi w:val="0"/>
        <w:spacing w:before="0" w:line="318" w:lineRule="exact"/>
        <w:ind w:left="0" w:right="0" w:firstLine="460"/>
        <w:jc w:val="both"/>
      </w:pPr>
      <w:r>
        <w:rPr>
          <w:color w:val="000000"/>
          <w:spacing w:val="0"/>
          <w:w w:val="100"/>
          <w:position w:val="0"/>
        </w:rPr>
        <w:t>电信类芯片中，全球传统</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卡市场近几年持续增长，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芯片出货近</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亿只， 占全球市场的</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。国外芯片公司正逐步退出</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卡市场，公司凭借技术与成本优势，出货量 大幅提高，处于领先的市场地位。目前公司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卡芯片已经形成有很强竞争力的系列化产品， 客户覆盖全球主要卡商。</w:t>
      </w:r>
    </w:p>
    <w:p>
      <w:pPr>
        <w:pStyle w:val="Style35"/>
        <w:keepNext w:val="0"/>
        <w:keepLines w:val="0"/>
        <w:widowControl w:val="0"/>
        <w:shd w:val="clear" w:color="auto" w:fill="auto"/>
        <w:bidi w:val="0"/>
        <w:spacing w:before="0" w:line="316" w:lineRule="exact"/>
        <w:ind w:left="0" w:right="0" w:firstLine="460"/>
        <w:jc w:val="both"/>
      </w:pPr>
      <w:r>
        <w:rPr>
          <w:color w:val="000000"/>
          <w:spacing w:val="0"/>
          <w:w w:val="100"/>
          <w:position w:val="0"/>
        </w:rPr>
        <w:t>随着</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的启动推广和智能手机的普及应用，运营商对</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卡产品要求的提升，带来了产 品升级换代的需求。公司储备的大容量产品，满足了运营商升级换代的需求，凭借先发优势 和性价比优势占据了市场先机。新推出的</w:t>
      </w:r>
      <w:r>
        <w:rPr>
          <w:rFonts w:ascii="Times New Roman" w:eastAsia="Times New Roman" w:hAnsi="Times New Roman" w:cs="Times New Roman"/>
          <w:color w:val="000000"/>
          <w:spacing w:val="0"/>
          <w:w w:val="100"/>
          <w:position w:val="0"/>
          <w:sz w:val="24"/>
          <w:szCs w:val="24"/>
        </w:rPr>
        <w:t>JAVA</w:t>
      </w:r>
      <w:r>
        <w:rPr>
          <w:color w:val="000000"/>
          <w:spacing w:val="0"/>
          <w:w w:val="100"/>
          <w:position w:val="0"/>
        </w:rPr>
        <w:t>平台产品获得市场突破，取得了较大的国内市 场份额，并将逐步推向国际市场。未来公司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卡芯片产品业务总体走势向好，预计未来几 年出货量将持续增长，市场份额不断提高，为公司贡献更大收益。</w:t>
      </w:r>
    </w:p>
    <w:p>
      <w:pPr>
        <w:pStyle w:val="Style35"/>
        <w:keepNext w:val="0"/>
        <w:keepLines w:val="0"/>
        <w:widowControl w:val="0"/>
        <w:shd w:val="clear" w:color="auto" w:fill="auto"/>
        <w:bidi w:val="0"/>
        <w:spacing w:before="0" w:line="314" w:lineRule="exact"/>
        <w:ind w:left="0" w:right="0" w:firstLine="460"/>
        <w:jc w:val="both"/>
      </w:pPr>
      <w:r>
        <w:rPr>
          <w:color w:val="000000"/>
          <w:spacing w:val="0"/>
          <w:w w:val="100"/>
          <w:position w:val="0"/>
        </w:rPr>
        <w:t>公司信息安全类芯片产品主要包括身份识别类产品和金融支付类产品等。</w:t>
      </w:r>
    </w:p>
    <w:p>
      <w:pPr>
        <w:pStyle w:val="Style35"/>
        <w:keepNext w:val="0"/>
        <w:keepLines w:val="0"/>
        <w:widowControl w:val="0"/>
        <w:shd w:val="clear" w:color="auto" w:fill="auto"/>
        <w:bidi w:val="0"/>
        <w:spacing w:before="0" w:line="314" w:lineRule="exact"/>
        <w:ind w:left="0" w:right="0" w:firstLine="460"/>
        <w:jc w:val="both"/>
      </w:pPr>
      <w:r>
        <w:rPr>
          <w:color w:val="000000"/>
          <w:spacing w:val="0"/>
          <w:w w:val="100"/>
          <w:position w:val="0"/>
        </w:rPr>
        <w:t>身份识别类产品方面，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年，公司二代居民身份证等身份识别类应用产品的销量保持 了稳定增长。其中，二代居民身份证芯片持续稳定供货，为公司提供稳定收益。公司积极参 与城市一卡通互联互通建设，城市通卡、公交卡芯片已经在哈尔滨、天津、青岛等地成功应 用，出货量快速增加，巩固了公司的市场地位。年内新进入了居住证行业，产品已用于江苏、 安徽、湖北等地的项目，出货量呈迅速攀升的趋势，市场份额不断提高。</w:t>
      </w:r>
    </w:p>
    <w:p>
      <w:pPr>
        <w:pStyle w:val="Style35"/>
        <w:keepNext w:val="0"/>
        <w:keepLines w:val="0"/>
        <w:widowControl w:val="0"/>
        <w:shd w:val="clear" w:color="auto" w:fill="auto"/>
        <w:bidi w:val="0"/>
        <w:spacing w:before="0" w:line="312" w:lineRule="exact"/>
        <w:ind w:left="0" w:right="0" w:firstLine="460"/>
        <w:jc w:val="both"/>
      </w:pPr>
      <w:r>
        <w:rPr>
          <w:color w:val="000000"/>
          <w:spacing w:val="0"/>
          <w:w w:val="100"/>
          <w:position w:val="0"/>
        </w:rPr>
        <w:t>金融支付类产品是公司近几年重点发展的业务方向。在国家“加快实施'信息惠民'工 程。建立公共信息服务平台，推进教育、医疗优质资源共享，普及应用居民健康卡，加快就 业信息全国联网，推进金融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卡在公共服务领域应用。”的总体部署下，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年，公司积极 推进相关工作，各产品线均取得了可喜进展。</w:t>
      </w:r>
    </w:p>
    <w:p>
      <w:pPr>
        <w:pStyle w:val="Style35"/>
        <w:keepNext w:val="0"/>
        <w:keepLines w:val="0"/>
        <w:widowControl w:val="0"/>
        <w:shd w:val="clear" w:color="auto" w:fill="auto"/>
        <w:bidi w:val="0"/>
        <w:spacing w:before="0" w:line="314" w:lineRule="exact"/>
        <w:ind w:left="0" w:right="0" w:firstLine="460"/>
        <w:jc w:val="both"/>
      </w:pPr>
      <w:r>
        <w:rPr>
          <w:color w:val="000000"/>
          <w:spacing w:val="0"/>
          <w:w w:val="100"/>
          <w:position w:val="0"/>
        </w:rPr>
        <w:t>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卡芯片方面，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年，我国银行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卡的换发已经进入高峰期，各商业银行纷纷启 动换发工作，全年累计发放银行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卡约</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亿张，目前主要采用进口芯片。根据国家主管部门的 总体规划布局，我国已经建立了完整的银联芯片安全标准、检测体系，正积极推进国产芯片 的产业化工作。公司在该领域处于领先地位，</w:t>
      </w:r>
      <w:r>
        <w:rPr>
          <w:rFonts w:ascii="Times New Roman" w:eastAsia="Times New Roman" w:hAnsi="Times New Roman" w:cs="Times New Roman"/>
          <w:color w:val="000000"/>
          <w:spacing w:val="0"/>
          <w:w w:val="100"/>
          <w:position w:val="0"/>
          <w:sz w:val="24"/>
          <w:szCs w:val="24"/>
        </w:rPr>
        <w:t>THD86</w:t>
      </w:r>
      <w:r>
        <w:rPr>
          <w:color w:val="000000"/>
          <w:spacing w:val="0"/>
          <w:w w:val="100"/>
          <w:position w:val="0"/>
        </w:rPr>
        <w:t>系列产品率先通过了银行卡检测中心双 界面卡的备案检测，并已获得《银联卡芯片产品安全认证证书》。目前，</w:t>
      </w:r>
      <w:r>
        <w:rPr>
          <w:rFonts w:ascii="Times New Roman" w:eastAsia="Times New Roman" w:hAnsi="Times New Roman" w:cs="Times New Roman"/>
          <w:color w:val="000000"/>
          <w:spacing w:val="0"/>
          <w:w w:val="100"/>
          <w:position w:val="0"/>
          <w:sz w:val="24"/>
          <w:szCs w:val="24"/>
        </w:rPr>
        <w:t>THD86</w:t>
      </w:r>
      <w:r>
        <w:rPr>
          <w:color w:val="000000"/>
          <w:spacing w:val="0"/>
          <w:w w:val="100"/>
          <w:position w:val="0"/>
        </w:rPr>
        <w:t>系列产品已 经在金融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卡的行业应用领域有成熟商用，在工、农、中、建、交五大行全部完成入网测试, 主要卡商基于该产品的金融应用</w:t>
      </w:r>
      <w:r>
        <w:rPr>
          <w:rFonts w:ascii="Times New Roman" w:eastAsia="Times New Roman" w:hAnsi="Times New Roman" w:cs="Times New Roman"/>
          <w:color w:val="000000"/>
          <w:spacing w:val="0"/>
          <w:w w:val="100"/>
          <w:position w:val="0"/>
          <w:sz w:val="24"/>
          <w:szCs w:val="24"/>
        </w:rPr>
        <w:t>COS</w:t>
      </w:r>
      <w:r>
        <w:rPr>
          <w:color w:val="000000"/>
          <w:spacing w:val="0"/>
          <w:w w:val="100"/>
          <w:position w:val="0"/>
        </w:rPr>
        <w:t>开发已经完成，且通过了银检中心的认证，已经具备在 商业银行正式使用的条件。公司正在与多家商业银行开展试用试点工作，</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年将实现正式 批量供货。</w:t>
      </w:r>
    </w:p>
    <w:p>
      <w:pPr>
        <w:pStyle w:val="Style35"/>
        <w:keepNext w:val="0"/>
        <w:keepLines w:val="0"/>
        <w:widowControl w:val="0"/>
        <w:shd w:val="clear" w:color="auto" w:fill="auto"/>
        <w:bidi w:val="0"/>
        <w:spacing w:before="0" w:line="313" w:lineRule="exact"/>
        <w:ind w:left="0" w:right="0" w:firstLine="460"/>
        <w:jc w:val="both"/>
      </w:pPr>
      <w:r>
        <w:rPr>
          <w:color w:val="000000"/>
          <w:spacing w:val="0"/>
          <w:w w:val="100"/>
          <w:position w:val="0"/>
        </w:rPr>
        <w:t>居民健康卡芯片方面，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年，卫生部印发了《关于加快推进居民健康卡发行应用工作 的通知》，确定了 “到</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年底，使居民健康卡发卡率达到</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以上，初步实现跨机构、跨 地区就医'一卡通'，到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年，基本实现人人拥有居民健康卡。”的总体目标，要求各地 完善居民健康卡发行应用环境，确保居民健康卡发行与应用工作快速有效推进。近期，全国 试点建设工作逐步提速，试点范围进一步扩大，又有浙江、河北、北京、上海等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多个地区 开展了试点和发卡。在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 xml:space="preserve">日召开的国务院常务会议上，已确定“建立医疗信息化系 统，推动异地就医即时结算”是今年深化医药卫生体制改革重点工作之一，这将进一步促进 居民健康卡的推广。目前，公司凭借有竞争力的产品、完备的应用方案和市场先发优势继续 保持了在该行业的领军地位，入围率达到了 </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以上，并与参与项目的相关各方形成了深度 的战略合作关系，产品已经实现了批量供货。</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年，公司继续把居民健康卡的推广作为公 司金融支付产品业务的重点工作，居民健康卡将为公司带来较大收益。</w:t>
      </w:r>
    </w:p>
    <w:p>
      <w:pPr>
        <w:pStyle w:val="Style35"/>
        <w:keepNext w:val="0"/>
        <w:keepLines w:val="0"/>
        <w:widowControl w:val="0"/>
        <w:shd w:val="clear" w:color="auto" w:fill="auto"/>
        <w:bidi w:val="0"/>
        <w:spacing w:before="0" w:line="312" w:lineRule="exact"/>
        <w:ind w:left="0" w:right="0" w:firstLine="460"/>
        <w:jc w:val="both"/>
      </w:pPr>
      <w:r>
        <w:rPr>
          <w:color w:val="000000"/>
          <w:spacing w:val="0"/>
          <w:w w:val="100"/>
          <w:position w:val="0"/>
        </w:rPr>
        <w:t>社保卡芯片方面，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年，公司芯片产品已经在山东、河南、云南等省市实现批量供货， 确立了公司在社保行业的市场地位。</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年，公司加强与卡商的合作，推动双界面芯片产品 在社保领域的应用，提高市场占有率。</w:t>
      </w:r>
    </w:p>
    <w:p>
      <w:pPr>
        <w:pStyle w:val="Style35"/>
        <w:keepNext w:val="0"/>
        <w:keepLines w:val="0"/>
        <w:widowControl w:val="0"/>
        <w:shd w:val="clear" w:color="auto" w:fill="auto"/>
        <w:bidi w:val="0"/>
        <w:spacing w:before="0" w:after="140" w:line="313" w:lineRule="exact"/>
        <w:ind w:left="0" w:right="0" w:firstLine="480"/>
        <w:jc w:val="left"/>
      </w:pPr>
      <w:r>
        <w:rPr>
          <w:color w:val="000000"/>
          <w:spacing w:val="0"/>
          <w:w w:val="100"/>
          <w:position w:val="0"/>
        </w:rPr>
        <w:t>移动支付芯片方面，在运营商的积极推动下，移动支付成为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年市场热点。产业链各 方正在积极探索成熟的商业模式和创新的行业应用，未来具有广阔的市场前景。公司在移动 支付领域的多种技术方案中都有成熟产品，其中双界面</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卡芯片产品已经实现了批量销售。 公司的新一代</w:t>
      </w:r>
      <w:r>
        <w:rPr>
          <w:rFonts w:ascii="Times New Roman" w:eastAsia="Times New Roman" w:hAnsi="Times New Roman" w:cs="Times New Roman"/>
          <w:color w:val="000000"/>
          <w:spacing w:val="0"/>
          <w:w w:val="100"/>
          <w:position w:val="0"/>
          <w:sz w:val="24"/>
          <w:szCs w:val="24"/>
        </w:rPr>
        <w:t>S WP-SIM</w:t>
      </w:r>
      <w:r>
        <w:rPr>
          <w:color w:val="000000"/>
          <w:spacing w:val="0"/>
          <w:w w:val="100"/>
          <w:position w:val="0"/>
        </w:rPr>
        <w:t>和更具有竞争力的</w:t>
      </w:r>
      <w:r>
        <w:rPr>
          <w:rFonts w:ascii="Times New Roman" w:eastAsia="Times New Roman" w:hAnsi="Times New Roman" w:cs="Times New Roman"/>
          <w:color w:val="000000"/>
          <w:spacing w:val="0"/>
          <w:w w:val="100"/>
          <w:position w:val="0"/>
          <w:sz w:val="24"/>
          <w:szCs w:val="24"/>
        </w:rPr>
        <w:t>13.56MHz</w:t>
      </w:r>
      <w:r>
        <w:rPr>
          <w:color w:val="000000"/>
          <w:spacing w:val="0"/>
          <w:w w:val="100"/>
          <w:position w:val="0"/>
        </w:rPr>
        <w:t>全卡方案芯片正在进行测试和试点发放， 将于近期批量进入市场。</w:t>
      </w:r>
    </w:p>
    <w:p>
      <w:pPr>
        <w:pStyle w:val="Style35"/>
        <w:keepNext w:val="0"/>
        <w:keepLines w:val="0"/>
        <w:widowControl w:val="0"/>
        <w:shd w:val="clear" w:color="auto" w:fill="auto"/>
        <w:bidi w:val="0"/>
        <w:spacing w:before="0" w:after="140" w:line="317" w:lineRule="exact"/>
        <w:ind w:left="0" w:right="0" w:firstLine="480"/>
        <w:jc w:val="left"/>
      </w:pP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产品方面，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年，公司积极布局</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市场，加强与下游重点客户的深度 合作，产品实现了批量供货，同时加快新老产品更替，尽快将更具竞争力的二代</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新 产品推向市场。另外，公司密切关注未来移动互联领域市场需求的变化，开发集成</w:t>
      </w:r>
      <w:r>
        <w:rPr>
          <w:rFonts w:ascii="Times New Roman" w:eastAsia="Times New Roman" w:hAnsi="Times New Roman" w:cs="Times New Roman"/>
          <w:color w:val="000000"/>
          <w:spacing w:val="0"/>
          <w:w w:val="100"/>
          <w:position w:val="0"/>
          <w:sz w:val="24"/>
          <w:szCs w:val="24"/>
        </w:rPr>
        <w:t xml:space="preserve">OTP </w:t>
      </w:r>
      <w:r>
        <w:rPr>
          <w:color w:val="000000"/>
          <w:spacing w:val="0"/>
          <w:w w:val="100"/>
          <w:position w:val="0"/>
        </w:rPr>
        <w:t>（动 态口令）功能或增加复合手机硬件接口等的新一代产品，该类产品市场前景广阔。</w:t>
      </w:r>
    </w:p>
    <w:p>
      <w:pPr>
        <w:pStyle w:val="Style35"/>
        <w:keepNext w:val="0"/>
        <w:keepLines w:val="0"/>
        <w:widowControl w:val="0"/>
        <w:shd w:val="clear" w:color="auto" w:fill="auto"/>
        <w:bidi w:val="0"/>
        <w:spacing w:before="0" w:after="140" w:line="307" w:lineRule="exact"/>
        <w:ind w:left="0" w:right="0" w:firstLine="480"/>
        <w:jc w:val="left"/>
      </w:pPr>
      <w:r>
        <w:rPr>
          <w:color w:val="000000"/>
          <w:spacing w:val="0"/>
          <w:w w:val="100"/>
          <w:position w:val="0"/>
        </w:rPr>
        <w:t>非接触芯片产品方面，随着非接触芯片产品应用的普及，读写器产品销量大幅增长，尤 其是金融非接触</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机读写器产品。公司在二代证读卡器芯片细分领域继续保持领先的市场 地位。同时，公司已经开发了用于金融非接触</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机读写器的芯片，正在向金融领域推广。</w:t>
      </w:r>
    </w:p>
    <w:p>
      <w:pPr>
        <w:pStyle w:val="Style35"/>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此外，当前网络信息安全正面临着各种安全威胁，公司已经开发了符合国家可信计算技 术规范的</w:t>
      </w:r>
      <w:r>
        <w:rPr>
          <w:rFonts w:ascii="Times New Roman" w:eastAsia="Times New Roman" w:hAnsi="Times New Roman" w:cs="Times New Roman"/>
          <w:color w:val="000000"/>
          <w:spacing w:val="0"/>
          <w:w w:val="100"/>
          <w:position w:val="0"/>
          <w:sz w:val="24"/>
          <w:szCs w:val="24"/>
        </w:rPr>
        <w:t>TCM</w:t>
      </w:r>
      <w:r>
        <w:rPr>
          <w:color w:val="000000"/>
          <w:spacing w:val="0"/>
          <w:w w:val="100"/>
          <w:position w:val="0"/>
        </w:rPr>
        <w:t>芯片产品，随着国家各级部门对安全的重视以及安全需求的提升，可信计算技 术将有广阔的应用前景。</w:t>
      </w:r>
    </w:p>
    <w:p>
      <w:pPr>
        <w:pStyle w:val="Style23"/>
        <w:keepNext/>
        <w:keepLines/>
        <w:widowControl w:val="0"/>
        <w:shd w:val="clear" w:color="auto" w:fill="auto"/>
        <w:bidi w:val="0"/>
        <w:spacing w:before="0" w:after="40" w:line="276" w:lineRule="auto"/>
        <w:ind w:left="0" w:right="0" w:firstLine="48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sz w:val="24"/>
          <w:szCs w:val="24"/>
        </w:rPr>
        <w:t>2</w:t>
      </w:r>
      <w:bookmarkEnd w:id="55"/>
      <w:r>
        <w:rPr>
          <w:color w:val="000000"/>
          <w:spacing w:val="0"/>
          <w:w w:val="100"/>
          <w:position w:val="0"/>
        </w:rPr>
        <w:t>）特种集成电路业务：</w:t>
      </w:r>
      <w:bookmarkEnd w:id="53"/>
      <w:bookmarkEnd w:id="54"/>
      <w:bookmarkEnd w:id="56"/>
    </w:p>
    <w:p>
      <w:pPr>
        <w:pStyle w:val="Style35"/>
        <w:keepNext w:val="0"/>
        <w:keepLines w:val="0"/>
        <w:widowControl w:val="0"/>
        <w:shd w:val="clear" w:color="auto" w:fill="auto"/>
        <w:bidi w:val="0"/>
        <w:spacing w:before="0" w:after="140" w:line="324"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年度，公司的特种集成电路业务全年实现营业收入</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.69</w:t>
      </w:r>
      <w:r>
        <w:rPr>
          <w:color w:val="000000"/>
          <w:spacing w:val="0"/>
          <w:w w:val="100"/>
          <w:position w:val="0"/>
        </w:rPr>
        <w:t>亿元，净利润</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亿元。特种 集成电路产品研发和推广成绩显著，科研创新能力有了新的突破，自主创新能力进一步提高, 综合技术实力再上新台阶。</w:t>
      </w:r>
    </w:p>
    <w:p>
      <w:pPr>
        <w:pStyle w:val="Style35"/>
        <w:keepNext w:val="0"/>
        <w:keepLines w:val="0"/>
        <w:widowControl w:val="0"/>
        <w:shd w:val="clear" w:color="auto" w:fill="auto"/>
        <w:tabs>
          <w:tab w:pos="968" w:val="left"/>
        </w:tabs>
        <w:bidi w:val="0"/>
        <w:spacing w:before="0" w:after="140" w:line="314" w:lineRule="exact"/>
        <w:ind w:left="0" w:right="0" w:firstLine="480"/>
        <w:jc w:val="left"/>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特种微处理器</w:t>
      </w:r>
    </w:p>
    <w:p>
      <w:pPr>
        <w:pStyle w:val="Style35"/>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公司紧跟装备发展器件选型规划，参照国际上微处理器发展趋势，进行特种微处理器的 研制和生产工作，形成了通用微处理器、嵌入式微处理器、高可靠微处理器三大系列十余款 产品，产品性能水平处于国内领先地位。</w:t>
      </w:r>
    </w:p>
    <w:p>
      <w:pPr>
        <w:pStyle w:val="Style35"/>
        <w:keepNext w:val="0"/>
        <w:keepLines w:val="0"/>
        <w:widowControl w:val="0"/>
        <w:shd w:val="clear" w:color="auto" w:fill="auto"/>
        <w:bidi w:val="0"/>
        <w:spacing w:before="0" w:after="140" w:line="322"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年，微处理器研发工作进展顺利，新推出了一款</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位特种微处理器，目前已经在用 户单位试用通过，即将形成批量供货，应用于重点特种装备。</w:t>
      </w:r>
    </w:p>
    <w:p>
      <w:pPr>
        <w:pStyle w:val="Style35"/>
        <w:keepNext w:val="0"/>
        <w:keepLines w:val="0"/>
        <w:widowControl w:val="0"/>
        <w:shd w:val="clear" w:color="auto" w:fill="auto"/>
        <w:tabs>
          <w:tab w:pos="968" w:val="left"/>
        </w:tabs>
        <w:bidi w:val="0"/>
        <w:spacing w:before="0" w:after="140" w:line="314" w:lineRule="exact"/>
        <w:ind w:left="0" w:right="0" w:firstLine="480"/>
        <w:jc w:val="left"/>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特种可编程器件</w:t>
      </w:r>
    </w:p>
    <w:p>
      <w:pPr>
        <w:pStyle w:val="Style35"/>
        <w:keepNext w:val="0"/>
        <w:keepLines w:val="0"/>
        <w:widowControl w:val="0"/>
        <w:shd w:val="clear" w:color="auto" w:fill="auto"/>
        <w:bidi w:val="0"/>
        <w:spacing w:before="0" w:after="140" w:line="314" w:lineRule="exact"/>
        <w:ind w:left="0" w:right="0" w:firstLine="480"/>
        <w:jc w:val="left"/>
      </w:pPr>
      <w:r>
        <w:rPr>
          <w:color w:val="000000"/>
          <w:spacing w:val="0"/>
          <w:w w:val="100"/>
          <w:position w:val="0"/>
        </w:rPr>
        <w:t>公司全资子公司国微电子是国内技术最成熟、供货量最大的特种可编程器件系列产品研 制单位。公司在国内最早实现特种可编程器件产品大批量供应，产品市场占有率处于绝对领 先地位，并在国内率先推出具有自主知识产权创新体系架构的高性能可编程器件产品和相关 的开发设计软件。</w:t>
      </w:r>
    </w:p>
    <w:p>
      <w:pPr>
        <w:pStyle w:val="Style35"/>
        <w:keepNext w:val="0"/>
        <w:keepLines w:val="0"/>
        <w:widowControl w:val="0"/>
        <w:shd w:val="clear" w:color="auto" w:fill="auto"/>
        <w:bidi w:val="0"/>
        <w:spacing w:before="0" w:after="140" w:line="322"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年，公司通过技术创新，又成功推出</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款新产品，目前已拥有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余款特种可编程器 件产品。随着信息、网络等领域的安全重要性日益凸显，国家加大了该领域可编程器件的国 产化力度，市场潜力巨大。</w:t>
      </w:r>
    </w:p>
    <w:p>
      <w:pPr>
        <w:pStyle w:val="Style35"/>
        <w:keepNext w:val="0"/>
        <w:keepLines w:val="0"/>
        <w:widowControl w:val="0"/>
        <w:shd w:val="clear" w:color="auto" w:fill="auto"/>
        <w:bidi w:val="0"/>
        <w:spacing w:before="0" w:after="140" w:line="310" w:lineRule="exact"/>
        <w:ind w:left="0" w:right="0" w:firstLine="480"/>
        <w:jc w:val="left"/>
      </w:pPr>
      <w:r>
        <w:rPr>
          <w:color w:val="000000"/>
          <w:spacing w:val="0"/>
          <w:w w:val="100"/>
          <w:position w:val="0"/>
        </w:rPr>
        <w:t>报告期内，为加强自主知识产权的可重构系统芯片和配套软件工具的开发，并解决产业 链瓶颈，实现产品批量销售，国微电子在深圳投资设立全资子公司深圳市同创国芯电子有限 公司专门开展上述业务。该公司的投资设立，将有效提升公司在可重构系统芯片领域的研发 能力，并进一步拓展其现有业务，扩大公司营业收入来源。</w:t>
      </w:r>
    </w:p>
    <w:p>
      <w:pPr>
        <w:pStyle w:val="Style35"/>
        <w:keepNext w:val="0"/>
        <w:keepLines w:val="0"/>
        <w:widowControl w:val="0"/>
        <w:shd w:val="clear" w:color="auto" w:fill="auto"/>
        <w:tabs>
          <w:tab w:pos="968" w:val="left"/>
        </w:tabs>
        <w:bidi w:val="0"/>
        <w:spacing w:before="0" w:after="140" w:line="314" w:lineRule="exact"/>
        <w:ind w:left="0" w:right="0" w:firstLine="480"/>
        <w:jc w:val="left"/>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特种存储器</w:t>
      </w:r>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在特种存储器领域，公司根据特种装备需求及发展趋势，不断研制和推出高可靠性的系 列化存储器产品，是国内拥有特种大容量存储器产品品种最全的公司。现已具备不同结构、 不同容量的存储器设计平台，形成了系列化产品。</w:t>
      </w:r>
    </w:p>
    <w:p>
      <w:pPr>
        <w:pStyle w:val="Style35"/>
        <w:keepNext w:val="0"/>
        <w:keepLines w:val="0"/>
        <w:widowControl w:val="0"/>
        <w:shd w:val="clear" w:color="auto" w:fill="auto"/>
        <w:bidi w:val="0"/>
        <w:spacing w:before="0" w:line="317" w:lineRule="exact"/>
        <w:ind w:left="0" w:right="0" w:firstLine="480"/>
        <w:jc w:val="both"/>
      </w:pPr>
      <w:r>
        <w:rPr>
          <w:color w:val="000000"/>
          <w:spacing w:val="0"/>
          <w:w w:val="100"/>
          <w:position w:val="0"/>
        </w:rPr>
        <w:t>公司目前已拥有特种</w:t>
      </w:r>
      <w:r>
        <w:rPr>
          <w:rFonts w:ascii="Times New Roman" w:eastAsia="Times New Roman" w:hAnsi="Times New Roman" w:cs="Times New Roman"/>
          <w:color w:val="000000"/>
          <w:spacing w:val="0"/>
          <w:w w:val="100"/>
          <w:position w:val="0"/>
          <w:sz w:val="24"/>
          <w:szCs w:val="24"/>
        </w:rPr>
        <w:t>SRAM</w:t>
      </w:r>
      <w:r>
        <w:rPr>
          <w:color w:val="000000"/>
          <w:spacing w:val="0"/>
          <w:w w:val="100"/>
          <w:position w:val="0"/>
        </w:rPr>
        <w:t>、</w:t>
      </w:r>
      <w:r>
        <w:rPr>
          <w:color w:val="000000"/>
          <w:spacing w:val="0"/>
          <w:w w:val="100"/>
          <w:position w:val="0"/>
        </w:rPr>
        <w:t>特种</w:t>
      </w:r>
      <w:r>
        <w:rPr>
          <w:rFonts w:ascii="Times New Roman" w:eastAsia="Times New Roman" w:hAnsi="Times New Roman" w:cs="Times New Roman"/>
          <w:color w:val="000000"/>
          <w:spacing w:val="0"/>
          <w:w w:val="100"/>
          <w:position w:val="0"/>
          <w:sz w:val="24"/>
          <w:szCs w:val="24"/>
        </w:rPr>
        <w:t>EPROM</w:t>
      </w:r>
      <w:r>
        <w:rPr>
          <w:color w:val="000000"/>
          <w:spacing w:val="0"/>
          <w:w w:val="100"/>
          <w:position w:val="0"/>
        </w:rPr>
        <w:t>、特种</w:t>
      </w:r>
      <w:r>
        <w:rPr>
          <w:rFonts w:ascii="Times New Roman" w:eastAsia="Times New Roman" w:hAnsi="Times New Roman" w:cs="Times New Roman"/>
          <w:color w:val="000000"/>
          <w:spacing w:val="0"/>
          <w:w w:val="100"/>
          <w:position w:val="0"/>
          <w:sz w:val="24"/>
          <w:szCs w:val="24"/>
        </w:rPr>
        <w:t>EEPROM</w:t>
      </w:r>
      <w:r>
        <w:rPr>
          <w:color w:val="000000"/>
          <w:spacing w:val="0"/>
          <w:w w:val="100"/>
          <w:position w:val="0"/>
        </w:rPr>
        <w:t>、特种</w:t>
      </w:r>
      <w:r>
        <w:rPr>
          <w:rFonts w:ascii="Times New Roman" w:eastAsia="Times New Roman" w:hAnsi="Times New Roman" w:cs="Times New Roman"/>
          <w:color w:val="000000"/>
          <w:spacing w:val="0"/>
          <w:w w:val="100"/>
          <w:position w:val="0"/>
          <w:sz w:val="24"/>
          <w:szCs w:val="24"/>
        </w:rPr>
        <w:t>FLASH</w:t>
      </w:r>
      <w:r>
        <w:rPr>
          <w:color w:val="000000"/>
          <w:spacing w:val="0"/>
          <w:w w:val="100"/>
          <w:position w:val="0"/>
        </w:rPr>
        <w:t>、</w:t>
      </w:r>
      <w:r>
        <w:rPr>
          <w:color w:val="000000"/>
          <w:spacing w:val="0"/>
          <w:w w:val="100"/>
          <w:position w:val="0"/>
        </w:rPr>
        <w:t>高可靠存储器 五大系列</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余款产品。其中，特种</w:t>
      </w:r>
      <w:r>
        <w:rPr>
          <w:rFonts w:ascii="Times New Roman" w:eastAsia="Times New Roman" w:hAnsi="Times New Roman" w:cs="Times New Roman"/>
          <w:color w:val="000000"/>
          <w:spacing w:val="0"/>
          <w:w w:val="100"/>
          <w:position w:val="0"/>
          <w:sz w:val="24"/>
          <w:szCs w:val="24"/>
        </w:rPr>
        <w:t>SRAM</w:t>
      </w:r>
      <w:r>
        <w:rPr>
          <w:color w:val="000000"/>
          <w:spacing w:val="0"/>
          <w:w w:val="100"/>
          <w:position w:val="0"/>
        </w:rPr>
        <w:t>产品已拥有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余款产品，代表着国内特种</w:t>
      </w:r>
      <w:r>
        <w:rPr>
          <w:rFonts w:ascii="Times New Roman" w:eastAsia="Times New Roman" w:hAnsi="Times New Roman" w:cs="Times New Roman"/>
          <w:color w:val="000000"/>
          <w:spacing w:val="0"/>
          <w:w w:val="100"/>
          <w:position w:val="0"/>
          <w:sz w:val="24"/>
          <w:szCs w:val="24"/>
        </w:rPr>
        <w:t>SRAM</w:t>
      </w:r>
      <w:r>
        <w:rPr>
          <w:color w:val="000000"/>
          <w:spacing w:val="0"/>
          <w:w w:val="100"/>
          <w:position w:val="0"/>
        </w:rPr>
        <w:t>产 品的最高水平。公司还拥有国内容量最大的特种</w:t>
      </w:r>
      <w:r>
        <w:rPr>
          <w:rFonts w:ascii="Times New Roman" w:eastAsia="Times New Roman" w:hAnsi="Times New Roman" w:cs="Times New Roman"/>
          <w:color w:val="000000"/>
          <w:spacing w:val="0"/>
          <w:w w:val="100"/>
          <w:position w:val="0"/>
          <w:sz w:val="24"/>
          <w:szCs w:val="24"/>
        </w:rPr>
        <w:t>FLASH</w:t>
      </w:r>
      <w:r>
        <w:rPr>
          <w:color w:val="000000"/>
          <w:spacing w:val="0"/>
          <w:w w:val="100"/>
          <w:position w:val="0"/>
        </w:rPr>
        <w:t>产品，目前正在研发更大容量的产品。</w:t>
      </w:r>
    </w:p>
    <w:p>
      <w:pPr>
        <w:pStyle w:val="Style35"/>
        <w:keepNext w:val="0"/>
        <w:keepLines w:val="0"/>
        <w:widowControl w:val="0"/>
        <w:shd w:val="clear" w:color="auto" w:fill="auto"/>
        <w:bidi w:val="0"/>
        <w:spacing w:before="0" w:line="331"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年，公司推出的</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款高可靠存储器是目前国内容量最大的高可靠存储器，目前已批量 供货，满足了用户的使用需求，产品技术水平达到国内领先。</w:t>
      </w:r>
    </w:p>
    <w:p>
      <w:pPr>
        <w:pStyle w:val="Style35"/>
        <w:keepNext w:val="0"/>
        <w:keepLines w:val="0"/>
        <w:widowControl w:val="0"/>
        <w:shd w:val="clear" w:color="auto" w:fill="auto"/>
        <w:bidi w:val="0"/>
        <w:spacing w:before="0" w:line="317" w:lineRule="exact"/>
        <w:ind w:left="0" w:right="0" w:firstLine="48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24"/>
          <w:szCs w:val="24"/>
        </w:rPr>
        <w:t>4</w:t>
      </w:r>
      <w:r>
        <w:rPr>
          <w:color w:val="000000"/>
          <w:spacing w:val="0"/>
          <w:w w:val="100"/>
          <w:position w:val="0"/>
        </w:rPr>
        <w:t>）特种定制芯片</w:t>
      </w:r>
    </w:p>
    <w:p>
      <w:pPr>
        <w:pStyle w:val="Style35"/>
        <w:keepNext w:val="0"/>
        <w:keepLines w:val="0"/>
        <w:widowControl w:val="0"/>
        <w:shd w:val="clear" w:color="auto" w:fill="auto"/>
        <w:bidi w:val="0"/>
        <w:spacing w:before="0" w:after="160" w:line="324" w:lineRule="exact"/>
        <w:ind w:left="0" w:right="0" w:firstLine="480"/>
        <w:jc w:val="both"/>
      </w:pPr>
      <w:r>
        <w:rPr>
          <w:color w:val="000000"/>
          <w:spacing w:val="0"/>
          <w:w w:val="100"/>
          <w:position w:val="0"/>
        </w:rPr>
        <w:t>公司拥有国内最完整、自主知识产权的特种</w:t>
      </w:r>
      <w:r>
        <w:rPr>
          <w:rFonts w:ascii="Times New Roman" w:eastAsia="Times New Roman" w:hAnsi="Times New Roman" w:cs="Times New Roman"/>
          <w:smallCaps/>
          <w:color w:val="000000"/>
          <w:spacing w:val="0"/>
          <w:w w:val="100"/>
          <w:position w:val="0"/>
          <w:sz w:val="30"/>
          <w:szCs w:val="30"/>
        </w:rPr>
        <w:t>ip</w:t>
      </w:r>
      <w:r>
        <w:rPr>
          <w:color w:val="000000"/>
          <w:spacing w:val="0"/>
          <w:w w:val="100"/>
          <w:position w:val="0"/>
        </w:rPr>
        <w:t>库，涵盖处理器、可编程器件、总线等</w:t>
      </w:r>
      <w:r>
        <w:rPr>
          <w:rFonts w:ascii="Times New Roman" w:eastAsia="Times New Roman" w:hAnsi="Times New Roman" w:cs="Times New Roman"/>
          <w:color w:val="000000"/>
          <w:spacing w:val="0"/>
          <w:w w:val="100"/>
          <w:position w:val="0"/>
          <w:sz w:val="24"/>
          <w:szCs w:val="24"/>
        </w:rPr>
        <w:t xml:space="preserve">IP </w:t>
      </w:r>
      <w:r>
        <w:rPr>
          <w:color w:val="000000"/>
          <w:spacing w:val="0"/>
          <w:w w:val="100"/>
          <w:position w:val="0"/>
        </w:rPr>
        <w:t>资源。具备国内领先的超深亚微米半导体工艺的设计能力，建立了成熟的</w:t>
      </w:r>
      <w:r>
        <w:rPr>
          <w:rFonts w:ascii="Times New Roman" w:eastAsia="Times New Roman" w:hAnsi="Times New Roman" w:cs="Times New Roman"/>
          <w:color w:val="000000"/>
          <w:spacing w:val="0"/>
          <w:w w:val="100"/>
          <w:position w:val="0"/>
          <w:sz w:val="24"/>
          <w:szCs w:val="24"/>
        </w:rPr>
        <w:t>ASIC/SOC</w:t>
      </w:r>
      <w:r>
        <w:rPr>
          <w:color w:val="000000"/>
          <w:spacing w:val="0"/>
          <w:w w:val="100"/>
          <w:position w:val="0"/>
        </w:rPr>
        <w:t>的设计集 成平台。结合用户的需求，在高性能系统集成、数据保密与保护、可靠性提升、低功耗与小 型化等方面提供定制设计，目前已推出了大量的</w:t>
      </w:r>
      <w:r>
        <w:rPr>
          <w:rFonts w:ascii="Times New Roman" w:eastAsia="Times New Roman" w:hAnsi="Times New Roman" w:cs="Times New Roman"/>
          <w:color w:val="000000"/>
          <w:spacing w:val="0"/>
          <w:w w:val="100"/>
          <w:position w:val="0"/>
          <w:sz w:val="24"/>
          <w:szCs w:val="24"/>
        </w:rPr>
        <w:t>ASIC/SOC</w:t>
      </w:r>
      <w:r>
        <w:rPr>
          <w:color w:val="000000"/>
          <w:spacing w:val="0"/>
          <w:w w:val="100"/>
          <w:position w:val="0"/>
        </w:rPr>
        <w:t>产品。公司定制芯片将是公司在特 种装备行业市场的增长点。</w:t>
      </w:r>
    </w:p>
    <w:p>
      <w:pPr>
        <w:pStyle w:val="Style35"/>
        <w:keepNext w:val="0"/>
        <w:keepLines w:val="0"/>
        <w:widowControl w:val="0"/>
        <w:shd w:val="clear" w:color="auto" w:fill="auto"/>
        <w:bidi w:val="0"/>
        <w:spacing w:before="0" w:line="319"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年，公司完成了近</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款定制芯片的研制，目前已在用户单位通过测试，即将大批量 应用。此外，公司还与某重点客户合作开发了用于商业航空的定制芯片，目前正在进行后期 测试工作，即将形成大批量订货。</w:t>
      </w:r>
    </w:p>
    <w:p>
      <w:pPr>
        <w:pStyle w:val="Style23"/>
        <w:keepNext/>
        <w:keepLines/>
        <w:widowControl w:val="0"/>
        <w:shd w:val="clear" w:color="auto" w:fill="auto"/>
        <w:bidi w:val="0"/>
        <w:spacing w:before="0" w:after="160" w:line="317" w:lineRule="exact"/>
        <w:ind w:left="0" w:right="0" w:firstLine="480"/>
        <w:jc w:val="both"/>
      </w:pPr>
      <w:bookmarkStart w:id="61" w:name="bookmark61"/>
      <w:bookmarkStart w:id="62" w:name="bookmark62"/>
      <w:bookmarkStart w:id="63" w:name="bookmark63"/>
      <w:r>
        <w:rPr>
          <w:color w:val="000000"/>
          <w:spacing w:val="0"/>
          <w:w w:val="100"/>
          <w:position w:val="0"/>
        </w:rPr>
        <w:t>石英晶体业务：</w:t>
      </w:r>
      <w:bookmarkEnd w:id="61"/>
      <w:bookmarkEnd w:id="62"/>
      <w:bookmarkEnd w:id="63"/>
    </w:p>
    <w:p>
      <w:pPr>
        <w:pStyle w:val="Style35"/>
        <w:keepNext w:val="0"/>
        <w:keepLines w:val="0"/>
        <w:widowControl w:val="0"/>
        <w:shd w:val="clear" w:color="auto" w:fill="auto"/>
        <w:bidi w:val="0"/>
        <w:spacing w:before="0" w:line="31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年，公司实施的“加快开发新产品，注重研发新工艺，依靠技术进步提高赢利能力” 的发展策略取得成效，高附加值石英晶体产品的销量增加明显。本年度销售晶体元器件</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亿 件，实现销售收入</w:t>
      </w:r>
      <w:r>
        <w:rPr>
          <w:rFonts w:ascii="Times New Roman" w:eastAsia="Times New Roman" w:hAnsi="Times New Roman" w:cs="Times New Roman"/>
          <w:color w:val="000000"/>
          <w:spacing w:val="0"/>
          <w:w w:val="100"/>
          <w:position w:val="0"/>
          <w:sz w:val="24"/>
          <w:szCs w:val="24"/>
        </w:rPr>
        <w:t>2.26</w:t>
      </w:r>
      <w:r>
        <w:rPr>
          <w:color w:val="000000"/>
          <w:spacing w:val="0"/>
          <w:w w:val="100"/>
          <w:position w:val="0"/>
        </w:rPr>
        <w:t>亿元，实现净利润</w:t>
      </w:r>
      <w:r>
        <w:rPr>
          <w:rFonts w:ascii="Times New Roman" w:eastAsia="Times New Roman" w:hAnsi="Times New Roman" w:cs="Times New Roman"/>
          <w:color w:val="000000"/>
          <w:spacing w:val="0"/>
          <w:w w:val="100"/>
          <w:position w:val="0"/>
          <w:sz w:val="24"/>
          <w:szCs w:val="24"/>
        </w:rPr>
        <w:t>1448.64</w:t>
      </w:r>
      <w:r>
        <w:rPr>
          <w:color w:val="000000"/>
          <w:spacing w:val="0"/>
          <w:w w:val="100"/>
          <w:position w:val="0"/>
        </w:rPr>
        <w:t>万元。</w:t>
      </w:r>
    </w:p>
    <w:p>
      <w:pPr>
        <w:pStyle w:val="Style35"/>
        <w:keepNext w:val="0"/>
        <w:keepLines w:val="0"/>
        <w:widowControl w:val="0"/>
        <w:shd w:val="clear" w:color="auto" w:fill="auto"/>
        <w:bidi w:val="0"/>
        <w:spacing w:before="0" w:line="317" w:lineRule="exact"/>
        <w:ind w:left="0" w:right="0" w:firstLine="480"/>
        <w:jc w:val="both"/>
      </w:pPr>
      <w:r>
        <w:rPr>
          <w:color w:val="000000"/>
          <w:spacing w:val="0"/>
          <w:w w:val="100"/>
          <w:position w:val="0"/>
        </w:rPr>
        <w:t>本报告期内，公司石英晶体业务市场开拓也有新收获，成为了</w:t>
      </w:r>
      <w:r>
        <w:rPr>
          <w:rFonts w:ascii="Times New Roman" w:eastAsia="Times New Roman" w:hAnsi="Times New Roman" w:cs="Times New Roman"/>
          <w:color w:val="000000"/>
          <w:spacing w:val="0"/>
          <w:w w:val="100"/>
          <w:position w:val="0"/>
          <w:sz w:val="24"/>
          <w:szCs w:val="24"/>
        </w:rPr>
        <w:t>LG</w:t>
      </w:r>
      <w:r>
        <w:rPr>
          <w:color w:val="000000"/>
          <w:spacing w:val="0"/>
          <w:w w:val="100"/>
          <w:position w:val="0"/>
        </w:rPr>
        <w:t>公司的主要供应商，国 际市场格局更加合理。国内市场也有突破，已成为“成都旭光”与“比亚迪”的合格供应商。</w:t>
      </w:r>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公司购买了美国</w:t>
      </w:r>
      <w:r>
        <w:rPr>
          <w:rFonts w:ascii="Times New Roman" w:eastAsia="Times New Roman" w:hAnsi="Times New Roman" w:cs="Times New Roman"/>
          <w:color w:val="000000"/>
          <w:spacing w:val="0"/>
          <w:w w:val="100"/>
          <w:position w:val="0"/>
          <w:sz w:val="24"/>
          <w:szCs w:val="24"/>
        </w:rPr>
        <w:t>CTS</w:t>
      </w:r>
      <w:r>
        <w:rPr>
          <w:color w:val="000000"/>
          <w:spacing w:val="0"/>
          <w:w w:val="100"/>
          <w:position w:val="0"/>
        </w:rPr>
        <w:t>公司新加坡工厂</w:t>
      </w:r>
      <w:r>
        <w:rPr>
          <w:rFonts w:ascii="Times New Roman" w:eastAsia="Times New Roman" w:hAnsi="Times New Roman" w:cs="Times New Roman"/>
          <w:color w:val="000000"/>
          <w:spacing w:val="0"/>
          <w:w w:val="100"/>
          <w:position w:val="0"/>
          <w:sz w:val="24"/>
          <w:szCs w:val="24"/>
        </w:rPr>
        <w:t xml:space="preserve">OCXO </w:t>
      </w:r>
      <w:r>
        <w:rPr>
          <w:color w:val="000000"/>
          <w:spacing w:val="0"/>
          <w:w w:val="100"/>
          <w:position w:val="0"/>
        </w:rPr>
        <w:t>（恒温晶体振荡器）生产线及生产工艺、产品 设计技术以及设计开发平台、生产管理与质量控制系统软件，打造新的利润增长点。通过购 买，公司</w:t>
      </w:r>
      <w:r>
        <w:rPr>
          <w:rFonts w:ascii="Times New Roman" w:eastAsia="Times New Roman" w:hAnsi="Times New Roman" w:cs="Times New Roman"/>
          <w:color w:val="000000"/>
          <w:spacing w:val="0"/>
          <w:w w:val="100"/>
          <w:position w:val="0"/>
          <w:sz w:val="24"/>
          <w:szCs w:val="24"/>
        </w:rPr>
        <w:t>OCXO</w:t>
      </w:r>
      <w:r>
        <w:rPr>
          <w:color w:val="000000"/>
          <w:spacing w:val="0"/>
          <w:w w:val="100"/>
          <w:position w:val="0"/>
        </w:rPr>
        <w:t>技术水平达到国内领先，管理能力进一步提高，同时拓展了新的</w:t>
      </w:r>
      <w:r>
        <w:rPr>
          <w:rFonts w:ascii="Times New Roman" w:eastAsia="Times New Roman" w:hAnsi="Times New Roman" w:cs="Times New Roman"/>
          <w:color w:val="000000"/>
          <w:spacing w:val="0"/>
          <w:w w:val="100"/>
          <w:position w:val="0"/>
          <w:sz w:val="24"/>
          <w:szCs w:val="24"/>
        </w:rPr>
        <w:t>O CXO</w:t>
      </w:r>
      <w:r>
        <w:rPr>
          <w:color w:val="000000"/>
          <w:spacing w:val="0"/>
          <w:w w:val="100"/>
          <w:position w:val="0"/>
        </w:rPr>
        <w:t>客户。</w:t>
      </w:r>
    </w:p>
    <w:p>
      <w:pPr>
        <w:pStyle w:val="Style35"/>
        <w:keepNext w:val="0"/>
        <w:keepLines w:val="0"/>
        <w:widowControl w:val="0"/>
        <w:shd w:val="clear" w:color="auto" w:fill="auto"/>
        <w:bidi w:val="0"/>
        <w:spacing w:before="0" w:line="315" w:lineRule="exact"/>
        <w:ind w:left="0" w:right="0" w:firstLine="480"/>
        <w:jc w:val="both"/>
      </w:pPr>
      <w:r>
        <w:rPr>
          <w:color w:val="000000"/>
          <w:spacing w:val="0"/>
          <w:w w:val="100"/>
          <w:position w:val="0"/>
        </w:rPr>
        <w:t>报告期内，公司继续推进生产技术改进和工艺优化，</w:t>
      </w:r>
      <w:r>
        <w:rPr>
          <w:rFonts w:ascii="Times New Roman" w:eastAsia="Times New Roman" w:hAnsi="Times New Roman" w:cs="Times New Roman"/>
          <w:color w:val="000000"/>
          <w:spacing w:val="0"/>
          <w:w w:val="100"/>
          <w:position w:val="0"/>
          <w:sz w:val="24"/>
          <w:szCs w:val="24"/>
        </w:rPr>
        <w:t>49S/SMD</w:t>
      </w:r>
      <w:r>
        <w:rPr>
          <w:color w:val="000000"/>
          <w:spacing w:val="0"/>
          <w:w w:val="100"/>
          <w:position w:val="0"/>
        </w:rPr>
        <w:t>晶体成功引进新型基座， 提高了产品良率；成功开发出</w:t>
      </w:r>
      <w:r>
        <w:rPr>
          <w:rFonts w:ascii="Times New Roman" w:eastAsia="Times New Roman" w:hAnsi="Times New Roman" w:cs="Times New Roman"/>
          <w:color w:val="000000"/>
          <w:spacing w:val="0"/>
          <w:w w:val="100"/>
          <w:position w:val="0"/>
          <w:sz w:val="24"/>
          <w:szCs w:val="24"/>
        </w:rPr>
        <w:t>S MD2520</w:t>
      </w:r>
      <w:r>
        <w:rPr>
          <w:color w:val="000000"/>
          <w:spacing w:val="0"/>
          <w:w w:val="100"/>
          <w:position w:val="0"/>
        </w:rPr>
        <w:t>型时钟振荡器产品，在国内处领先地位；开发出高基 频晶片新型加工方法，极大的降低了加工难度与成本；成功开发出高精度</w:t>
      </w:r>
      <w:r>
        <w:rPr>
          <w:rFonts w:ascii="Times New Roman" w:eastAsia="Times New Roman" w:hAnsi="Times New Roman" w:cs="Times New Roman"/>
          <w:color w:val="000000"/>
          <w:spacing w:val="0"/>
          <w:w w:val="100"/>
          <w:position w:val="0"/>
          <w:sz w:val="24"/>
          <w:szCs w:val="24"/>
        </w:rPr>
        <w:t>RTC</w:t>
      </w:r>
      <w:r>
        <w:rPr>
          <w:color w:val="000000"/>
          <w:spacing w:val="0"/>
          <w:w w:val="100"/>
          <w:position w:val="0"/>
        </w:rPr>
        <w:t>时钟模块产品， 技术指标达到日本同类产品水平，产品通过了国家电网的检测。</w:t>
      </w:r>
    </w:p>
    <w:p>
      <w:pPr>
        <w:pStyle w:val="Style35"/>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蓝宝石衬底材料晶片加工生产线的试生产已完成，</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4"LED</w:t>
      </w:r>
      <w:r>
        <w:rPr>
          <w:color w:val="000000"/>
          <w:spacing w:val="0"/>
          <w:w w:val="100"/>
          <w:position w:val="0"/>
        </w:rPr>
        <w:t>用衬底片已具备批量生产能 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蓝宝石单晶生产技术和配套设备的引进及安装调试已初步完成，进入试生产阶段。该 项目已获得国家级科技合作项目扶持。</w:t>
      </w:r>
    </w:p>
    <w:p>
      <w:pPr>
        <w:pStyle w:val="Style35"/>
        <w:keepNext w:val="0"/>
        <w:keepLines w:val="0"/>
        <w:widowControl w:val="0"/>
        <w:shd w:val="clear" w:color="auto" w:fill="auto"/>
        <w:bidi w:val="0"/>
        <w:spacing w:before="0" w:after="30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2</w:t>
      </w:r>
      <w:bookmarkEnd w:id="64"/>
      <w:r>
        <w:rPr>
          <w:b/>
          <w:bCs/>
          <w:color w:val="000000"/>
          <w:spacing w:val="0"/>
          <w:w w:val="100"/>
          <w:position w:val="0"/>
          <w:sz w:val="20"/>
          <w:szCs w:val="20"/>
        </w:rPr>
        <w:t>、收入</w:t>
      </w:r>
    </w:p>
    <w:p>
      <w:pPr>
        <w:pStyle w:val="Style35"/>
        <w:keepNext w:val="0"/>
        <w:keepLines w:val="0"/>
        <w:widowControl w:val="0"/>
        <w:shd w:val="clear" w:color="auto" w:fill="auto"/>
        <w:bidi w:val="0"/>
        <w:spacing w:before="0" w:line="319"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月，公司完成了通过发行股份收购国微电子的重组事项，本报告期，公司按照 非同一控制下企业合并方式合并国微电子的收入及利润。公司集成电路产品中增加了特种集 成电路产品。</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集成电路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销售量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73,842.23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43,432.35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生产量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72,546.35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47,878.93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库存量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-12.55%</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晶体业务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销售量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32,005.36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36,031.34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生产量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32,055.87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库存量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万只</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w:t>
            </w:r>
          </w:p>
        </w:tc>
      </w:tr>
    </w:tbl>
    <w:p>
      <w:pPr>
        <w:widowControl w:val="0"/>
        <w:spacing w:after="39" w:line="1" w:lineRule="exact"/>
      </w:pPr>
    </w:p>
    <w:p>
      <w:pPr>
        <w:pStyle w:val="Style23"/>
        <w:keepNext/>
        <w:keepLines/>
        <w:widowControl w:val="0"/>
        <w:shd w:val="clear" w:color="auto" w:fill="auto"/>
        <w:bidi w:val="0"/>
        <w:spacing w:before="0" w:after="40" w:line="240" w:lineRule="auto"/>
        <w:ind w:left="0" w:right="0" w:firstLine="0"/>
        <w:jc w:val="left"/>
      </w:pPr>
      <w:bookmarkStart w:id="65" w:name="bookmark65"/>
      <w:bookmarkStart w:id="66" w:name="bookmark66"/>
      <w:bookmarkStart w:id="67" w:name="bookmark67"/>
      <w:r>
        <w:rPr>
          <w:color w:val="000000"/>
          <w:spacing w:val="0"/>
          <w:w w:val="100"/>
          <w:position w:val="0"/>
        </w:rPr>
        <w:t>相关数据同比发生变动</w:t>
      </w:r>
      <w:r>
        <w:rPr>
          <w:rFonts w:ascii="Arial" w:eastAsia="Arial" w:hAnsi="Arial" w:cs="Arial"/>
          <w:b w:val="0"/>
          <w:bCs w:val="0"/>
          <w:color w:val="000000"/>
          <w:spacing w:val="0"/>
          <w:w w:val="100"/>
          <w:position w:val="0"/>
          <w:sz w:val="19"/>
          <w:szCs w:val="19"/>
        </w:rPr>
        <w:t>30%</w:t>
      </w:r>
      <w:r>
        <w:rPr>
          <w:color w:val="000000"/>
          <w:spacing w:val="0"/>
          <w:w w:val="100"/>
          <w:position w:val="0"/>
        </w:rPr>
        <w:t>以上的原因说明</w:t>
      </w:r>
      <w:bookmarkEnd w:id="65"/>
      <w:bookmarkEnd w:id="66"/>
      <w:bookmarkEnd w:id="67"/>
    </w:p>
    <w:p>
      <w:pPr>
        <w:pStyle w:val="Style35"/>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集成电路的销售量和产量同比增加的主要原因是合并范围增加国微电子以及同方微电子 产品出货量比去年有大幅提高。</w:t>
      </w:r>
    </w:p>
    <w:p>
      <w:pPr>
        <w:pStyle w:val="Style23"/>
        <w:keepNext/>
        <w:keepLines/>
        <w:widowControl w:val="0"/>
        <w:shd w:val="clear" w:color="auto" w:fill="auto"/>
        <w:bidi w:val="0"/>
        <w:spacing w:before="0" w:after="40" w:line="312" w:lineRule="exact"/>
        <w:ind w:left="0" w:right="0" w:firstLine="0"/>
        <w:jc w:val="left"/>
      </w:pPr>
      <w:bookmarkStart w:id="68" w:name="bookmark68"/>
      <w:bookmarkStart w:id="69" w:name="bookmark69"/>
      <w:bookmarkStart w:id="70" w:name="bookmark70"/>
      <w:r>
        <w:rPr>
          <w:color w:val="000000"/>
          <w:spacing w:val="0"/>
          <w:w w:val="100"/>
          <w:position w:val="0"/>
        </w:rPr>
        <w:t>公司主要销售客户情况</w:t>
      </w:r>
      <w:bookmarkEnd w:id="68"/>
      <w:bookmarkEnd w:id="69"/>
      <w:bookmarkEnd w:id="70"/>
    </w:p>
    <w:tbl>
      <w:tblPr>
        <w:tblOverlap w:val="never"/>
        <w:jc w:val="center"/>
        <w:tblLayout w:type="fixed"/>
      </w:tblPr>
      <w:tblGrid>
        <w:gridCol w:w="5050"/>
        <w:gridCol w:w="45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326,852,302.15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35.53%</w:t>
            </w:r>
          </w:p>
        </w:tc>
      </w:tr>
    </w:tbl>
    <w:p>
      <w:pPr>
        <w:widowControl w:val="0"/>
        <w:spacing w:after="399" w:line="1" w:lineRule="exact"/>
      </w:pPr>
    </w:p>
    <w:p>
      <w:pPr>
        <w:pStyle w:val="Style23"/>
        <w:keepNext/>
        <w:keepLines/>
        <w:widowControl w:val="0"/>
        <w:shd w:val="clear" w:color="auto" w:fill="auto"/>
        <w:bidi w:val="0"/>
        <w:spacing w:before="0" w:after="40" w:line="240" w:lineRule="auto"/>
        <w:ind w:left="0" w:right="0" w:firstLine="0"/>
        <w:jc w:val="left"/>
      </w:pPr>
      <w:bookmarkStart w:id="71" w:name="bookmark71"/>
      <w:bookmarkStart w:id="72" w:name="bookmark72"/>
      <w:bookmarkStart w:id="73" w:name="bookmark73"/>
      <w:r>
        <w:rPr>
          <w:color w:val="000000"/>
          <w:spacing w:val="0"/>
          <w:w w:val="100"/>
          <w:position w:val="0"/>
        </w:rPr>
        <w:t>公司前</w:t>
      </w:r>
      <w:r>
        <w:rPr>
          <w:rFonts w:ascii="Arial" w:eastAsia="Arial" w:hAnsi="Arial" w:cs="Arial"/>
          <w:b w:val="0"/>
          <w:bCs w:val="0"/>
          <w:color w:val="000000"/>
          <w:spacing w:val="0"/>
          <w:w w:val="100"/>
          <w:position w:val="0"/>
          <w:sz w:val="19"/>
          <w:szCs w:val="19"/>
        </w:rPr>
        <w:t>5</w:t>
      </w:r>
      <w:r>
        <w:rPr>
          <w:color w:val="000000"/>
          <w:spacing w:val="0"/>
          <w:w w:val="100"/>
          <w:position w:val="0"/>
        </w:rPr>
        <w:t>大客户资料</w:t>
      </w:r>
      <w:bookmarkEnd w:id="71"/>
      <w:bookmarkEnd w:id="72"/>
      <w:bookmarkEnd w:id="73"/>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160,309,185.70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53,708,470.64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41,693,215.72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40,105,458.87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31,035,971.22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326,852,302.15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35.53%</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3</w:t>
      </w:r>
      <w:bookmarkEnd w:id="76"/>
      <w:r>
        <w:rPr>
          <w:color w:val="000000"/>
          <w:spacing w:val="0"/>
          <w:w w:val="100"/>
          <w:position w:val="0"/>
        </w:rPr>
        <w:t>、成本</w:t>
      </w:r>
      <w:bookmarkEnd w:id="74"/>
      <w:bookmarkEnd w:id="75"/>
      <w:bookmarkEnd w:id="77"/>
    </w:p>
    <w:p>
      <w:pPr>
        <w:pStyle w:val="Style30"/>
        <w:keepNext w:val="0"/>
        <w:keepLines w:val="0"/>
        <w:widowControl w:val="0"/>
        <w:shd w:val="clear" w:color="auto" w:fill="auto"/>
        <w:bidi w:val="0"/>
        <w:spacing w:before="0" w:after="0" w:line="240" w:lineRule="auto"/>
        <w:ind w:left="8630"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87"/>
        <w:gridCol w:w="1358"/>
        <w:gridCol w:w="1368"/>
        <w:gridCol w:w="1363"/>
        <w:gridCol w:w="1354"/>
        <w:gridCol w:w="1382"/>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材料及加工费用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363,398,601.01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202,912,354.19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31,410,657.11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2,771,333.30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20,237,879.90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1,802,048.02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112,280,332.82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133,602,832.08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26,571,317.86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28,143,617.58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51,561,689.92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49,251,330.77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本报告期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内，公司各类</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w:t>
            </w:r>
            <w:r>
              <w:rPr>
                <w:color w:val="000000"/>
                <w:spacing w:val="0"/>
                <w:w w:val="100"/>
                <w:position w:val="0"/>
                <w:sz w:val="22"/>
                <w:szCs w:val="22"/>
              </w:rPr>
              <w:t>产品的成本结构基本保持稳定。集成电</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士路产品成本较上年同期有</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676" w:right="1029" w:bottom="917" w:left="1065" w:header="0" w:footer="3" w:gutter="0"/>
          <w:pgNumType w:start="7"/>
          <w:cols w:space="720"/>
          <w:noEndnote/>
          <w:rtlGutter w:val="0"/>
          <w:docGrid w:linePitch="360"/>
        </w:sectPr>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较大增长的原因，主要是合并范围增加了国微电子以及同方微电子产品出货量有大幅提高。</w:t>
      </w:r>
    </w:p>
    <w:p>
      <w:pPr>
        <w:pStyle w:val="Style23"/>
        <w:keepNext/>
        <w:keepLines/>
        <w:widowControl w:val="0"/>
        <w:shd w:val="clear" w:color="auto" w:fill="auto"/>
        <w:bidi w:val="0"/>
        <w:spacing w:before="0" w:after="140" w:line="240" w:lineRule="auto"/>
        <w:ind w:left="0" w:right="0" w:firstLine="0"/>
        <w:jc w:val="left"/>
      </w:pPr>
      <w:bookmarkStart w:id="78" w:name="bookmark78"/>
      <w:bookmarkStart w:id="79" w:name="bookmark79"/>
      <w:bookmarkStart w:id="80" w:name="bookmark80"/>
      <w:r>
        <w:rPr>
          <w:color w:val="000000"/>
          <w:spacing w:val="0"/>
          <w:w w:val="100"/>
          <w:position w:val="0"/>
        </w:rPr>
        <w:t>公司主要供应商情况</w:t>
      </w:r>
      <w:bookmarkEnd w:id="78"/>
      <w:bookmarkEnd w:id="79"/>
      <w:bookmarkEnd w:id="80"/>
    </w:p>
    <w:tbl>
      <w:tblPr>
        <w:tblOverlap w:val="never"/>
        <w:jc w:val="center"/>
        <w:tblLayout w:type="fixed"/>
      </w:tblPr>
      <w:tblGrid>
        <w:gridCol w:w="5227"/>
        <w:gridCol w:w="43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301,640,933.95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54.78%</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0"/>
        <w:jc w:val="left"/>
      </w:pPr>
      <w:bookmarkStart w:id="81" w:name="bookmark81"/>
      <w:bookmarkStart w:id="82" w:name="bookmark82"/>
      <w:bookmarkStart w:id="83" w:name="bookmark83"/>
      <w:r>
        <w:rPr>
          <w:color w:val="000000"/>
          <w:spacing w:val="0"/>
          <w:w w:val="100"/>
          <w:position w:val="0"/>
        </w:rPr>
        <w:t>公司前</w:t>
      </w:r>
      <w:r>
        <w:rPr>
          <w:rFonts w:ascii="Arial" w:eastAsia="Arial" w:hAnsi="Arial" w:cs="Arial"/>
          <w:b w:val="0"/>
          <w:bCs w:val="0"/>
          <w:color w:val="000000"/>
          <w:spacing w:val="0"/>
          <w:w w:val="100"/>
          <w:position w:val="0"/>
          <w:sz w:val="19"/>
          <w:szCs w:val="19"/>
        </w:rPr>
        <w:t>5</w:t>
      </w:r>
      <w:r>
        <w:rPr>
          <w:color w:val="000000"/>
          <w:spacing w:val="0"/>
          <w:w w:val="100"/>
          <w:position w:val="0"/>
        </w:rPr>
        <w:t>名供应商资料</w:t>
      </w:r>
      <w:bookmarkEnd w:id="81"/>
      <w:bookmarkEnd w:id="82"/>
      <w:bookmarkEnd w:id="83"/>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207,193,731.55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26,564,172.85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25,149,246.17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23,930,364.58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18,803,418.80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301,640,933.95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54.78%</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、费用</w:t>
      </w:r>
    </w:p>
    <w:p>
      <w:pPr>
        <w:widowControl w:val="0"/>
        <w:spacing w:after="299" w:line="1" w:lineRule="exact"/>
      </w:pPr>
    </w:p>
    <w:tbl>
      <w:tblPr>
        <w:tblOverlap w:val="never"/>
        <w:jc w:val="center"/>
        <w:tblLayout w:type="fixed"/>
      </w:tblPr>
      <w:tblGrid>
        <w:gridCol w:w="1642"/>
        <w:gridCol w:w="1800"/>
        <w:gridCol w:w="1800"/>
        <w:gridCol w:w="1440"/>
        <w:gridCol w:w="305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2013 </w:t>
            </w:r>
            <w:r>
              <w:rPr>
                <w:b/>
                <w:b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2012 </w:t>
            </w:r>
            <w:r>
              <w:rPr>
                <w:b/>
                <w:b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同比增减</w:t>
            </w:r>
            <w:r>
              <w:rPr>
                <w:b/>
                <w:bCs/>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增减原因说明</w:t>
            </w:r>
          </w:p>
        </w:tc>
      </w:tr>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32,600,722.87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15,374,503.62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主要系本报告期合并范围增加 国微电子所致。</w:t>
            </w:r>
          </w:p>
        </w:tc>
      </w:tr>
      <w:tr>
        <w:trPr>
          <w:trHeight w:val="9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78,201,250.77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43,264,106.44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主要系本报告期合并范围增加 国微电子以及同方微电子研发投 入增加所致。</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-20,035,641.23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-16,672,801.94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24,820,091.24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16,520,119.69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主要系本报告期合并范围增加 国微电子所致。</w:t>
            </w:r>
          </w:p>
        </w:tc>
      </w:tr>
    </w:tbl>
    <w:p>
      <w:pPr>
        <w:widowControl w:val="0"/>
        <w:spacing w:after="639" w:line="1" w:lineRule="exact"/>
      </w:pP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、研发支出</w:t>
      </w:r>
    </w:p>
    <w:tbl>
      <w:tblPr>
        <w:tblOverlap w:val="never"/>
        <w:jc w:val="center"/>
        <w:tblLayout w:type="fixed"/>
      </w:tblPr>
      <w:tblGrid>
        <w:gridCol w:w="2242"/>
        <w:gridCol w:w="1560"/>
        <w:gridCol w:w="1440"/>
        <w:gridCol w:w="1982"/>
        <w:gridCol w:w="2530"/>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2013 </w:t>
            </w:r>
            <w:r>
              <w:rPr>
                <w:b/>
                <w:b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2012 </w:t>
            </w:r>
            <w:r>
              <w:rPr>
                <w:b/>
                <w:b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同比增减</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增减原因说明</w:t>
            </w:r>
          </w:p>
        </w:tc>
      </w:tr>
      <w:tr>
        <w:trPr>
          <w:trHeight w:val="8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研发支出总额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238,035,643.50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34,414,501.50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主要系本报告期合并范围 增加国微电子及同方微电 子本期研发投入增加所致。</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占净资产的比例（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8.39</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4"/>
        <w:keepNext/>
        <w:keepLines/>
        <w:widowControl w:val="0"/>
        <w:shd w:val="clear" w:color="auto" w:fill="auto"/>
        <w:bidi w:val="0"/>
        <w:spacing w:before="0" w:after="22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6</w:t>
      </w:r>
      <w:bookmarkEnd w:id="86"/>
      <w:r>
        <w:rPr>
          <w:color w:val="000000"/>
          <w:spacing w:val="0"/>
          <w:w w:val="100"/>
          <w:position w:val="0"/>
        </w:rPr>
        <w:t>、现金流</w:t>
      </w:r>
      <w:bookmarkEnd w:id="84"/>
      <w:bookmarkEnd w:id="85"/>
      <w:bookmarkEnd w:id="87"/>
      <w:r>
        <w:br w:type="page"/>
      </w:r>
    </w:p>
    <w:tbl>
      <w:tblPr>
        <w:tblOverlap w:val="never"/>
        <w:jc w:val="center"/>
        <w:tblLayout w:type="fixed"/>
      </w:tblPr>
      <w:tblGrid>
        <w:gridCol w:w="2890"/>
        <w:gridCol w:w="2338"/>
        <w:gridCol w:w="2342"/>
        <w:gridCol w:w="20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1,026,302,966.90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723,240,022.13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793,326,939.99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598,561,847.76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232,976,026.91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124,678,174.37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233,490.09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228,267,079.83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226,196,569.43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103,679,035.38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-225,963,079.34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124,588,044.45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124,279,986.71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16,299,884.65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93,509,519.88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48,409,836.34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30,770,466.83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-32,109,951.69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36,210,610.24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216,837,373.91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-83.3%</w:t>
            </w: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0"/>
        <w:jc w:val="left"/>
      </w:pPr>
      <w:bookmarkStart w:id="88" w:name="bookmark88"/>
      <w:bookmarkStart w:id="89" w:name="bookmark89"/>
      <w:bookmarkStart w:id="90" w:name="bookmark90"/>
      <w:r>
        <w:rPr>
          <w:color w:val="000000"/>
          <w:spacing w:val="0"/>
          <w:w w:val="100"/>
          <w:position w:val="0"/>
        </w:rPr>
        <w:t>相关数据同比发生变动</w:t>
      </w:r>
      <w:r>
        <w:rPr>
          <w:rFonts w:ascii="Arial" w:eastAsia="Arial" w:hAnsi="Arial" w:cs="Arial"/>
          <w:b w:val="0"/>
          <w:bCs w:val="0"/>
          <w:color w:val="000000"/>
          <w:spacing w:val="0"/>
          <w:w w:val="100"/>
          <w:position w:val="0"/>
          <w:sz w:val="19"/>
          <w:szCs w:val="19"/>
        </w:rPr>
        <w:t>30%</w:t>
      </w:r>
      <w:r>
        <w:rPr>
          <w:color w:val="000000"/>
          <w:spacing w:val="0"/>
          <w:w w:val="100"/>
          <w:position w:val="0"/>
        </w:rPr>
        <w:t>以上的原因说明</w:t>
      </w:r>
      <w:bookmarkEnd w:id="88"/>
      <w:bookmarkEnd w:id="89"/>
      <w:bookmarkEnd w:id="90"/>
    </w:p>
    <w:p>
      <w:pPr>
        <w:pStyle w:val="Style35"/>
        <w:keepNext w:val="0"/>
        <w:keepLines w:val="0"/>
        <w:widowControl w:val="0"/>
        <w:shd w:val="clear" w:color="auto" w:fill="auto"/>
        <w:bidi w:val="0"/>
        <w:spacing w:before="0" w:after="140" w:line="326" w:lineRule="exact"/>
        <w:ind w:left="0" w:right="0" w:firstLine="480"/>
        <w:jc w:val="left"/>
      </w:pPr>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sz w:val="24"/>
          <w:szCs w:val="24"/>
        </w:rPr>
        <w:t>86.86%</w:t>
      </w:r>
      <w:r>
        <w:rPr>
          <w:color w:val="000000"/>
          <w:spacing w:val="0"/>
          <w:w w:val="100"/>
          <w:position w:val="0"/>
        </w:rPr>
        <w:t>，主要系本报告期合并范围增加国微电子 所致；</w:t>
      </w:r>
    </w:p>
    <w:p>
      <w:pPr>
        <w:pStyle w:val="Style35"/>
        <w:keepNext w:val="0"/>
        <w:keepLines w:val="0"/>
        <w:widowControl w:val="0"/>
        <w:shd w:val="clear" w:color="auto" w:fill="auto"/>
        <w:bidi w:val="0"/>
        <w:spacing w:before="0" w:after="140" w:line="322" w:lineRule="exact"/>
        <w:ind w:left="0" w:right="0" w:firstLine="480"/>
        <w:jc w:val="left"/>
      </w:pPr>
      <w:r>
        <w:rPr>
          <w:color w:val="000000"/>
          <w:spacing w:val="0"/>
          <w:w w:val="100"/>
          <w:position w:val="0"/>
        </w:rPr>
        <w:t>投资活动产生的现金流量净额同比减少</w:t>
      </w:r>
      <w:r>
        <w:rPr>
          <w:rFonts w:ascii="Times New Roman" w:eastAsia="Times New Roman" w:hAnsi="Times New Roman" w:cs="Times New Roman"/>
          <w:color w:val="000000"/>
          <w:spacing w:val="0"/>
          <w:w w:val="100"/>
          <w:position w:val="0"/>
          <w:sz w:val="24"/>
          <w:szCs w:val="24"/>
        </w:rPr>
        <w:t>281.37%</w:t>
      </w:r>
      <w:r>
        <w:rPr>
          <w:color w:val="000000"/>
          <w:spacing w:val="0"/>
          <w:w w:val="100"/>
          <w:position w:val="0"/>
        </w:rPr>
        <w:t>，主要系本报告期合并范围增加国微电子 以及上年同期因非同一控制合并增加国微电子期末货币资金余额所致；</w:t>
      </w:r>
    </w:p>
    <w:p>
      <w:pPr>
        <w:pStyle w:val="Style35"/>
        <w:keepNext w:val="0"/>
        <w:keepLines w:val="0"/>
        <w:widowControl w:val="0"/>
        <w:shd w:val="clear" w:color="auto" w:fill="auto"/>
        <w:bidi w:val="0"/>
        <w:spacing w:before="0" w:after="260" w:line="324" w:lineRule="exact"/>
        <w:ind w:left="0" w:right="0" w:firstLine="480"/>
        <w:jc w:val="left"/>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24"/>
          <w:szCs w:val="24"/>
        </w:rPr>
        <w:t>195.83%</w:t>
      </w:r>
      <w:r>
        <w:rPr>
          <w:color w:val="000000"/>
          <w:spacing w:val="0"/>
          <w:w w:val="100"/>
          <w:position w:val="0"/>
        </w:rPr>
        <w:t>，主要系本报告期筹集资金所致。</w:t>
      </w:r>
    </w:p>
    <w:p>
      <w:pPr>
        <w:pStyle w:val="Style23"/>
        <w:keepNext/>
        <w:keepLines/>
        <w:widowControl w:val="0"/>
        <w:shd w:val="clear" w:color="auto" w:fill="auto"/>
        <w:bidi w:val="0"/>
        <w:spacing w:before="0" w:after="360" w:line="324" w:lineRule="exact"/>
        <w:ind w:left="0" w:right="0" w:firstLine="0"/>
        <w:jc w:val="left"/>
      </w:pPr>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、主营业务构成情况</w:t>
      </w:r>
      <w:bookmarkEnd w:id="91"/>
      <w:bookmarkEnd w:id="92"/>
      <w:bookmarkEnd w:id="94"/>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27"/>
        <w:gridCol w:w="1622"/>
        <w:gridCol w:w="1618"/>
        <w:gridCol w:w="1080"/>
        <w:gridCol w:w="1262"/>
        <w:gridCol w:w="1258"/>
        <w:gridCol w:w="1272"/>
      </w:tblGrid>
      <w:tr>
        <w:trPr>
          <w:trHeight w:val="8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营业收入比 上年同期增</w:t>
            </w:r>
          </w:p>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营业成本比 上年同期增</w:t>
            </w:r>
          </w:p>
          <w:p>
            <w:pPr>
              <w:pStyle w:val="Style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毛利率比上 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691,303,991.98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415,047,138.02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电子元器件产品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225,395,821.83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190,413,340.60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0.18</w:t>
            </w:r>
            <w:r>
              <w:rPr>
                <w:color w:val="000000"/>
                <w:spacing w:val="0"/>
                <w:w w:val="100"/>
                <w:position w:val="0"/>
                <w:sz w:val="20"/>
                <w:szCs w:val="20"/>
              </w:rPr>
              <w:t>百分点</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智能卡芯片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422,672,102.29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267,667,533.26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-0.89</w:t>
            </w:r>
            <w:r>
              <w:rPr>
                <w:color w:val="000000"/>
                <w:spacing w:val="0"/>
                <w:w w:val="100"/>
                <w:position w:val="0"/>
                <w:sz w:val="20"/>
                <w:szCs w:val="20"/>
              </w:rPr>
              <w:t>百分点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268,631,889.69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147,379,604.76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石英晶体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203,752,432.57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173,178,821.65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0.43</w:t>
            </w:r>
            <w:r>
              <w:rPr>
                <w:color w:val="000000"/>
                <w:spacing w:val="0"/>
                <w:w w:val="100"/>
                <w:position w:val="0"/>
                <w:sz w:val="20"/>
                <w:szCs w:val="2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21,643,389.26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17,234,518.95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w:t>
            </w:r>
            <w:r>
              <w:rPr>
                <w:color w:val="000000"/>
                <w:spacing w:val="0"/>
                <w:w w:val="100"/>
                <w:position w:val="0"/>
                <w:sz w:val="20"/>
                <w:szCs w:val="20"/>
              </w:rPr>
              <w:t>百分点</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761,837,530.88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466,892,886.61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6.13</w:t>
            </w:r>
            <w:r>
              <w:rPr>
                <w:color w:val="000000"/>
                <w:spacing w:val="0"/>
                <w:w w:val="100"/>
                <w:position w:val="0"/>
                <w:sz w:val="20"/>
                <w:szCs w:val="20"/>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175,203,072.12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159,054,780.20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百分点</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减：内部交易抵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20,340,789.19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20,487,188.19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-0.51</w:t>
            </w:r>
            <w:r>
              <w:rPr>
                <w:color w:val="000000"/>
                <w:spacing w:val="0"/>
                <w:w w:val="100"/>
                <w:position w:val="0"/>
                <w:sz w:val="20"/>
                <w:szCs w:val="20"/>
              </w:rPr>
              <w:t>百分点</w:t>
            </w:r>
          </w:p>
        </w:tc>
      </w:tr>
    </w:tbl>
    <w:p>
      <w:pPr>
        <w:spacing w:lineRule="exact" w:line="1"/>
        <w:rPr>
          <w:sz w:val="2"/>
          <w:szCs w:val="2"/>
        </w:rPr>
      </w:pPr>
      <w:r>
        <w:br w:type="page"/>
      </w:r>
    </w:p>
    <w:tbl>
      <w:tblPr>
        <w:tblOverlap w:val="never"/>
        <w:jc w:val="center"/>
        <w:tblLayout w:type="fixed"/>
      </w:tblPr>
      <w:tblGrid>
        <w:gridCol w:w="1627"/>
        <w:gridCol w:w="1622"/>
        <w:gridCol w:w="1618"/>
        <w:gridCol w:w="1080"/>
        <w:gridCol w:w="1262"/>
        <w:gridCol w:w="1258"/>
        <w:gridCol w:w="1272"/>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四</w:t>
      </w:r>
      <w:bookmarkEnd w:id="97"/>
      <w:r>
        <w:rPr>
          <w:color w:val="000000"/>
          <w:spacing w:val="0"/>
          <w:w w:val="100"/>
          <w:position w:val="0"/>
        </w:rPr>
        <w:t>、资产、负债状况分析</w:t>
      </w:r>
      <w:bookmarkEnd w:id="95"/>
      <w:bookmarkEnd w:id="96"/>
      <w:bookmarkEnd w:id="98"/>
    </w:p>
    <w:p>
      <w:pPr>
        <w:pStyle w:val="Style44"/>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、资产项目重大变动情况</w:t>
      </w:r>
      <w:bookmarkEnd w:id="100"/>
      <w:bookmarkEnd w:id="102"/>
      <w:bookmarkEnd w:id="99"/>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30"/>
        <w:gridCol w:w="1080"/>
        <w:gridCol w:w="1363"/>
        <w:gridCol w:w="979"/>
        <w:gridCol w:w="720"/>
        <w:gridCol w:w="2890"/>
      </w:tblGrid>
      <w:tr>
        <w:trPr>
          <w:trHeight w:val="24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变动说明</w:t>
            </w:r>
          </w:p>
        </w:tc>
      </w:tr>
      <w:tr>
        <w:trPr>
          <w:trHeight w:val="48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906,856,558.49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870,645,948.25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412,332,198.33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321,197,103.79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219,052,674.04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208,258,110.12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4,550,563.00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4,937,018.72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306,902,132.39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300,708,561.10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44,928,594.89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35,683,804.11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37,567,019.41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27,661,222.82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主要系国微电子预付材料款增加所 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81,758,925.41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17,538,050.20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年度国微电子以票据作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为销售回款结算增加所致。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240,344,767.57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10,914,287.81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主要系国微电子报告期部分特种集 成电路研发项目验收及同方微电子 移动通信项目转入无形资产所致。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105,173,225.35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210,859,582.41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主要系国微电子报告期部分特种集 成电路研发项目验收及同方微电子 移动通信项目结题自开发支出转入 无形资产所致。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5,095,249.09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2,351,875.80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主要系公司办公场所装修费增加所 致。</w:t>
            </w:r>
          </w:p>
        </w:tc>
      </w:tr>
    </w:tbl>
    <w:p>
      <w:pPr>
        <w:widowControl w:val="0"/>
        <w:spacing w:after="339" w:line="1" w:lineRule="exact"/>
      </w:pPr>
    </w:p>
    <w:p>
      <w:pPr>
        <w:pStyle w:val="Style44"/>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、负债项目重大变动情况</w:t>
      </w:r>
      <w:bookmarkEnd w:id="103"/>
      <w:bookmarkEnd w:id="104"/>
      <w:bookmarkEnd w:id="106"/>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30"/>
        <w:gridCol w:w="1080"/>
        <w:gridCol w:w="1181"/>
        <w:gridCol w:w="979"/>
        <w:gridCol w:w="720"/>
        <w:gridCol w:w="3072"/>
      </w:tblGrid>
      <w:tr>
        <w:trPr>
          <w:trHeight w:val="26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变动说明</w:t>
            </w:r>
          </w:p>
        </w:tc>
      </w:tr>
      <w:tr>
        <w:trPr>
          <w:trHeight w:val="49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系国微电子偿还借款所致。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144,757,185.84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92,170,133.81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主要国微电子及同方微电子备货增加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1,350,634.99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20,981,372.94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30,802,763.00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23,232,724.46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主要同方微电子期末计提奖金所致。</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676" w:right="1029" w:bottom="917" w:left="1065" w:header="0" w:footer="3" w:gutter="0"/>
          <w:cols w:space="720"/>
          <w:noEndnote/>
          <w:rtlGutter w:val="0"/>
          <w:docGrid w:linePitch="360"/>
        </w:sectPr>
      </w:pPr>
    </w:p>
    <w:tbl>
      <w:tblPr>
        <w:tblOverlap w:val="never"/>
        <w:jc w:val="center"/>
        <w:tblLayout w:type="fixed"/>
      </w:tblPr>
      <w:tblGrid>
        <w:gridCol w:w="1378"/>
        <w:gridCol w:w="1330"/>
        <w:gridCol w:w="1080"/>
        <w:gridCol w:w="1181"/>
        <w:gridCol w:w="979"/>
        <w:gridCol w:w="720"/>
        <w:gridCol w:w="30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20,935,995.95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主要系计提所得税增加及公司出口增 值税退税因软件升级原因本期集中办 理所致。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20,659,707.61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主要系本报告期支付重组中介费和支 付唐山晶源电子有限公司少数股权款 所致。</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系同方微电子收到的部分委托及合作 开发的研发项目验收转入当期损益所 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五、核心竞争力分析</w:t>
      </w:r>
    </w:p>
    <w:p>
      <w:pPr>
        <w:widowControl w:val="0"/>
        <w:spacing w:after="239" w:line="1" w:lineRule="exact"/>
      </w:pPr>
    </w:p>
    <w:p>
      <w:pPr>
        <w:pStyle w:val="Style35"/>
        <w:keepNext w:val="0"/>
        <w:keepLines w:val="0"/>
        <w:widowControl w:val="0"/>
        <w:shd w:val="clear" w:color="auto" w:fill="auto"/>
        <w:bidi w:val="0"/>
        <w:spacing w:before="0" w:after="160" w:line="322" w:lineRule="exact"/>
        <w:ind w:left="0" w:right="0" w:firstLine="460"/>
        <w:jc w:val="both"/>
      </w:pPr>
      <w:r>
        <w:rPr>
          <w:color w:val="000000"/>
          <w:spacing w:val="0"/>
          <w:w w:val="100"/>
          <w:position w:val="0"/>
        </w:rPr>
        <w:t>报告期内，公司积极推进业务整合，优化资源配置、强化核心主业，公司核心竞争力得 到进一步提高。主要体现在以下方面：</w:t>
      </w:r>
    </w:p>
    <w:p>
      <w:pPr>
        <w:pStyle w:val="Style35"/>
        <w:keepNext w:val="0"/>
        <w:keepLines w:val="0"/>
        <w:widowControl w:val="0"/>
        <w:shd w:val="clear" w:color="auto" w:fill="auto"/>
        <w:tabs>
          <w:tab w:pos="833" w:val="left"/>
        </w:tabs>
        <w:bidi w:val="0"/>
        <w:spacing w:before="0" w:after="80" w:line="276" w:lineRule="auto"/>
        <w:ind w:left="0" w:right="0" w:firstLine="460"/>
        <w:jc w:val="both"/>
      </w:pPr>
      <w:bookmarkStart w:id="107" w:name="bookmark107"/>
      <w:r>
        <w:rPr>
          <w:rFonts w:ascii="Times New Roman" w:eastAsia="Times New Roman" w:hAnsi="Times New Roman" w:cs="Times New Roman"/>
          <w:color w:val="000000"/>
          <w:spacing w:val="0"/>
          <w:w w:val="100"/>
          <w:position w:val="0"/>
          <w:sz w:val="24"/>
          <w:szCs w:val="24"/>
        </w:rPr>
        <w:t>1</w:t>
      </w:r>
      <w:bookmarkEnd w:id="107"/>
      <w:r>
        <w:rPr>
          <w:color w:val="000000"/>
          <w:spacing w:val="0"/>
          <w:w w:val="100"/>
          <w:position w:val="0"/>
        </w:rPr>
        <w:t>、</w:t>
        <w:tab/>
        <w:t>技术与研发优势</w:t>
      </w:r>
    </w:p>
    <w:p>
      <w:pPr>
        <w:pStyle w:val="Style3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公司拥有一支优秀的集成电路研发、技术团队和管理团队。公司的管理团队具有平均超 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年的集成电路从业经历，在业内有广泛的资源和影响力，为公司的发展奠定了良好的人 才基础；公司的研发技术团队在数字、模拟及数模混合集成电路的设计和产业化方面积累了 丰富经验。</w:t>
      </w:r>
    </w:p>
    <w:p>
      <w:pPr>
        <w:pStyle w:val="Style35"/>
        <w:keepNext w:val="0"/>
        <w:keepLines w:val="0"/>
        <w:widowControl w:val="0"/>
        <w:shd w:val="clear" w:color="auto" w:fill="auto"/>
        <w:bidi w:val="0"/>
        <w:spacing w:before="0" w:after="160" w:line="315" w:lineRule="exact"/>
        <w:ind w:left="0" w:right="0" w:firstLine="460"/>
        <w:jc w:val="both"/>
      </w:pPr>
      <w:r>
        <w:rPr>
          <w:color w:val="000000"/>
          <w:spacing w:val="0"/>
          <w:w w:val="100"/>
          <w:position w:val="0"/>
        </w:rPr>
        <w:t>报告期内，公司承担完成了集成电路的多个国家重大专项和新产品开发项目，其中，新 立项产品近</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项，新完成产品开发约</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项，新增可销售产品近</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个。项目完成率和完成情况 在行业内名列前茅，产品技术水平居于国内领先地位，智能卡芯片和特种集成电路等核心产 品技术与研发优势得到进一步提升。</w:t>
      </w:r>
    </w:p>
    <w:p>
      <w:pPr>
        <w:pStyle w:val="Style35"/>
        <w:keepNext w:val="0"/>
        <w:keepLines w:val="0"/>
        <w:widowControl w:val="0"/>
        <w:shd w:val="clear" w:color="auto" w:fill="auto"/>
        <w:tabs>
          <w:tab w:pos="857" w:val="left"/>
        </w:tabs>
        <w:bidi w:val="0"/>
        <w:spacing w:before="0" w:after="80" w:line="276" w:lineRule="auto"/>
        <w:ind w:left="0" w:right="0" w:firstLine="460"/>
        <w:jc w:val="both"/>
      </w:pPr>
      <w:bookmarkStart w:id="108" w:name="bookmark108"/>
      <w:r>
        <w:rPr>
          <w:rFonts w:ascii="Times New Roman" w:eastAsia="Times New Roman" w:hAnsi="Times New Roman" w:cs="Times New Roman"/>
          <w:color w:val="000000"/>
          <w:spacing w:val="0"/>
          <w:w w:val="100"/>
          <w:position w:val="0"/>
          <w:sz w:val="24"/>
          <w:szCs w:val="24"/>
        </w:rPr>
        <w:t>2</w:t>
      </w:r>
      <w:bookmarkEnd w:id="108"/>
      <w:r>
        <w:rPr>
          <w:color w:val="000000"/>
          <w:spacing w:val="0"/>
          <w:w w:val="100"/>
          <w:position w:val="0"/>
        </w:rPr>
        <w:t>、</w:t>
        <w:tab/>
        <w:t>创新与产品优势</w:t>
      </w:r>
    </w:p>
    <w:p>
      <w:pPr>
        <w:pStyle w:val="Style3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公司始终重视技术创新和研发投入，集中公司集成电路开发的优秀人才团队，在强调“自 主可控”的前提下，加强科研创新能力与产品开发能力的结合，巩固和提升公司的综合技术 实力。</w:t>
      </w:r>
    </w:p>
    <w:p>
      <w:pPr>
        <w:pStyle w:val="Style35"/>
        <w:keepNext w:val="0"/>
        <w:keepLines w:val="0"/>
        <w:widowControl w:val="0"/>
        <w:shd w:val="clear" w:color="auto" w:fill="auto"/>
        <w:bidi w:val="0"/>
        <w:spacing w:before="0" w:after="240" w:line="326" w:lineRule="exact"/>
        <w:ind w:left="0" w:right="0" w:firstLine="460"/>
        <w:jc w:val="both"/>
      </w:pPr>
      <w:r>
        <w:rPr>
          <w:color w:val="000000"/>
          <w:spacing w:val="0"/>
          <w:w w:val="100"/>
          <w:position w:val="0"/>
        </w:rPr>
        <w:t>报告期内，公司新申请专利</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项，新授权专利</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项，新获得软件著作</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项；在多个产品和 产业化技术方面获得突破。使公司集成电路产品的品质和性价比优势得到巩固与提升。</w:t>
      </w:r>
    </w:p>
    <w:p>
      <w:pPr>
        <w:pStyle w:val="Style35"/>
        <w:keepNext w:val="0"/>
        <w:keepLines w:val="0"/>
        <w:widowControl w:val="0"/>
        <w:shd w:val="clear" w:color="auto" w:fill="auto"/>
        <w:tabs>
          <w:tab w:pos="857" w:val="left"/>
        </w:tabs>
        <w:bidi w:val="0"/>
        <w:spacing w:before="0" w:after="160" w:line="276" w:lineRule="auto"/>
        <w:ind w:left="0" w:right="0" w:firstLine="460"/>
        <w:jc w:val="both"/>
      </w:pPr>
      <w:bookmarkStart w:id="109" w:name="bookmark109"/>
      <w:r>
        <w:rPr>
          <w:rFonts w:ascii="Times New Roman" w:eastAsia="Times New Roman" w:hAnsi="Times New Roman" w:cs="Times New Roman"/>
          <w:color w:val="000000"/>
          <w:spacing w:val="0"/>
          <w:w w:val="100"/>
          <w:position w:val="0"/>
          <w:sz w:val="24"/>
          <w:szCs w:val="24"/>
        </w:rPr>
        <w:t>3</w:t>
      </w:r>
      <w:bookmarkEnd w:id="109"/>
      <w:r>
        <w:rPr>
          <w:color w:val="000000"/>
          <w:spacing w:val="0"/>
          <w:w w:val="100"/>
          <w:position w:val="0"/>
        </w:rPr>
        <w:t>、</w:t>
        <w:tab/>
        <w:t>完备的资质优势</w:t>
      </w:r>
    </w:p>
    <w:p>
      <w:pPr>
        <w:pStyle w:val="Style35"/>
        <w:keepNext w:val="0"/>
        <w:keepLines w:val="0"/>
        <w:widowControl w:val="0"/>
        <w:shd w:val="clear" w:color="auto" w:fill="auto"/>
        <w:bidi w:val="0"/>
        <w:spacing w:before="0" w:after="160" w:line="317" w:lineRule="exact"/>
        <w:ind w:left="0" w:right="0" w:firstLine="460"/>
        <w:jc w:val="both"/>
      </w:pPr>
      <w:r>
        <w:rPr>
          <w:color w:val="000000"/>
          <w:spacing w:val="0"/>
          <w:w w:val="100"/>
          <w:position w:val="0"/>
        </w:rPr>
        <w:t>作为专业的集成电路设计企业，目前公司涉足的智能卡芯片和特种集成电路设计行业所 需相关资质齐全。报告期内，公司新获得《银联卡芯片产品安全认证证书》，已具备向商业 银行供货所需资质。两个核心子公司均为“国家规划布局内重点集成电路设计企业”。</w:t>
      </w:r>
    </w:p>
    <w:p>
      <w:pPr>
        <w:pStyle w:val="Style35"/>
        <w:keepNext w:val="0"/>
        <w:keepLines w:val="0"/>
        <w:widowControl w:val="0"/>
        <w:shd w:val="clear" w:color="auto" w:fill="auto"/>
        <w:tabs>
          <w:tab w:pos="857" w:val="left"/>
        </w:tabs>
        <w:bidi w:val="0"/>
        <w:spacing w:before="0" w:after="80" w:line="276" w:lineRule="auto"/>
        <w:ind w:left="0" w:right="0" w:firstLine="460"/>
        <w:jc w:val="both"/>
      </w:pPr>
      <w:bookmarkStart w:id="110" w:name="bookmark110"/>
      <w:r>
        <w:rPr>
          <w:rFonts w:ascii="Times New Roman" w:eastAsia="Times New Roman" w:hAnsi="Times New Roman" w:cs="Times New Roman"/>
          <w:color w:val="000000"/>
          <w:spacing w:val="0"/>
          <w:w w:val="100"/>
          <w:position w:val="0"/>
          <w:sz w:val="24"/>
          <w:szCs w:val="24"/>
        </w:rPr>
        <w:t>4</w:t>
      </w:r>
      <w:bookmarkEnd w:id="110"/>
      <w:r>
        <w:rPr>
          <w:color w:val="000000"/>
          <w:spacing w:val="0"/>
          <w:w w:val="100"/>
          <w:position w:val="0"/>
        </w:rPr>
        <w:t>、</w:t>
        <w:tab/>
        <w:t>市场与渠道优势</w:t>
      </w:r>
    </w:p>
    <w:p>
      <w:pPr>
        <w:pStyle w:val="Style35"/>
        <w:keepNext w:val="0"/>
        <w:keepLines w:val="0"/>
        <w:widowControl w:val="0"/>
        <w:shd w:val="clear" w:color="auto" w:fill="auto"/>
        <w:bidi w:val="0"/>
        <w:spacing w:before="0" w:after="80" w:line="315" w:lineRule="exact"/>
        <w:ind w:left="0" w:right="0" w:firstLine="460"/>
        <w:jc w:val="both"/>
      </w:pPr>
      <w:r>
        <w:rPr>
          <w:color w:val="000000"/>
          <w:spacing w:val="0"/>
          <w:w w:val="100"/>
          <w:position w:val="0"/>
        </w:rPr>
        <w:t>通过多年的市场耕耘，公司积累了深厚的客户资源，目前公司的智能卡芯片客户包括了 法国金雅拓公司和德国捷德公司在内的全球前六大智能卡商，产品销往国内外市场；公司的 特种集成电路的客户包括了多家国家重点特种装备研制单位，产品广泛用于国家重点项目等 各类特种装备。</w:t>
      </w:r>
    </w:p>
    <w:p>
      <w:pPr>
        <w:pStyle w:val="Style35"/>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 xml:space="preserve">报告期内，公司积极开拓和引导市场，建设并完善渠道，在市场和客户方面都取得了增 </w:t>
      </w:r>
      <w:r>
        <w:rPr>
          <w:color w:val="000000"/>
          <w:spacing w:val="0"/>
          <w:w w:val="100"/>
          <w:position w:val="0"/>
        </w:rPr>
        <w:t>长及突破。在智能卡方面，电信智能卡芯片出货量占全球市场的</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，进一步巩固了公司国 内电信智能卡芯片第一供应商的领先地位；居民健康卡芯片入围率达</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，继续保持行业领 军地位；银行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卡芯片已经获得进入商业银行的相关资质，主要卡商</w:t>
      </w:r>
      <w:r>
        <w:rPr>
          <w:rFonts w:ascii="Times New Roman" w:eastAsia="Times New Roman" w:hAnsi="Times New Roman" w:cs="Times New Roman"/>
          <w:color w:val="000000"/>
          <w:spacing w:val="0"/>
          <w:w w:val="100"/>
          <w:position w:val="0"/>
          <w:sz w:val="24"/>
          <w:szCs w:val="24"/>
        </w:rPr>
        <w:t>COS</w:t>
      </w:r>
      <w:r>
        <w:rPr>
          <w:color w:val="000000"/>
          <w:spacing w:val="0"/>
          <w:w w:val="100"/>
          <w:position w:val="0"/>
        </w:rPr>
        <w:t>开发已经完成，并 完成了几大银行的入围测试，正在开展试用试点工作，仍然保持了在该行业的领先地位；此 外在社保、公交、居住证、非接读写器等芯片应用市场都获得了突破与增长。在特种集成电 路方面，客户增长率达</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，订单金额同比增长</w:t>
      </w:r>
      <w:r>
        <w:rPr>
          <w:rFonts w:ascii="Times New Roman" w:eastAsia="Times New Roman" w:hAnsi="Times New Roman" w:cs="Times New Roman"/>
          <w:color w:val="000000"/>
          <w:spacing w:val="0"/>
          <w:w w:val="100"/>
          <w:position w:val="0"/>
          <w:sz w:val="24"/>
          <w:szCs w:val="24"/>
        </w:rPr>
        <w:t>68.27%</w:t>
      </w:r>
      <w:r>
        <w:rPr>
          <w:color w:val="000000"/>
          <w:spacing w:val="0"/>
          <w:w w:val="100"/>
          <w:position w:val="0"/>
        </w:rPr>
        <w:t>，进一步巩固了公司特种数字集成电 路第一供应商的领先地位。</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总之，公司凭借多年的技术积累和经验，在电信类和信息安全类智能卡芯片、特种集成 电路等核心产品技术水平继续居于国内领先地位，产品已广泛应用于包括国家重点工程在内 的各类市场领域，并具有领先的市场地位。此外，配合品牌建设和宣传，公司品牌的影响力 不断提升。</w:t>
      </w:r>
    </w:p>
    <w:p>
      <w:pPr>
        <w:pStyle w:val="Style35"/>
        <w:keepNext w:val="0"/>
        <w:keepLines w:val="0"/>
        <w:widowControl w:val="0"/>
        <w:shd w:val="clear" w:color="auto" w:fill="auto"/>
        <w:bidi w:val="0"/>
        <w:spacing w:before="0" w:after="320" w:line="322" w:lineRule="exact"/>
        <w:ind w:left="0" w:right="0" w:firstLine="480"/>
        <w:jc w:val="both"/>
      </w:pPr>
      <w:r>
        <w:rPr>
          <w:color w:val="000000"/>
          <w:spacing w:val="0"/>
          <w:w w:val="100"/>
          <w:position w:val="0"/>
        </w:rPr>
        <w:t>未来，公司将继续密切跟踪市场需要，结合公司技术优势，提供差异化的产品支持与服 务，不断提升公司在技术和市场方面的竞争优势，向一流集成电路设计公司的目标前进。</w:t>
      </w:r>
    </w:p>
    <w:p>
      <w:pPr>
        <w:pStyle w:val="Style35"/>
        <w:keepNext w:val="0"/>
        <w:keepLines w:val="0"/>
        <w:widowControl w:val="0"/>
        <w:shd w:val="clear" w:color="auto" w:fill="auto"/>
        <w:bidi w:val="0"/>
        <w:spacing w:before="0" w:after="320" w:line="313" w:lineRule="exact"/>
        <w:ind w:left="0" w:right="0" w:firstLine="0"/>
        <w:jc w:val="both"/>
      </w:pPr>
      <w:bookmarkStart w:id="111" w:name="bookmark111"/>
      <w:r>
        <w:rPr>
          <w:b/>
          <w:bCs/>
          <w:color w:val="000000"/>
          <w:spacing w:val="0"/>
          <w:w w:val="100"/>
          <w:position w:val="0"/>
        </w:rPr>
        <w:t>六</w:t>
      </w:r>
      <w:bookmarkEnd w:id="111"/>
      <w:r>
        <w:rPr>
          <w:b/>
          <w:bCs/>
          <w:color w:val="000000"/>
          <w:spacing w:val="0"/>
          <w:w w:val="100"/>
          <w:position w:val="0"/>
        </w:rPr>
        <w:t>、投资状况分析</w:t>
      </w:r>
    </w:p>
    <w:p>
      <w:pPr>
        <w:pStyle w:val="Style35"/>
        <w:keepNext w:val="0"/>
        <w:keepLines w:val="0"/>
        <w:widowControl w:val="0"/>
        <w:shd w:val="clear" w:color="auto" w:fill="auto"/>
        <w:bidi w:val="0"/>
        <w:spacing w:before="0" w:after="320" w:line="240" w:lineRule="auto"/>
        <w:ind w:left="0" w:right="0" w:firstLine="0"/>
        <w:jc w:val="both"/>
        <w:rPr>
          <w:sz w:val="20"/>
          <w:szCs w:val="20"/>
        </w:rPr>
      </w:pPr>
      <w:bookmarkStart w:id="112" w:name="bookmark112"/>
      <w:r>
        <w:rPr>
          <w:rFonts w:ascii="Times New Roman" w:eastAsia="Times New Roman" w:hAnsi="Times New Roman" w:cs="Times New Roman"/>
          <w:b/>
          <w:bCs/>
          <w:color w:val="000000"/>
          <w:spacing w:val="0"/>
          <w:w w:val="100"/>
          <w:position w:val="0"/>
          <w:sz w:val="20"/>
          <w:szCs w:val="20"/>
        </w:rPr>
        <w:t>1</w:t>
      </w:r>
      <w:bookmarkEnd w:id="112"/>
      <w:r>
        <w:rPr>
          <w:b/>
          <w:bCs/>
          <w:color w:val="000000"/>
          <w:spacing w:val="0"/>
          <w:w w:val="100"/>
          <w:position w:val="0"/>
          <w:sz w:val="20"/>
          <w:szCs w:val="20"/>
        </w:rPr>
        <w:t>、对外股权投资情况</w:t>
      </w:r>
    </w:p>
    <w:p>
      <w:pPr>
        <w:pStyle w:val="Style30"/>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）对外投资情况</w:t>
      </w:r>
    </w:p>
    <w:tbl>
      <w:tblPr>
        <w:tblOverlap w:val="never"/>
        <w:jc w:val="center"/>
        <w:tblLayout w:type="fixed"/>
      </w:tblPr>
      <w:tblGrid>
        <w:gridCol w:w="3197"/>
        <w:gridCol w:w="3830"/>
        <w:gridCol w:w="2558"/>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42,178,176.10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2,656,264,086.00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-98.41%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被投资公司情况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上市公司占被投资公司权 益比例（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深圳市国微电子有限公司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设计、开发、销售各类集成电路、电子信 息产品、及相关技术服务；生产微处理器、 储存器、可编程逻辑器件、温控模块。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、募集资金使用情况</w:t>
      </w:r>
    </w:p>
    <w:p>
      <w:pPr>
        <w:widowControl w:val="0"/>
        <w:spacing w:after="319" w:line="1" w:lineRule="exact"/>
      </w:pPr>
    </w:p>
    <w:p>
      <w:pPr>
        <w:pStyle w:val="Style30"/>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）募集资金总体使用情况</w:t>
      </w:r>
    </w:p>
    <w:p>
      <w:pPr>
        <w:pStyle w:val="Style30"/>
        <w:keepNext w:val="0"/>
        <w:keepLines w:val="0"/>
        <w:widowControl w:val="0"/>
        <w:shd w:val="clear" w:color="auto" w:fill="auto"/>
        <w:bidi w:val="0"/>
        <w:spacing w:before="0" w:after="0" w:line="240" w:lineRule="auto"/>
        <w:ind w:left="8453"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p>
      <w:pPr>
        <w:pStyle w:val="Style55"/>
        <w:keepNext/>
        <w:keepLines/>
        <w:widowControl w:val="0"/>
        <w:pBdr>
          <w:top w:val="single" w:sz="4" w:space="0" w:color="auto"/>
          <w:left w:val="single" w:sz="4" w:space="0" w:color="auto"/>
          <w:bottom w:val="single" w:sz="4" w:space="0" w:color="auto"/>
          <w:right w:val="single" w:sz="4" w:space="0" w:color="auto"/>
        </w:pBdr>
        <w:shd w:val="clear" w:color="auto" w:fill="auto"/>
        <w:tabs>
          <w:tab w:pos="6658" w:val="left"/>
        </w:tabs>
        <w:bidi w:val="0"/>
        <w:spacing w:before="0" w:after="80"/>
        <w:ind w:left="0" w:right="0" w:firstLine="0"/>
        <w:jc w:val="left"/>
      </w:pPr>
      <w:bookmarkStart w:id="113" w:name="bookmark113"/>
      <w:bookmarkStart w:id="114" w:name="bookmark114"/>
      <w:bookmarkStart w:id="115" w:name="bookmark115"/>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tab/>
      </w:r>
      <w:r>
        <w:rPr>
          <w:rFonts w:ascii="Times New Roman" w:eastAsia="Times New Roman" w:hAnsi="Times New Roman" w:cs="Times New Roman"/>
          <w:color w:val="000000"/>
          <w:spacing w:val="0"/>
          <w:w w:val="100"/>
          <w:position w:val="0"/>
        </w:rPr>
        <w:t>0%</w:t>
      </w:r>
      <w:bookmarkEnd w:id="113"/>
      <w:bookmarkEnd w:id="114"/>
      <w:bookmarkEnd w:id="115"/>
    </w:p>
    <w:p>
      <w:pPr>
        <w:pStyle w:val="Style5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80"/>
        <w:ind w:left="0" w:right="0" w:firstLine="0"/>
        <w:jc w:val="center"/>
      </w:pPr>
      <w:bookmarkStart w:id="116" w:name="bookmark116"/>
      <w:bookmarkStart w:id="117" w:name="bookmark117"/>
      <w:bookmarkStart w:id="118" w:name="bookmark118"/>
      <w:r>
        <w:rPr>
          <w:color w:val="000000"/>
          <w:spacing w:val="0"/>
          <w:w w:val="100"/>
          <w:position w:val="0"/>
        </w:rPr>
        <w:t>募集资金总体使用情况说明</w:t>
      </w:r>
      <w:bookmarkEnd w:id="116"/>
      <w:bookmarkEnd w:id="117"/>
      <w:bookmarkEnd w:id="118"/>
    </w:p>
    <w:p>
      <w:pPr>
        <w:pStyle w:val="Style55"/>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40"/>
        <w:ind w:left="0" w:right="0" w:firstLine="480"/>
        <w:jc w:val="left"/>
      </w:pPr>
      <w:bookmarkStart w:id="119" w:name="bookmark119"/>
      <w:bookmarkStart w:id="120" w:name="bookmark120"/>
      <w:bookmarkStart w:id="121" w:name="bookmark121"/>
      <w:r>
        <w:rPr>
          <w:color w:val="000000"/>
          <w:spacing w:val="0"/>
          <w:w w:val="100"/>
          <w:position w:val="0"/>
        </w:rPr>
        <w:t>本次发行股份购买资产并募集的配套资金用于补充流动资金，促进公司和标的公司深圳市国微电子 有限公司业务更好的发展，以加强本次重组的协同效应，提高本次重组绩效。报告期内，公司已将募集 资金</w:t>
      </w:r>
      <w:r>
        <w:rPr>
          <w:rFonts w:ascii="Times New Roman" w:eastAsia="Times New Roman" w:hAnsi="Times New Roman" w:cs="Times New Roman"/>
          <w:color w:val="000000"/>
          <w:spacing w:val="0"/>
          <w:w w:val="100"/>
          <w:position w:val="0"/>
        </w:rPr>
        <w:t>124,403,750.82</w:t>
      </w:r>
      <w:r>
        <w:rPr>
          <w:color w:val="000000"/>
          <w:spacing w:val="0"/>
          <w:w w:val="100"/>
          <w:position w:val="0"/>
        </w:rPr>
        <w:t>元(含利息收入)，全部用于补充流动资金。</w:t>
      </w:r>
      <w:bookmarkEnd w:id="119"/>
      <w:bookmarkEnd w:id="120"/>
      <w:bookmarkEnd w:id="121"/>
    </w:p>
    <w:p>
      <w:pPr>
        <w:pStyle w:val="Style44"/>
        <w:keepNext/>
        <w:keepLines/>
        <w:widowControl w:val="0"/>
        <w:numPr>
          <w:ilvl w:val="0"/>
          <w:numId w:val="1"/>
        </w:numPr>
        <w:shd w:val="clear" w:color="auto" w:fill="auto"/>
        <w:bidi w:val="0"/>
        <w:spacing w:before="0" w:after="360" w:line="240" w:lineRule="auto"/>
        <w:ind w:left="0" w:right="0" w:firstLine="140"/>
        <w:jc w:val="left"/>
      </w:pPr>
      <w:bookmarkStart w:id="122" w:name="bookmark122"/>
      <w:bookmarkStart w:id="123" w:name="bookmark123"/>
      <w:bookmarkStart w:id="124" w:name="bookmark124"/>
      <w:bookmarkStart w:id="125" w:name="bookmark125"/>
      <w:bookmarkEnd w:id="124"/>
      <w:r>
        <w:rPr>
          <w:color w:val="000000"/>
          <w:spacing w:val="0"/>
          <w:w w:val="100"/>
          <w:position w:val="0"/>
        </w:rPr>
        <w:t>募集资金承诺项目情况</w:t>
      </w:r>
      <w:bookmarkEnd w:id="122"/>
      <w:bookmarkEnd w:id="123"/>
      <w:bookmarkEnd w:id="125"/>
    </w:p>
    <w:p>
      <w:pPr>
        <w:pStyle w:val="Style30"/>
        <w:keepNext w:val="0"/>
        <w:keepLines w:val="0"/>
        <w:widowControl w:val="0"/>
        <w:shd w:val="clear" w:color="auto" w:fill="auto"/>
        <w:bidi w:val="0"/>
        <w:spacing w:before="0" w:after="0" w:line="240" w:lineRule="auto"/>
        <w:ind w:left="8453"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781"/>
        <w:gridCol w:w="778"/>
        <w:gridCol w:w="778"/>
        <w:gridCol w:w="782"/>
        <w:gridCol w:w="758"/>
        <w:gridCol w:w="802"/>
        <w:gridCol w:w="778"/>
        <w:gridCol w:w="782"/>
        <w:gridCol w:w="778"/>
        <w:gridCol w:w="782"/>
        <w:gridCol w:w="787"/>
      </w:tblGrid>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0"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6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233"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12,423.35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未达到计划进度或预计收益的情况和原因(分具体项目)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、主要子公司、参股公司分析</w:t>
      </w:r>
      <w:bookmarkEnd w:id="126"/>
      <w:bookmarkEnd w:id="127"/>
      <w:bookmarkEnd w:id="129"/>
    </w:p>
    <w:p>
      <w:pPr>
        <w:pStyle w:val="Style23"/>
        <w:keepNext/>
        <w:keepLines/>
        <w:widowControl w:val="0"/>
        <w:shd w:val="clear" w:color="auto" w:fill="auto"/>
        <w:bidi w:val="0"/>
        <w:spacing w:before="0" w:after="80" w:line="240" w:lineRule="auto"/>
        <w:ind w:left="0" w:right="0" w:firstLine="0"/>
        <w:jc w:val="left"/>
      </w:pPr>
      <w:bookmarkStart w:id="130" w:name="bookmark130"/>
      <w:bookmarkStart w:id="131" w:name="bookmark131"/>
      <w:bookmarkStart w:id="132" w:name="bookmark132"/>
      <w:r>
        <w:rPr>
          <w:color w:val="000000"/>
          <w:spacing w:val="0"/>
          <w:w w:val="100"/>
          <w:position w:val="0"/>
        </w:rPr>
        <w:t>主要子公司、参股公司情况</w:t>
      </w:r>
      <w:bookmarkEnd w:id="130"/>
      <w:bookmarkEnd w:id="131"/>
      <w:bookmarkEnd w:id="132"/>
    </w:p>
    <w:p>
      <w:pPr>
        <w:pStyle w:val="Style2"/>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715"/>
        <w:gridCol w:w="648"/>
        <w:gridCol w:w="965"/>
        <w:gridCol w:w="715"/>
        <w:gridCol w:w="984"/>
        <w:gridCol w:w="989"/>
        <w:gridCol w:w="1070"/>
        <w:gridCol w:w="1075"/>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所处行 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唐山晶源电子有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石英晶体元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2,268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38,460,352.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20,428,961.3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1,487,335.37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1,198,889.91</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北京晶源裕丰光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石英晶体元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-2,264,703.76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-2,264,654.26</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676" w:right="1029" w:bottom="917" w:left="1065" w:header="0" w:footer="3" w:gutter="0"/>
          <w:cols w:space="720"/>
          <w:noEndnote/>
          <w:titlePg/>
          <w:rtlGutter w:val="0"/>
          <w:docGrid w:linePitch="360"/>
        </w:sectPr>
      </w:pPr>
    </w:p>
    <w:tbl>
      <w:tblPr>
        <w:tblOverlap w:val="never"/>
        <w:jc w:val="center"/>
        <w:tblLayout w:type="fixed"/>
      </w:tblPr>
      <w:tblGrid>
        <w:gridCol w:w="1469"/>
        <w:gridCol w:w="715"/>
        <w:gridCol w:w="648"/>
        <w:gridCol w:w="965"/>
        <w:gridCol w:w="715"/>
        <w:gridCol w:w="984"/>
        <w:gridCol w:w="989"/>
        <w:gridCol w:w="1070"/>
        <w:gridCol w:w="1075"/>
        <w:gridCol w:w="108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学电子器件有限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北京同方微电子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集成电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992,869,935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749,974,852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422,672,102.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117,044,165.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139,804,541.</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深圳市国微电子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特种集成电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865,562,726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429,120,346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268,631,889.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95,962,145.1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126,502,386.</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九江佳华压电晶 体材料有限公司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电子元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压电石英晶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11,069,043.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1,630,605.14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-1,278,185.73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-1,288,185.73</w:t>
            </w:r>
          </w:p>
        </w:tc>
      </w:tr>
      <w:tr>
        <w:trPr>
          <w:trHeight w:val="2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139" w:line="1" w:lineRule="exact"/>
      </w:pPr>
    </w:p>
    <w:p>
      <w:pPr>
        <w:pStyle w:val="Style23"/>
        <w:keepNext/>
        <w:keepLines/>
        <w:widowControl w:val="0"/>
        <w:shd w:val="clear" w:color="auto" w:fill="auto"/>
        <w:bidi w:val="0"/>
        <w:spacing w:before="0" w:after="140" w:line="240" w:lineRule="auto"/>
        <w:ind w:left="0" w:right="0" w:firstLine="0"/>
        <w:jc w:val="left"/>
      </w:pPr>
      <w:bookmarkStart w:id="133" w:name="bookmark133"/>
      <w:bookmarkStart w:id="134" w:name="bookmark134"/>
      <w:bookmarkStart w:id="135" w:name="bookmark135"/>
      <w:r>
        <w:rPr>
          <w:color w:val="000000"/>
          <w:spacing w:val="0"/>
          <w:w w:val="100"/>
          <w:position w:val="0"/>
        </w:rPr>
        <w:t>报告期内取得和处置子公司的情况</w:t>
      </w:r>
      <w:bookmarkEnd w:id="133"/>
      <w:bookmarkEnd w:id="134"/>
      <w:bookmarkEnd w:id="135"/>
    </w:p>
    <w:tbl>
      <w:tblPr>
        <w:tblOverlap w:val="never"/>
        <w:jc w:val="center"/>
        <w:tblLayout w:type="fixed"/>
      </w:tblPr>
      <w:tblGrid>
        <w:gridCol w:w="1987"/>
        <w:gridCol w:w="3422"/>
        <w:gridCol w:w="1776"/>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报告期内取得和处置子公司目的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报告期内取得和处 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对整体生产和业绩的影响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深圳市晶源健三电子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整合公司资源、降低管理成本。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影响较小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深圳市同创国芯电子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为加强自主知识产权的可重构系统芯 片和配套软件工具的开发，并解决产 业链瓶颈。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有利于公司长远发展，是 公司未来发展需要。</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、非募集资金投资的重大项目情况</w:t>
      </w:r>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810"/>
        <w:gridCol w:w="1387"/>
        <w:gridCol w:w="1493"/>
        <w:gridCol w:w="1699"/>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计划投资总额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本报告期投入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截至报告期末累 计实际投入金额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项目收益情况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衬底材料蓝宝 石晶片产业化一期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年度实现销 售收入</w:t>
            </w:r>
            <w:r>
              <w:rPr>
                <w:rFonts w:ascii="Times New Roman" w:eastAsia="Times New Roman" w:hAnsi="Times New Roman" w:cs="Times New Roman"/>
                <w:color w:val="000000"/>
                <w:spacing w:val="0"/>
                <w:w w:val="100"/>
                <w:position w:val="0"/>
                <w:sz w:val="20"/>
                <w:szCs w:val="20"/>
              </w:rPr>
              <w:t>526</w:t>
            </w:r>
            <w:r>
              <w:rPr>
                <w:color w:val="000000"/>
                <w:spacing w:val="0"/>
                <w:w w:val="100"/>
                <w:position w:val="0"/>
                <w:sz w:val="20"/>
                <w:szCs w:val="20"/>
              </w:rPr>
              <w:t>万元。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11,635.66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七</w:t>
      </w:r>
      <w:bookmarkEnd w:id="138"/>
      <w:r>
        <w:rPr>
          <w:color w:val="000000"/>
          <w:spacing w:val="0"/>
          <w:w w:val="100"/>
          <w:position w:val="0"/>
        </w:rPr>
        <w:t>、公司未来发展的展望</w:t>
      </w:r>
      <w:bookmarkEnd w:id="136"/>
      <w:bookmarkEnd w:id="137"/>
      <w:bookmarkEnd w:id="139"/>
    </w:p>
    <w:p>
      <w:pPr>
        <w:pStyle w:val="Style23"/>
        <w:keepNext/>
        <w:keepLines/>
        <w:widowControl w:val="0"/>
        <w:shd w:val="clear" w:color="auto" w:fill="auto"/>
        <w:bidi w:val="0"/>
        <w:spacing w:before="0" w:after="80" w:line="312" w:lineRule="exact"/>
        <w:ind w:left="0" w:right="0" w:firstLine="480"/>
        <w:jc w:val="left"/>
      </w:pPr>
      <w:bookmarkStart w:id="136" w:name="bookmark136"/>
      <w:bookmarkStart w:id="137" w:name="bookmark137"/>
      <w:bookmarkStart w:id="140" w:name="bookmark140"/>
      <w:bookmarkStart w:id="141" w:name="bookmark141"/>
      <w:r>
        <w:rPr>
          <w:rFonts w:ascii="Times New Roman" w:eastAsia="Times New Roman" w:hAnsi="Times New Roman" w:cs="Times New Roman"/>
          <w:color w:val="000000"/>
          <w:spacing w:val="0"/>
          <w:w w:val="100"/>
          <w:position w:val="0"/>
          <w:sz w:val="24"/>
          <w:szCs w:val="24"/>
        </w:rPr>
        <w:t>1</w:t>
      </w:r>
      <w:bookmarkEnd w:id="140"/>
      <w:r>
        <w:rPr>
          <w:color w:val="000000"/>
          <w:spacing w:val="0"/>
          <w:w w:val="100"/>
          <w:position w:val="0"/>
        </w:rPr>
        <w:t>、公司所处行业的发展趋势</w:t>
      </w:r>
      <w:bookmarkEnd w:id="136"/>
      <w:bookmarkEnd w:id="137"/>
      <w:bookmarkEnd w:id="141"/>
    </w:p>
    <w:p>
      <w:pPr>
        <w:pStyle w:val="Style35"/>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公司所处的集成电路行业属于战略性新兴产业的新一代信息技术领域，对我国宏观经济 的发展具有举足轻重的地位，是我国重点发展的产业之一。</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年，随着《国家集成电路发 展纲要》（国发</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号文）实施细则的出台，我国集成电路产业总体发展环境继续向好， 将再次面临快速发展的新机遇。国家信息安全形势堪忧，引起了全社会的高度重视，推动了 对自主可控产品的迫切需求，芯片国产化进程加速。随着国家“信息惠民”工程的实施，居 民健康卡、金融社保卡等金融支付领域公共服务应用的加快推广普及，国产银行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卡芯片将 逐步开始商用。国内</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牌照发放后，</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应用相关的各种新产品市场也将快速增长，并推动运 营商全面换代采购高端</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卡芯片。特种装备领域对自主可控和国产化率的要求，也将成为 特种集成电路行业快速增长的驱动力。未来，随着国内需求的不断释放，将推动整个集成电 路行业的持续稳定发展。</w:t>
      </w:r>
    </w:p>
    <w:p>
      <w:pPr>
        <w:pStyle w:val="Style35"/>
        <w:keepNext w:val="0"/>
        <w:keepLines w:val="0"/>
        <w:widowControl w:val="0"/>
        <w:shd w:val="clear" w:color="auto" w:fill="auto"/>
        <w:tabs>
          <w:tab w:pos="827" w:val="left"/>
        </w:tabs>
        <w:bidi w:val="0"/>
        <w:spacing w:before="0" w:line="314" w:lineRule="exact"/>
        <w:ind w:left="0" w:right="0" w:firstLine="460"/>
        <w:jc w:val="left"/>
      </w:pPr>
      <w:bookmarkStart w:id="142" w:name="bookmark142"/>
      <w:r>
        <w:rPr>
          <w:rFonts w:ascii="Times New Roman" w:eastAsia="Times New Roman" w:hAnsi="Times New Roman" w:cs="Times New Roman"/>
          <w:color w:val="000000"/>
          <w:spacing w:val="0"/>
          <w:w w:val="100"/>
          <w:position w:val="0"/>
          <w:sz w:val="24"/>
          <w:szCs w:val="24"/>
        </w:rPr>
        <w:t>1</w:t>
      </w:r>
      <w:bookmarkEnd w:id="142"/>
      <w:r>
        <w:rPr>
          <w:color w:val="000000"/>
          <w:spacing w:val="0"/>
          <w:w w:val="100"/>
          <w:position w:val="0"/>
        </w:rPr>
        <w:t>）</w:t>
        <w:tab/>
        <w:t>信息安全已上升到国家战略高度，对国产集成电路的需求即将全面爆发</w:t>
      </w:r>
    </w:p>
    <w:p>
      <w:pPr>
        <w:pStyle w:val="Style35"/>
        <w:keepNext w:val="0"/>
        <w:keepLines w:val="0"/>
        <w:widowControl w:val="0"/>
        <w:shd w:val="clear" w:color="auto" w:fill="auto"/>
        <w:bidi w:val="0"/>
        <w:spacing w:before="0" w:line="317" w:lineRule="exact"/>
        <w:ind w:left="0" w:right="0" w:firstLine="48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日，中央网络安全和信息化领导小组第一次会议提出要努力把我国建设成为 网络强国。这标志着网络安全和信息化国家战略迈出重要一步，网络安全保障体系建设和信 息化发展也将步入高速发展期。</w:t>
      </w:r>
    </w:p>
    <w:p>
      <w:pPr>
        <w:pStyle w:val="Style35"/>
        <w:keepNext w:val="0"/>
        <w:keepLines w:val="0"/>
        <w:widowControl w:val="0"/>
        <w:shd w:val="clear" w:color="auto" w:fill="auto"/>
        <w:bidi w:val="0"/>
        <w:spacing w:before="0" w:line="307" w:lineRule="exact"/>
        <w:ind w:left="0" w:right="0" w:firstLine="480"/>
        <w:jc w:val="left"/>
      </w:pPr>
      <w:r>
        <w:rPr>
          <w:color w:val="000000"/>
          <w:spacing w:val="0"/>
          <w:w w:val="100"/>
          <w:position w:val="0"/>
        </w:rPr>
        <w:t>集成电路作为信息安全的基础资源，其自主可控将是信息化建设的重中之重，信息安全 对国产集成电路的需求将全面爆发，公司在该领域耕耘多年，产品储备丰富，市场空间广阔。</w:t>
      </w:r>
    </w:p>
    <w:p>
      <w:pPr>
        <w:pStyle w:val="Style35"/>
        <w:keepNext w:val="0"/>
        <w:keepLines w:val="0"/>
        <w:widowControl w:val="0"/>
        <w:shd w:val="clear" w:color="auto" w:fill="auto"/>
        <w:tabs>
          <w:tab w:pos="823" w:val="left"/>
        </w:tabs>
        <w:bidi w:val="0"/>
        <w:spacing w:before="0" w:line="314" w:lineRule="exact"/>
        <w:ind w:left="0" w:right="0" w:firstLine="480"/>
        <w:jc w:val="left"/>
      </w:pPr>
      <w:bookmarkStart w:id="143" w:name="bookmark143"/>
      <w:r>
        <w:rPr>
          <w:rFonts w:ascii="Times New Roman" w:eastAsia="Times New Roman" w:hAnsi="Times New Roman" w:cs="Times New Roman"/>
          <w:color w:val="000000"/>
          <w:spacing w:val="0"/>
          <w:w w:val="100"/>
          <w:position w:val="0"/>
          <w:sz w:val="24"/>
          <w:szCs w:val="24"/>
        </w:rPr>
        <w:t>2</w:t>
      </w:r>
      <w:bookmarkEnd w:id="143"/>
      <w:r>
        <w:rPr>
          <w:color w:val="000000"/>
          <w:spacing w:val="0"/>
          <w:w w:val="100"/>
          <w:position w:val="0"/>
        </w:rPr>
        <w:t>）</w:t>
        <w:tab/>
        <w:t>近年来，智能卡的应用已经在很多领域得到了广泛的普及。在国家促进“信息消费” 的政策推动下，智能卡产业进入了新的快速发展阶段，尤其是在金融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卡等金融支付领域。 同时，随着我国核心芯片设计技术和生产能力的不断增强，国产芯片企业逐步成为市场主力， 占据更加主动的竞争地位。智能卡市场的发展有如下特点：</w:t>
      </w:r>
    </w:p>
    <w:p>
      <w:pPr>
        <w:pStyle w:val="Style35"/>
        <w:keepNext w:val="0"/>
        <w:keepLines w:val="0"/>
        <w:widowControl w:val="0"/>
        <w:shd w:val="clear" w:color="auto" w:fill="auto"/>
        <w:bidi w:val="0"/>
        <w:spacing w:before="0" w:line="317" w:lineRule="exact"/>
        <w:ind w:left="880" w:right="0" w:hanging="400"/>
        <w:jc w:val="left"/>
      </w:pPr>
      <w:r>
        <w:rPr>
          <w:rFonts w:ascii="Arial" w:eastAsia="Arial" w:hAnsi="Arial" w:cs="Arial"/>
          <w:color w:val="000000"/>
          <w:spacing w:val="0"/>
          <w:w w:val="100"/>
          <w:position w:val="0"/>
          <w:sz w:val="24"/>
          <w:szCs w:val="24"/>
        </w:rPr>
        <w:t>◊</w:t>
      </w:r>
      <w:r>
        <w:rPr>
          <w:color w:val="000000"/>
          <w:spacing w:val="0"/>
          <w:w w:val="100"/>
          <w:position w:val="0"/>
        </w:rPr>
        <w:t>在运营商的大力推动下，我国手机支付市场开始启动。</w:t>
      </w:r>
      <w:r>
        <w:rPr>
          <w:rFonts w:ascii="Times New Roman" w:eastAsia="Times New Roman" w:hAnsi="Times New Roman" w:cs="Times New Roman"/>
          <w:color w:val="000000"/>
          <w:spacing w:val="0"/>
          <w:w w:val="100"/>
          <w:position w:val="0"/>
          <w:sz w:val="24"/>
          <w:szCs w:val="24"/>
        </w:rPr>
        <w:t>SWP-SIM</w:t>
      </w:r>
      <w:r>
        <w:rPr>
          <w:color w:val="000000"/>
          <w:spacing w:val="0"/>
          <w:w w:val="100"/>
          <w:position w:val="0"/>
        </w:rPr>
        <w:t>方案将成为主流方 案，双界面芯片过渡方案会继续占有一定的市场份额。未来全卡方案有望与</w:t>
      </w:r>
      <w:r>
        <w:rPr>
          <w:rFonts w:ascii="Times New Roman" w:eastAsia="Times New Roman" w:hAnsi="Times New Roman" w:cs="Times New Roman"/>
          <w:color w:val="000000"/>
          <w:spacing w:val="0"/>
          <w:w w:val="100"/>
          <w:position w:val="0"/>
          <w:sz w:val="24"/>
          <w:szCs w:val="24"/>
        </w:rPr>
        <w:t xml:space="preserve">S WP-SIM </w:t>
      </w:r>
      <w:r>
        <w:rPr>
          <w:color w:val="000000"/>
          <w:spacing w:val="0"/>
          <w:w w:val="100"/>
          <w:position w:val="0"/>
        </w:rPr>
        <w:t>方案长期并存。</w:t>
      </w:r>
    </w:p>
    <w:p>
      <w:pPr>
        <w:pStyle w:val="Style35"/>
        <w:keepNext w:val="0"/>
        <w:keepLines w:val="0"/>
        <w:widowControl w:val="0"/>
        <w:shd w:val="clear" w:color="auto" w:fill="auto"/>
        <w:bidi w:val="0"/>
        <w:spacing w:before="0" w:line="317" w:lineRule="exact"/>
        <w:ind w:left="880" w:right="0" w:hanging="400"/>
        <w:jc w:val="left"/>
      </w:pPr>
      <w:r>
        <w:rPr>
          <w:rFonts w:ascii="Arial" w:eastAsia="Arial" w:hAnsi="Arial" w:cs="Arial"/>
          <w:color w:val="000000"/>
          <w:spacing w:val="0"/>
          <w:w w:val="100"/>
          <w:position w:val="0"/>
          <w:sz w:val="24"/>
          <w:szCs w:val="24"/>
        </w:rPr>
        <w:t>◊</w:t>
      </w:r>
      <w:r>
        <w:rPr>
          <w:color w:val="000000"/>
          <w:spacing w:val="0"/>
          <w:w w:val="100"/>
          <w:position w:val="0"/>
        </w:rPr>
        <w:t>我国银行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卡的发放提速，短期内仍以进口芯片为主。随着国产芯片试点的逐步推广， 商业银行对国产芯片的认可度将提高，芯片国产化成为趋势。此外，随着以社保卡、 居民健康卡为代表的金融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卡公共服务领域中国产芯片的普及使用，也会提高国产芯 片在金融行业的市场地位。</w:t>
      </w:r>
    </w:p>
    <w:p>
      <w:pPr>
        <w:pStyle w:val="Style35"/>
        <w:keepNext w:val="0"/>
        <w:keepLines w:val="0"/>
        <w:widowControl w:val="0"/>
        <w:shd w:val="clear" w:color="auto" w:fill="auto"/>
        <w:bidi w:val="0"/>
        <w:spacing w:before="0" w:line="312" w:lineRule="exact"/>
        <w:ind w:left="880" w:right="0" w:hanging="400"/>
        <w:jc w:val="left"/>
      </w:pPr>
      <w:r>
        <w:rPr>
          <w:rFonts w:ascii="Arial" w:eastAsia="Arial" w:hAnsi="Arial" w:cs="Arial"/>
          <w:color w:val="000000"/>
          <w:spacing w:val="0"/>
          <w:w w:val="100"/>
          <w:position w:val="0"/>
          <w:sz w:val="24"/>
          <w:szCs w:val="24"/>
        </w:rPr>
        <w:t>◊</w:t>
      </w:r>
      <w:r>
        <w:rPr>
          <w:color w:val="000000"/>
          <w:spacing w:val="0"/>
          <w:w w:val="100"/>
          <w:position w:val="0"/>
        </w:rPr>
        <w:t>居民健康卡的试点范围继续扩大，参与的各方已经为规模发放做好了准备。未来，随 着区域卫生信息平台的建设和应用受理环境的完善，居民健康卡将会逐渐发挥居民健 康管理和医疗服务基础载体的作用，广泛覆盖各类人群。</w:t>
      </w:r>
    </w:p>
    <w:p>
      <w:pPr>
        <w:pStyle w:val="Style35"/>
        <w:keepNext w:val="0"/>
        <w:keepLines w:val="0"/>
        <w:widowControl w:val="0"/>
        <w:shd w:val="clear" w:color="auto" w:fill="auto"/>
        <w:bidi w:val="0"/>
        <w:spacing w:before="0" w:line="310" w:lineRule="exact"/>
        <w:ind w:left="880" w:right="0" w:hanging="400"/>
        <w:jc w:val="left"/>
      </w:pPr>
      <w:r>
        <w:rPr>
          <w:rFonts w:ascii="Arial" w:eastAsia="Arial" w:hAnsi="Arial" w:cs="Arial"/>
          <w:color w:val="000000"/>
          <w:spacing w:val="0"/>
          <w:w w:val="100"/>
          <w:position w:val="0"/>
          <w:sz w:val="24"/>
          <w:szCs w:val="24"/>
        </w:rPr>
        <w:t>◊</w:t>
      </w:r>
      <w:r>
        <w:rPr>
          <w:color w:val="000000"/>
          <w:spacing w:val="0"/>
          <w:w w:val="100"/>
          <w:position w:val="0"/>
        </w:rPr>
        <w:t>随着发展中国家手机的推广，未来</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卡的需求仍将保持增长。另外，随着</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的推广 普及，</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卡产品迎来了运营商的策略转换和升级换代，大容量、</w:t>
      </w:r>
      <w:r>
        <w:rPr>
          <w:rFonts w:ascii="Times New Roman" w:eastAsia="Times New Roman" w:hAnsi="Times New Roman" w:cs="Times New Roman"/>
          <w:color w:val="000000"/>
          <w:spacing w:val="0"/>
          <w:w w:val="100"/>
          <w:position w:val="0"/>
          <w:sz w:val="24"/>
          <w:szCs w:val="24"/>
        </w:rPr>
        <w:t>JAVA</w:t>
      </w:r>
      <w:r>
        <w:rPr>
          <w:color w:val="000000"/>
          <w:spacing w:val="0"/>
          <w:w w:val="100"/>
          <w:position w:val="0"/>
        </w:rPr>
        <w:t xml:space="preserve">平台的高端 </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卡呈现快速增长的势头。</w:t>
      </w:r>
    </w:p>
    <w:p>
      <w:pPr>
        <w:pStyle w:val="Style35"/>
        <w:keepNext w:val="0"/>
        <w:keepLines w:val="0"/>
        <w:widowControl w:val="0"/>
        <w:shd w:val="clear" w:color="auto" w:fill="auto"/>
        <w:bidi w:val="0"/>
        <w:spacing w:before="0" w:line="314" w:lineRule="exact"/>
        <w:ind w:left="0" w:right="0" w:firstLine="460"/>
        <w:jc w:val="left"/>
      </w:pPr>
      <w:r>
        <w:rPr>
          <w:rFonts w:ascii="Arial" w:eastAsia="Arial" w:hAnsi="Arial" w:cs="Arial"/>
          <w:color w:val="000000"/>
          <w:spacing w:val="0"/>
          <w:w w:val="100"/>
          <w:position w:val="0"/>
          <w:sz w:val="24"/>
          <w:szCs w:val="24"/>
        </w:rPr>
        <w:t>◊</w:t>
      </w:r>
      <w:r>
        <w:rPr>
          <w:color w:val="000000"/>
          <w:spacing w:val="0"/>
          <w:w w:val="100"/>
          <w:position w:val="0"/>
        </w:rPr>
        <w:t>随着金融社保卡的普及推广，产品形态将逐步转向双界面卡产品。</w:t>
      </w:r>
    </w:p>
    <w:p>
      <w:pPr>
        <w:pStyle w:val="Style35"/>
        <w:keepNext w:val="0"/>
        <w:keepLines w:val="0"/>
        <w:widowControl w:val="0"/>
        <w:shd w:val="clear" w:color="auto" w:fill="auto"/>
        <w:tabs>
          <w:tab w:pos="851" w:val="left"/>
        </w:tabs>
        <w:bidi w:val="0"/>
        <w:spacing w:before="0" w:line="314" w:lineRule="exact"/>
        <w:ind w:left="0" w:right="0" w:firstLine="460"/>
        <w:jc w:val="left"/>
      </w:pPr>
      <w:bookmarkStart w:id="144" w:name="bookmark144"/>
      <w:r>
        <w:rPr>
          <w:rFonts w:ascii="Times New Roman" w:eastAsia="Times New Roman" w:hAnsi="Times New Roman" w:cs="Times New Roman"/>
          <w:color w:val="000000"/>
          <w:spacing w:val="0"/>
          <w:w w:val="100"/>
          <w:position w:val="0"/>
          <w:sz w:val="24"/>
          <w:szCs w:val="24"/>
        </w:rPr>
        <w:t>3</w:t>
      </w:r>
      <w:bookmarkEnd w:id="144"/>
      <w:r>
        <w:rPr>
          <w:color w:val="000000"/>
          <w:spacing w:val="0"/>
          <w:w w:val="100"/>
          <w:position w:val="0"/>
        </w:rPr>
        <w:t>）</w:t>
        <w:tab/>
        <w:t>特种装备行业整机的集成电路国产化率已成为硬性要求</w:t>
      </w:r>
    </w:p>
    <w:p>
      <w:pPr>
        <w:pStyle w:val="Style35"/>
        <w:keepNext w:val="0"/>
        <w:keepLines w:val="0"/>
        <w:widowControl w:val="0"/>
        <w:shd w:val="clear" w:color="auto" w:fill="auto"/>
        <w:bidi w:val="0"/>
        <w:spacing w:before="0" w:line="312" w:lineRule="exact"/>
        <w:ind w:left="0" w:right="0" w:firstLine="480"/>
        <w:jc w:val="both"/>
      </w:pPr>
      <w:r>
        <w:rPr>
          <w:color w:val="000000"/>
          <w:spacing w:val="0"/>
          <w:w w:val="100"/>
          <w:position w:val="0"/>
        </w:rPr>
        <w:t>随着国际局势的发展，特种装备订货需求进入快速增长轨道，我国特种集成电路产品行 业呈爆发式增长态势。虽然近年来中国的特种装备行业产品水平进步很快，但是作为特种装 备核心的特种集成电路产品，受制于我国技术水平等多种因素，目前国产化比例较低，已经 成为制约特种装备发展的瓶颈。</w:t>
      </w:r>
    </w:p>
    <w:p>
      <w:pPr>
        <w:pStyle w:val="Style35"/>
        <w:keepNext w:val="0"/>
        <w:keepLines w:val="0"/>
        <w:widowControl w:val="0"/>
        <w:shd w:val="clear" w:color="auto" w:fill="auto"/>
        <w:bidi w:val="0"/>
        <w:spacing w:before="0" w:line="312" w:lineRule="exact"/>
        <w:ind w:left="0" w:right="0" w:firstLine="480"/>
        <w:jc w:val="both"/>
      </w:pPr>
      <w:r>
        <w:rPr>
          <w:color w:val="000000"/>
          <w:spacing w:val="0"/>
          <w:w w:val="100"/>
          <w:position w:val="0"/>
        </w:rPr>
        <w:t>特种集成电路做为国家战略资源能够满足特种装备对可靠性、环境适应性及稳定性的高 要求，对特种装备信息化性能起着决定性作用。因此，国家已将集成电路国产化率做为特种 装备研制、生产的重要指标纳入装备科研生产的规范管理标准，以提高特种装备的自主保障 能力，打破制约特种装备发展的战略瓶颈。这也必将激发具备相关特种装备生产企业对国产 集成电路的新一轮采购需求。</w:t>
      </w:r>
    </w:p>
    <w:p>
      <w:pPr>
        <w:pStyle w:val="Style23"/>
        <w:keepNext/>
        <w:keepLines/>
        <w:widowControl w:val="0"/>
        <w:shd w:val="clear" w:color="auto" w:fill="auto"/>
        <w:bidi w:val="0"/>
        <w:spacing w:before="0" w:after="120" w:line="314" w:lineRule="exact"/>
        <w:ind w:left="0" w:right="0" w:firstLine="48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sz w:val="24"/>
          <w:szCs w:val="24"/>
        </w:rPr>
        <w:t>2</w:t>
      </w:r>
      <w:bookmarkEnd w:id="147"/>
      <w:r>
        <w:rPr>
          <w:color w:val="000000"/>
          <w:spacing w:val="0"/>
          <w:w w:val="100"/>
          <w:position w:val="0"/>
        </w:rPr>
        <w:t>、公司的近期发展规划</w:t>
      </w:r>
      <w:bookmarkEnd w:id="145"/>
      <w:bookmarkEnd w:id="146"/>
      <w:bookmarkEnd w:id="148"/>
    </w:p>
    <w:p>
      <w:pPr>
        <w:pStyle w:val="Style35"/>
        <w:keepNext w:val="0"/>
        <w:keepLines w:val="0"/>
        <w:widowControl w:val="0"/>
        <w:shd w:val="clear" w:color="auto" w:fill="auto"/>
        <w:bidi w:val="0"/>
        <w:spacing w:before="0" w:line="317" w:lineRule="exact"/>
        <w:ind w:left="0" w:right="0" w:firstLine="480"/>
        <w:jc w:val="left"/>
      </w:pPr>
      <w:r>
        <w:rPr>
          <w:color w:val="000000"/>
          <w:spacing w:val="0"/>
          <w:w w:val="100"/>
          <w:position w:val="0"/>
        </w:rPr>
        <w:t>公司将按照“成为国内集成电路设计龙头企业”的总体愿景，通过“核心竞争力提升”、 “成就领先地位”等核心工作，推动主营业务快速发展，提升公司综合竞争力及市场地位。</w:t>
      </w:r>
    </w:p>
    <w:p>
      <w:pPr>
        <w:pStyle w:val="Style35"/>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集成电路业务方面，以“自主可控”的思想为指导，紧密跟踪市场需求，以自主创新引 领公司的</w:t>
      </w:r>
      <w:r>
        <w:rPr>
          <w:rFonts w:ascii="Arial" w:eastAsia="Arial" w:hAnsi="Arial" w:cs="Arial"/>
          <w:color w:val="000000"/>
          <w:spacing w:val="0"/>
          <w:w w:val="100"/>
          <w:position w:val="0"/>
        </w:rPr>
        <w:t>IP</w:t>
      </w:r>
      <w:r>
        <w:rPr>
          <w:color w:val="000000"/>
          <w:spacing w:val="0"/>
          <w:w w:val="100"/>
          <w:position w:val="0"/>
        </w:rPr>
        <w:t xml:space="preserve">技术和新产品的发展，充分发挥公司的技术强、资质全、产品好、应用广的特点， </w:t>
      </w:r>
      <w:r>
        <w:rPr>
          <w:color w:val="000000"/>
          <w:spacing w:val="0"/>
          <w:w w:val="100"/>
          <w:position w:val="0"/>
        </w:rPr>
        <w:t>不断拓展产品应用领域，利用资本平台，做大做强集成电路核心业务，全力打造公司成为国 内集成电路设计龙头企业。其中，在智能卡芯片设计方面，将以</w:t>
      </w:r>
      <w:r>
        <w:rPr>
          <w:rFonts w:ascii="Times New Roman" w:eastAsia="Times New Roman" w:hAnsi="Times New Roman" w:cs="Times New Roman"/>
          <w:color w:val="000000"/>
          <w:spacing w:val="0"/>
          <w:w w:val="100"/>
          <w:position w:val="0"/>
          <w:sz w:val="24"/>
          <w:szCs w:val="24"/>
        </w:rPr>
        <w:t>90nm</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40-55nm</w:t>
      </w:r>
      <w:r>
        <w:rPr>
          <w:color w:val="000000"/>
          <w:spacing w:val="0"/>
          <w:w w:val="100"/>
          <w:position w:val="0"/>
        </w:rPr>
        <w:t>工艺技术为 平台与自主</w:t>
      </w:r>
      <w:r>
        <w:rPr>
          <w:rFonts w:ascii="Arial" w:eastAsia="Arial" w:hAnsi="Arial" w:cs="Arial"/>
          <w:color w:val="000000"/>
          <w:spacing w:val="0"/>
          <w:w w:val="100"/>
          <w:position w:val="0"/>
        </w:rPr>
        <w:t>IP</w:t>
      </w:r>
      <w:r>
        <w:rPr>
          <w:color w:val="000000"/>
          <w:spacing w:val="0"/>
          <w:w w:val="100"/>
          <w:position w:val="0"/>
        </w:rPr>
        <w:t>设计相结合的方式，开发更具竞争力和差异化的新一代产品；针对新兴应用（移 动支付、互联网金融、物联网、可穿戴产品等）存在的安全威胁，结合市场需求，研发信息 安全类新产品，拓展产品应用领域。在特种集成电路方面，公司将继续结合装备行业的需求 不断研发新技术和新产品。此外，公司将利用协同效应或资本平台作用向新产品领域进军。</w:t>
      </w:r>
    </w:p>
    <w:p>
      <w:pPr>
        <w:pStyle w:val="Style35"/>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石英晶体业务方面，根据市场需求发展趋势，将产品方向逐步由消费类电子领域向通讯、 工业控制及汽车电子领域转移，发挥品种全与新品开发能力强的优势，承接客户特殊要求的 订单。加强石英晶体市场的开拓工作，特别是国内市场的重点客户，努力提高高附加值器件 产品的销量。做好</w:t>
      </w:r>
      <w:r>
        <w:rPr>
          <w:rFonts w:ascii="Times New Roman" w:eastAsia="Times New Roman" w:hAnsi="Times New Roman" w:cs="Times New Roman"/>
          <w:color w:val="000000"/>
          <w:spacing w:val="0"/>
          <w:w w:val="100"/>
          <w:position w:val="0"/>
          <w:sz w:val="24"/>
          <w:szCs w:val="24"/>
        </w:rPr>
        <w:t>CTS</w:t>
      </w:r>
      <w:r>
        <w:rPr>
          <w:color w:val="000000"/>
          <w:spacing w:val="0"/>
          <w:w w:val="100"/>
          <w:position w:val="0"/>
        </w:rPr>
        <w:t>生产线转移接收工作，加快产品制造技术与设计技术的消化吸收，持 续提升公司在高端器件产品市场的占有率和影响力。抓住</w:t>
      </w:r>
      <w:r>
        <w:rPr>
          <w:rFonts w:ascii="Times New Roman" w:eastAsia="Times New Roman" w:hAnsi="Times New Roman" w:cs="Times New Roman"/>
          <w:color w:val="000000"/>
          <w:spacing w:val="0"/>
          <w:w w:val="100"/>
          <w:position w:val="0"/>
          <w:sz w:val="24"/>
          <w:szCs w:val="24"/>
        </w:rPr>
        <w:t>LED</w:t>
      </w:r>
      <w:r>
        <w:rPr>
          <w:color w:val="000000"/>
          <w:spacing w:val="0"/>
          <w:w w:val="100"/>
          <w:position w:val="0"/>
        </w:rPr>
        <w:t>市场爆发的机遇，发力蓝宝石 衬底产品的市场推广，同时拓展特种窗口片的市场。</w:t>
      </w:r>
    </w:p>
    <w:p>
      <w:pPr>
        <w:pStyle w:val="Style23"/>
        <w:keepNext/>
        <w:keepLines/>
        <w:widowControl w:val="0"/>
        <w:shd w:val="clear" w:color="auto" w:fill="auto"/>
        <w:bidi w:val="0"/>
        <w:spacing w:before="0" w:after="180" w:line="313" w:lineRule="exact"/>
        <w:ind w:left="0" w:right="0" w:firstLine="440"/>
        <w:jc w:val="both"/>
      </w:pPr>
      <w:bookmarkStart w:id="149" w:name="bookmark149"/>
      <w:bookmarkStart w:id="150" w:name="bookmark150"/>
      <w:bookmarkStart w:id="151" w:name="bookmark151"/>
      <w:bookmarkStart w:id="152" w:name="bookmark152"/>
      <w:r>
        <w:rPr>
          <w:color w:val="000000"/>
          <w:spacing w:val="0"/>
          <w:w w:val="100"/>
          <w:position w:val="0"/>
        </w:rPr>
        <w:t>3</w:t>
      </w:r>
      <w:bookmarkEnd w:id="151"/>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年度重点工作</w:t>
      </w:r>
      <w:bookmarkEnd w:id="149"/>
      <w:bookmarkEnd w:id="150"/>
      <w:bookmarkEnd w:id="152"/>
    </w:p>
    <w:p>
      <w:pPr>
        <w:pStyle w:val="Style35"/>
        <w:keepNext w:val="0"/>
        <w:keepLines w:val="0"/>
        <w:widowControl w:val="0"/>
        <w:shd w:val="clear" w:color="auto" w:fill="auto"/>
        <w:bidi w:val="0"/>
        <w:spacing w:before="0" w:after="100" w:line="271" w:lineRule="auto"/>
        <w:ind w:left="0" w:right="0" w:firstLine="44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年，公司将围绕“核心竞争力提升”的主线，做好以下工作：</w:t>
      </w:r>
    </w:p>
    <w:p>
      <w:pPr>
        <w:pStyle w:val="Style35"/>
        <w:keepNext w:val="0"/>
        <w:keepLines w:val="0"/>
        <w:widowControl w:val="0"/>
        <w:shd w:val="clear" w:color="auto" w:fill="auto"/>
        <w:tabs>
          <w:tab w:pos="870" w:val="left"/>
        </w:tabs>
        <w:bidi w:val="0"/>
        <w:spacing w:before="0" w:after="100" w:line="322" w:lineRule="exact"/>
        <w:ind w:left="0" w:right="0" w:firstLine="480"/>
        <w:jc w:val="both"/>
      </w:pPr>
      <w:bookmarkStart w:id="153" w:name="bookmark153"/>
      <w:r>
        <w:rPr>
          <w:rFonts w:ascii="Times New Roman" w:eastAsia="Times New Roman" w:hAnsi="Times New Roman" w:cs="Times New Roman"/>
          <w:color w:val="000000"/>
          <w:spacing w:val="0"/>
          <w:w w:val="100"/>
          <w:position w:val="0"/>
          <w:sz w:val="24"/>
          <w:szCs w:val="24"/>
        </w:rPr>
        <w:t>1</w:t>
      </w:r>
      <w:bookmarkEnd w:id="153"/>
      <w:r>
        <w:rPr>
          <w:color w:val="000000"/>
          <w:spacing w:val="0"/>
          <w:w w:val="100"/>
          <w:position w:val="0"/>
        </w:rPr>
        <w:t>）</w:t>
        <w:tab/>
        <w:t>把握行业发展趋势，做好前瞻性布局，利用行业发展的有利机遇，积极寻求核心业务 的拓展。发挥资本平台优势，整合行业内优势资源，实现公司的快速成长。</w:t>
      </w:r>
    </w:p>
    <w:p>
      <w:pPr>
        <w:pStyle w:val="Style35"/>
        <w:keepNext w:val="0"/>
        <w:keepLines w:val="0"/>
        <w:widowControl w:val="0"/>
        <w:shd w:val="clear" w:color="auto" w:fill="auto"/>
        <w:tabs>
          <w:tab w:pos="889" w:val="left"/>
        </w:tabs>
        <w:bidi w:val="0"/>
        <w:spacing w:before="0" w:after="100" w:line="331" w:lineRule="exact"/>
        <w:ind w:left="0" w:right="0" w:firstLine="480"/>
        <w:jc w:val="both"/>
      </w:pPr>
      <w:bookmarkStart w:id="154" w:name="bookmark154"/>
      <w:r>
        <w:rPr>
          <w:rFonts w:ascii="Times New Roman" w:eastAsia="Times New Roman" w:hAnsi="Times New Roman" w:cs="Times New Roman"/>
          <w:color w:val="000000"/>
          <w:spacing w:val="0"/>
          <w:w w:val="100"/>
          <w:position w:val="0"/>
          <w:sz w:val="24"/>
          <w:szCs w:val="24"/>
        </w:rPr>
        <w:t>2</w:t>
      </w:r>
      <w:bookmarkEnd w:id="154"/>
      <w:r>
        <w:rPr>
          <w:color w:val="000000"/>
          <w:spacing w:val="0"/>
          <w:w w:val="100"/>
          <w:position w:val="0"/>
        </w:rPr>
        <w:t>）</w:t>
        <w:tab/>
        <w:t>继续加大研发投入，加快产品技术升级和新产品开发，不断提高产品的市场竞争力。 加强自有知识产权技术创新，形成公司自主核心技术。</w:t>
      </w:r>
    </w:p>
    <w:p>
      <w:pPr>
        <w:pStyle w:val="Style35"/>
        <w:keepNext w:val="0"/>
        <w:keepLines w:val="0"/>
        <w:widowControl w:val="0"/>
        <w:shd w:val="clear" w:color="auto" w:fill="auto"/>
        <w:tabs>
          <w:tab w:pos="894" w:val="left"/>
        </w:tabs>
        <w:bidi w:val="0"/>
        <w:spacing w:before="0" w:after="100" w:line="326" w:lineRule="exact"/>
        <w:ind w:left="0" w:right="0" w:firstLine="480"/>
        <w:jc w:val="both"/>
      </w:pPr>
      <w:bookmarkStart w:id="155" w:name="bookmark155"/>
      <w:r>
        <w:rPr>
          <w:rFonts w:ascii="Times New Roman" w:eastAsia="Times New Roman" w:hAnsi="Times New Roman" w:cs="Times New Roman"/>
          <w:color w:val="000000"/>
          <w:spacing w:val="0"/>
          <w:w w:val="100"/>
          <w:position w:val="0"/>
          <w:sz w:val="24"/>
          <w:szCs w:val="24"/>
        </w:rPr>
        <w:t>3</w:t>
      </w:r>
      <w:bookmarkEnd w:id="155"/>
      <w:r>
        <w:rPr>
          <w:color w:val="000000"/>
          <w:spacing w:val="0"/>
          <w:w w:val="100"/>
          <w:position w:val="0"/>
        </w:rPr>
        <w:t>）</w:t>
        <w:tab/>
        <w:t>坚持“以人为本”的方针，推进“同方国芯”企业文化建设，发挥企业文化的引导、 凝聚和激励作用，提升公司软实力。</w:t>
      </w:r>
    </w:p>
    <w:p>
      <w:pPr>
        <w:pStyle w:val="Style35"/>
        <w:keepNext w:val="0"/>
        <w:keepLines w:val="0"/>
        <w:widowControl w:val="0"/>
        <w:shd w:val="clear" w:color="auto" w:fill="auto"/>
        <w:bidi w:val="0"/>
        <w:spacing w:before="0" w:after="100" w:line="326" w:lineRule="exact"/>
        <w:ind w:left="0" w:right="0" w:firstLine="480"/>
        <w:jc w:val="both"/>
      </w:pPr>
      <w:bookmarkStart w:id="156" w:name="bookmark156"/>
      <w:r>
        <w:rPr>
          <w:rFonts w:ascii="Times New Roman" w:eastAsia="Times New Roman" w:hAnsi="Times New Roman" w:cs="Times New Roman"/>
          <w:color w:val="000000"/>
          <w:spacing w:val="0"/>
          <w:w w:val="100"/>
          <w:position w:val="0"/>
          <w:sz w:val="24"/>
          <w:szCs w:val="24"/>
        </w:rPr>
        <w:t>4</w:t>
      </w:r>
      <w:bookmarkEnd w:id="156"/>
      <w:r>
        <w:rPr>
          <w:color w:val="000000"/>
          <w:spacing w:val="0"/>
          <w:w w:val="100"/>
          <w:position w:val="0"/>
        </w:rPr>
        <w:t>） 重视人才培养与激励。健全和完善人才保障制度，进一步增强公司员工的凝聚力。结 合绩效考核制度，实施多元化薪酬激励机制，充分调动员工的积极性。</w:t>
      </w:r>
    </w:p>
    <w:p>
      <w:pPr>
        <w:pStyle w:val="Style35"/>
        <w:keepNext w:val="0"/>
        <w:keepLines w:val="0"/>
        <w:widowControl w:val="0"/>
        <w:shd w:val="clear" w:color="auto" w:fill="auto"/>
        <w:bidi w:val="0"/>
        <w:spacing w:before="0" w:after="100" w:line="317" w:lineRule="exact"/>
        <w:ind w:left="0" w:right="0" w:firstLine="480"/>
        <w:jc w:val="both"/>
      </w:pPr>
      <w:bookmarkStart w:id="157" w:name="bookmark157"/>
      <w:r>
        <w:rPr>
          <w:rFonts w:ascii="Times New Roman" w:eastAsia="Times New Roman" w:hAnsi="Times New Roman" w:cs="Times New Roman"/>
          <w:color w:val="000000"/>
          <w:spacing w:val="0"/>
          <w:w w:val="100"/>
          <w:position w:val="0"/>
          <w:sz w:val="24"/>
          <w:szCs w:val="24"/>
        </w:rPr>
        <w:t>5</w:t>
      </w:r>
      <w:bookmarkEnd w:id="157"/>
      <w:r>
        <w:rPr>
          <w:color w:val="000000"/>
          <w:spacing w:val="0"/>
          <w:w w:val="100"/>
          <w:position w:val="0"/>
        </w:rPr>
        <w:t>） 加强投资者关系管理工作。拓宽沟通渠道，做好与资本市场的良性互动，构建和谐投 资者关系。引导价值投资理念，强化市值管理意识，实现公司价值最大化的目标。</w:t>
      </w:r>
    </w:p>
    <w:p>
      <w:pPr>
        <w:pStyle w:val="Style35"/>
        <w:keepNext w:val="0"/>
        <w:keepLines w:val="0"/>
        <w:widowControl w:val="0"/>
        <w:shd w:val="clear" w:color="auto" w:fill="auto"/>
        <w:bidi w:val="0"/>
        <w:spacing w:before="0" w:after="100" w:line="326" w:lineRule="exact"/>
        <w:ind w:left="0" w:right="0" w:firstLine="480"/>
        <w:jc w:val="both"/>
      </w:pPr>
      <w:bookmarkStart w:id="158" w:name="bookmark158"/>
      <w:r>
        <w:rPr>
          <w:rFonts w:ascii="Times New Roman" w:eastAsia="Times New Roman" w:hAnsi="Times New Roman" w:cs="Times New Roman"/>
          <w:color w:val="000000"/>
          <w:spacing w:val="0"/>
          <w:w w:val="100"/>
          <w:position w:val="0"/>
          <w:sz w:val="24"/>
          <w:szCs w:val="24"/>
        </w:rPr>
        <w:t>6</w:t>
      </w:r>
      <w:bookmarkEnd w:id="158"/>
      <w:r>
        <w:rPr>
          <w:color w:val="000000"/>
          <w:spacing w:val="0"/>
          <w:w w:val="100"/>
          <w:position w:val="0"/>
        </w:rPr>
        <w:t>） 进一步推进企业内控建设，规范管理流程，提升公司组织运作效能，促进公司管理的 升级提速。推进公司信息化建设，完善信息安全体系。</w:t>
      </w:r>
    </w:p>
    <w:p>
      <w:pPr>
        <w:pStyle w:val="Style35"/>
        <w:keepNext w:val="0"/>
        <w:keepLines w:val="0"/>
        <w:widowControl w:val="0"/>
        <w:shd w:val="clear" w:color="auto" w:fill="auto"/>
        <w:tabs>
          <w:tab w:pos="894" w:val="left"/>
        </w:tabs>
        <w:bidi w:val="0"/>
        <w:spacing w:before="0" w:after="280" w:line="331" w:lineRule="exact"/>
        <w:ind w:left="0" w:right="0" w:firstLine="480"/>
        <w:jc w:val="both"/>
      </w:pPr>
      <w:bookmarkStart w:id="159" w:name="bookmark159"/>
      <w:r>
        <w:rPr>
          <w:rFonts w:ascii="Times New Roman" w:eastAsia="Times New Roman" w:hAnsi="Times New Roman" w:cs="Times New Roman"/>
          <w:color w:val="000000"/>
          <w:spacing w:val="0"/>
          <w:w w:val="100"/>
          <w:position w:val="0"/>
          <w:sz w:val="24"/>
          <w:szCs w:val="24"/>
        </w:rPr>
        <w:t>7</w:t>
      </w:r>
      <w:bookmarkEnd w:id="159"/>
      <w:r>
        <w:rPr>
          <w:color w:val="000000"/>
          <w:spacing w:val="0"/>
          <w:w w:val="100"/>
          <w:position w:val="0"/>
        </w:rPr>
        <w:t>）</w:t>
        <w:tab/>
        <w:t>加强生产管控，积极开拓市场，建设好上下游的战略伙伴关系，以服务优质和价值 满足实现共赢。</w:t>
      </w:r>
    </w:p>
    <w:p>
      <w:pPr>
        <w:pStyle w:val="Style35"/>
        <w:keepNext w:val="0"/>
        <w:keepLines w:val="0"/>
        <w:widowControl w:val="0"/>
        <w:shd w:val="clear" w:color="auto" w:fill="auto"/>
        <w:tabs>
          <w:tab w:pos="510" w:val="left"/>
        </w:tabs>
        <w:bidi w:val="0"/>
        <w:spacing w:before="0" w:after="360" w:line="313" w:lineRule="exact"/>
        <w:ind w:left="0" w:right="0" w:firstLine="0"/>
        <w:jc w:val="both"/>
      </w:pPr>
      <w:bookmarkStart w:id="160" w:name="bookmark160"/>
      <w:r>
        <w:rPr>
          <w:b/>
          <w:bCs/>
          <w:color w:val="000000"/>
          <w:spacing w:val="0"/>
          <w:w w:val="100"/>
          <w:position w:val="0"/>
        </w:rPr>
        <w:t>八</w:t>
      </w:r>
      <w:bookmarkEnd w:id="160"/>
      <w:r>
        <w:rPr>
          <w:b/>
          <w:bCs/>
          <w:color w:val="000000"/>
          <w:spacing w:val="0"/>
          <w:w w:val="100"/>
          <w:position w:val="0"/>
        </w:rPr>
        <w:t>、</w:t>
        <w:tab/>
        <w:t>董事会、监事会对会计师事务所本报告期“非标准审计报告”的说明</w:t>
      </w:r>
    </w:p>
    <w:p>
      <w:pPr>
        <w:pStyle w:val="Style35"/>
        <w:keepNext w:val="0"/>
        <w:keepLines w:val="0"/>
        <w:widowControl w:val="0"/>
        <w:shd w:val="clear" w:color="auto" w:fill="auto"/>
        <w:bidi w:val="0"/>
        <w:spacing w:before="0" w:after="280" w:line="240" w:lineRule="auto"/>
        <w:ind w:left="0" w:right="0" w:firstLine="0"/>
        <w:jc w:val="both"/>
        <w:rPr>
          <w:sz w:val="20"/>
          <w:szCs w:val="20"/>
        </w:rPr>
      </w:pPr>
      <w:r>
        <w:rPr>
          <w:b/>
          <w:bCs/>
          <w:color w:val="000000"/>
          <w:spacing w:val="0"/>
          <w:w w:val="100"/>
          <w:position w:val="0"/>
          <w:sz w:val="20"/>
          <w:szCs w:val="20"/>
        </w:rPr>
        <w:t>不适用。</w:t>
      </w:r>
    </w:p>
    <w:p>
      <w:pPr>
        <w:pStyle w:val="Style23"/>
        <w:keepNext/>
        <w:keepLines/>
        <w:widowControl w:val="0"/>
        <w:shd w:val="clear" w:color="auto" w:fill="auto"/>
        <w:tabs>
          <w:tab w:pos="510" w:val="left"/>
        </w:tabs>
        <w:bidi w:val="0"/>
        <w:spacing w:before="0" w:after="280" w:line="313" w:lineRule="exact"/>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九</w:t>
      </w:r>
      <w:bookmarkEnd w:id="163"/>
      <w:r>
        <w:rPr>
          <w:color w:val="000000"/>
          <w:spacing w:val="0"/>
          <w:w w:val="100"/>
          <w:position w:val="0"/>
        </w:rPr>
        <w:t>、</w:t>
        <w:tab/>
        <w:t>与上年度财务报告相比，会计政策、会计估计和核算方法发生变化的情况说明</w:t>
      </w:r>
      <w:bookmarkEnd w:id="161"/>
      <w:bookmarkEnd w:id="162"/>
      <w:bookmarkEnd w:id="164"/>
    </w:p>
    <w:p>
      <w:pPr>
        <w:pStyle w:val="Style35"/>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本公司报告期内无会计政策变更事项发生。</w:t>
      </w:r>
    </w:p>
    <w:p>
      <w:pPr>
        <w:pStyle w:val="Style35"/>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 xml:space="preserve">公司资产重组完成后，公司母公司及下属子公司同方微电子、国微电子按账龄组合计提 坏账准备的应收款项采用了不同的计提比例，不便于公司的统一管理，且原计提比例已不能 真实、准确地反映公司的实际业务情况。为提供更可靠、准确的会计信息，客观公正地反映 公司的财务状况和经营成果，公司结合各业务单元以前年度应收款项的实际管理情况，对按 </w:t>
      </w:r>
      <w:r>
        <w:rPr>
          <w:color w:val="000000"/>
          <w:spacing w:val="0"/>
          <w:w w:val="100"/>
          <w:position w:val="0"/>
        </w:rPr>
        <w:t>账龄组合的应收款项的坏账准备计提比例进行统一变更，变更日确定为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日，已经 公司第四届董事会第三十次会议审议通过。根据《企业会计准则第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w:t>
      </w:r>
      <w:r>
        <w:rPr>
          <w:color w:val="000000"/>
          <w:spacing w:val="0"/>
          <w:w w:val="100"/>
          <w:position w:val="0"/>
          <w:sz w:val="24"/>
          <w:szCs w:val="24"/>
        </w:rPr>
        <w:t>一</w:t>
      </w:r>
      <w:r>
        <w:rPr>
          <w:color w:val="000000"/>
          <w:spacing w:val="0"/>
          <w:w w:val="100"/>
          <w:position w:val="0"/>
        </w:rPr>
        <w:t>会计政策、会计估 计变更和差错更正》有关规定，对上述会计估计的变更采用未来适用法，此项会计估计变更 导致增加本报告期净利润</w:t>
      </w:r>
      <w:r>
        <w:rPr>
          <w:rFonts w:ascii="Times New Roman" w:eastAsia="Times New Roman" w:hAnsi="Times New Roman" w:cs="Times New Roman"/>
          <w:color w:val="000000"/>
          <w:spacing w:val="0"/>
          <w:w w:val="100"/>
          <w:position w:val="0"/>
          <w:sz w:val="24"/>
          <w:szCs w:val="24"/>
        </w:rPr>
        <w:t>6,751,029.33</w:t>
      </w:r>
      <w:r>
        <w:rPr>
          <w:color w:val="000000"/>
          <w:spacing w:val="0"/>
          <w:w w:val="100"/>
          <w:position w:val="0"/>
        </w:rPr>
        <w:t>元。</w:t>
      </w:r>
    </w:p>
    <w:p>
      <w:pPr>
        <w:pStyle w:val="Style23"/>
        <w:keepNext/>
        <w:keepLines/>
        <w:widowControl w:val="0"/>
        <w:shd w:val="clear" w:color="auto" w:fill="auto"/>
        <w:bidi w:val="0"/>
        <w:spacing w:before="0" w:after="300" w:line="313" w:lineRule="exact"/>
        <w:ind w:left="0" w:right="0" w:firstLine="0"/>
        <w:jc w:val="both"/>
      </w:pPr>
      <w:bookmarkStart w:id="165" w:name="bookmark165"/>
      <w:bookmarkStart w:id="166" w:name="bookmark166"/>
      <w:bookmarkStart w:id="167" w:name="bookmark167"/>
      <w:r>
        <w:rPr>
          <w:color w:val="000000"/>
          <w:spacing w:val="0"/>
          <w:w w:val="100"/>
          <w:position w:val="0"/>
        </w:rPr>
        <w:t>十、与上年度财务报告相比，合并报表范围发生变化的情况说明</w:t>
      </w:r>
      <w:bookmarkEnd w:id="165"/>
      <w:bookmarkEnd w:id="166"/>
      <w:bookmarkEnd w:id="167"/>
    </w:p>
    <w:p>
      <w:pPr>
        <w:pStyle w:val="Style35"/>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本报告期增加纳入合并范围的子公司：深圳市同创国芯电子有限公司，该公司为国微电 子的全资子公司。</w:t>
      </w:r>
    </w:p>
    <w:p>
      <w:pPr>
        <w:pStyle w:val="Style35"/>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本报告期不再纳入合并范围的子公司：深圳市晶源健三电子有限公司。</w:t>
      </w:r>
    </w:p>
    <w:p>
      <w:pPr>
        <w:pStyle w:val="Style23"/>
        <w:keepNext/>
        <w:keepLines/>
        <w:widowControl w:val="0"/>
        <w:shd w:val="clear" w:color="auto" w:fill="auto"/>
        <w:bidi w:val="0"/>
        <w:spacing w:before="0" w:after="300" w:line="313" w:lineRule="exact"/>
        <w:ind w:left="0" w:right="0" w:firstLine="0"/>
        <w:jc w:val="left"/>
      </w:pPr>
      <w:bookmarkStart w:id="168" w:name="bookmark168"/>
      <w:bookmarkStart w:id="169" w:name="bookmark169"/>
      <w:bookmarkStart w:id="170" w:name="bookmark170"/>
      <w:r>
        <w:rPr>
          <w:color w:val="000000"/>
          <w:spacing w:val="0"/>
          <w:w w:val="100"/>
          <w:position w:val="0"/>
        </w:rPr>
        <w:t>十一、公司利润分配及分红派息情况</w:t>
      </w:r>
      <w:bookmarkEnd w:id="168"/>
      <w:bookmarkEnd w:id="169"/>
      <w:bookmarkEnd w:id="170"/>
    </w:p>
    <w:p>
      <w:pPr>
        <w:pStyle w:val="Style23"/>
        <w:keepNext/>
        <w:keepLines/>
        <w:widowControl w:val="0"/>
        <w:shd w:val="clear" w:color="auto" w:fill="auto"/>
        <w:bidi w:val="0"/>
        <w:spacing w:before="0" w:after="140" w:line="313" w:lineRule="exact"/>
        <w:ind w:left="0" w:right="0" w:firstLine="0"/>
        <w:jc w:val="left"/>
      </w:pPr>
      <w:bookmarkStart w:id="168" w:name="bookmark168"/>
      <w:bookmarkStart w:id="169" w:name="bookmark169"/>
      <w:bookmarkStart w:id="171" w:name="bookmark171"/>
      <w:r>
        <w:rPr>
          <w:color w:val="000000"/>
          <w:spacing w:val="0"/>
          <w:w w:val="100"/>
          <w:position w:val="0"/>
        </w:rPr>
        <w:t>报告期内利润分配政策特别是现金分红政策的制定、执行或调整情况</w:t>
      </w:r>
      <w:bookmarkEnd w:id="168"/>
      <w:bookmarkEnd w:id="169"/>
      <w:bookmarkEnd w:id="171"/>
    </w:p>
    <w:p>
      <w:pPr>
        <w:pStyle w:val="Style35"/>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根据中国证监会《关于进一步落实上市公司现金分红有关事项的通知》（证监发</w:t>
      </w:r>
      <w:r>
        <w:rPr>
          <w:rFonts w:ascii="Times New Roman" w:eastAsia="Times New Roman" w:hAnsi="Times New Roman" w:cs="Times New Roman"/>
          <w:color w:val="000000"/>
          <w:spacing w:val="0"/>
          <w:w w:val="100"/>
          <w:position w:val="0"/>
          <w:sz w:val="24"/>
          <w:szCs w:val="24"/>
        </w:rPr>
        <w:t xml:space="preserve">[2012]37 </w:t>
      </w:r>
      <w:r>
        <w:rPr>
          <w:color w:val="000000"/>
          <w:spacing w:val="0"/>
          <w:w w:val="100"/>
          <w:position w:val="0"/>
        </w:rPr>
        <w:t>号）、河北证监局《关于加强现金分红工作的通知》（冀证监发</w:t>
      </w:r>
      <w:r>
        <w:rPr>
          <w:rFonts w:ascii="Times New Roman" w:eastAsia="Times New Roman" w:hAnsi="Times New Roman" w:cs="Times New Roman"/>
          <w:color w:val="000000"/>
          <w:spacing w:val="0"/>
          <w:w w:val="100"/>
          <w:position w:val="0"/>
          <w:sz w:val="24"/>
          <w:szCs w:val="24"/>
        </w:rPr>
        <w:t>[2012]72</w:t>
      </w:r>
      <w:r>
        <w:rPr>
          <w:color w:val="000000"/>
          <w:spacing w:val="0"/>
          <w:w w:val="100"/>
          <w:position w:val="0"/>
        </w:rPr>
        <w:t>号）及《关于印发 河北辖区上市公司进一步落实现金分红有关事项的通知》（冀证监发</w:t>
      </w:r>
      <w:r>
        <w:rPr>
          <w:rFonts w:ascii="Times New Roman" w:eastAsia="Times New Roman" w:hAnsi="Times New Roman" w:cs="Times New Roman"/>
          <w:color w:val="000000"/>
          <w:spacing w:val="0"/>
          <w:w w:val="100"/>
          <w:position w:val="0"/>
          <w:sz w:val="24"/>
          <w:szCs w:val="24"/>
        </w:rPr>
        <w:t>[2012]74</w:t>
      </w:r>
      <w:r>
        <w:rPr>
          <w:color w:val="000000"/>
          <w:spacing w:val="0"/>
          <w:w w:val="100"/>
          <w:position w:val="0"/>
        </w:rPr>
        <w:t>号）文件的规 定，结合公司实际情况，经公司第四届董事会第十九次会议、公司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次临时股东大会 审议通过，对《公司章程》中关于利润分配决策程序、利润分配政策的相关条款作了修订， 进一步明确了现金分红的标准和比例，细化了利润分配的决策程序和机制，要求独立董事尽 职履责并发挥应有的作用，进一步规范了公司现金分红行为，保护了中小投资者的合法权益。 报告期内，公司严格遵守法律法规及《公司章程》关于现金分红的规定，未对相关事项进行 调整，利润分配政策符合《公司章程》及审议程序的规定。</w:t>
      </w:r>
    </w:p>
    <w:tbl>
      <w:tblPr>
        <w:tblOverlap w:val="never"/>
        <w:jc w:val="center"/>
        <w:tblLayout w:type="fixed"/>
      </w:tblPr>
      <w:tblGrid>
        <w:gridCol w:w="4867"/>
        <w:gridCol w:w="4718"/>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Arial" w:eastAsia="Arial" w:hAnsi="Arial" w:cs="Arial"/>
          <w:b w:val="0"/>
          <w:bCs w:val="0"/>
          <w:color w:val="000000"/>
          <w:spacing w:val="0"/>
          <w:w w:val="100"/>
          <w:position w:val="0"/>
          <w:sz w:val="19"/>
          <w:szCs w:val="19"/>
        </w:rPr>
        <w:t>3</w:t>
      </w:r>
      <w:r>
        <w:rPr>
          <w:color w:val="000000"/>
          <w:spacing w:val="0"/>
          <w:w w:val="100"/>
          <w:position w:val="0"/>
        </w:rPr>
        <w:t>年（含报告期）的利润分配预案或方案及资本公积金转增股本预案或方案情况</w:t>
      </w:r>
    </w:p>
    <w:p>
      <w:pPr>
        <w:widowControl w:val="0"/>
        <w:spacing w:after="139" w:line="1" w:lineRule="exact"/>
      </w:pPr>
    </w:p>
    <w:p>
      <w:pPr>
        <w:pStyle w:val="Style35"/>
        <w:keepNext w:val="0"/>
        <w:keepLines w:val="0"/>
        <w:widowControl w:val="0"/>
        <w:shd w:val="clear" w:color="auto" w:fill="auto"/>
        <w:tabs>
          <w:tab w:pos="792" w:val="left"/>
        </w:tabs>
        <w:bidi w:val="0"/>
        <w:spacing w:before="0" w:after="0" w:line="317" w:lineRule="exact"/>
        <w:ind w:left="0" w:right="0" w:firstLine="440"/>
        <w:jc w:val="both"/>
      </w:pPr>
      <w:bookmarkStart w:id="172" w:name="bookmark172"/>
      <w:r>
        <w:rPr>
          <w:rFonts w:ascii="Times New Roman" w:eastAsia="Times New Roman" w:hAnsi="Times New Roman" w:cs="Times New Roman"/>
          <w:color w:val="000000"/>
          <w:spacing w:val="0"/>
          <w:w w:val="100"/>
          <w:position w:val="0"/>
          <w:sz w:val="24"/>
          <w:szCs w:val="24"/>
        </w:rPr>
        <w:t>1</w:t>
      </w:r>
      <w:bookmarkEnd w:id="17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年度利润分配预案</w:t>
      </w:r>
    </w:p>
    <w:p>
      <w:pPr>
        <w:pStyle w:val="Style3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303,408,984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 含税），共计派发现金</w:t>
      </w:r>
      <w:r>
        <w:rPr>
          <w:rFonts w:ascii="Times New Roman" w:eastAsia="Times New Roman" w:hAnsi="Times New Roman" w:cs="Times New Roman"/>
          <w:color w:val="000000"/>
          <w:spacing w:val="0"/>
          <w:w w:val="100"/>
          <w:position w:val="0"/>
          <w:sz w:val="24"/>
          <w:szCs w:val="24"/>
        </w:rPr>
        <w:t>30,340,898.40</w:t>
      </w:r>
      <w:r>
        <w:rPr>
          <w:color w:val="000000"/>
          <w:spacing w:val="0"/>
          <w:w w:val="100"/>
          <w:position w:val="0"/>
        </w:rPr>
        <w:t>元，剩余未分配利润结转至下一年度。同时，以资本公 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股，转增后，公司总股本由</w:t>
      </w:r>
      <w:r>
        <w:rPr>
          <w:rFonts w:ascii="Times New Roman" w:eastAsia="Times New Roman" w:hAnsi="Times New Roman" w:cs="Times New Roman"/>
          <w:color w:val="000000"/>
          <w:spacing w:val="0"/>
          <w:w w:val="100"/>
          <w:position w:val="0"/>
          <w:sz w:val="24"/>
          <w:szCs w:val="24"/>
        </w:rPr>
        <w:t>303,408,984</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 ，分配方案中资本公积金转增金额不超过报告期末“资本公积-股本溢价”的余额。</w:t>
      </w:r>
    </w:p>
    <w:p>
      <w:pPr>
        <w:pStyle w:val="Style35"/>
        <w:keepNext w:val="0"/>
        <w:keepLines w:val="0"/>
        <w:widowControl w:val="0"/>
        <w:shd w:val="clear" w:color="auto" w:fill="auto"/>
        <w:tabs>
          <w:tab w:pos="816" w:val="left"/>
        </w:tabs>
        <w:bidi w:val="0"/>
        <w:spacing w:before="0" w:after="260" w:line="317" w:lineRule="exact"/>
        <w:ind w:left="0" w:right="0" w:firstLine="440"/>
        <w:jc w:val="both"/>
      </w:pPr>
      <w:bookmarkStart w:id="173" w:name="bookmark173"/>
      <w:r>
        <w:rPr>
          <w:rFonts w:ascii="Times New Roman" w:eastAsia="Times New Roman" w:hAnsi="Times New Roman" w:cs="Times New Roman"/>
          <w:color w:val="000000"/>
          <w:spacing w:val="0"/>
          <w:w w:val="100"/>
          <w:position w:val="0"/>
          <w:sz w:val="24"/>
          <w:szCs w:val="24"/>
        </w:rPr>
        <w:t>2</w:t>
      </w:r>
      <w:bookmarkEnd w:id="17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年度利润分配预案</w:t>
      </w:r>
      <w:r>
        <w:br w:type="page"/>
      </w:r>
    </w:p>
    <w:p>
      <w:pPr>
        <w:pStyle w:val="Style35"/>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24"/>
          <w:szCs w:val="24"/>
        </w:rPr>
        <w:t>296,941,323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sz w:val="24"/>
          <w:szCs w:val="24"/>
        </w:rPr>
        <w:t>29,694,132.30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年度，公司不实施资本公积金转增股本方案。</w:t>
      </w:r>
    </w:p>
    <w:p>
      <w:pPr>
        <w:pStyle w:val="Style35"/>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年度利润分配预案</w:t>
      </w:r>
    </w:p>
    <w:p>
      <w:pPr>
        <w:pStyle w:val="Style3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135,000,000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 含税），共计派发现金</w:t>
      </w:r>
      <w:r>
        <w:rPr>
          <w:rFonts w:ascii="Times New Roman" w:eastAsia="Times New Roman" w:hAnsi="Times New Roman" w:cs="Times New Roman"/>
          <w:color w:val="000000"/>
          <w:spacing w:val="0"/>
          <w:w w:val="100"/>
          <w:position w:val="0"/>
          <w:sz w:val="24"/>
          <w:szCs w:val="24"/>
        </w:rPr>
        <w:t>13,500,000.00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年度，公司不实施资本公积金转增股本方案。</w:t>
      </w:r>
    </w:p>
    <w:p>
      <w:pPr>
        <w:pStyle w:val="Style23"/>
        <w:keepNext/>
        <w:keepLines/>
        <w:widowControl w:val="0"/>
        <w:shd w:val="clear" w:color="auto" w:fill="auto"/>
        <w:bidi w:val="0"/>
        <w:spacing w:before="0" w:after="180" w:line="317" w:lineRule="exact"/>
        <w:ind w:left="0" w:right="0" w:firstLine="0"/>
        <w:jc w:val="left"/>
      </w:pPr>
      <w:bookmarkStart w:id="174" w:name="bookmark174"/>
      <w:bookmarkStart w:id="175" w:name="bookmark175"/>
      <w:bookmarkStart w:id="176" w:name="bookmark176"/>
      <w:r>
        <w:rPr>
          <w:color w:val="000000"/>
          <w:spacing w:val="0"/>
          <w:w w:val="100"/>
          <w:position w:val="0"/>
        </w:rPr>
        <w:t>公司近三年现金分红情况表</w:t>
      </w:r>
      <w:bookmarkEnd w:id="174"/>
      <w:bookmarkEnd w:id="175"/>
      <w:bookmarkEnd w:id="176"/>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810"/>
        <w:gridCol w:w="2520"/>
        <w:gridCol w:w="2520"/>
        <w:gridCol w:w="27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分红年度合并报表中归属 于上市公司股东的净利润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占合并报表中归属于上市公 司股东的净利润的比率（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30,340,898.40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272,515,185.89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29,694,132.30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141,275,120.01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103,425,503.51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13.05%</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r>
        <w:rPr>
          <w:color w:val="000000"/>
          <w:spacing w:val="0"/>
          <w:w w:val="100"/>
          <w:position w:val="0"/>
        </w:rPr>
        <w:t>十二、本报告期利润分配及资本公积金转增股本预案</w:t>
      </w:r>
      <w:bookmarkEnd w:id="177"/>
      <w:bookmarkEnd w:id="178"/>
      <w:bookmarkEnd w:id="179"/>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303,408,984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30,340,898.40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1,080,291,884.62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329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经北京兴华会计师事务所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01010002S</w:t>
            </w:r>
            <w:r>
              <w:rPr>
                <w:color w:val="000000"/>
                <w:spacing w:val="0"/>
                <w:w w:val="100"/>
                <w:position w:val="0"/>
              </w:rPr>
              <w:t>号审计报告确认，公司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 归属母公司净利润</w:t>
            </w:r>
            <w:r>
              <w:rPr>
                <w:rFonts w:ascii="Times New Roman" w:eastAsia="Times New Roman" w:hAnsi="Times New Roman" w:cs="Times New Roman"/>
                <w:color w:val="000000"/>
                <w:spacing w:val="0"/>
                <w:w w:val="100"/>
                <w:position w:val="0"/>
                <w:sz w:val="18"/>
                <w:szCs w:val="18"/>
              </w:rPr>
              <w:t>272,515,185.89</w:t>
            </w:r>
            <w:r>
              <w:rPr>
                <w:color w:val="000000"/>
                <w:spacing w:val="0"/>
                <w:w w:val="100"/>
                <w:position w:val="0"/>
              </w:rPr>
              <w:t>元，根据《公司章程》的有关规定，按母公司净利润的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 xml:space="preserve">6,118,856.70 </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843,589,687.73</w:t>
            </w:r>
            <w:r>
              <w:rPr>
                <w:color w:val="000000"/>
                <w:spacing w:val="0"/>
                <w:w w:val="100"/>
                <w:position w:val="0"/>
              </w:rPr>
              <w:t>元，减去年中已分配股利</w:t>
            </w:r>
            <w:r>
              <w:rPr>
                <w:rFonts w:ascii="Times New Roman" w:eastAsia="Times New Roman" w:hAnsi="Times New Roman" w:cs="Times New Roman"/>
                <w:color w:val="000000"/>
                <w:spacing w:val="0"/>
                <w:w w:val="100"/>
                <w:position w:val="0"/>
                <w:sz w:val="18"/>
                <w:szCs w:val="18"/>
              </w:rPr>
              <w:t>29,694,132.30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日，公司可供 股东分配的利润为</w:t>
            </w:r>
            <w:r>
              <w:rPr>
                <w:rFonts w:ascii="Times New Roman" w:eastAsia="Times New Roman" w:hAnsi="Times New Roman" w:cs="Times New Roman"/>
                <w:color w:val="000000"/>
                <w:spacing w:val="0"/>
                <w:w w:val="100"/>
                <w:position w:val="0"/>
                <w:sz w:val="18"/>
                <w:szCs w:val="18"/>
              </w:rPr>
              <w:t>1,080,291,884.62</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年盈利状况，并综合考虑公司所处行业特点、发展阶段、经营模式等因素，在兼顾公司长远发展和股 东即期回报的原则下，公司管理层提出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w:t>
            </w:r>
          </w:p>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303,408,984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元（含税），共计派发现金 </w:t>
            </w:r>
            <w:r>
              <w:rPr>
                <w:rFonts w:ascii="Times New Roman" w:eastAsia="Times New Roman" w:hAnsi="Times New Roman" w:cs="Times New Roman"/>
                <w:color w:val="000000"/>
                <w:spacing w:val="0"/>
                <w:w w:val="100"/>
                <w:position w:val="0"/>
                <w:sz w:val="18"/>
                <w:szCs w:val="18"/>
              </w:rPr>
              <w:t>30,340,898.40</w:t>
            </w:r>
            <w:r>
              <w:rPr>
                <w:color w:val="000000"/>
                <w:spacing w:val="0"/>
                <w:w w:val="100"/>
                <w:position w:val="0"/>
              </w:rPr>
              <w:t>元，剩余未分配利润结转至下一年度。同时，以资本公积金向全体股东每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股，转增后，公司总 股本由</w:t>
            </w:r>
            <w:r>
              <w:rPr>
                <w:rFonts w:ascii="Times New Roman" w:eastAsia="Times New Roman" w:hAnsi="Times New Roman" w:cs="Times New Roman"/>
                <w:color w:val="000000"/>
                <w:spacing w:val="0"/>
                <w:w w:val="100"/>
                <w:position w:val="0"/>
                <w:sz w:val="18"/>
                <w:szCs w:val="18"/>
              </w:rPr>
              <w:t>303,408,984</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606,817,968</w:t>
            </w:r>
            <w:r>
              <w:rPr>
                <w:color w:val="000000"/>
                <w:spacing w:val="0"/>
                <w:w w:val="100"/>
                <w:position w:val="0"/>
              </w:rPr>
              <w:t>股，分配方案中资本公积金转增金额不超过报告期末“资本公积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股本溢价”的余 额。</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上述利润分配预案的拟定符合《公司法》、《证券法》、《公司章程》等相关规定。</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676" w:right="1029" w:bottom="917" w:left="1065" w:header="0" w:footer="3" w:gutter="0"/>
          <w:cols w:space="720"/>
          <w:noEndnote/>
          <w:rtlGutter w:val="0"/>
          <w:docGrid w:linePitch="360"/>
        </w:sectPr>
      </w:pPr>
    </w:p>
    <w:p>
      <w:pPr>
        <w:pStyle w:val="Style23"/>
        <w:keepNext/>
        <w:keepLines/>
        <w:widowControl w:val="0"/>
        <w:shd w:val="clear" w:color="auto" w:fill="auto"/>
        <w:bidi w:val="0"/>
        <w:spacing w:before="0" w:after="320" w:line="240" w:lineRule="auto"/>
        <w:ind w:left="0" w:right="0" w:firstLine="0"/>
        <w:jc w:val="left"/>
      </w:pPr>
      <w:bookmarkStart w:id="180" w:name="bookmark180"/>
      <w:bookmarkStart w:id="181" w:name="bookmark181"/>
      <w:bookmarkStart w:id="182" w:name="bookmark182"/>
      <w:r>
        <w:rPr>
          <w:color w:val="000000"/>
          <w:spacing w:val="0"/>
          <w:w w:val="100"/>
          <w:position w:val="0"/>
        </w:rPr>
        <w:t>十三、社会责任情况</w:t>
      </w:r>
      <w:bookmarkEnd w:id="180"/>
      <w:bookmarkEnd w:id="181"/>
      <w:bookmarkEnd w:id="182"/>
    </w:p>
    <w:p>
      <w:pPr>
        <w:pStyle w:val="Style3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报告期内，公司致力于履行对股东、员工等方面应尽的义务，同时也时刻牢记对社会、 环境的责任和承诺，积极承担社会责任，在追求经济效益的同时注重环境保护和节能降耗， 把建设资源节约型和环境友好型企业作为可持续发展战略的重要内容，促进公司与社会、自 然的协调和谐发展。</w:t>
      </w:r>
    </w:p>
    <w:p>
      <w:pPr>
        <w:pStyle w:val="Style3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公司一直合法合规经营，主动接受监管部门、社会各界的监督，不断完善公司治理体系 。严格按照相关法律法规的要求，及时、真实、准确、完整地进行信息披露，提高公司的透 明度。</w:t>
      </w:r>
    </w:p>
    <w:p>
      <w:pPr>
        <w:pStyle w:val="Style35"/>
        <w:keepNext w:val="0"/>
        <w:keepLines w:val="0"/>
        <w:widowControl w:val="0"/>
        <w:shd w:val="clear" w:color="auto" w:fill="auto"/>
        <w:bidi w:val="0"/>
        <w:spacing w:before="0" w:after="320" w:line="315" w:lineRule="exact"/>
        <w:ind w:left="0" w:right="0" w:firstLine="440"/>
        <w:jc w:val="left"/>
      </w:pPr>
      <w:r>
        <w:rPr>
          <w:color w:val="000000"/>
          <w:spacing w:val="0"/>
          <w:w w:val="100"/>
          <w:position w:val="0"/>
        </w:rPr>
        <w:t>公司始终坚持以人为本的核心价值观，切实关心员工身心健康，充分重视和切实维护员 工权益，增强员工的归属感和凝聚力，实现员工与企业的共同成长。</w:t>
      </w:r>
    </w:p>
    <w:p>
      <w:pPr>
        <w:pStyle w:val="Style23"/>
        <w:keepNext/>
        <w:keepLines/>
        <w:widowControl w:val="0"/>
        <w:shd w:val="clear" w:color="auto" w:fill="auto"/>
        <w:bidi w:val="0"/>
        <w:spacing w:before="0" w:after="320" w:line="240" w:lineRule="auto"/>
        <w:ind w:left="0" w:right="0" w:firstLine="0"/>
        <w:jc w:val="left"/>
      </w:pPr>
      <w:bookmarkStart w:id="183" w:name="bookmark183"/>
      <w:bookmarkStart w:id="184" w:name="bookmark184"/>
      <w:bookmarkStart w:id="185" w:name="bookmark185"/>
      <w:r>
        <w:rPr>
          <w:color w:val="000000"/>
          <w:spacing w:val="0"/>
          <w:w w:val="100"/>
          <w:position w:val="0"/>
        </w:rPr>
        <w:t>十四、报告期内接待调研、沟通、采访等活动登记表</w:t>
      </w:r>
      <w:bookmarkEnd w:id="183"/>
      <w:bookmarkEnd w:id="184"/>
      <w:bookmarkEnd w:id="185"/>
    </w:p>
    <w:tbl>
      <w:tblPr>
        <w:tblOverlap w:val="never"/>
        <w:jc w:val="center"/>
        <w:tblLayout w:type="fixed"/>
      </w:tblPr>
      <w:tblGrid>
        <w:gridCol w:w="1502"/>
        <w:gridCol w:w="1498"/>
        <w:gridCol w:w="970"/>
        <w:gridCol w:w="720"/>
        <w:gridCol w:w="3418"/>
        <w:gridCol w:w="14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b/>
                <w:bCs/>
                <w:color w:val="000000"/>
                <w:spacing w:val="0"/>
                <w:w w:val="100"/>
                <w:position w:val="0"/>
                <w:sz w:val="20"/>
                <w:szCs w:val="20"/>
              </w:rPr>
              <w:t>接待对 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谈论的主要内 容及提供的资 料</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清华同方科技 大厦</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层国 际报告厅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广发证券黄勇、黄亚森；华夏基金张毅； 华西证券胡韬；长盛基金翟彦垒；东方证 券韩冬；海通证券高圣、童胜；平安资管 姜军；浙商证券周小峰；民族证券许宏； 国泰君安 孙金钜；国信证券高耀华；东 兴证券张济；天相投顾朱岩;大成基金陈 音威；银河基金成胜；安信证券姜瑛；中 天证券郑志文；齐鲁证券朱嘉；光大证券 胡誉镜；华创证券束海峰、马军；国投瑞 银基金 孙文龙；长江证券 宋振；渤海证券 陈志峰；汇丰晋信李元博；中邮基金周楠; 信达证券庞立永；国联证券吴金雅；中国 人寿范帆；北京盛世景付曙光；合众资产 李勇胜；中证报傅嘉；中航鑫港刘夏阳； 沣沅弘投资 王聪；腾业资本韩旸；北京同 瑞汇金涂刚；中信建投余晓畅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3"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 生产经营情况 及各业务单元 发展情况。提供 的资料为：《公 司业务介绍》</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PPT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14</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北京同方微电 子有限公司会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长江证券胡路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年上 半年业务发展 情况。未提供资 料。</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北京同方微电 子有限公司会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银河证券王莉；银河投资赵珉；英大基金 秦岭；中国人寿养老保险公司范帆；万家 基金章恒；宏源证券武斌；华泰柏瑞基金 吕慧建；安邦资产范新；方正证券李红生; 中英益利资管吴晓刚；国联安基金芮晨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年上 半年业务发展 情况。未提供资 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北京同方微电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高华证券李哲人；天相投顾 朱岩；国海证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公司业务情况</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676" w:right="1029" w:bottom="917" w:left="1065" w:header="0" w:footer="3" w:gutter="0"/>
          <w:cols w:space="720"/>
          <w:noEndnote/>
          <w:rtlGutter w:val="0"/>
          <w:docGrid w:linePitch="360"/>
        </w:sectPr>
      </w:pPr>
    </w:p>
    <w:tbl>
      <w:tblPr>
        <w:tblOverlap w:val="never"/>
        <w:jc w:val="center"/>
        <w:tblLayout w:type="fixed"/>
      </w:tblPr>
      <w:tblGrid>
        <w:gridCol w:w="1502"/>
        <w:gridCol w:w="1498"/>
        <w:gridCol w:w="970"/>
        <w:gridCol w:w="720"/>
        <w:gridCol w:w="3418"/>
        <w:gridCol w:w="147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子有限公司会 议室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券李响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及发展趋势。未 提供资料。</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28</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清华同方科技 大厦</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层国 际报告厅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银河证券王莉、李凯、张博宇；平安证券郝 蕾；华创证券马军、束海峰；中山证券 冯 福来；渤海证券张博；金元证券罗杰；民 族证券黄鹏、何玉清、樊鹏、傅岳鹏；长 城证券金炜；汇丰晋信刘辉；宝盈基金王 茹远；南方基金李畅；嘉实基金马惠明； 华夏基金朱晋、陈永强；宏源证券武斌； 国元证券泰康资产富迪；农银人寿张潇 潇；安信证券姜瑛侯利；中金公司关景 振；建信基金乔林建；天安保险曾志；安 邦资产 金拓；海华投资刘毅;银河投资赵 珉；信达证券 孟阳王露露；星石投资 万 凯航；智诚海威投资车向前；</w:t>
            </w:r>
            <w:r>
              <w:rPr>
                <w:rFonts w:ascii="Times New Roman" w:eastAsia="Times New Roman" w:hAnsi="Times New Roman" w:cs="Times New Roman"/>
                <w:color w:val="000000"/>
                <w:spacing w:val="0"/>
                <w:w w:val="100"/>
                <w:position w:val="0"/>
                <w:sz w:val="18"/>
                <w:szCs w:val="18"/>
              </w:rPr>
              <w:t>IDG</w:t>
            </w:r>
            <w:r>
              <w:rPr>
                <w:color w:val="000000"/>
                <w:spacing w:val="0"/>
                <w:w w:val="100"/>
                <w:position w:val="0"/>
              </w:rPr>
              <w:t>资本徐 鹏；中国证券报傅嘉；泰达宏利陈炜；鼎 峰资产田超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年前 三季度业务情 况及业务发展 方向。提供的资 料为：《公司业 务介绍》</w:t>
            </w:r>
            <w:r>
              <w:rPr>
                <w:rFonts w:ascii="Times New Roman" w:eastAsia="Times New Roman" w:hAnsi="Times New Roman" w:cs="Times New Roman"/>
                <w:color w:val="000000"/>
                <w:spacing w:val="0"/>
                <w:w w:val="100"/>
                <w:position w:val="0"/>
                <w:sz w:val="20"/>
                <w:szCs w:val="20"/>
              </w:rPr>
              <w:t>PPT</w:t>
            </w:r>
          </w:p>
        </w:tc>
      </w:tr>
    </w:tbl>
    <w:p>
      <w:pPr>
        <w:widowControl w:val="0"/>
        <w:spacing w:after="8399" w:line="1" w:lineRule="exact"/>
      </w:pPr>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41" w:right="1196" w:bottom="125" w:left="1119" w:header="0" w:footer="3" w:gutter="0"/>
          <w:cols w:space="720"/>
          <w:noEndnote/>
          <w:rtlGutter w:val="0"/>
          <w:docGrid w:linePitch="360"/>
        </w:sectPr>
      </w:pPr>
      <w:r>
        <w:drawing>
          <wp:inline>
            <wp:extent cx="1718945" cy="98171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7"/>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00" w:after="560" w:line="240" w:lineRule="auto"/>
        <w:ind w:left="0" w:right="0" w:firstLine="0"/>
        <w:jc w:val="center"/>
      </w:pPr>
      <w:bookmarkStart w:id="186" w:name="bookmark186"/>
      <w:bookmarkStart w:id="187" w:name="bookmark187"/>
      <w:bookmarkStart w:id="188" w:name="bookmark188"/>
      <w:r>
        <w:rPr>
          <w:color w:val="000000"/>
          <w:spacing w:val="0"/>
          <w:w w:val="100"/>
          <w:position w:val="0"/>
        </w:rPr>
        <w:t>第五节重要事项</w:t>
      </w:r>
      <w:bookmarkEnd w:id="186"/>
      <w:bookmarkEnd w:id="187"/>
      <w:bookmarkEnd w:id="188"/>
    </w:p>
    <w:p>
      <w:pPr>
        <w:pStyle w:val="Style23"/>
        <w:keepNext/>
        <w:keepLines/>
        <w:widowControl w:val="0"/>
        <w:shd w:val="clear" w:color="auto" w:fill="auto"/>
        <w:tabs>
          <w:tab w:pos="517" w:val="left"/>
        </w:tabs>
        <w:bidi w:val="0"/>
        <w:spacing w:before="0" w:after="34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一</w:t>
      </w:r>
      <w:bookmarkEnd w:id="191"/>
      <w:r>
        <w:rPr>
          <w:color w:val="000000"/>
          <w:spacing w:val="0"/>
          <w:w w:val="100"/>
          <w:position w:val="0"/>
        </w:rPr>
        <w:t>、</w:t>
        <w:tab/>
        <w:t>重大诉讼仲裁事项</w:t>
      </w:r>
      <w:bookmarkEnd w:id="189"/>
      <w:bookmarkEnd w:id="190"/>
      <w:bookmarkEnd w:id="192"/>
    </w:p>
    <w:p>
      <w:pPr>
        <w:pStyle w:val="Style35"/>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本报告期公司无重大诉讼、仲裁事项。</w:t>
      </w:r>
    </w:p>
    <w:p>
      <w:pPr>
        <w:pStyle w:val="Style23"/>
        <w:keepNext/>
        <w:keepLines/>
        <w:widowControl w:val="0"/>
        <w:shd w:val="clear" w:color="auto" w:fill="auto"/>
        <w:tabs>
          <w:tab w:pos="517" w:val="left"/>
        </w:tabs>
        <w:bidi w:val="0"/>
        <w:spacing w:before="0" w:after="34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二</w:t>
      </w:r>
      <w:bookmarkEnd w:id="195"/>
      <w:r>
        <w:rPr>
          <w:color w:val="000000"/>
          <w:spacing w:val="0"/>
          <w:w w:val="100"/>
          <w:position w:val="0"/>
        </w:rPr>
        <w:t>、</w:t>
        <w:tab/>
        <w:t>媒体质疑情况</w:t>
      </w:r>
      <w:bookmarkEnd w:id="193"/>
      <w:bookmarkEnd w:id="194"/>
      <w:bookmarkEnd w:id="196"/>
    </w:p>
    <w:p>
      <w:pPr>
        <w:pStyle w:val="Style35"/>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本报告期公司无媒体普遍质疑事项。</w:t>
      </w:r>
    </w:p>
    <w:p>
      <w:pPr>
        <w:pStyle w:val="Style23"/>
        <w:keepNext/>
        <w:keepLines/>
        <w:widowControl w:val="0"/>
        <w:shd w:val="clear" w:color="auto" w:fill="auto"/>
        <w:tabs>
          <w:tab w:pos="522" w:val="left"/>
        </w:tabs>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三</w:t>
      </w:r>
      <w:bookmarkEnd w:id="199"/>
      <w:r>
        <w:rPr>
          <w:color w:val="000000"/>
          <w:spacing w:val="0"/>
          <w:w w:val="100"/>
          <w:position w:val="0"/>
        </w:rPr>
        <w:t>、</w:t>
        <w:tab/>
        <w:t>资产交易事项</w:t>
      </w:r>
      <w:bookmarkEnd w:id="197"/>
      <w:bookmarkEnd w:id="198"/>
      <w:bookmarkEnd w:id="200"/>
    </w:p>
    <w:p>
      <w:pPr>
        <w:pStyle w:val="Style44"/>
        <w:keepNext/>
        <w:keepLines/>
        <w:widowControl w:val="0"/>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、收购资产情况</w:t>
      </w:r>
      <w:bookmarkEnd w:id="201"/>
      <w:bookmarkEnd w:id="202"/>
      <w:bookmarkEnd w:id="204"/>
    </w:p>
    <w:tbl>
      <w:tblPr>
        <w:tblOverlap w:val="never"/>
        <w:jc w:val="center"/>
        <w:tblLayout w:type="fixed"/>
      </w:tblPr>
      <w:tblGrid>
        <w:gridCol w:w="878"/>
        <w:gridCol w:w="869"/>
        <w:gridCol w:w="874"/>
        <w:gridCol w:w="869"/>
        <w:gridCol w:w="869"/>
        <w:gridCol w:w="869"/>
        <w:gridCol w:w="1080"/>
        <w:gridCol w:w="658"/>
        <w:gridCol w:w="869"/>
        <w:gridCol w:w="869"/>
        <w:gridCol w:w="87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7"/>
                <w:szCs w:val="17"/>
              </w:rPr>
              <w:t>该资产为上 市公司贡献 的净利润占 净利润总额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李祥等</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名自然人 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深圳市国 微电子有 限公司 </w:t>
            </w:r>
            <w:r>
              <w:rPr>
                <w:rFonts w:ascii="Times New Roman" w:eastAsia="Times New Roman" w:hAnsi="Times New Roman" w:cs="Times New Roman"/>
                <w:color w:val="000000"/>
                <w:spacing w:val="0"/>
                <w:w w:val="100"/>
                <w:position w:val="0"/>
                <w:sz w:val="18"/>
                <w:szCs w:val="18"/>
              </w:rPr>
              <w:t xml:space="preserve">3.5122%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增加公司 净利润 </w:t>
            </w:r>
            <w:r>
              <w:rPr>
                <w:rFonts w:ascii="Times New Roman" w:eastAsia="Times New Roman" w:hAnsi="Times New Roman" w:cs="Times New Roman"/>
                <w:color w:val="000000"/>
                <w:spacing w:val="0"/>
                <w:w w:val="100"/>
                <w:position w:val="0"/>
                <w:sz w:val="18"/>
                <w:szCs w:val="18"/>
              </w:rPr>
              <w:t xml:space="preserve">351.24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44"/>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、出售资产情况</w:t>
      </w:r>
      <w:bookmarkEnd w:id="205"/>
      <w:bookmarkEnd w:id="206"/>
      <w:bookmarkEnd w:id="208"/>
    </w:p>
    <w:tbl>
      <w:tblPr>
        <w:tblOverlap w:val="never"/>
        <w:jc w:val="center"/>
        <w:tblLayout w:type="fixed"/>
      </w:tblPr>
      <w:tblGrid>
        <w:gridCol w:w="730"/>
        <w:gridCol w:w="898"/>
        <w:gridCol w:w="432"/>
        <w:gridCol w:w="648"/>
        <w:gridCol w:w="720"/>
        <w:gridCol w:w="682"/>
        <w:gridCol w:w="682"/>
        <w:gridCol w:w="1339"/>
        <w:gridCol w:w="538"/>
        <w:gridCol w:w="720"/>
        <w:gridCol w:w="720"/>
        <w:gridCol w:w="542"/>
        <w:gridCol w:w="538"/>
        <w:gridCol w:w="394"/>
      </w:tblGrid>
      <w:tr>
        <w:trPr>
          <w:trHeight w:val="21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被出售资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出售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交易价 格（万</w:t>
            </w:r>
          </w:p>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9"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40" w:line="232" w:lineRule="exact"/>
              <w:ind w:left="0" w:right="0" w:firstLine="0"/>
              <w:jc w:val="left"/>
            </w:pPr>
            <w:r>
              <w:rPr>
                <w:color w:val="000000"/>
                <w:spacing w:val="0"/>
                <w:w w:val="100"/>
                <w:position w:val="0"/>
              </w:rPr>
              <w:t>资产出 售为上 市公司 贡献的 净利润 占净利 润总额 的比例</w:t>
            </w:r>
          </w:p>
          <w:p>
            <w:pPr>
              <w:pStyle w:val="Style2"/>
              <w:keepNext w:val="0"/>
              <w:keepLines w:val="0"/>
              <w:widowControl w:val="0"/>
              <w:shd w:val="clear" w:color="auto" w:fill="auto"/>
              <w:bidi w:val="0"/>
              <w:spacing w:before="0" w:after="0" w:line="26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资产出售定价原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与交易 对方的 关联关 系（适用</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关联交 易情形）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所涉 及的 债权 债务 是否 已全 部转 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披 露 索 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健三实 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深圳市晶 源健三电 子有限公 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不存在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重大影</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按深圳市晶源健 三电子有限公司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日经审计的净资 产做为定价基础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w:t>
            </w:r>
          </w:p>
        </w:tc>
      </w:tr>
    </w:tbl>
    <w:p>
      <w:pPr>
        <w:sectPr>
          <w:footnotePr>
            <w:pos w:val="pageBottom"/>
            <w:numFmt w:val="decimal"/>
            <w:numRestart w:val="continuous"/>
          </w:footnotePr>
          <w:pgSz w:w="11900" w:h="16840"/>
          <w:pgMar w:top="1422" w:right="1061" w:bottom="1465" w:left="1057" w:header="0" w:footer="3" w:gutter="0"/>
          <w:cols w:space="720"/>
          <w:noEndnote/>
          <w:rtlGutter w:val="0"/>
          <w:docGrid w:linePitch="360"/>
        </w:sectPr>
      </w:pPr>
    </w:p>
    <w:p>
      <w:pPr>
        <w:pStyle w:val="Style23"/>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四</w:t>
      </w:r>
      <w:bookmarkEnd w:id="211"/>
      <w:r>
        <w:rPr>
          <w:color w:val="000000"/>
          <w:spacing w:val="0"/>
          <w:w w:val="100"/>
          <w:position w:val="0"/>
        </w:rPr>
        <w:t>、承诺事项履行情况</w:t>
      </w:r>
      <w:bookmarkEnd w:id="209"/>
      <w:bookmarkEnd w:id="210"/>
      <w:bookmarkEnd w:id="212"/>
    </w:p>
    <w:p>
      <w:pPr>
        <w:pStyle w:val="Style44"/>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13"/>
      <w:bookmarkEnd w:id="214"/>
      <w:bookmarkEnd w:id="216"/>
    </w:p>
    <w:tbl>
      <w:tblPr>
        <w:tblOverlap w:val="never"/>
        <w:jc w:val="center"/>
        <w:tblLayout w:type="fixed"/>
      </w:tblPr>
      <w:tblGrid>
        <w:gridCol w:w="1090"/>
        <w:gridCol w:w="2338"/>
        <w:gridCol w:w="2702"/>
        <w:gridCol w:w="902"/>
        <w:gridCol w:w="1277"/>
        <w:gridCol w:w="1277"/>
      </w:tblGrid>
      <w:tr>
        <w:trPr>
          <w:trHeight w:val="2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承诺事项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承诺期限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所拥有的本公司股份自新增股份 上市首日起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同方股份有限公司、北京清晶 微科技有限公司、赵维健、葛 元庆、吴行军、段立、孟红霞、 宋翌、丁义民、李刚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利润补偿承诺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同方股份有限公司、清华控股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避免同业竞争承诺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同方股份有限公司、清华控股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规范关联交易承诺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同方股份有限公司、清华控股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保持公司独立性承诺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118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深圳市国微投资有限公司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自本公司所持有的同方国芯电子 股份有限公司的股票上市之日起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个月内，不转让或委托他人管 理本次发行的同方国芯电子股份 有限公司股份。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深圳市国微投资有限公司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关于规范关联交易的承诺。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深圳市国微投资有限公司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关于避免同业竞争的承诺。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11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深圳市国微投资有限公司、深 圳市天惠人投资有限公司、深 圳市弘久投资有限公司、深圳 市鼎仁投资有限公司、韩雷、 袁佩良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利润补偿承诺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严格遵守承诺</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承诺是否及 时履行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44"/>
        <w:keepNext/>
        <w:keepLines/>
        <w:widowControl w:val="0"/>
        <w:shd w:val="clear" w:color="auto" w:fill="auto"/>
        <w:bidi w:val="0"/>
        <w:spacing w:before="0" w:line="322" w:lineRule="exact"/>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、公司资产或项目存在盈利预测，且报告期仍处在盈利预测期间，公司就资产或项目达到原盈利预测及 其原因做出说明</w:t>
      </w:r>
      <w:bookmarkEnd w:id="217"/>
      <w:bookmarkEnd w:id="218"/>
      <w:bookmarkEnd w:id="220"/>
    </w:p>
    <w:tbl>
      <w:tblPr>
        <w:tblOverlap w:val="never"/>
        <w:jc w:val="center"/>
        <w:tblLayout w:type="fixed"/>
      </w:tblPr>
      <w:tblGrid>
        <w:gridCol w:w="1205"/>
        <w:gridCol w:w="965"/>
        <w:gridCol w:w="898"/>
        <w:gridCol w:w="1080"/>
        <w:gridCol w:w="1080"/>
        <w:gridCol w:w="1262"/>
        <w:gridCol w:w="1080"/>
        <w:gridCol w:w="2016"/>
      </w:tblGrid>
      <w:tr>
        <w:trPr>
          <w:trHeight w:val="48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北京同方微电 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巨潮资讯网上披露的《拟 收购北京同方微电子有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股权项目资 产评估报告（第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册）》</w:t>
            </w:r>
          </w:p>
        </w:tc>
      </w:tr>
      <w:tr>
        <w:trPr>
          <w:trHeight w:val="11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深圳市国微电 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0"/>
              <w:jc w:val="center"/>
              <w:rPr>
                <w:sz w:val="18"/>
                <w:szCs w:val="18"/>
              </w:rPr>
            </w:pPr>
            <w:r>
              <w:rPr>
                <w:color w:val="000000"/>
                <w:spacing w:val="0"/>
                <w:w w:val="100"/>
                <w:position w:val="0"/>
                <w:sz w:val="17"/>
                <w:szCs w:val="17"/>
              </w:rPr>
              <w:t xml:space="preserve">扣非前： </w:t>
            </w:r>
            <w:r>
              <w:rPr>
                <w:rFonts w:ascii="Times New Roman" w:eastAsia="Times New Roman" w:hAnsi="Times New Roman" w:cs="Times New Roman"/>
                <w:color w:val="000000"/>
                <w:spacing w:val="0"/>
                <w:w w:val="100"/>
                <w:position w:val="0"/>
                <w:sz w:val="18"/>
                <w:szCs w:val="18"/>
              </w:rPr>
              <w:t xml:space="preserve">8,600.36 </w:t>
            </w:r>
            <w:r>
              <w:rPr>
                <w:color w:val="000000"/>
                <w:spacing w:val="0"/>
                <w:w w:val="100"/>
                <w:position w:val="0"/>
                <w:sz w:val="17"/>
                <w:szCs w:val="17"/>
              </w:rPr>
              <w:t xml:space="preserve">扣非后： </w:t>
            </w:r>
            <w:r>
              <w:rPr>
                <w:rFonts w:ascii="Times New Roman" w:eastAsia="Times New Roman" w:hAnsi="Times New Roman" w:cs="Times New Roman"/>
                <w:color w:val="000000"/>
                <w:spacing w:val="0"/>
                <w:w w:val="100"/>
                <w:position w:val="0"/>
                <w:sz w:val="18"/>
                <w:szCs w:val="18"/>
              </w:rPr>
              <w:t>7,897.91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180" w:right="0" w:firstLine="0"/>
              <w:jc w:val="left"/>
            </w:pPr>
            <w:r>
              <w:rPr>
                <w:color w:val="000000"/>
                <w:spacing w:val="0"/>
                <w:w w:val="100"/>
                <w:position w:val="0"/>
              </w:rPr>
              <w:t>扣非前：</w:t>
            </w:r>
          </w:p>
          <w:p>
            <w:pPr>
              <w:pStyle w:val="Style2"/>
              <w:keepNext w:val="0"/>
              <w:keepLines w:val="0"/>
              <w:widowControl w:val="0"/>
              <w:shd w:val="clear" w:color="auto" w:fill="auto"/>
              <w:bidi w:val="0"/>
              <w:spacing w:before="0" w:after="0" w:line="221" w:lineRule="exact"/>
              <w:ind w:left="180" w:right="0" w:firstLine="0"/>
              <w:jc w:val="left"/>
            </w:pPr>
            <w:r>
              <w:rPr>
                <w:rFonts w:ascii="Times New Roman" w:eastAsia="Times New Roman" w:hAnsi="Times New Roman" w:cs="Times New Roman"/>
                <w:color w:val="000000"/>
                <w:spacing w:val="0"/>
                <w:w w:val="100"/>
                <w:position w:val="0"/>
                <w:sz w:val="18"/>
                <w:szCs w:val="18"/>
              </w:rPr>
              <w:t xml:space="preserve">12,650.24 </w:t>
            </w:r>
            <w:r>
              <w:rPr>
                <w:color w:val="000000"/>
                <w:spacing w:val="0"/>
                <w:w w:val="100"/>
                <w:position w:val="0"/>
              </w:rPr>
              <w:t>扣非后：</w:t>
            </w:r>
          </w:p>
          <w:p>
            <w:pPr>
              <w:pStyle w:val="Style2"/>
              <w:keepNext w:val="0"/>
              <w:keepLines w:val="0"/>
              <w:widowControl w:val="0"/>
              <w:shd w:val="clear" w:color="auto" w:fill="auto"/>
              <w:bidi w:val="0"/>
              <w:spacing w:before="0" w:after="0" w:line="257"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8,825.75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巨潮资讯网上披露的《拟 收购深圳市国微电子股 份有限公司</w:t>
            </w:r>
            <w:r>
              <w:rPr>
                <w:rFonts w:ascii="Times New Roman" w:eastAsia="Times New Roman" w:hAnsi="Times New Roman" w:cs="Times New Roman"/>
                <w:color w:val="000000"/>
                <w:spacing w:val="0"/>
                <w:w w:val="100"/>
                <w:position w:val="0"/>
                <w:sz w:val="18"/>
                <w:szCs w:val="18"/>
              </w:rPr>
              <w:t>96.4878%</w:t>
            </w:r>
            <w:r>
              <w:rPr>
                <w:color w:val="000000"/>
                <w:spacing w:val="0"/>
                <w:w w:val="100"/>
                <w:position w:val="0"/>
              </w:rPr>
              <w:t>股 权评估项目资产评估报 告书》</w:t>
            </w:r>
          </w:p>
        </w:tc>
      </w:tr>
    </w:tbl>
    <w:p>
      <w:pPr>
        <w:pStyle w:val="Style35"/>
        <w:keepNext w:val="0"/>
        <w:keepLines w:val="0"/>
        <w:widowControl w:val="0"/>
        <w:shd w:val="clear" w:color="auto" w:fill="auto"/>
        <w:bidi w:val="0"/>
        <w:spacing w:before="0" w:after="320" w:line="240" w:lineRule="auto"/>
        <w:ind w:left="0" w:right="0" w:firstLine="0"/>
        <w:jc w:val="left"/>
      </w:pPr>
      <w:bookmarkStart w:id="221" w:name="bookmark221"/>
      <w:r>
        <w:rPr>
          <w:b/>
          <w:bCs/>
          <w:color w:val="000000"/>
          <w:spacing w:val="0"/>
          <w:w w:val="100"/>
          <w:position w:val="0"/>
        </w:rPr>
        <w:t>五</w:t>
      </w:r>
      <w:bookmarkEnd w:id="221"/>
      <w:r>
        <w:rPr>
          <w:b/>
          <w:bCs/>
          <w:color w:val="000000"/>
          <w:spacing w:val="0"/>
          <w:w w:val="100"/>
          <w:position w:val="0"/>
        </w:rPr>
        <w:t>、聘任、解聘会计师事务所情况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北京兴华会计师事务所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杨轶辉、王权生</w:t>
            </w:r>
          </w:p>
        </w:tc>
      </w:tr>
    </w:tbl>
    <w:p>
      <w:pPr>
        <w:pStyle w:val="Style35"/>
        <w:keepNext w:val="0"/>
        <w:keepLines w:val="0"/>
        <w:widowControl w:val="0"/>
        <w:shd w:val="clear" w:color="auto" w:fill="auto"/>
        <w:bidi w:val="0"/>
        <w:spacing w:before="0" w:after="80" w:line="312" w:lineRule="exact"/>
        <w:ind w:left="0" w:right="0" w:firstLine="0"/>
        <w:jc w:val="left"/>
      </w:pPr>
      <w:r>
        <w:rPr>
          <w:b/>
          <w:bCs/>
          <w:color w:val="000000"/>
          <w:spacing w:val="0"/>
          <w:w w:val="100"/>
          <w:position w:val="0"/>
        </w:rPr>
        <w:t>当期是否改聘会计师事务所</w:t>
      </w:r>
    </w:p>
    <w:p>
      <w:pPr>
        <w:pStyle w:val="Style35"/>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w:t>
      </w:r>
      <w:r>
        <w:rPr>
          <w:rFonts w:ascii="Arial" w:eastAsia="Arial" w:hAnsi="Arial" w:cs="Arial"/>
          <w:color w:val="000000"/>
          <w:spacing w:val="0"/>
          <w:w w:val="100"/>
          <w:position w:val="0"/>
          <w:sz w:val="20"/>
          <w:szCs w:val="20"/>
        </w:rPr>
        <w:t>V</w:t>
      </w:r>
      <w:r>
        <w:rPr>
          <w:b/>
          <w:bCs/>
          <w:color w:val="000000"/>
          <w:spacing w:val="0"/>
          <w:w w:val="100"/>
          <w:position w:val="0"/>
          <w:sz w:val="20"/>
          <w:szCs w:val="20"/>
        </w:rPr>
        <w:t>否</w:t>
      </w:r>
    </w:p>
    <w:p>
      <w:pPr>
        <w:pStyle w:val="Style35"/>
        <w:keepNext w:val="0"/>
        <w:keepLines w:val="0"/>
        <w:widowControl w:val="0"/>
        <w:shd w:val="clear" w:color="auto" w:fill="auto"/>
        <w:bidi w:val="0"/>
        <w:spacing w:before="0" w:after="80" w:line="312" w:lineRule="exact"/>
        <w:ind w:left="0" w:right="0" w:firstLine="0"/>
        <w:jc w:val="left"/>
      </w:pPr>
      <w:r>
        <w:rPr>
          <w:b/>
          <w:bCs/>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32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w:t>
      </w:r>
      <w:r>
        <w:rPr>
          <w:rFonts w:ascii="Arial" w:eastAsia="Arial" w:hAnsi="Arial" w:cs="Arial"/>
          <w:color w:val="000000"/>
          <w:spacing w:val="0"/>
          <w:w w:val="100"/>
          <w:position w:val="0"/>
          <w:sz w:val="20"/>
          <w:szCs w:val="20"/>
        </w:rPr>
        <w:t>V</w:t>
      </w:r>
      <w:r>
        <w:rPr>
          <w:b/>
          <w:bCs/>
          <w:color w:val="000000"/>
          <w:spacing w:val="0"/>
          <w:w w:val="100"/>
          <w:position w:val="0"/>
          <w:sz w:val="20"/>
          <w:szCs w:val="20"/>
        </w:rPr>
        <w:t>不适用</w:t>
      </w:r>
    </w:p>
    <w:p>
      <w:pPr>
        <w:pStyle w:val="Style23"/>
        <w:keepNext/>
        <w:keepLines/>
        <w:widowControl w:val="0"/>
        <w:shd w:val="clear" w:color="auto" w:fill="auto"/>
        <w:tabs>
          <w:tab w:pos="522" w:val="left"/>
        </w:tabs>
        <w:bidi w:val="0"/>
        <w:spacing w:before="0" w:after="320" w:line="312" w:lineRule="exact"/>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六</w:t>
      </w:r>
      <w:bookmarkEnd w:id="224"/>
      <w:r>
        <w:rPr>
          <w:color w:val="000000"/>
          <w:spacing w:val="0"/>
          <w:w w:val="100"/>
          <w:position w:val="0"/>
        </w:rPr>
        <w:t>、</w:t>
        <w:tab/>
        <w:t>其他重大事项的说明</w:t>
      </w:r>
      <w:bookmarkEnd w:id="222"/>
      <w:bookmarkEnd w:id="223"/>
      <w:bookmarkEnd w:id="225"/>
    </w:p>
    <w:p>
      <w:pPr>
        <w:pStyle w:val="Style35"/>
        <w:keepNext w:val="0"/>
        <w:keepLines w:val="0"/>
        <w:widowControl w:val="0"/>
        <w:shd w:val="clear" w:color="auto" w:fill="auto"/>
        <w:tabs>
          <w:tab w:pos="858" w:val="left"/>
        </w:tabs>
        <w:bidi w:val="0"/>
        <w:spacing w:before="0" w:after="0" w:line="312" w:lineRule="exact"/>
        <w:ind w:left="0" w:right="0" w:firstLine="480"/>
        <w:jc w:val="left"/>
      </w:pPr>
      <w:bookmarkStart w:id="226" w:name="bookmark226"/>
      <w:r>
        <w:rPr>
          <w:rFonts w:ascii="Times New Roman" w:eastAsia="Times New Roman" w:hAnsi="Times New Roman" w:cs="Times New Roman"/>
          <w:color w:val="000000"/>
          <w:spacing w:val="0"/>
          <w:w w:val="100"/>
          <w:position w:val="0"/>
          <w:sz w:val="24"/>
          <w:szCs w:val="24"/>
        </w:rPr>
        <w:t>1</w:t>
      </w:r>
      <w:bookmarkEnd w:id="226"/>
      <w:r>
        <w:rPr>
          <w:color w:val="000000"/>
          <w:spacing w:val="0"/>
          <w:w w:val="100"/>
          <w:position w:val="0"/>
        </w:rPr>
        <w:t>、</w:t>
        <w:tab/>
        <w:t>发行股份募集配套资金事项</w:t>
      </w:r>
    </w:p>
    <w:p>
      <w:pPr>
        <w:pStyle w:val="Style35"/>
        <w:keepNext w:val="0"/>
        <w:keepLines w:val="0"/>
        <w:widowControl w:val="0"/>
        <w:shd w:val="clear" w:color="auto" w:fill="auto"/>
        <w:bidi w:val="0"/>
        <w:spacing w:before="0" w:after="320" w:line="31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月，根据中国证券监督管理委员会《关于核准同方国芯电子股份有限公司向深圳 市国微投资有限公司等发行股份购买资产并募集配套资金的批复》（证监许可</w:t>
      </w:r>
      <w:r>
        <w:rPr>
          <w:rFonts w:ascii="Times New Roman" w:eastAsia="Times New Roman" w:hAnsi="Times New Roman" w:cs="Times New Roman"/>
          <w:color w:val="000000"/>
          <w:spacing w:val="0"/>
          <w:w w:val="100"/>
          <w:position w:val="0"/>
          <w:sz w:val="24"/>
          <w:szCs w:val="24"/>
        </w:rPr>
        <w:t>[2012]1726</w:t>
      </w:r>
      <w:r>
        <w:rPr>
          <w:color w:val="000000"/>
          <w:spacing w:val="0"/>
          <w:w w:val="100"/>
          <w:position w:val="0"/>
        </w:rPr>
        <w:t>号）， 公司向中国中投证券有限责任公司、东方证券股份有限公司、工银瑞信基金管理有限公司非 公开发行</w:t>
      </w:r>
      <w:r>
        <w:rPr>
          <w:rFonts w:ascii="Times New Roman" w:eastAsia="Times New Roman" w:hAnsi="Times New Roman" w:cs="Times New Roman"/>
          <w:color w:val="000000"/>
          <w:spacing w:val="0"/>
          <w:w w:val="100"/>
          <w:position w:val="0"/>
          <w:sz w:val="24"/>
          <w:szCs w:val="24"/>
        </w:rPr>
        <w:t>6,467,661</w:t>
      </w:r>
      <w:r>
        <w:rPr>
          <w:color w:val="000000"/>
          <w:spacing w:val="0"/>
          <w:w w:val="100"/>
          <w:position w:val="0"/>
        </w:rPr>
        <w:t>股股份，募集资金</w:t>
      </w:r>
      <w:r>
        <w:rPr>
          <w:rFonts w:ascii="Times New Roman" w:eastAsia="Times New Roman" w:hAnsi="Times New Roman" w:cs="Times New Roman"/>
          <w:color w:val="000000"/>
          <w:spacing w:val="0"/>
          <w:w w:val="100"/>
          <w:position w:val="0"/>
          <w:sz w:val="24"/>
          <w:szCs w:val="24"/>
        </w:rPr>
        <w:t>129,999,986.10</w:t>
      </w:r>
      <w:r>
        <w:rPr>
          <w:color w:val="000000"/>
          <w:spacing w:val="0"/>
          <w:w w:val="100"/>
          <w:position w:val="0"/>
        </w:rPr>
        <w:t xml:space="preserve">元，扣除发行费用后，募集资金净额 </w:t>
      </w:r>
      <w:r>
        <w:rPr>
          <w:rFonts w:ascii="Times New Roman" w:eastAsia="Times New Roman" w:hAnsi="Times New Roman" w:cs="Times New Roman"/>
          <w:color w:val="000000"/>
          <w:spacing w:val="0"/>
          <w:w w:val="100"/>
          <w:position w:val="0"/>
          <w:sz w:val="24"/>
          <w:szCs w:val="24"/>
        </w:rPr>
        <w:t>124,233,519.05</w:t>
      </w:r>
      <w:r>
        <w:rPr>
          <w:color w:val="000000"/>
          <w:spacing w:val="0"/>
          <w:w w:val="100"/>
          <w:position w:val="0"/>
        </w:rPr>
        <w:t>元。该部分股份于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日在深圳证券交易所上市，股份性质为有限售 条件的流通股，限售期为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日，该部分股份限售期满上市流通。</w:t>
      </w:r>
    </w:p>
    <w:p>
      <w:pPr>
        <w:pStyle w:val="Style35"/>
        <w:keepNext w:val="0"/>
        <w:keepLines w:val="0"/>
        <w:widowControl w:val="0"/>
        <w:shd w:val="clear" w:color="auto" w:fill="auto"/>
        <w:tabs>
          <w:tab w:pos="882" w:val="left"/>
        </w:tabs>
        <w:bidi w:val="0"/>
        <w:spacing w:before="0" w:after="0" w:line="314" w:lineRule="exact"/>
        <w:ind w:left="0" w:right="0" w:firstLine="480"/>
        <w:jc w:val="left"/>
      </w:pPr>
      <w:bookmarkStart w:id="227" w:name="bookmark227"/>
      <w:r>
        <w:rPr>
          <w:rFonts w:ascii="Times New Roman" w:eastAsia="Times New Roman" w:hAnsi="Times New Roman" w:cs="Times New Roman"/>
          <w:color w:val="000000"/>
          <w:spacing w:val="0"/>
          <w:w w:val="100"/>
          <w:position w:val="0"/>
          <w:sz w:val="24"/>
          <w:szCs w:val="24"/>
        </w:rPr>
        <w:t>2</w:t>
      </w:r>
      <w:bookmarkEnd w:id="227"/>
      <w:r>
        <w:rPr>
          <w:color w:val="000000"/>
          <w:spacing w:val="0"/>
          <w:w w:val="100"/>
          <w:position w:val="0"/>
        </w:rPr>
        <w:t>、</w:t>
        <w:tab/>
        <w:t>收购深圳市国微电子有限公司剩余</w:t>
      </w:r>
      <w:r>
        <w:rPr>
          <w:rFonts w:ascii="Times New Roman" w:eastAsia="Times New Roman" w:hAnsi="Times New Roman" w:cs="Times New Roman"/>
          <w:color w:val="000000"/>
          <w:spacing w:val="0"/>
          <w:w w:val="100"/>
          <w:position w:val="0"/>
          <w:sz w:val="24"/>
          <w:szCs w:val="24"/>
        </w:rPr>
        <w:t>3.5122%</w:t>
      </w:r>
      <w:r>
        <w:rPr>
          <w:color w:val="000000"/>
          <w:spacing w:val="0"/>
          <w:w w:val="100"/>
          <w:position w:val="0"/>
        </w:rPr>
        <w:t>股权事项</w:t>
      </w:r>
    </w:p>
    <w:p>
      <w:pPr>
        <w:pStyle w:val="Style35"/>
        <w:keepNext w:val="0"/>
        <w:keepLines w:val="0"/>
        <w:widowControl w:val="0"/>
        <w:shd w:val="clear" w:color="auto" w:fill="auto"/>
        <w:bidi w:val="0"/>
        <w:spacing w:before="0" w:after="320" w:line="314"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日，经公司第四届董事会第二十五次会议审议通过，公司以自有资金</w:t>
      </w:r>
      <w:r>
        <w:rPr>
          <w:rFonts w:ascii="Times New Roman" w:eastAsia="Times New Roman" w:hAnsi="Times New Roman" w:cs="Times New Roman"/>
          <w:color w:val="000000"/>
          <w:spacing w:val="0"/>
          <w:w w:val="100"/>
          <w:position w:val="0"/>
          <w:sz w:val="24"/>
          <w:szCs w:val="24"/>
        </w:rPr>
        <w:t xml:space="preserve">4214.6 </w:t>
      </w:r>
      <w:r>
        <w:rPr>
          <w:rFonts w:ascii="Times New Roman" w:eastAsia="Times New Roman" w:hAnsi="Times New Roman" w:cs="Times New Roman"/>
          <w:color w:val="000000"/>
          <w:spacing w:val="0"/>
          <w:w w:val="100"/>
          <w:position w:val="0"/>
          <w:sz w:val="24"/>
          <w:szCs w:val="24"/>
        </w:rPr>
        <w:t>208</w:t>
      </w:r>
      <w:r>
        <w:rPr>
          <w:color w:val="000000"/>
          <w:spacing w:val="0"/>
          <w:w w:val="100"/>
          <w:position w:val="0"/>
        </w:rPr>
        <w:t>万元收购控股子公司深圳市国微电子有限公司其他</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名自然人股东持有的</w:t>
      </w:r>
      <w:r>
        <w:rPr>
          <w:rFonts w:ascii="Times New Roman" w:eastAsia="Times New Roman" w:hAnsi="Times New Roman" w:cs="Times New Roman"/>
          <w:color w:val="000000"/>
          <w:spacing w:val="0"/>
          <w:w w:val="100"/>
          <w:position w:val="0"/>
          <w:sz w:val="24"/>
          <w:szCs w:val="24"/>
        </w:rPr>
        <w:t>144</w:t>
      </w:r>
      <w:r>
        <w:rPr>
          <w:color w:val="000000"/>
          <w:spacing w:val="0"/>
          <w:w w:val="100"/>
          <w:position w:val="0"/>
        </w:rPr>
        <w:t>万股股份（ 占国微电子总股份数的</w:t>
      </w:r>
      <w:r>
        <w:rPr>
          <w:rFonts w:ascii="Times New Roman" w:eastAsia="Times New Roman" w:hAnsi="Times New Roman" w:cs="Times New Roman"/>
          <w:color w:val="000000"/>
          <w:spacing w:val="0"/>
          <w:w w:val="100"/>
          <w:position w:val="0"/>
          <w:sz w:val="24"/>
          <w:szCs w:val="24"/>
        </w:rPr>
        <w:t>3.5122%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日，国微电子各股东完成国微电子</w:t>
      </w:r>
      <w:r>
        <w:rPr>
          <w:rFonts w:ascii="Times New Roman" w:eastAsia="Times New Roman" w:hAnsi="Times New Roman" w:cs="Times New Roman"/>
          <w:color w:val="000000"/>
          <w:spacing w:val="0"/>
          <w:w w:val="100"/>
          <w:position w:val="0"/>
          <w:sz w:val="24"/>
          <w:szCs w:val="24"/>
        </w:rPr>
        <w:t xml:space="preserve">3.5122% </w:t>
      </w:r>
      <w:r>
        <w:rPr>
          <w:color w:val="000000"/>
          <w:spacing w:val="0"/>
          <w:w w:val="100"/>
          <w:position w:val="0"/>
        </w:rPr>
        <w:t>股权的过户手续及相关工商变更登记事宜，并取得了换发的《企业法人营业执照》，国微电 子成为本公司的全资子公司。</w:t>
      </w:r>
    </w:p>
    <w:p>
      <w:pPr>
        <w:pStyle w:val="Style23"/>
        <w:keepNext/>
        <w:keepLines/>
        <w:widowControl w:val="0"/>
        <w:shd w:val="clear" w:color="auto" w:fill="auto"/>
        <w:tabs>
          <w:tab w:pos="522" w:val="left"/>
        </w:tabs>
        <w:bidi w:val="0"/>
        <w:spacing w:before="0" w:after="320" w:line="312" w:lineRule="exact"/>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七</w:t>
      </w:r>
      <w:bookmarkEnd w:id="230"/>
      <w:r>
        <w:rPr>
          <w:color w:val="000000"/>
          <w:spacing w:val="0"/>
          <w:w w:val="100"/>
          <w:position w:val="0"/>
        </w:rPr>
        <w:t>、</w:t>
        <w:tab/>
        <w:t>公司子公司重要事项</w:t>
      </w:r>
      <w:bookmarkEnd w:id="228"/>
      <w:bookmarkEnd w:id="229"/>
      <w:bookmarkEnd w:id="231"/>
    </w:p>
    <w:p>
      <w:pPr>
        <w:pStyle w:val="Style35"/>
        <w:keepNext w:val="0"/>
        <w:keepLines w:val="0"/>
        <w:widowControl w:val="0"/>
        <w:shd w:val="clear" w:color="auto" w:fill="auto"/>
        <w:tabs>
          <w:tab w:pos="858" w:val="left"/>
        </w:tabs>
        <w:bidi w:val="0"/>
        <w:spacing w:before="0" w:after="0" w:line="276" w:lineRule="auto"/>
        <w:ind w:left="0" w:right="0" w:firstLine="480"/>
        <w:jc w:val="both"/>
      </w:pPr>
      <w:bookmarkStart w:id="232" w:name="bookmark232"/>
      <w:r>
        <w:rPr>
          <w:rFonts w:ascii="Times New Roman" w:eastAsia="Times New Roman" w:hAnsi="Times New Roman" w:cs="Times New Roman"/>
          <w:color w:val="000000"/>
          <w:spacing w:val="0"/>
          <w:w w:val="100"/>
          <w:position w:val="0"/>
          <w:sz w:val="24"/>
          <w:szCs w:val="24"/>
        </w:rPr>
        <w:t>1</w:t>
      </w:r>
      <w:bookmarkEnd w:id="232"/>
      <w:r>
        <w:rPr>
          <w:color w:val="000000"/>
          <w:spacing w:val="0"/>
          <w:w w:val="100"/>
          <w:position w:val="0"/>
        </w:rPr>
        <w:t>、</w:t>
        <w:tab/>
        <w:t>子公司名称变更情况</w:t>
      </w:r>
    </w:p>
    <w:p>
      <w:pPr>
        <w:pStyle w:val="Style35"/>
        <w:keepNext w:val="0"/>
        <w:keepLines w:val="0"/>
        <w:widowControl w:val="0"/>
        <w:shd w:val="clear" w:color="auto" w:fill="auto"/>
        <w:bidi w:val="0"/>
        <w:spacing w:before="0" w:after="0" w:line="318"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日，公司全资子公司唐山晶源旭丰电子有限公司收到唐山市工商行政管理局 下发的《企业（企业集团）名称变更核准通知书》，核准“唐山晶源旭丰电子有限公司”企 业名称变更为“唐山晶源电子有限公司”。公司于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日在玉田县工商行政管理局办 理完毕变更登记手续，并取得了换发的《企业法人营业执照》。</w:t>
      </w:r>
    </w:p>
    <w:p>
      <w:pPr>
        <w:pStyle w:val="Style35"/>
        <w:keepNext w:val="0"/>
        <w:keepLines w:val="0"/>
        <w:widowControl w:val="0"/>
        <w:shd w:val="clear" w:color="auto" w:fill="auto"/>
        <w:tabs>
          <w:tab w:pos="882" w:val="left"/>
        </w:tabs>
        <w:bidi w:val="0"/>
        <w:spacing w:before="0" w:after="0" w:line="307" w:lineRule="exact"/>
        <w:ind w:left="0" w:right="0" w:firstLine="480"/>
        <w:jc w:val="left"/>
      </w:pPr>
      <w:bookmarkStart w:id="233" w:name="bookmark233"/>
      <w:r>
        <w:rPr>
          <w:rFonts w:ascii="Times New Roman" w:eastAsia="Times New Roman" w:hAnsi="Times New Roman" w:cs="Times New Roman"/>
          <w:color w:val="000000"/>
          <w:spacing w:val="0"/>
          <w:w w:val="100"/>
          <w:position w:val="0"/>
          <w:sz w:val="24"/>
          <w:szCs w:val="24"/>
        </w:rPr>
        <w:t>2</w:t>
      </w:r>
      <w:bookmarkEnd w:id="233"/>
      <w:r>
        <w:rPr>
          <w:color w:val="000000"/>
          <w:spacing w:val="0"/>
          <w:w w:val="100"/>
          <w:position w:val="0"/>
        </w:rPr>
        <w:t>、</w:t>
        <w:tab/>
        <w:t>转让深圳市晶源健三电子有限公司股权情况</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深圳市晶源健三电子有限公司（以下简称“晶源健三”）是由公司与深圳市健三实业有 限公司（以下简称“健三实业”）、朱美玲女士共同投资设立的电子元器件贸易公司，公司 持有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股权，为公司控股子公司。</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为进一步整合公司资源、降低管理成本，规范公司运作，</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日，公司与健三实 业、朱美玲女士签署了《股权转让协议》，公司将持有的晶源健三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股权全部转让给健三 实业，转让价格以经审计的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年底晶源健三合并报表净资产值</w:t>
      </w:r>
      <w:r>
        <w:rPr>
          <w:rFonts w:ascii="Times New Roman" w:eastAsia="Times New Roman" w:hAnsi="Times New Roman" w:cs="Times New Roman"/>
          <w:color w:val="000000"/>
          <w:spacing w:val="0"/>
          <w:w w:val="100"/>
          <w:position w:val="0"/>
          <w:sz w:val="24"/>
          <w:szCs w:val="24"/>
        </w:rPr>
        <w:t>11,908,468.34</w:t>
      </w:r>
      <w:r>
        <w:rPr>
          <w:color w:val="000000"/>
          <w:spacing w:val="0"/>
          <w:w w:val="100"/>
          <w:position w:val="0"/>
        </w:rPr>
        <w:t xml:space="preserve">元为依据作价， </w:t>
      </w:r>
      <w:r>
        <w:rPr>
          <w:color w:val="000000"/>
          <w:spacing w:val="0"/>
          <w:w w:val="100"/>
          <w:position w:val="0"/>
        </w:rPr>
        <w:t>即</w:t>
      </w:r>
      <w:r>
        <w:rPr>
          <w:rFonts w:ascii="Times New Roman" w:eastAsia="Times New Roman" w:hAnsi="Times New Roman" w:cs="Times New Roman"/>
          <w:color w:val="000000"/>
          <w:spacing w:val="0"/>
          <w:w w:val="100"/>
          <w:position w:val="0"/>
          <w:sz w:val="24"/>
          <w:szCs w:val="24"/>
        </w:rPr>
        <w:t>5,954,234.17</w:t>
      </w:r>
      <w:r>
        <w:rPr>
          <w:color w:val="000000"/>
          <w:spacing w:val="0"/>
          <w:w w:val="100"/>
          <w:position w:val="0"/>
        </w:rPr>
        <w:t>元。本次股权转让完成后，公司不再持有晶源健三股权。</w:t>
      </w:r>
    </w:p>
    <w:p>
      <w:pPr>
        <w:pStyle w:val="Style35"/>
        <w:keepNext w:val="0"/>
        <w:keepLines w:val="0"/>
        <w:widowControl w:val="0"/>
        <w:shd w:val="clear" w:color="auto" w:fill="auto"/>
        <w:bidi w:val="0"/>
        <w:spacing w:before="0" w:after="0" w:line="314" w:lineRule="exact"/>
        <w:ind w:left="0" w:right="0" w:firstLine="480"/>
        <w:jc w:val="both"/>
      </w:pPr>
      <w:bookmarkStart w:id="234" w:name="bookmark234"/>
      <w:r>
        <w:rPr>
          <w:rFonts w:ascii="Times New Roman" w:eastAsia="Times New Roman" w:hAnsi="Times New Roman" w:cs="Times New Roman"/>
          <w:color w:val="000000"/>
          <w:spacing w:val="0"/>
          <w:w w:val="100"/>
          <w:position w:val="0"/>
          <w:sz w:val="24"/>
          <w:szCs w:val="24"/>
        </w:rPr>
        <w:t>3</w:t>
      </w:r>
      <w:bookmarkEnd w:id="234"/>
      <w:r>
        <w:rPr>
          <w:color w:val="000000"/>
          <w:spacing w:val="0"/>
          <w:w w:val="100"/>
          <w:position w:val="0"/>
        </w:rPr>
        <w:t>、国微电子投资设立全资子公司情况</w:t>
      </w:r>
    </w:p>
    <w:p>
      <w:pPr>
        <w:pStyle w:val="Style35"/>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根据国微电子战略发展需要，经公司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日召开的第五届董事会第二次会议审 议通过，国微电子在深圳投资设立了全资子公司深圳市同创国芯电子有限公司，并于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日完成注册登记事项，取得了深圳市市场监督管理局颁发的《企业法人营业执照》。</w:t>
      </w:r>
    </w:p>
    <w:p>
      <w:pPr>
        <w:pStyle w:val="Style35"/>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内容详见公司于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日刊登在《中国证券报》及巨潮资讯网 (</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)上的《关于全资子公司深圳市国微电子有限公司投资设立子公司</w:t>
      </w:r>
      <w:r>
        <w:rPr>
          <w:color w:val="000000"/>
          <w:spacing w:val="0"/>
          <w:w w:val="100"/>
          <w:position w:val="0"/>
        </w:rPr>
        <w:t xml:space="preserve"> 的公告》。</w:t>
      </w:r>
    </w:p>
    <w:p>
      <w:pPr>
        <w:pStyle w:val="Style11"/>
        <w:keepNext/>
        <w:keepLines/>
        <w:widowControl w:val="0"/>
        <w:shd w:val="clear" w:color="auto" w:fill="auto"/>
        <w:bidi w:val="0"/>
        <w:spacing w:before="0" w:after="540" w:line="240" w:lineRule="auto"/>
        <w:ind w:left="0" w:right="0" w:firstLine="0"/>
        <w:jc w:val="center"/>
      </w:pPr>
      <w:bookmarkStart w:id="235" w:name="bookmark235"/>
      <w:bookmarkStart w:id="236" w:name="bookmark236"/>
      <w:bookmarkStart w:id="237" w:name="bookmark237"/>
      <w:r>
        <w:rPr>
          <w:color w:val="000000"/>
          <w:spacing w:val="0"/>
          <w:w w:val="100"/>
          <w:position w:val="0"/>
        </w:rPr>
        <w:t>第六节股份变动及股东情况</w:t>
      </w:r>
      <w:bookmarkEnd w:id="235"/>
      <w:bookmarkEnd w:id="236"/>
      <w:bookmarkEnd w:id="237"/>
    </w:p>
    <w:p>
      <w:pPr>
        <w:pStyle w:val="Style23"/>
        <w:keepNext/>
        <w:keepLines/>
        <w:widowControl w:val="0"/>
        <w:shd w:val="clear" w:color="auto" w:fill="auto"/>
        <w:bidi w:val="0"/>
        <w:spacing w:before="0" w:after="360" w:line="240" w:lineRule="auto"/>
        <w:ind w:left="0" w:right="0" w:firstLine="0"/>
        <w:jc w:val="both"/>
      </w:pPr>
      <w:bookmarkStart w:id="238" w:name="bookmark238"/>
      <w:bookmarkStart w:id="239" w:name="bookmark239"/>
      <w:bookmarkStart w:id="240" w:name="bookmark240"/>
      <w:bookmarkStart w:id="241" w:name="bookmark241"/>
      <w:r>
        <w:rPr>
          <w:color w:val="000000"/>
          <w:spacing w:val="0"/>
          <w:w w:val="100"/>
          <w:position w:val="0"/>
        </w:rPr>
        <w:t>一</w:t>
      </w:r>
      <w:bookmarkEnd w:id="240"/>
      <w:r>
        <w:rPr>
          <w:color w:val="000000"/>
          <w:spacing w:val="0"/>
          <w:w w:val="100"/>
          <w:position w:val="0"/>
        </w:rPr>
        <w:t>、股份变动情况</w:t>
      </w:r>
      <w:bookmarkEnd w:id="238"/>
      <w:bookmarkEnd w:id="239"/>
      <w:bookmarkEnd w:id="241"/>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80"/>
        <w:gridCol w:w="662"/>
        <w:gridCol w:w="845"/>
        <w:gridCol w:w="653"/>
        <w:gridCol w:w="720"/>
        <w:gridCol w:w="902"/>
        <w:gridCol w:w="898"/>
        <w:gridCol w:w="1013"/>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203,973,312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203,973,312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200,522,188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179,996,106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180,746,106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23,977,206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92,968,011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92,968,011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296,941,323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303,408,984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23"/>
        <w:keepNext/>
        <w:keepLines/>
        <w:widowControl w:val="0"/>
        <w:shd w:val="clear" w:color="auto" w:fill="auto"/>
        <w:bidi w:val="0"/>
        <w:spacing w:before="0" w:after="120" w:line="240" w:lineRule="auto"/>
        <w:ind w:left="0" w:right="0" w:firstLine="0"/>
        <w:jc w:val="both"/>
      </w:pPr>
      <w:bookmarkStart w:id="242" w:name="bookmark242"/>
      <w:bookmarkStart w:id="243" w:name="bookmark243"/>
      <w:bookmarkStart w:id="244" w:name="bookmark244"/>
      <w:r>
        <w:rPr>
          <w:color w:val="000000"/>
          <w:spacing w:val="0"/>
          <w:w w:val="100"/>
          <w:position w:val="0"/>
        </w:rPr>
        <w:t>股份变动的原因</w:t>
      </w:r>
      <w:bookmarkEnd w:id="242"/>
      <w:bookmarkEnd w:id="243"/>
      <w:bookmarkEnd w:id="244"/>
    </w:p>
    <w:p>
      <w:pPr>
        <w:pStyle w:val="Style35"/>
        <w:keepNext w:val="0"/>
        <w:keepLines w:val="0"/>
        <w:widowControl w:val="0"/>
        <w:shd w:val="clear" w:color="auto" w:fill="auto"/>
        <w:bidi w:val="0"/>
        <w:spacing w:before="0" w:line="31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月，根据中国证监会《关于核准同方国芯电子股份有限公司向深圳市国微投资有 限公司等发行股份购买资产并募集配套资金的批复》（证监许可</w:t>
      </w:r>
      <w:r>
        <w:rPr>
          <w:rFonts w:ascii="Times New Roman" w:eastAsia="Times New Roman" w:hAnsi="Times New Roman" w:cs="Times New Roman"/>
          <w:color w:val="000000"/>
          <w:spacing w:val="0"/>
          <w:w w:val="100"/>
          <w:position w:val="0"/>
          <w:sz w:val="24"/>
          <w:szCs w:val="24"/>
        </w:rPr>
        <w:t>[2012]1726</w:t>
      </w:r>
      <w:r>
        <w:rPr>
          <w:color w:val="000000"/>
          <w:spacing w:val="0"/>
          <w:w w:val="100"/>
          <w:position w:val="0"/>
        </w:rPr>
        <w:t xml:space="preserve">号），公司向中 国中投证券有限责任公司、东方证券股份有限公司、工银瑞信基金管理有限公司非公开发行 </w:t>
      </w:r>
      <w:r>
        <w:rPr>
          <w:rFonts w:ascii="Times New Roman" w:eastAsia="Times New Roman" w:hAnsi="Times New Roman" w:cs="Times New Roman"/>
          <w:color w:val="000000"/>
          <w:spacing w:val="0"/>
          <w:w w:val="100"/>
          <w:position w:val="0"/>
          <w:sz w:val="24"/>
          <w:szCs w:val="24"/>
        </w:rPr>
        <w:t>6,467,661</w:t>
      </w:r>
      <w:r>
        <w:rPr>
          <w:color w:val="000000"/>
          <w:spacing w:val="0"/>
          <w:w w:val="100"/>
          <w:position w:val="0"/>
        </w:rPr>
        <w:t>股股份。另外，报告期内，前期离职监事和高级管理人员所持部分股份解除限售。</w:t>
      </w:r>
    </w:p>
    <w:p>
      <w:pPr>
        <w:pStyle w:val="Style23"/>
        <w:keepNext/>
        <w:keepLines/>
        <w:widowControl w:val="0"/>
        <w:shd w:val="clear" w:color="auto" w:fill="auto"/>
        <w:bidi w:val="0"/>
        <w:spacing w:before="0" w:after="120" w:line="312" w:lineRule="exact"/>
        <w:ind w:left="0" w:right="0" w:firstLine="0"/>
        <w:jc w:val="left"/>
      </w:pPr>
      <w:bookmarkStart w:id="245" w:name="bookmark245"/>
      <w:bookmarkStart w:id="246" w:name="bookmark246"/>
      <w:bookmarkStart w:id="247" w:name="bookmark247"/>
      <w:r>
        <w:rPr>
          <w:color w:val="000000"/>
          <w:spacing w:val="0"/>
          <w:w w:val="100"/>
          <w:position w:val="0"/>
        </w:rPr>
        <w:t>股份变动的批准情况</w:t>
      </w:r>
      <w:bookmarkEnd w:id="245"/>
      <w:bookmarkEnd w:id="246"/>
      <w:bookmarkEnd w:id="247"/>
    </w:p>
    <w:p>
      <w:pPr>
        <w:pStyle w:val="Style35"/>
        <w:keepNext w:val="0"/>
        <w:keepLines w:val="0"/>
        <w:widowControl w:val="0"/>
        <w:shd w:val="clear" w:color="auto" w:fill="auto"/>
        <w:bidi w:val="0"/>
        <w:spacing w:before="0" w:line="312" w:lineRule="exact"/>
        <w:ind w:left="0" w:right="0" w:firstLine="480"/>
        <w:jc w:val="both"/>
      </w:pPr>
      <w:r>
        <w:rPr>
          <w:color w:val="000000"/>
          <w:spacing w:val="0"/>
          <w:w w:val="100"/>
          <w:position w:val="0"/>
        </w:rPr>
        <w:t>中国证券监督管理委员会《关于核准同方国芯电子股份有限公司向深圳市国微投资有限 公司等发行股份购买资产并募集配套资金的批复》（证监许可</w:t>
      </w:r>
      <w:r>
        <w:rPr>
          <w:rFonts w:ascii="Times New Roman" w:eastAsia="Times New Roman" w:hAnsi="Times New Roman" w:cs="Times New Roman"/>
          <w:color w:val="000000"/>
          <w:spacing w:val="0"/>
          <w:w w:val="100"/>
          <w:position w:val="0"/>
          <w:sz w:val="24"/>
          <w:szCs w:val="24"/>
        </w:rPr>
        <w:t>[2012]1726</w:t>
      </w:r>
      <w:r>
        <w:rPr>
          <w:color w:val="000000"/>
          <w:spacing w:val="0"/>
          <w:w w:val="100"/>
          <w:position w:val="0"/>
        </w:rPr>
        <w:t>号），核准公司向 深圳市国微投资有限公司发行</w:t>
      </w:r>
      <w:r>
        <w:rPr>
          <w:rFonts w:ascii="Times New Roman" w:eastAsia="Times New Roman" w:hAnsi="Times New Roman" w:cs="Times New Roman"/>
          <w:color w:val="000000"/>
          <w:spacing w:val="0"/>
          <w:w w:val="100"/>
          <w:position w:val="0"/>
          <w:sz w:val="24"/>
          <w:szCs w:val="24"/>
        </w:rPr>
        <w:t>19,641,261</w:t>
      </w:r>
      <w:r>
        <w:rPr>
          <w:color w:val="000000"/>
          <w:spacing w:val="0"/>
          <w:w w:val="100"/>
          <w:position w:val="0"/>
        </w:rPr>
        <w:t xml:space="preserve">股股份、向深圳市天惠人投资有限公司发行 </w:t>
      </w:r>
      <w:r>
        <w:rPr>
          <w:rFonts w:ascii="Times New Roman" w:eastAsia="Times New Roman" w:hAnsi="Times New Roman" w:cs="Times New Roman"/>
          <w:color w:val="000000"/>
          <w:spacing w:val="0"/>
          <w:w w:val="100"/>
          <w:position w:val="0"/>
          <w:sz w:val="24"/>
          <w:szCs w:val="24"/>
        </w:rPr>
        <w:t>12,344,661</w:t>
      </w:r>
      <w:r>
        <w:rPr>
          <w:color w:val="000000"/>
          <w:spacing w:val="0"/>
          <w:w w:val="100"/>
          <w:position w:val="0"/>
        </w:rPr>
        <w:t>股股份、向深圳市弘久投资有限公司发行</w:t>
      </w:r>
      <w:r>
        <w:rPr>
          <w:rFonts w:ascii="Times New Roman" w:eastAsia="Times New Roman" w:hAnsi="Times New Roman" w:cs="Times New Roman"/>
          <w:color w:val="000000"/>
          <w:spacing w:val="0"/>
          <w:w w:val="100"/>
          <w:position w:val="0"/>
          <w:sz w:val="24"/>
          <w:szCs w:val="24"/>
        </w:rPr>
        <w:t>11,833,930</w:t>
      </w:r>
      <w:r>
        <w:rPr>
          <w:color w:val="000000"/>
          <w:spacing w:val="0"/>
          <w:w w:val="100"/>
          <w:position w:val="0"/>
        </w:rPr>
        <w:t>股股份、向深圳市鼎仁投资有 限公司发行</w:t>
      </w:r>
      <w:r>
        <w:rPr>
          <w:rFonts w:ascii="Times New Roman" w:eastAsia="Times New Roman" w:hAnsi="Times New Roman" w:cs="Times New Roman"/>
          <w:color w:val="000000"/>
          <w:spacing w:val="0"/>
          <w:w w:val="100"/>
          <w:position w:val="0"/>
          <w:sz w:val="24"/>
          <w:szCs w:val="24"/>
        </w:rPr>
        <w:t>6,433,912</w:t>
      </w:r>
      <w:r>
        <w:rPr>
          <w:color w:val="000000"/>
          <w:spacing w:val="0"/>
          <w:w w:val="100"/>
          <w:position w:val="0"/>
        </w:rPr>
        <w:t>股股份、向韩雷发行</w:t>
      </w:r>
      <w:r>
        <w:rPr>
          <w:rFonts w:ascii="Times New Roman" w:eastAsia="Times New Roman" w:hAnsi="Times New Roman" w:cs="Times New Roman"/>
          <w:color w:val="000000"/>
          <w:spacing w:val="0"/>
          <w:w w:val="100"/>
          <w:position w:val="0"/>
          <w:sz w:val="24"/>
          <w:szCs w:val="24"/>
        </w:rPr>
        <w:t>3,348,126</w:t>
      </w:r>
      <w:r>
        <w:rPr>
          <w:color w:val="000000"/>
          <w:spacing w:val="0"/>
          <w:w w:val="100"/>
          <w:position w:val="0"/>
        </w:rPr>
        <w:t>股股份、向袁佩良发行</w:t>
      </w:r>
      <w:r>
        <w:rPr>
          <w:rFonts w:ascii="Times New Roman" w:eastAsia="Times New Roman" w:hAnsi="Times New Roman" w:cs="Times New Roman"/>
          <w:color w:val="000000"/>
          <w:spacing w:val="0"/>
          <w:w w:val="100"/>
          <w:position w:val="0"/>
          <w:sz w:val="24"/>
          <w:szCs w:val="24"/>
        </w:rPr>
        <w:t>1,586,384</w:t>
      </w:r>
      <w:r>
        <w:rPr>
          <w:color w:val="000000"/>
          <w:spacing w:val="0"/>
          <w:w w:val="100"/>
          <w:position w:val="0"/>
        </w:rPr>
        <w:t>股股份购 买相关资产；核准公司非公开发行不超过</w:t>
      </w:r>
      <w:r>
        <w:rPr>
          <w:rFonts w:ascii="Times New Roman" w:eastAsia="Times New Roman" w:hAnsi="Times New Roman" w:cs="Times New Roman"/>
          <w:color w:val="000000"/>
          <w:spacing w:val="0"/>
          <w:w w:val="100"/>
          <w:position w:val="0"/>
          <w:sz w:val="24"/>
          <w:szCs w:val="24"/>
        </w:rPr>
        <w:t>6,885,600</w:t>
      </w:r>
      <w:r>
        <w:rPr>
          <w:color w:val="000000"/>
          <w:spacing w:val="0"/>
          <w:w w:val="100"/>
          <w:position w:val="0"/>
        </w:rPr>
        <w:t>股新股募集本次发行股份购买资产的配套 资金。</w:t>
      </w:r>
    </w:p>
    <w:p>
      <w:pPr>
        <w:pStyle w:val="Style23"/>
        <w:keepNext/>
        <w:keepLines/>
        <w:widowControl w:val="0"/>
        <w:shd w:val="clear" w:color="auto" w:fill="auto"/>
        <w:bidi w:val="0"/>
        <w:spacing w:before="0" w:after="120" w:line="312" w:lineRule="exact"/>
        <w:ind w:left="0" w:right="0" w:firstLine="0"/>
        <w:jc w:val="left"/>
      </w:pPr>
      <w:bookmarkStart w:id="248" w:name="bookmark248"/>
      <w:bookmarkStart w:id="249" w:name="bookmark249"/>
      <w:bookmarkStart w:id="250" w:name="bookmark250"/>
      <w:r>
        <w:rPr>
          <w:color w:val="000000"/>
          <w:spacing w:val="0"/>
          <w:w w:val="100"/>
          <w:position w:val="0"/>
        </w:rPr>
        <w:t>股份变动的过户情况</w:t>
      </w:r>
      <w:bookmarkEnd w:id="248"/>
      <w:bookmarkEnd w:id="249"/>
      <w:bookmarkEnd w:id="250"/>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公司向中国中投证券有限责任公司、东方证券股份有限公司、工银瑞信基金管理有限公 司非公开发行的</w:t>
      </w:r>
      <w:r>
        <w:rPr>
          <w:rFonts w:ascii="Times New Roman" w:eastAsia="Times New Roman" w:hAnsi="Times New Roman" w:cs="Times New Roman"/>
          <w:color w:val="000000"/>
          <w:spacing w:val="0"/>
          <w:w w:val="100"/>
          <w:position w:val="0"/>
          <w:sz w:val="24"/>
          <w:szCs w:val="24"/>
        </w:rPr>
        <w:t>6,467,661</w:t>
      </w:r>
      <w:r>
        <w:rPr>
          <w:color w:val="000000"/>
          <w:spacing w:val="0"/>
          <w:w w:val="100"/>
          <w:position w:val="0"/>
        </w:rPr>
        <w:t>股股份，于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日在中国证券登记结算有限责任公司深圳分 公司办理完毕登记手续，于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日在深圳证券交易所上市，股份性质为有限售条件的 流通股。</w:t>
      </w:r>
    </w:p>
    <w:p>
      <w:pPr>
        <w:pStyle w:val="Style23"/>
        <w:keepNext/>
        <w:keepLines/>
        <w:widowControl w:val="0"/>
        <w:shd w:val="clear" w:color="auto" w:fill="auto"/>
        <w:bidi w:val="0"/>
        <w:spacing w:before="0" w:after="34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二</w:t>
      </w:r>
      <w:bookmarkEnd w:id="253"/>
      <w:r>
        <w:rPr>
          <w:color w:val="000000"/>
          <w:spacing w:val="0"/>
          <w:w w:val="100"/>
          <w:position w:val="0"/>
        </w:rPr>
        <w:t>、证券发行与上市情况</w:t>
      </w:r>
      <w:bookmarkEnd w:id="251"/>
      <w:bookmarkEnd w:id="252"/>
      <w:bookmarkEnd w:id="254"/>
    </w:p>
    <w:p>
      <w:pPr>
        <w:pStyle w:val="Style35"/>
        <w:keepNext w:val="0"/>
        <w:keepLines w:val="0"/>
        <w:widowControl w:val="0"/>
        <w:shd w:val="clear" w:color="auto" w:fill="auto"/>
        <w:bidi w:val="0"/>
        <w:spacing w:before="0" w:after="340" w:line="240" w:lineRule="auto"/>
        <w:ind w:left="0" w:right="0" w:firstLine="0"/>
        <w:jc w:val="left"/>
        <w:rPr>
          <w:sz w:val="20"/>
          <w:szCs w:val="20"/>
        </w:rPr>
      </w:pPr>
      <w:bookmarkStart w:id="255" w:name="bookmark255"/>
      <w:r>
        <w:rPr>
          <w:rFonts w:ascii="Times New Roman" w:eastAsia="Times New Roman" w:hAnsi="Times New Roman" w:cs="Times New Roman"/>
          <w:b/>
          <w:bCs/>
          <w:color w:val="000000"/>
          <w:spacing w:val="0"/>
          <w:w w:val="100"/>
          <w:position w:val="0"/>
          <w:sz w:val="20"/>
          <w:szCs w:val="20"/>
        </w:rPr>
        <w:t>1</w:t>
      </w:r>
      <w:bookmarkEnd w:id="255"/>
      <w:r>
        <w:rPr>
          <w:b/>
          <w:bCs/>
          <w:color w:val="000000"/>
          <w:spacing w:val="0"/>
          <w:w w:val="100"/>
          <w:position w:val="0"/>
          <w:sz w:val="20"/>
          <w:szCs w:val="20"/>
        </w:rPr>
        <w:t>、报告期末近三年历次证券发行情况</w:t>
      </w:r>
    </w:p>
    <w:tbl>
      <w:tblPr>
        <w:tblOverlap w:val="never"/>
        <w:jc w:val="center"/>
        <w:tblLayout w:type="fixed"/>
      </w:tblPr>
      <w:tblGrid>
        <w:gridCol w:w="1378"/>
        <w:gridCol w:w="1690"/>
        <w:gridCol w:w="1042"/>
        <w:gridCol w:w="1368"/>
        <w:gridCol w:w="1550"/>
        <w:gridCol w:w="1186"/>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晶源电子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106,753,049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55,188,274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widowControl w:val="0"/>
        <w:spacing w:after="119" w:line="1" w:lineRule="exact"/>
      </w:pPr>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24"/>
          <w:szCs w:val="24"/>
        </w:rPr>
        <w:t>[2012]340</w:t>
      </w:r>
      <w:r>
        <w:rPr>
          <w:color w:val="000000"/>
          <w:spacing w:val="0"/>
          <w:w w:val="100"/>
          <w:position w:val="0"/>
        </w:rPr>
        <w:t>号文核准，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月，公司以非公开发行股票的方式向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家特定投资者发行了 </w:t>
      </w:r>
      <w:r>
        <w:rPr>
          <w:rFonts w:ascii="Times New Roman" w:eastAsia="Times New Roman" w:hAnsi="Times New Roman" w:cs="Times New Roman"/>
          <w:color w:val="000000"/>
          <w:spacing w:val="0"/>
          <w:w w:val="100"/>
          <w:position w:val="0"/>
          <w:sz w:val="24"/>
          <w:szCs w:val="24"/>
        </w:rPr>
        <w:t>106,753,049</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股），每股发行价</w:t>
      </w:r>
      <w:r>
        <w:rPr>
          <w:rFonts w:ascii="Times New Roman" w:eastAsia="Times New Roman" w:hAnsi="Times New Roman" w:cs="Times New Roman"/>
          <w:color w:val="000000"/>
          <w:spacing w:val="0"/>
          <w:w w:val="100"/>
          <w:position w:val="0"/>
          <w:sz w:val="24"/>
          <w:szCs w:val="24"/>
        </w:rPr>
        <w:t>13.97</w:t>
      </w:r>
      <w:r>
        <w:rPr>
          <w:color w:val="000000"/>
          <w:spacing w:val="0"/>
          <w:w w:val="100"/>
          <w:position w:val="0"/>
        </w:rPr>
        <w:t xml:space="preserve">元，该股份于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sz w:val="24"/>
          <w:szCs w:val="24"/>
        </w:rPr>
        <w:t>135,000,000</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241,753,049</w:t>
      </w:r>
      <w:r>
        <w:rPr>
          <w:color w:val="000000"/>
          <w:spacing w:val="0"/>
          <w:w w:val="100"/>
          <w:position w:val="0"/>
        </w:rPr>
        <w:t>股。</w:t>
      </w:r>
    </w:p>
    <w:p>
      <w:pPr>
        <w:pStyle w:val="Style35"/>
        <w:keepNext w:val="0"/>
        <w:keepLines w:val="0"/>
        <w:widowControl w:val="0"/>
        <w:shd w:val="clear" w:color="auto" w:fill="auto"/>
        <w:bidi w:val="0"/>
        <w:spacing w:before="0" w:line="310" w:lineRule="exact"/>
        <w:ind w:left="0" w:right="0" w:firstLine="48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24"/>
          <w:szCs w:val="24"/>
        </w:rPr>
        <w:t>[2012]1726</w:t>
      </w:r>
      <w:r>
        <w:rPr>
          <w:color w:val="000000"/>
          <w:spacing w:val="0"/>
          <w:w w:val="100"/>
          <w:position w:val="0"/>
        </w:rPr>
        <w:t>号文核准，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月，公司以非公开发行股票的方式 向</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家特定投资者发行了</w:t>
      </w:r>
      <w:r>
        <w:rPr>
          <w:rFonts w:ascii="Times New Roman" w:eastAsia="Times New Roman" w:hAnsi="Times New Roman" w:cs="Times New Roman"/>
          <w:color w:val="000000"/>
          <w:spacing w:val="0"/>
          <w:w w:val="100"/>
          <w:position w:val="0"/>
          <w:sz w:val="24"/>
          <w:szCs w:val="24"/>
        </w:rPr>
        <w:t>55,188,274</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股），每股发行价</w:t>
      </w:r>
      <w:r>
        <w:rPr>
          <w:rFonts w:ascii="Times New Roman" w:eastAsia="Times New Roman" w:hAnsi="Times New Roman" w:cs="Times New Roman"/>
          <w:color w:val="000000"/>
          <w:spacing w:val="0"/>
          <w:w w:val="100"/>
          <w:position w:val="0"/>
          <w:sz w:val="24"/>
          <w:szCs w:val="24"/>
        </w:rPr>
        <w:t>20.98</w:t>
      </w:r>
      <w:r>
        <w:rPr>
          <w:color w:val="000000"/>
          <w:spacing w:val="0"/>
          <w:w w:val="100"/>
          <w:position w:val="0"/>
        </w:rPr>
        <w:t xml:space="preserve">元，该股份于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sz w:val="24"/>
          <w:szCs w:val="24"/>
        </w:rPr>
        <w:t>241,753,049</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296,941,323</w:t>
      </w:r>
      <w:r>
        <w:rPr>
          <w:color w:val="000000"/>
          <w:spacing w:val="0"/>
          <w:w w:val="100"/>
          <w:position w:val="0"/>
        </w:rPr>
        <w:t>股。</w:t>
      </w:r>
    </w:p>
    <w:p>
      <w:pPr>
        <w:pStyle w:val="Style35"/>
        <w:keepNext w:val="0"/>
        <w:keepLines w:val="0"/>
        <w:widowControl w:val="0"/>
        <w:shd w:val="clear" w:color="auto" w:fill="auto"/>
        <w:bidi w:val="0"/>
        <w:spacing w:before="0" w:after="340" w:line="312" w:lineRule="exact"/>
        <w:ind w:left="0" w:right="0" w:firstLine="48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24"/>
          <w:szCs w:val="24"/>
        </w:rPr>
        <w:t>[2012]1726</w:t>
      </w:r>
      <w:r>
        <w:rPr>
          <w:color w:val="000000"/>
          <w:spacing w:val="0"/>
          <w:w w:val="100"/>
          <w:position w:val="0"/>
        </w:rPr>
        <w:t>号文核准，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月，公司以非公开发行股票的方式 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家特定投资者发行了</w:t>
      </w:r>
      <w:r>
        <w:rPr>
          <w:rFonts w:ascii="Times New Roman" w:eastAsia="Times New Roman" w:hAnsi="Times New Roman" w:cs="Times New Roman"/>
          <w:color w:val="000000"/>
          <w:spacing w:val="0"/>
          <w:w w:val="100"/>
          <w:position w:val="0"/>
          <w:sz w:val="24"/>
          <w:szCs w:val="24"/>
        </w:rPr>
        <w:t>6,467,661</w:t>
      </w:r>
      <w:r>
        <w:rPr>
          <w:color w:val="000000"/>
          <w:spacing w:val="0"/>
          <w:w w:val="100"/>
          <w:position w:val="0"/>
        </w:rPr>
        <w:t>股人民币普通股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股），每股发行价</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元，该股份于</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sz w:val="24"/>
          <w:szCs w:val="24"/>
        </w:rPr>
        <w:t>296,941,323</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303,408,984</w:t>
      </w:r>
      <w:r>
        <w:rPr>
          <w:color w:val="000000"/>
          <w:spacing w:val="0"/>
          <w:w w:val="100"/>
          <w:position w:val="0"/>
        </w:rPr>
        <w:t>股。</w:t>
      </w:r>
    </w:p>
    <w:p>
      <w:pPr>
        <w:pStyle w:val="Style44"/>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、公司股份总数及股东结构的变动、公司资产和负债结构的变动情况说明</w:t>
      </w:r>
      <w:bookmarkEnd w:id="256"/>
      <w:bookmarkEnd w:id="257"/>
      <w:bookmarkEnd w:id="259"/>
    </w:p>
    <w:p>
      <w:pPr>
        <w:pStyle w:val="Style35"/>
        <w:keepNext w:val="0"/>
        <w:keepLines w:val="0"/>
        <w:widowControl w:val="0"/>
        <w:shd w:val="clear" w:color="auto" w:fill="auto"/>
        <w:bidi w:val="0"/>
        <w:spacing w:before="0" w:line="310"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月，公司实施了非公开发行股份募集配套资金方案，公司新增限售流通股 </w:t>
      </w:r>
      <w:r>
        <w:rPr>
          <w:rFonts w:ascii="Times New Roman" w:eastAsia="Times New Roman" w:hAnsi="Times New Roman" w:cs="Times New Roman"/>
          <w:color w:val="000000"/>
          <w:spacing w:val="0"/>
          <w:w w:val="100"/>
          <w:position w:val="0"/>
          <w:sz w:val="24"/>
          <w:szCs w:val="24"/>
        </w:rPr>
        <w:t>6,467,661</w:t>
      </w:r>
      <w:r>
        <w:rPr>
          <w:color w:val="000000"/>
          <w:spacing w:val="0"/>
          <w:w w:val="100"/>
          <w:position w:val="0"/>
        </w:rPr>
        <w:t>股，新增股份于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日在深圳证券交易所上市，公司总股本由</w:t>
      </w:r>
      <w:r>
        <w:rPr>
          <w:rFonts w:ascii="Times New Roman" w:eastAsia="Times New Roman" w:hAnsi="Times New Roman" w:cs="Times New Roman"/>
          <w:color w:val="000000"/>
          <w:spacing w:val="0"/>
          <w:w w:val="100"/>
          <w:position w:val="0"/>
          <w:sz w:val="24"/>
          <w:szCs w:val="24"/>
        </w:rPr>
        <w:t xml:space="preserve">296,941,323 </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303,408,984</w:t>
      </w:r>
      <w:r>
        <w:rPr>
          <w:color w:val="000000"/>
          <w:spacing w:val="0"/>
          <w:w w:val="100"/>
          <w:position w:val="0"/>
        </w:rPr>
        <w:t>股。</w:t>
      </w:r>
    </w:p>
    <w:p>
      <w:pPr>
        <w:pStyle w:val="Style35"/>
        <w:keepNext w:val="0"/>
        <w:keepLines w:val="0"/>
        <w:widowControl w:val="0"/>
        <w:shd w:val="clear" w:color="auto" w:fill="auto"/>
        <w:bidi w:val="0"/>
        <w:spacing w:before="0" w:after="340" w:line="298" w:lineRule="exact"/>
        <w:ind w:left="0" w:right="0" w:firstLine="480"/>
        <w:jc w:val="both"/>
      </w:pPr>
      <w:r>
        <w:rPr>
          <w:color w:val="000000"/>
          <w:spacing w:val="0"/>
          <w:w w:val="100"/>
          <w:position w:val="0"/>
        </w:rPr>
        <w:t xml:space="preserve">本次发行后，公司控股股东同方股份有限公司所持本公司股份未发生变化，仍持有公司 </w:t>
      </w:r>
      <w:r>
        <w:rPr>
          <w:rFonts w:ascii="Times New Roman" w:eastAsia="Times New Roman" w:hAnsi="Times New Roman" w:cs="Times New Roman"/>
          <w:color w:val="000000"/>
          <w:spacing w:val="0"/>
          <w:w w:val="100"/>
          <w:position w:val="0"/>
          <w:sz w:val="24"/>
          <w:szCs w:val="24"/>
        </w:rPr>
        <w:t>125,557,622</w:t>
      </w:r>
      <w:r>
        <w:rPr>
          <w:color w:val="000000"/>
          <w:spacing w:val="0"/>
          <w:w w:val="100"/>
          <w:position w:val="0"/>
        </w:rPr>
        <w:t>股，持股比例由</w:t>
      </w:r>
      <w:r>
        <w:rPr>
          <w:rFonts w:ascii="Times New Roman" w:eastAsia="Times New Roman" w:hAnsi="Times New Roman" w:cs="Times New Roman"/>
          <w:color w:val="000000"/>
          <w:spacing w:val="0"/>
          <w:w w:val="100"/>
          <w:position w:val="0"/>
          <w:sz w:val="24"/>
          <w:szCs w:val="24"/>
        </w:rPr>
        <w:t>42.28%</w:t>
      </w:r>
      <w:r>
        <w:rPr>
          <w:color w:val="000000"/>
          <w:spacing w:val="0"/>
          <w:w w:val="100"/>
          <w:position w:val="0"/>
        </w:rPr>
        <w:t>降低至</w:t>
      </w:r>
      <w:r>
        <w:rPr>
          <w:rFonts w:ascii="Times New Roman" w:eastAsia="Times New Roman" w:hAnsi="Times New Roman" w:cs="Times New Roman"/>
          <w:color w:val="000000"/>
          <w:spacing w:val="0"/>
          <w:w w:val="100"/>
          <w:position w:val="0"/>
          <w:sz w:val="24"/>
          <w:szCs w:val="24"/>
        </w:rPr>
        <w:t>41.38%</w:t>
      </w:r>
      <w:r>
        <w:rPr>
          <w:color w:val="000000"/>
          <w:spacing w:val="0"/>
          <w:w w:val="100"/>
          <w:position w:val="0"/>
        </w:rPr>
        <w:t>。</w:t>
      </w:r>
    </w:p>
    <w:p>
      <w:pPr>
        <w:pStyle w:val="Style23"/>
        <w:keepNext/>
        <w:keepLines/>
        <w:widowControl w:val="0"/>
        <w:shd w:val="clear" w:color="auto" w:fill="auto"/>
        <w:bidi w:val="0"/>
        <w:spacing w:before="0" w:after="340" w:line="310"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三</w:t>
      </w:r>
      <w:bookmarkEnd w:id="262"/>
      <w:r>
        <w:rPr>
          <w:color w:val="000000"/>
          <w:spacing w:val="0"/>
          <w:w w:val="100"/>
          <w:position w:val="0"/>
        </w:rPr>
        <w:t>、股东和实际控制人情况</w:t>
      </w:r>
      <w:bookmarkEnd w:id="260"/>
      <w:bookmarkEnd w:id="261"/>
      <w:bookmarkEnd w:id="263"/>
    </w:p>
    <w:p>
      <w:pPr>
        <w:pStyle w:val="Style44"/>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、公司股东数量及持股情况</w:t>
      </w:r>
      <w:bookmarkEnd w:id="264"/>
      <w:bookmarkEnd w:id="265"/>
      <w:bookmarkEnd w:id="267"/>
    </w:p>
    <w:p>
      <w:pPr>
        <w:pStyle w:val="Style30"/>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1368"/>
        <w:gridCol w:w="1368"/>
        <w:gridCol w:w="859"/>
        <w:gridCol w:w="802"/>
        <w:gridCol w:w="797"/>
        <w:gridCol w:w="797"/>
        <w:gridCol w:w="854"/>
        <w:gridCol w:w="1142"/>
        <w:gridCol w:w="1603"/>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持有有限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bl>
    <w:p>
      <w:pPr>
        <w:spacing w:lineRule="exact" w:line="1"/>
        <w:rPr>
          <w:sz w:val="2"/>
          <w:szCs w:val="2"/>
        </w:rPr>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增减变动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同方股份有限公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深圳市国微投资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深圳市天惠人投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深圳市弘久投资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中国银行一工银 瑞信核心价值股 票型证券投资基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阎永江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深圳市鼎仁投资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北京清晶微科技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东方证券股份有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[2012]340</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月，公司向同方股份有限公司发 行</w:t>
            </w:r>
            <w:r>
              <w:rPr>
                <w:rFonts w:ascii="Times New Roman" w:eastAsia="Times New Roman" w:hAnsi="Times New Roman" w:cs="Times New Roman"/>
                <w:color w:val="000000"/>
                <w:spacing w:val="0"/>
                <w:w w:val="100"/>
                <w:position w:val="0"/>
                <w:sz w:val="18"/>
                <w:szCs w:val="18"/>
              </w:rPr>
              <w:t>91,807,622</w:t>
            </w:r>
            <w:r>
              <w:rPr>
                <w:color w:val="000000"/>
                <w:spacing w:val="0"/>
                <w:w w:val="100"/>
                <w:position w:val="0"/>
              </w:rPr>
              <w:t>股股份、向北京清晶微科技有限公司发行</w:t>
            </w:r>
            <w:r>
              <w:rPr>
                <w:rFonts w:ascii="Times New Roman" w:eastAsia="Times New Roman" w:hAnsi="Times New Roman" w:cs="Times New Roman"/>
                <w:color w:val="000000"/>
                <w:spacing w:val="0"/>
                <w:w w:val="100"/>
                <w:position w:val="0"/>
                <w:sz w:val="18"/>
                <w:szCs w:val="18"/>
              </w:rPr>
              <w:t>4,184,720</w:t>
            </w:r>
            <w:r>
              <w:rPr>
                <w:color w:val="000000"/>
                <w:spacing w:val="0"/>
                <w:w w:val="100"/>
                <w:position w:val="0"/>
              </w:rPr>
              <w:t>股股份、向赵维健发 行</w:t>
            </w:r>
            <w:r>
              <w:rPr>
                <w:rFonts w:ascii="Times New Roman" w:eastAsia="Times New Roman" w:hAnsi="Times New Roman" w:cs="Times New Roman"/>
                <w:color w:val="000000"/>
                <w:spacing w:val="0"/>
                <w:w w:val="100"/>
                <w:position w:val="0"/>
                <w:sz w:val="18"/>
                <w:szCs w:val="18"/>
              </w:rPr>
              <w:t>3,736,357</w:t>
            </w:r>
            <w:r>
              <w:rPr>
                <w:color w:val="000000"/>
                <w:spacing w:val="0"/>
                <w:w w:val="100"/>
                <w:position w:val="0"/>
              </w:rPr>
              <w:t>股股份，股份锁定期为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日；经中国证监 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2012]1726</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月，公司向深圳市国微投资有限公司发行 </w:t>
            </w:r>
            <w:r>
              <w:rPr>
                <w:rFonts w:ascii="Times New Roman" w:eastAsia="Times New Roman" w:hAnsi="Times New Roman" w:cs="Times New Roman"/>
                <w:color w:val="000000"/>
                <w:spacing w:val="0"/>
                <w:w w:val="100"/>
                <w:position w:val="0"/>
                <w:sz w:val="18"/>
                <w:szCs w:val="18"/>
              </w:rPr>
              <w:t>19,641,261</w:t>
            </w:r>
            <w:r>
              <w:rPr>
                <w:color w:val="000000"/>
                <w:spacing w:val="0"/>
                <w:w w:val="100"/>
                <w:position w:val="0"/>
              </w:rPr>
              <w:t>股股份、向深圳市天惠人投资有限公司发行</w:t>
            </w:r>
            <w:r>
              <w:rPr>
                <w:rFonts w:ascii="Times New Roman" w:eastAsia="Times New Roman" w:hAnsi="Times New Roman" w:cs="Times New Roman"/>
                <w:color w:val="000000"/>
                <w:spacing w:val="0"/>
                <w:w w:val="100"/>
                <w:position w:val="0"/>
                <w:sz w:val="18"/>
                <w:szCs w:val="18"/>
              </w:rPr>
              <w:t>12,344,661</w:t>
            </w:r>
            <w:r>
              <w:rPr>
                <w:color w:val="000000"/>
                <w:spacing w:val="0"/>
                <w:w w:val="100"/>
                <w:position w:val="0"/>
              </w:rPr>
              <w:t>股股份、向深圳市弘 久投资有限公司发行</w:t>
            </w:r>
            <w:r>
              <w:rPr>
                <w:rFonts w:ascii="Times New Roman" w:eastAsia="Times New Roman" w:hAnsi="Times New Roman" w:cs="Times New Roman"/>
                <w:color w:val="000000"/>
                <w:spacing w:val="0"/>
                <w:w w:val="100"/>
                <w:position w:val="0"/>
                <w:sz w:val="18"/>
                <w:szCs w:val="18"/>
              </w:rPr>
              <w:t>11,833,930</w:t>
            </w:r>
            <w:r>
              <w:rPr>
                <w:color w:val="000000"/>
                <w:spacing w:val="0"/>
                <w:w w:val="100"/>
                <w:position w:val="0"/>
              </w:rPr>
              <w:t>股股份、向深圳市鼎仁投资有限公司发行</w:t>
            </w:r>
            <w:r>
              <w:rPr>
                <w:rFonts w:ascii="Times New Roman" w:eastAsia="Times New Roman" w:hAnsi="Times New Roman" w:cs="Times New Roman"/>
                <w:color w:val="000000"/>
                <w:spacing w:val="0"/>
                <w:w w:val="100"/>
                <w:position w:val="0"/>
                <w:sz w:val="18"/>
                <w:szCs w:val="18"/>
              </w:rPr>
              <w:t>6,433,912</w:t>
            </w:r>
            <w:r>
              <w:rPr>
                <w:color w:val="000000"/>
                <w:spacing w:val="0"/>
                <w:w w:val="100"/>
                <w:position w:val="0"/>
              </w:rPr>
              <w:t>股 股份，股份锁定期为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日；经中国证监会证监许可 </w:t>
            </w:r>
            <w:r>
              <w:rPr>
                <w:rFonts w:ascii="Times New Roman" w:eastAsia="Times New Roman" w:hAnsi="Times New Roman" w:cs="Times New Roman"/>
                <w:color w:val="000000"/>
                <w:spacing w:val="0"/>
                <w:w w:val="100"/>
                <w:position w:val="0"/>
                <w:sz w:val="18"/>
                <w:szCs w:val="18"/>
              </w:rPr>
              <w:t>[2012]1726</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月，公司向中国银行一工银瑞信核心价值股票型证券投 资基金发行</w:t>
            </w:r>
            <w:r>
              <w:rPr>
                <w:rFonts w:ascii="Times New Roman" w:eastAsia="Times New Roman" w:hAnsi="Times New Roman" w:cs="Times New Roman"/>
                <w:color w:val="000000"/>
                <w:spacing w:val="0"/>
                <w:w w:val="100"/>
                <w:position w:val="0"/>
                <w:sz w:val="18"/>
                <w:szCs w:val="18"/>
              </w:rPr>
              <w:t>2,717,661</w:t>
            </w:r>
            <w:r>
              <w:rPr>
                <w:color w:val="000000"/>
                <w:spacing w:val="0"/>
                <w:w w:val="100"/>
                <w:position w:val="0"/>
              </w:rPr>
              <w:t>股股份，向东方证券股份有限公司发行</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股股份，股份锁 定期为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上述股东中，赵维健为北京清晶微科技有限公司董事，并持有北京清晶微科技有限公司 </w:t>
            </w:r>
            <w:r>
              <w:rPr>
                <w:rFonts w:ascii="Times New Roman" w:eastAsia="Times New Roman" w:hAnsi="Times New Roman" w:cs="Times New Roman"/>
                <w:color w:val="000000"/>
                <w:spacing w:val="0"/>
                <w:w w:val="100"/>
                <w:position w:val="0"/>
                <w:sz w:val="18"/>
                <w:szCs w:val="18"/>
              </w:rPr>
              <w:t>35.71%</w:t>
            </w:r>
            <w:r>
              <w:rPr>
                <w:color w:val="000000"/>
                <w:spacing w:val="0"/>
                <w:w w:val="100"/>
                <w:position w:val="0"/>
              </w:rPr>
              <w:t>的股权。</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阎永江</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7,004,660</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22" w:right="1061" w:bottom="1465" w:left="1057" w:header="0" w:footer="3" w:gutter="0"/>
          <w:cols w:space="720"/>
          <w:noEndnote/>
          <w:rtlGutter w:val="0"/>
          <w:docGrid w:linePitch="360"/>
        </w:sectPr>
      </w:pPr>
    </w:p>
    <w:tbl>
      <w:tblPr>
        <w:tblOverlap w:val="never"/>
        <w:jc w:val="center"/>
        <w:tblLayout w:type="fixed"/>
      </w:tblPr>
      <w:tblGrid>
        <w:gridCol w:w="2736"/>
        <w:gridCol w:w="4109"/>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中国银行一工银瑞信核心价值股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全国社保基金一零八组合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全国社保基金一一六组合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中国工商银行一汇添富均衡增长 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1,636,233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中国农业银行一汇添富社会责任 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国泰证券投资信托股份有限公司 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1,548,496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交通银行一华安策略优选股票型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中国农业银行一中海分红增利混 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1,274,640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名无限售条件股东中，中国工商银行一汇添富均衡增长股票型证券投资基金、中 国农业银行一汇添富社会责任股票型证券投资基金同属于汇添富基金管理股份有限公 司，除此以外，公司未知其他股东之间是否存在关联关系，也未知其他股东之间是否属 于《上市公司收购管理办法》中规定的一致行动人。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公司股东东方证券股份有限公司除通过普通证券账户持有</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股外，还通过中国 证券金融股份有限公司转融通担保证券账户持有</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4,000,000 </w:t>
            </w:r>
            <w:r>
              <w:rPr>
                <w:color w:val="000000"/>
                <w:spacing w:val="0"/>
                <w:w w:val="100"/>
                <w:position w:val="0"/>
              </w:rPr>
              <w:t>股。</w:t>
            </w:r>
          </w:p>
        </w:tc>
      </w:tr>
    </w:tbl>
    <w:p>
      <w:pPr>
        <w:widowControl w:val="0"/>
        <w:spacing w:after="139" w:line="1" w:lineRule="exact"/>
      </w:pPr>
    </w:p>
    <w:p>
      <w:pPr>
        <w:pStyle w:val="Style23"/>
        <w:keepNext/>
        <w:keepLines/>
        <w:widowControl w:val="0"/>
        <w:shd w:val="clear" w:color="auto" w:fill="auto"/>
        <w:bidi w:val="0"/>
        <w:spacing w:before="0" w:after="100" w:line="240" w:lineRule="auto"/>
        <w:ind w:left="0" w:right="0" w:firstLine="0"/>
        <w:jc w:val="left"/>
      </w:pPr>
      <w:bookmarkStart w:id="268" w:name="bookmark268"/>
      <w:bookmarkStart w:id="269" w:name="bookmark269"/>
      <w:bookmarkStart w:id="270" w:name="bookmark270"/>
      <w:r>
        <w:rPr>
          <w:color w:val="000000"/>
          <w:spacing w:val="0"/>
          <w:w w:val="100"/>
          <w:position w:val="0"/>
        </w:rPr>
        <w:t>公司股东在报告期内是否进行约定购回交易</w:t>
      </w:r>
      <w:bookmarkEnd w:id="268"/>
      <w:bookmarkEnd w:id="269"/>
      <w:bookmarkEnd w:id="270"/>
    </w:p>
    <w:p>
      <w:pPr>
        <w:pStyle w:val="Style44"/>
        <w:keepNext/>
        <w:keepLines/>
        <w:widowControl w:val="0"/>
        <w:shd w:val="clear" w:color="auto" w:fill="auto"/>
        <w:bidi w:val="0"/>
        <w:spacing w:before="0" w:after="0" w:line="314" w:lineRule="exact"/>
        <w:ind w:left="0" w:right="0" w:firstLine="0"/>
        <w:jc w:val="left"/>
      </w:pPr>
      <w:bookmarkStart w:id="271" w:name="bookmark271"/>
      <w:bookmarkStart w:id="272" w:name="bookmark272"/>
      <w:bookmarkStart w:id="273" w:name="bookmark273"/>
      <w:r>
        <w:rPr>
          <w:i/>
          <w:iCs/>
          <w:color w:val="000000"/>
          <w:spacing w:val="0"/>
          <w:w w:val="100"/>
          <w:position w:val="0"/>
        </w:rPr>
        <w:t>』</w:t>
      </w:r>
      <w:r>
        <w:rPr>
          <w:color w:val="000000"/>
          <w:spacing w:val="0"/>
          <w:w w:val="100"/>
          <w:position w:val="0"/>
        </w:rPr>
        <w:t>是口否</w:t>
      </w:r>
      <w:bookmarkEnd w:id="271"/>
      <w:bookmarkEnd w:id="272"/>
      <w:bookmarkEnd w:id="273"/>
    </w:p>
    <w:p>
      <w:pPr>
        <w:pStyle w:val="Style55"/>
        <w:keepNext/>
        <w:keepLines/>
        <w:widowControl w:val="0"/>
        <w:shd w:val="clear" w:color="auto" w:fill="auto"/>
        <w:bidi w:val="0"/>
        <w:spacing w:before="0" w:line="314" w:lineRule="exact"/>
        <w:ind w:left="0" w:right="0"/>
        <w:jc w:val="left"/>
      </w:pPr>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月，股东阎永江进行约定购回交易，所涉股份数量为</w:t>
      </w:r>
      <w:r>
        <w:rPr>
          <w:rFonts w:ascii="Times New Roman" w:eastAsia="Times New Roman" w:hAnsi="Times New Roman" w:cs="Times New Roman"/>
          <w:color w:val="000000"/>
          <w:spacing w:val="0"/>
          <w:w w:val="100"/>
          <w:position w:val="0"/>
        </w:rPr>
        <w:t>1,500,000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0.49%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月，股东阎永江实施购回交易，所涉股份数量为</w:t>
      </w:r>
      <w:r>
        <w:rPr>
          <w:rFonts w:ascii="Times New Roman" w:eastAsia="Times New Roman" w:hAnsi="Times New Roman" w:cs="Times New Roman"/>
          <w:color w:val="000000"/>
          <w:spacing w:val="0"/>
          <w:w w:val="100"/>
          <w:position w:val="0"/>
        </w:rPr>
        <w:t>1,500,000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0.49%</w:t>
      </w:r>
      <w:r>
        <w:rPr>
          <w:color w:val="000000"/>
          <w:spacing w:val="0"/>
          <w:w w:val="100"/>
          <w:position w:val="0"/>
        </w:rPr>
        <w:t>。截止报告期末, 股东阎永江持股</w:t>
      </w:r>
      <w:r>
        <w:rPr>
          <w:rFonts w:ascii="Times New Roman" w:eastAsia="Times New Roman" w:hAnsi="Times New Roman" w:cs="Times New Roman"/>
          <w:color w:val="000000"/>
          <w:spacing w:val="0"/>
          <w:w w:val="100"/>
          <w:position w:val="0"/>
        </w:rPr>
        <w:t>7,004,660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2.31%</w:t>
      </w:r>
      <w:r>
        <w:rPr>
          <w:color w:val="000000"/>
          <w:spacing w:val="0"/>
          <w:w w:val="100"/>
          <w:position w:val="0"/>
        </w:rPr>
        <w:t>。</w:t>
      </w:r>
      <w:bookmarkEnd w:id="274"/>
      <w:bookmarkEnd w:id="275"/>
      <w:bookmarkEnd w:id="276"/>
    </w:p>
    <w:p>
      <w:pPr>
        <w:pStyle w:val="Style44"/>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、公司控股股东情况</w:t>
      </w:r>
      <w:bookmarkEnd w:id="277"/>
      <w:bookmarkEnd w:id="278"/>
      <w:bookmarkEnd w:id="280"/>
    </w:p>
    <w:tbl>
      <w:tblPr>
        <w:tblOverlap w:val="never"/>
        <w:jc w:val="center"/>
        <w:tblLayout w:type="fixed"/>
      </w:tblPr>
      <w:tblGrid>
        <w:gridCol w:w="2189"/>
        <w:gridCol w:w="1094"/>
        <w:gridCol w:w="888"/>
        <w:gridCol w:w="1800"/>
        <w:gridCol w:w="1800"/>
        <w:gridCol w:w="1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陆致成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10002679-3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219,788.2238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计算机、数字城市、物 联网、微电子与核心元 器件、多媒体、半导体 与照明、知识网络、军 工、数字电视、节能和 安防系统十一大产业 板块。</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22" w:right="1061" w:bottom="1465" w:left="1057" w:header="0" w:footer="3" w:gutter="0"/>
          <w:cols w:space="720"/>
          <w:noEndnote/>
          <w:rtlGutter w:val="0"/>
          <w:docGrid w:linePitch="360"/>
        </w:sectPr>
      </w:pPr>
    </w:p>
    <w:tbl>
      <w:tblPr>
        <w:tblOverlap w:val="never"/>
        <w:jc w:val="center"/>
        <w:tblLayout w:type="fixed"/>
      </w:tblPr>
      <w:tblGrid>
        <w:gridCol w:w="2189"/>
        <w:gridCol w:w="739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同方股份现金流状况良好。在发展战略方面，同方股份始终坚持“技术+资本”战略，探索科 技成果产业化的可持续发展之路，把高成长建基于高新技术成果的转化与产业化上。一方面同 方股份紧密依托清华大学等科研院所的人才、科技优势，对一大批国家“八五”攻关项目、“</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 项目、国家级重点新产品和国家级火炬计划项目等高科技技术成果进行产业化；另一方面充分 利用资本市场的并购重组等多种金融工具，不断地进行产业整合、结构调整、核心业务升级， 通过实施“发展与合作”策略，进一步推动关联产业之间的垂直整合和横向联合，在资源优化 配置的基础上，不断拓展产业发展空间，深化公司的经营实力，实现可持续的快速发展。</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持有泰豪科技股份有限</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的股权；持有同方泰德国际科技有限公司（同方泰德，</w:t>
            </w:r>
            <w:r>
              <w:rPr>
                <w:rFonts w:ascii="Times New Roman" w:eastAsia="Times New Roman" w:hAnsi="Times New Roman" w:cs="Times New Roman"/>
                <w:color w:val="000000"/>
                <w:spacing w:val="0"/>
                <w:w w:val="100"/>
                <w:position w:val="0"/>
                <w:sz w:val="18"/>
                <w:szCs w:val="18"/>
              </w:rPr>
              <w:t>HK:1206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32.98%</w:t>
            </w:r>
            <w:r>
              <w:rPr>
                <w:color w:val="000000"/>
                <w:spacing w:val="0"/>
                <w:w w:val="100"/>
                <w:position w:val="0"/>
              </w:rPr>
              <w:t>的股权（其中，同方股份直接持有</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Resuccess Investments Limited</w:t>
            </w:r>
            <w:r>
              <w:rPr>
                <w:color w:val="000000"/>
                <w:spacing w:val="0"/>
                <w:w w:val="100"/>
                <w:position w:val="0"/>
              </w:rPr>
              <w:t xml:space="preserve">持有 </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rPr>
              <w:t>）；持有北京银行股份有限公司</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的股权。</w:t>
            </w:r>
          </w:p>
        </w:tc>
      </w:tr>
    </w:tbl>
    <w:p>
      <w:pPr>
        <w:widowControl w:val="0"/>
        <w:spacing w:after="179" w:line="1" w:lineRule="exact"/>
      </w:pPr>
    </w:p>
    <w:p>
      <w:pPr>
        <w:pStyle w:val="Style23"/>
        <w:keepNext/>
        <w:keepLines/>
        <w:widowControl w:val="0"/>
        <w:shd w:val="clear" w:color="auto" w:fill="auto"/>
        <w:bidi w:val="0"/>
        <w:spacing w:before="0" w:after="180" w:line="240" w:lineRule="auto"/>
        <w:ind w:left="0" w:right="0" w:firstLine="0"/>
        <w:jc w:val="left"/>
      </w:pPr>
      <w:bookmarkStart w:id="281" w:name="bookmark281"/>
      <w:bookmarkStart w:id="282" w:name="bookmark282"/>
      <w:bookmarkStart w:id="283" w:name="bookmark283"/>
      <w:r>
        <w:rPr>
          <w:color w:val="000000"/>
          <w:spacing w:val="0"/>
          <w:w w:val="100"/>
          <w:position w:val="0"/>
        </w:rPr>
        <w:t>控股股东报告期内变更</w:t>
      </w:r>
      <w:bookmarkEnd w:id="281"/>
      <w:bookmarkEnd w:id="282"/>
      <w:bookmarkEnd w:id="283"/>
    </w:p>
    <w:p>
      <w:pPr>
        <w:pStyle w:val="Style44"/>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r>
        <w:rPr>
          <w:color w:val="000000"/>
          <w:spacing w:val="0"/>
          <w:w w:val="100"/>
          <w:position w:val="0"/>
        </w:rPr>
        <w:t>□</w:t>
      </w:r>
      <w:r>
        <w:rPr>
          <w:color w:val="000000"/>
          <w:spacing w:val="0"/>
          <w:w w:val="100"/>
          <w:position w:val="0"/>
        </w:rPr>
        <w:t>适用</w:t>
      </w:r>
      <w:r>
        <w:rPr>
          <w:rFonts w:ascii="Arial" w:eastAsia="Arial" w:hAnsi="Arial" w:cs="Arial"/>
          <w:b w:val="0"/>
          <w:bCs w:val="0"/>
          <w:color w:val="000000"/>
          <w:spacing w:val="0"/>
          <w:w w:val="100"/>
          <w:position w:val="0"/>
        </w:rPr>
        <w:t>V</w:t>
      </w:r>
      <w:r>
        <w:rPr>
          <w:color w:val="000000"/>
          <w:spacing w:val="0"/>
          <w:w w:val="100"/>
          <w:position w:val="0"/>
        </w:rPr>
        <w:t>不适用</w:t>
      </w:r>
      <w:bookmarkEnd w:id="284"/>
      <w:bookmarkEnd w:id="285"/>
      <w:bookmarkEnd w:id="286"/>
    </w:p>
    <w:p>
      <w:pPr>
        <w:pStyle w:val="Style44"/>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7" w:name="bookmark287"/>
      <w:bookmarkStart w:id="288" w:name="bookmark288"/>
      <w:r>
        <w:rPr>
          <w:rFonts w:ascii="Times New Roman" w:eastAsia="Times New Roman" w:hAnsi="Times New Roman" w:cs="Times New Roman"/>
          <w:color w:val="000000"/>
          <w:spacing w:val="0"/>
          <w:w w:val="100"/>
          <w:position w:val="0"/>
        </w:rPr>
        <w:t>3</w:t>
      </w:r>
      <w:bookmarkEnd w:id="287"/>
      <w:r>
        <w:rPr>
          <w:color w:val="000000"/>
          <w:spacing w:val="0"/>
          <w:w w:val="100"/>
          <w:position w:val="0"/>
        </w:rPr>
        <w:t>、公司实际控制人情况</w:t>
      </w:r>
      <w:bookmarkEnd w:id="284"/>
      <w:bookmarkEnd w:id="285"/>
      <w:bookmarkEnd w:id="288"/>
    </w:p>
    <w:p>
      <w:pPr>
        <w:pStyle w:val="Style35"/>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公司实际控制人为中华人民共和国教育部。</w:t>
      </w:r>
    </w:p>
    <w:p>
      <w:pPr>
        <w:pStyle w:val="Style23"/>
        <w:keepNext/>
        <w:keepLines/>
        <w:widowControl w:val="0"/>
        <w:shd w:val="clear" w:color="auto" w:fill="auto"/>
        <w:bidi w:val="0"/>
        <w:spacing w:before="0" w:after="180" w:line="240" w:lineRule="auto"/>
        <w:ind w:left="0" w:right="0" w:firstLine="0"/>
        <w:jc w:val="both"/>
      </w:pPr>
      <w:bookmarkStart w:id="289" w:name="bookmark289"/>
      <w:bookmarkStart w:id="290" w:name="bookmark290"/>
      <w:bookmarkStart w:id="291" w:name="bookmark291"/>
      <w:r>
        <w:rPr>
          <w:color w:val="000000"/>
          <w:spacing w:val="0"/>
          <w:w w:val="100"/>
          <w:position w:val="0"/>
        </w:rPr>
        <w:t>报告期实际控制人变更</w:t>
      </w:r>
      <w:bookmarkEnd w:id="289"/>
      <w:bookmarkEnd w:id="290"/>
      <w:bookmarkEnd w:id="291"/>
    </w:p>
    <w:p>
      <w:pPr>
        <w:pStyle w:val="Style44"/>
        <w:keepNext/>
        <w:keepLines/>
        <w:widowControl w:val="0"/>
        <w:shd w:val="clear" w:color="auto" w:fill="auto"/>
        <w:bidi w:val="0"/>
        <w:spacing w:before="0" w:after="180" w:line="240" w:lineRule="auto"/>
        <w:ind w:left="0" w:right="0" w:firstLine="0"/>
        <w:jc w:val="both"/>
      </w:pPr>
      <w:bookmarkStart w:id="292" w:name="bookmark292"/>
      <w:bookmarkStart w:id="293" w:name="bookmark293"/>
      <w:bookmarkStart w:id="294" w:name="bookmark294"/>
      <w:r>
        <w:rPr>
          <w:color w:val="000000"/>
          <w:spacing w:val="0"/>
          <w:w w:val="100"/>
          <w:position w:val="0"/>
        </w:rPr>
        <w:t>□</w:t>
      </w:r>
      <w:r>
        <w:rPr>
          <w:color w:val="000000"/>
          <w:spacing w:val="0"/>
          <w:w w:val="100"/>
          <w:position w:val="0"/>
        </w:rPr>
        <w:t>适用</w:t>
      </w:r>
      <w:r>
        <w:rPr>
          <w:rFonts w:ascii="Arial" w:eastAsia="Arial" w:hAnsi="Arial" w:cs="Arial"/>
          <w:b w:val="0"/>
          <w:bCs w:val="0"/>
          <w:color w:val="000000"/>
          <w:spacing w:val="0"/>
          <w:w w:val="100"/>
          <w:position w:val="0"/>
        </w:rPr>
        <w:t>V</w:t>
      </w:r>
      <w:r>
        <w:rPr>
          <w:color w:val="000000"/>
          <w:spacing w:val="0"/>
          <w:w w:val="100"/>
          <w:position w:val="0"/>
        </w:rPr>
        <w:t>不适用</w:t>
      </w:r>
      <w:bookmarkEnd w:id="292"/>
      <w:bookmarkEnd w:id="293"/>
      <w:bookmarkEnd w:id="294"/>
    </w:p>
    <w:p>
      <w:pPr>
        <w:pStyle w:val="Style23"/>
        <w:keepNext/>
        <w:keepLines/>
        <w:widowControl w:val="0"/>
        <w:shd w:val="clear" w:color="auto" w:fill="auto"/>
        <w:bidi w:val="0"/>
        <w:spacing w:before="0" w:after="320" w:line="240" w:lineRule="auto"/>
        <w:ind w:left="0" w:right="0" w:firstLine="0"/>
        <w:jc w:val="both"/>
      </w:pPr>
      <w:bookmarkStart w:id="295" w:name="bookmark295"/>
      <w:bookmarkStart w:id="296" w:name="bookmark296"/>
      <w:bookmarkStart w:id="297" w:name="bookmark297"/>
      <w:r>
        <w:rPr>
          <w:color w:val="000000"/>
          <w:spacing w:val="0"/>
          <w:w w:val="100"/>
          <w:position w:val="0"/>
        </w:rPr>
        <w:t>公司与实际控制人之间的产权及控制关系的方框图</w:t>
      </w:r>
      <w:bookmarkEnd w:id="295"/>
      <w:bookmarkEnd w:id="296"/>
      <w:bookmarkEnd w:id="297"/>
    </w:p>
    <w:p>
      <w:pPr>
        <w:widowControl w:val="0"/>
        <w:jc w:val="center"/>
        <w:rPr>
          <w:sz w:val="2"/>
          <w:szCs w:val="2"/>
        </w:rPr>
      </w:pPr>
      <w:r>
        <w:drawing>
          <wp:inline>
            <wp:extent cx="4456430" cy="2853055"/>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7"/>
                    <a:stretch/>
                  </pic:blipFill>
                  <pic:spPr>
                    <a:xfrm>
                      <a:ext cx="4456430" cy="2853055"/>
                    </a:xfrm>
                    <a:prstGeom prst="rect"/>
                  </pic:spPr>
                </pic:pic>
              </a:graphicData>
            </a:graphic>
          </wp:inline>
        </w:drawing>
      </w:r>
    </w:p>
    <w:p>
      <w:pPr>
        <w:widowControl w:val="0"/>
        <w:spacing w:after="319" w:line="1" w:lineRule="exact"/>
      </w:pPr>
    </w:p>
    <w:p>
      <w:pPr>
        <w:pStyle w:val="Style23"/>
        <w:keepNext/>
        <w:keepLines/>
        <w:widowControl w:val="0"/>
        <w:shd w:val="clear" w:color="auto" w:fill="auto"/>
        <w:bidi w:val="0"/>
        <w:spacing w:before="0" w:after="180" w:line="240" w:lineRule="auto"/>
        <w:ind w:left="0" w:right="0" w:firstLine="0"/>
        <w:jc w:val="both"/>
      </w:pPr>
      <w:bookmarkStart w:id="298" w:name="bookmark298"/>
      <w:bookmarkStart w:id="299" w:name="bookmark299"/>
      <w:bookmarkStart w:id="300" w:name="bookmark300"/>
      <w:r>
        <w:rPr>
          <w:color w:val="000000"/>
          <w:spacing w:val="0"/>
          <w:w w:val="100"/>
          <w:position w:val="0"/>
        </w:rPr>
        <w:t>实际控制人通过信托或其他资产管理方式控制公司</w:t>
      </w:r>
      <w:bookmarkEnd w:id="298"/>
      <w:bookmarkEnd w:id="299"/>
      <w:bookmarkEnd w:id="300"/>
    </w:p>
    <w:p>
      <w:pPr>
        <w:pStyle w:val="Style44"/>
        <w:keepNext/>
        <w:keepLines/>
        <w:widowControl w:val="0"/>
        <w:shd w:val="clear" w:color="auto" w:fill="auto"/>
        <w:bidi w:val="0"/>
        <w:spacing w:before="0" w:after="1320" w:line="240" w:lineRule="auto"/>
        <w:ind w:left="0" w:right="0" w:firstLine="0"/>
        <w:jc w:val="both"/>
      </w:pPr>
      <w:bookmarkStart w:id="301" w:name="bookmark301"/>
      <w:bookmarkStart w:id="302" w:name="bookmark302"/>
      <w:bookmarkStart w:id="303" w:name="bookmark303"/>
      <w:r>
        <w:rPr>
          <w:color w:val="000000"/>
          <w:spacing w:val="0"/>
          <w:w w:val="100"/>
          <w:position w:val="0"/>
        </w:rPr>
        <w:t>□</w:t>
      </w:r>
      <w:r>
        <w:rPr>
          <w:color w:val="000000"/>
          <w:spacing w:val="0"/>
          <w:w w:val="100"/>
          <w:position w:val="0"/>
        </w:rPr>
        <w:t>适用</w:t>
      </w:r>
      <w:r>
        <w:rPr>
          <w:rFonts w:ascii="Arial" w:eastAsia="Arial" w:hAnsi="Arial" w:cs="Arial"/>
          <w:b w:val="0"/>
          <w:bCs w:val="0"/>
          <w:color w:val="000000"/>
          <w:spacing w:val="0"/>
          <w:w w:val="100"/>
          <w:position w:val="0"/>
        </w:rPr>
        <w:t>V</w:t>
      </w:r>
      <w:r>
        <w:rPr>
          <w:color w:val="000000"/>
          <w:spacing w:val="0"/>
          <w:w w:val="100"/>
          <w:position w:val="0"/>
        </w:rPr>
        <w:t>不适用</w:t>
      </w:r>
      <w:bookmarkEnd w:id="301"/>
      <w:bookmarkEnd w:id="302"/>
      <w:bookmarkEnd w:id="303"/>
    </w:p>
    <w:p>
      <w:pPr>
        <w:widowControl w:val="0"/>
        <w:jc w:val="center"/>
        <w:rPr>
          <w:sz w:val="2"/>
          <w:szCs w:val="2"/>
        </w:r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441" w:right="1195" w:bottom="125" w:left="1104" w:header="0" w:footer="3" w:gutter="0"/>
          <w:cols w:space="720"/>
          <w:noEndnote/>
          <w:rtlGutter w:val="0"/>
          <w:docGrid w:linePitch="360"/>
        </w:sectPr>
      </w:pPr>
      <w:r>
        <w:drawing>
          <wp:inline>
            <wp:extent cx="1718945" cy="98171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6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00" w:after="560" w:line="240" w:lineRule="auto"/>
        <w:ind w:left="0" w:right="0" w:firstLine="0"/>
        <w:jc w:val="center"/>
      </w:pPr>
      <w:bookmarkStart w:id="304" w:name="bookmark304"/>
      <w:bookmarkStart w:id="305" w:name="bookmark305"/>
      <w:bookmarkStart w:id="306" w:name="bookmark306"/>
      <w:r>
        <w:rPr>
          <w:color w:val="000000"/>
          <w:spacing w:val="0"/>
          <w:w w:val="100"/>
          <w:position w:val="0"/>
        </w:rPr>
        <w:t>第七节 董事、监事、高级管理人员和员工情况</w:t>
      </w:r>
      <w:bookmarkEnd w:id="304"/>
      <w:bookmarkEnd w:id="305"/>
      <w:bookmarkEnd w:id="306"/>
    </w:p>
    <w:p>
      <w:pPr>
        <w:pStyle w:val="Style23"/>
        <w:keepNext/>
        <w:keepLines/>
        <w:widowControl w:val="0"/>
        <w:shd w:val="clear" w:color="auto" w:fill="auto"/>
        <w:bidi w:val="0"/>
        <w:spacing w:before="0" w:after="320" w:line="240" w:lineRule="auto"/>
        <w:ind w:left="0" w:right="0" w:firstLine="240"/>
        <w:jc w:val="left"/>
      </w:pPr>
      <w:bookmarkStart w:id="307" w:name="bookmark307"/>
      <w:bookmarkStart w:id="308" w:name="bookmark308"/>
      <w:bookmarkStart w:id="309" w:name="bookmark309"/>
      <w:r>
        <w:rPr>
          <w:color w:val="000000"/>
          <w:spacing w:val="0"/>
          <w:w w:val="100"/>
          <w:position w:val="0"/>
        </w:rPr>
        <w:t>、董事、监事和高级管理人员持股变动</w:t>
      </w:r>
      <w:bookmarkEnd w:id="307"/>
      <w:bookmarkEnd w:id="308"/>
      <w:bookmarkEnd w:id="309"/>
    </w:p>
    <w:tbl>
      <w:tblPr>
        <w:tblOverlap w:val="never"/>
        <w:jc w:val="center"/>
        <w:tblLayout w:type="fixed"/>
      </w:tblPr>
      <w:tblGrid>
        <w:gridCol w:w="878"/>
        <w:gridCol w:w="1291"/>
        <w:gridCol w:w="720"/>
        <w:gridCol w:w="720"/>
        <w:gridCol w:w="749"/>
        <w:gridCol w:w="869"/>
        <w:gridCol w:w="869"/>
        <w:gridCol w:w="869"/>
        <w:gridCol w:w="869"/>
        <w:gridCol w:w="869"/>
        <w:gridCol w:w="8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期末持股 数（股）</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陆致成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3,736,357</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孙岷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潘晋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段立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1,451,841</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陈新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王震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吴行军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1,643,997</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李祥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张立强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王清智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孟令富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1,269,172</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马丽华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1,643,997</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500,843</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杜林虎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10,797,178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10,526,207</w:t>
            </w:r>
          </w:p>
        </w:tc>
      </w:tr>
    </w:tbl>
    <w:p>
      <w:pPr>
        <w:pStyle w:val="Style23"/>
        <w:keepNext/>
        <w:keepLines/>
        <w:widowControl w:val="0"/>
        <w:shd w:val="clear" w:color="auto" w:fill="auto"/>
        <w:bidi w:val="0"/>
        <w:spacing w:before="0" w:after="30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二</w:t>
      </w:r>
      <w:bookmarkEnd w:id="312"/>
      <w:r>
        <w:rPr>
          <w:color w:val="000000"/>
          <w:spacing w:val="0"/>
          <w:w w:val="100"/>
          <w:position w:val="0"/>
        </w:rPr>
        <w:t>、任职情况</w:t>
      </w:r>
      <w:bookmarkEnd w:id="310"/>
      <w:bookmarkEnd w:id="311"/>
      <w:bookmarkEnd w:id="313"/>
    </w:p>
    <w:p>
      <w:pPr>
        <w:pStyle w:val="Style23"/>
        <w:keepNext/>
        <w:keepLines/>
        <w:widowControl w:val="0"/>
        <w:shd w:val="clear" w:color="auto" w:fill="auto"/>
        <w:bidi w:val="0"/>
        <w:spacing w:before="0" w:after="140" w:line="314" w:lineRule="exact"/>
        <w:ind w:left="0" w:right="0" w:firstLine="0"/>
        <w:jc w:val="left"/>
      </w:pPr>
      <w:bookmarkStart w:id="310" w:name="bookmark310"/>
      <w:bookmarkStart w:id="311" w:name="bookmark311"/>
      <w:bookmarkStart w:id="314" w:name="bookmark314"/>
      <w:r>
        <w:rPr>
          <w:color w:val="000000"/>
          <w:spacing w:val="0"/>
          <w:w w:val="100"/>
          <w:position w:val="0"/>
        </w:rPr>
        <w:t>公司现任董事、监事、高级管理人员最近</w:t>
      </w:r>
      <w:r>
        <w:rPr>
          <w:rFonts w:ascii="Arial" w:eastAsia="Arial" w:hAnsi="Arial" w:cs="Arial"/>
          <w:b w:val="0"/>
          <w:bCs w:val="0"/>
          <w:color w:val="000000"/>
          <w:spacing w:val="0"/>
          <w:w w:val="100"/>
          <w:position w:val="0"/>
          <w:sz w:val="19"/>
          <w:szCs w:val="19"/>
        </w:rPr>
        <w:t>5</w:t>
      </w:r>
      <w:r>
        <w:rPr>
          <w:color w:val="000000"/>
          <w:spacing w:val="0"/>
          <w:w w:val="100"/>
          <w:position w:val="0"/>
        </w:rPr>
        <w:t>年的主要工作经历</w:t>
      </w:r>
      <w:bookmarkEnd w:id="310"/>
      <w:bookmarkEnd w:id="311"/>
      <w:bookmarkEnd w:id="314"/>
    </w:p>
    <w:p>
      <w:pPr>
        <w:pStyle w:val="Style23"/>
        <w:keepNext/>
        <w:keepLines/>
        <w:widowControl w:val="0"/>
        <w:shd w:val="clear" w:color="auto" w:fill="auto"/>
        <w:tabs>
          <w:tab w:pos="1042" w:val="left"/>
        </w:tabs>
        <w:bidi w:val="0"/>
        <w:spacing w:before="0" w:after="140" w:line="314" w:lineRule="exact"/>
        <w:ind w:left="0" w:right="0" w:firstLine="440"/>
        <w:jc w:val="both"/>
      </w:pPr>
      <w:bookmarkStart w:id="310" w:name="bookmark310"/>
      <w:bookmarkStart w:id="311" w:name="bookmark311"/>
      <w:bookmarkStart w:id="315" w:name="bookmark315"/>
      <w:bookmarkStart w:id="316" w:name="bookmark316"/>
      <w:r>
        <w:rPr>
          <w:color w:val="000000"/>
          <w:spacing w:val="0"/>
          <w:w w:val="100"/>
          <w:position w:val="0"/>
        </w:rPr>
        <w:t>（</w:t>
      </w:r>
      <w:bookmarkEnd w:id="315"/>
      <w:r>
        <w:rPr>
          <w:color w:val="000000"/>
          <w:spacing w:val="0"/>
          <w:w w:val="100"/>
          <w:position w:val="0"/>
        </w:rPr>
        <w:t>一）</w:t>
        <w:tab/>
        <w:t>董事</w:t>
      </w:r>
      <w:bookmarkEnd w:id="310"/>
      <w:bookmarkEnd w:id="311"/>
      <w:bookmarkEnd w:id="316"/>
    </w:p>
    <w:p>
      <w:pPr>
        <w:pStyle w:val="Style3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陆致成先生：公司董事长，研究员。</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年至今，历任北京清华人工环境工程公司总经 理，同方股份有限公司董事、副董事长兼总裁、董事长。现任同方股份有限公司董事长，北 京清晶微科技有限公司董事长。</w:t>
      </w:r>
    </w:p>
    <w:p>
      <w:pPr>
        <w:pStyle w:val="Style3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赵维健先生：公司董事，硕士。</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年创办北京同方微电子有限公司，曾任北京同方微 电子公司总经理、同方股份有限公司副总裁，现任公司总裁，兼任北京同方微电子有限公司 董事长、唐山晶源电子有限公司董事长，北京晶源裕丰光学电子器件有限公司执行董事，北 京清晶微科技有限公司董事。</w:t>
      </w:r>
    </w:p>
    <w:p>
      <w:pPr>
        <w:pStyle w:val="Style35"/>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潘晋先生：公司董事，博士。</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年至今，历任同方股份有限公司投资发展部副总经理、 总经理。现任同方股份有限公司总裁助理兼投资发展部总经理。</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黄学良先生：公司董事，硕士，高级工程师。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月在深圳市国微电子有限 公司工作，历任董事长、董事。现任深圳国微技术有限公司董事长、深圳市国微科技有限公 司执行董事、深圳市国微投资有限公司执行董事兼总经理、深圳数字电视国家工程实验室股 份有限公司董事、成都国微科技有限公司执行董事。黄学良先生为深圳市第五届政协委员、 中国半导体行业协会集成电路设计分会副理事长。</w:t>
      </w:r>
    </w:p>
    <w:p>
      <w:pPr>
        <w:pStyle w:val="Style3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段立先生：公司董事，硕士。</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月至今，历任北京同方微电子有限公司产品部经理、 市场销售部经理、副总经理、总经理。现任公司副总裁，北京同方微电子有限公司董事、总 经理。</w:t>
      </w:r>
    </w:p>
    <w:p>
      <w:pPr>
        <w:pStyle w:val="Style3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祝昌华先生：公司董事，硕士，高级工程师。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月至今在深圳市国微电子有限公司 工作，历任董事、总裁、董事长。现任公司副总裁，深圳市国微电子有限公司董事长、成都 国微电子有限公司董事长、深圳市天惠人投资有限公司执行董事兼总经理、深圳市同创国芯 电子有限公司董事长兼总经理，祝昌华先生为深圳半导体行业协会副会长。</w:t>
      </w:r>
    </w:p>
    <w:p>
      <w:pPr>
        <w:pStyle w:val="Style3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陈新先生：公司独立董事，高级工程师，研究员，国家级注册咨询师，享受国务院政府 特殊津贴，信息产业部规划司首席咨询专家和国家发改委电子工程项目咨询专家。</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年至 今，先后在电子工业部规划研究所、中国电子信息产业规划研究院、中国电子信息产业发展 研究院规划研究所工作，历任研究室主任、中国电子信息产业规划研究院副总工程师、中国 电子信息产业发展研究院科技委副主任、规划研究所所长等职务，现任中国电子信息产业发 展研究院项目总监。</w:t>
      </w:r>
    </w:p>
    <w:p>
      <w:pPr>
        <w:pStyle w:val="Style35"/>
        <w:keepNext w:val="0"/>
        <w:keepLines w:val="0"/>
        <w:widowControl w:val="0"/>
        <w:shd w:val="clear" w:color="auto" w:fill="auto"/>
        <w:bidi w:val="0"/>
        <w:spacing w:before="0" w:after="140" w:line="318" w:lineRule="exact"/>
        <w:ind w:left="0" w:right="0" w:firstLine="480"/>
        <w:jc w:val="both"/>
      </w:pPr>
      <w:r>
        <w:rPr>
          <w:color w:val="000000"/>
          <w:spacing w:val="0"/>
          <w:w w:val="100"/>
          <w:position w:val="0"/>
        </w:rPr>
        <w:t>陈金占先生：公司独立董事，律师。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月历任国都证券有限责任公 司副总裁、合规总监；</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月曾任同方股份有限公司独立董事；</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月曾任中欧基金管理有限公司董事。现任职于北京市经纬律师事务所，兼任茂名石化 实华股份有限公司独立董事。</w:t>
      </w:r>
    </w:p>
    <w:p>
      <w:pPr>
        <w:pStyle w:val="Style3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曹阳先生：公司独立董事，注册会计师，国家会计学院特聘教授。</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年至今任致同会 计师事务所经理、合伙人，现兼任普莱柯生物工程股份有限公司独立董事、酒仙网电子商务 股份有限公司独立董事、辽宁振隆特产股份有限公司独立董事。</w:t>
      </w:r>
    </w:p>
    <w:p>
      <w:pPr>
        <w:pStyle w:val="Style23"/>
        <w:keepNext/>
        <w:keepLines/>
        <w:widowControl w:val="0"/>
        <w:shd w:val="clear" w:color="auto" w:fill="auto"/>
        <w:tabs>
          <w:tab w:pos="1042" w:val="left"/>
        </w:tabs>
        <w:bidi w:val="0"/>
        <w:spacing w:before="0" w:after="140" w:line="314" w:lineRule="exact"/>
        <w:ind w:left="0" w:right="0" w:firstLine="44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二）</w:t>
        <w:tab/>
        <w:t>监事</w:t>
      </w:r>
      <w:bookmarkEnd w:id="317"/>
      <w:bookmarkEnd w:id="318"/>
      <w:bookmarkEnd w:id="320"/>
    </w:p>
    <w:p>
      <w:pPr>
        <w:pStyle w:val="Style35"/>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刘卫东先生：公司监事会主席，硕士。</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年至今，历任同方股份有限公司审计部副总 经理、副总会计师、总会计师、财务负责人。现任同方股份有限公司副总裁、财务总监。</w:t>
      </w:r>
    </w:p>
    <w:p>
      <w:pPr>
        <w:pStyle w:val="Style3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吴行军先生：公司监事，博士，副研究员。</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年至今，任北京同方微电子有限公司副 总经理。</w:t>
      </w:r>
    </w:p>
    <w:p>
      <w:pPr>
        <w:pStyle w:val="Style35"/>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李祥先生：公司监事，工程师。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月加入深圳市国微电子有限公司，曾任总裁助理、 董事会秘书，现任深圳市国微电子有限公司副总裁、深圳市同创国芯电子有限公司监事。</w:t>
      </w:r>
    </w:p>
    <w:p>
      <w:pPr>
        <w:pStyle w:val="Style35"/>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张立强先生：职工代表监事，工程师。曾任公司技术总监、第三届董事会董事、公司晶 体事业部技术部部长兼精密器件产品部技管办主任等职，现任公司晶体事业部副总经理。</w:t>
      </w:r>
    </w:p>
    <w:p>
      <w:pPr>
        <w:pStyle w:val="Style35"/>
        <w:keepNext w:val="0"/>
        <w:keepLines w:val="0"/>
        <w:widowControl w:val="0"/>
        <w:shd w:val="clear" w:color="auto" w:fill="auto"/>
        <w:bidi w:val="0"/>
        <w:spacing w:before="0" w:after="140" w:line="326" w:lineRule="exact"/>
        <w:ind w:left="0" w:right="0" w:firstLine="480"/>
        <w:jc w:val="both"/>
      </w:pPr>
      <w:r>
        <w:rPr>
          <w:color w:val="000000"/>
          <w:spacing w:val="0"/>
          <w:w w:val="100"/>
          <w:position w:val="0"/>
        </w:rPr>
        <w:t>王清智先生：职工代表监事，硕士。</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月加入北京同方微电子有限公司，现任北京 同方微电子有限公司综合管理部经理。</w:t>
      </w:r>
    </w:p>
    <w:p>
      <w:pPr>
        <w:pStyle w:val="Style23"/>
        <w:keepNext/>
        <w:keepLines/>
        <w:widowControl w:val="0"/>
        <w:shd w:val="clear" w:color="auto" w:fill="auto"/>
        <w:bidi w:val="0"/>
        <w:spacing w:before="0" w:after="140" w:line="314" w:lineRule="exact"/>
        <w:ind w:left="0" w:right="0" w:firstLine="480"/>
        <w:jc w:val="both"/>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三）高级管理人员</w:t>
      </w:r>
      <w:bookmarkEnd w:id="321"/>
      <w:bookmarkEnd w:id="322"/>
      <w:bookmarkEnd w:id="324"/>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赵维健先生：公司董事、总裁，简历同上。</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段立先生：公司董事、副总裁，简历同上。</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祝昌华先生：公司董事、副总裁，简历同上。</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葛元庆先生，公司副总裁。</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年创办北京同方微电子有限公司并任副总经理。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月起任公司副总裁，兼任北京同方微电子有限公司董事、深圳市国微电子有限公司董事、唐 山晶源电子有限公司董事、深圳市同创国芯电子有限公司董事、北京晶源裕丰光学电子器件 有限公司总经理、北京清晶微科技有限公司董事兼总经理。</w:t>
      </w:r>
    </w:p>
    <w:p>
      <w:pPr>
        <w:pStyle w:val="Style35"/>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阎立群先生：公司副总裁，历任公司</w:t>
      </w:r>
      <w:r>
        <w:rPr>
          <w:rFonts w:ascii="Times New Roman" w:eastAsia="Times New Roman" w:hAnsi="Times New Roman" w:cs="Times New Roman"/>
          <w:color w:val="000000"/>
          <w:spacing w:val="0"/>
          <w:w w:val="100"/>
          <w:position w:val="0"/>
          <w:sz w:val="24"/>
          <w:szCs w:val="24"/>
        </w:rPr>
        <w:t>SMD</w:t>
      </w:r>
      <w:r>
        <w:rPr>
          <w:color w:val="000000"/>
          <w:spacing w:val="0"/>
          <w:w w:val="100"/>
          <w:position w:val="0"/>
        </w:rPr>
        <w:t>产品制造部经理、生产总监、董事兼副总裁， 现任公司副总裁兼唐山晶源电子有限公司董事、总经理。</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杜林虎先生：公司副总裁、董秘，硕士。</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年，在同方股份有限公司投资发 展部工作，主要从事行业分析、公司研究及证券事务工作，</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月起任公司副总裁兼董 秘。</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杨秋平女士：公司财务总监，注册会计师、高级会计师、注册管理会计师。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rPr>
        <w:t>年任同方股份有限公司审计部副总经理。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月起任公司财务总监，兼任北京同方微电 子有限公司监事、深圳市国微电子有限公司监事、唐山晶源电子有限公司监事、北京晶源裕 丰光学电子器件有限公司监事。</w:t>
      </w:r>
    </w:p>
    <w:p>
      <w:pPr>
        <w:pStyle w:val="Style23"/>
        <w:keepNext/>
        <w:keepLines/>
        <w:widowControl w:val="0"/>
        <w:shd w:val="clear" w:color="auto" w:fill="auto"/>
        <w:bidi w:val="0"/>
        <w:spacing w:before="0" w:after="140" w:line="314" w:lineRule="exact"/>
        <w:ind w:left="0" w:right="0" w:firstLine="0"/>
        <w:jc w:val="both"/>
      </w:pPr>
      <w:bookmarkStart w:id="325" w:name="bookmark325"/>
      <w:bookmarkStart w:id="326" w:name="bookmark326"/>
      <w:bookmarkStart w:id="327" w:name="bookmark327"/>
      <w:r>
        <w:rPr>
          <w:color w:val="000000"/>
          <w:spacing w:val="0"/>
          <w:w w:val="100"/>
          <w:position w:val="0"/>
        </w:rPr>
        <w:t>在股东单位任职情况</w:t>
      </w:r>
      <w:bookmarkEnd w:id="325"/>
      <w:bookmarkEnd w:id="326"/>
      <w:bookmarkEnd w:id="327"/>
    </w:p>
    <w:p>
      <w:pPr>
        <w:pStyle w:val="Style30"/>
        <w:keepNext w:val="0"/>
        <w:keepLines w:val="0"/>
        <w:widowControl w:val="0"/>
        <w:shd w:val="clear" w:color="auto" w:fill="auto"/>
        <w:bidi w:val="0"/>
        <w:spacing w:before="0" w:after="0" w:line="240" w:lineRule="auto"/>
        <w:ind w:left="43" w:right="0" w:firstLine="0"/>
        <w:jc w:val="left"/>
        <w:rPr>
          <w:sz w:val="20"/>
          <w:szCs w:val="20"/>
        </w:rPr>
      </w:pPr>
      <w:r>
        <w:rPr>
          <w:i/>
          <w:iCs/>
          <w:color w:val="000000"/>
          <w:spacing w:val="0"/>
          <w:w w:val="100"/>
          <w:position w:val="0"/>
          <w:sz w:val="20"/>
          <w:szCs w:val="20"/>
        </w:rPr>
        <w:t>■J</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907"/>
        <w:gridCol w:w="2702"/>
        <w:gridCol w:w="1258"/>
        <w:gridCol w:w="1790"/>
        <w:gridCol w:w="1810"/>
        <w:gridCol w:w="11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在股东单位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陆致成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北京清晶微科技有限公司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总裁助理兼 投资发展部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417" w:right="1066" w:bottom="1465" w:left="1028" w:header="0" w:footer="3" w:gutter="0"/>
          <w:cols w:space="720"/>
          <w:noEndnote/>
          <w:rtlGutter w:val="0"/>
          <w:docGrid w:linePitch="360"/>
        </w:sectPr>
      </w:pPr>
    </w:p>
    <w:tbl>
      <w:tblPr>
        <w:tblOverlap w:val="never"/>
        <w:jc w:val="center"/>
        <w:tblLayout w:type="fixed"/>
      </w:tblPr>
      <w:tblGrid>
        <w:gridCol w:w="907"/>
        <w:gridCol w:w="2702"/>
        <w:gridCol w:w="1258"/>
        <w:gridCol w:w="1790"/>
        <w:gridCol w:w="1810"/>
        <w:gridCol w:w="111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副总裁、财务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北京清晶微科技有限公司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北京清晶微科技有限公司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深圳市国微投资有限公司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祝昌华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深圳市天惠人投资有限公司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执行董事兼 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79" w:line="1" w:lineRule="exact"/>
      </w:pPr>
    </w:p>
    <w:p>
      <w:pPr>
        <w:pStyle w:val="Style23"/>
        <w:keepNext/>
        <w:keepLines/>
        <w:widowControl w:val="0"/>
        <w:shd w:val="clear" w:color="auto" w:fill="auto"/>
        <w:bidi w:val="0"/>
        <w:spacing w:before="0" w:after="220" w:line="240" w:lineRule="auto"/>
        <w:ind w:left="0" w:right="0" w:firstLine="0"/>
        <w:jc w:val="left"/>
      </w:pPr>
      <w:bookmarkStart w:id="328" w:name="bookmark328"/>
      <w:bookmarkStart w:id="329" w:name="bookmark329"/>
      <w:bookmarkStart w:id="330" w:name="bookmark330"/>
      <w:r>
        <w:rPr>
          <w:color w:val="000000"/>
          <w:spacing w:val="0"/>
          <w:w w:val="100"/>
          <w:position w:val="0"/>
        </w:rPr>
        <w:t>在其他单位任职情况</w:t>
      </w:r>
      <w:bookmarkEnd w:id="328"/>
      <w:bookmarkEnd w:id="329"/>
      <w:bookmarkEnd w:id="330"/>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907"/>
        <w:gridCol w:w="2520"/>
        <w:gridCol w:w="1262"/>
        <w:gridCol w:w="1968"/>
        <w:gridCol w:w="1810"/>
        <w:gridCol w:w="11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北京晶源裕丰光学电子器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深圳国微技术有限公司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深圳数字电视国家工程实</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验室股份有限公司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深圳市同创国芯电子有限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董事长兼总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段立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陈新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中国电子信息产业发展研 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北京市经纬律师事务所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茂名石化实华股份有限公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致同会计师事务所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曹阳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普莱柯生物工程股份有限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line="1" w:lineRule="exact"/>
      </w:pPr>
      <w:r>
        <w:br w:type="page"/>
      </w:r>
    </w:p>
    <w:tbl>
      <w:tblPr>
        <w:tblOverlap w:val="never"/>
        <w:jc w:val="center"/>
        <w:tblLayout w:type="fixed"/>
      </w:tblPr>
      <w:tblGrid>
        <w:gridCol w:w="907"/>
        <w:gridCol w:w="2520"/>
        <w:gridCol w:w="1262"/>
        <w:gridCol w:w="1968"/>
        <w:gridCol w:w="1810"/>
        <w:gridCol w:w="11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酒仙网电子商务股份有限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辽宁振隆特产股份有限公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北京晶源裕丰光学电子器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深圳市同创国芯电子有限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李祥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深圳市同创国芯电子有限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吴行军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杨秋平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北京晶源裕丰光学电子器 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是</w:t>
            </w:r>
          </w:p>
        </w:tc>
      </w:tr>
    </w:tbl>
    <w:p>
      <w:pPr>
        <w:widowControl w:val="0"/>
        <w:spacing w:after="239" w:line="1" w:lineRule="exact"/>
      </w:pPr>
    </w:p>
    <w:p>
      <w:pPr>
        <w:pStyle w:val="Style23"/>
        <w:keepNext/>
        <w:keepLines/>
        <w:widowControl w:val="0"/>
        <w:shd w:val="clear" w:color="auto" w:fill="auto"/>
        <w:bidi w:val="0"/>
        <w:spacing w:before="0" w:after="300" w:line="319"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三</w:t>
      </w:r>
      <w:bookmarkEnd w:id="333"/>
      <w:r>
        <w:rPr>
          <w:color w:val="000000"/>
          <w:spacing w:val="0"/>
          <w:w w:val="100"/>
          <w:position w:val="0"/>
        </w:rPr>
        <w:t>、董事、监事、高级管理人员报酬情况</w:t>
      </w:r>
      <w:bookmarkEnd w:id="331"/>
      <w:bookmarkEnd w:id="332"/>
      <w:bookmarkEnd w:id="334"/>
    </w:p>
    <w:p>
      <w:pPr>
        <w:pStyle w:val="Style23"/>
        <w:keepNext/>
        <w:keepLines/>
        <w:widowControl w:val="0"/>
        <w:shd w:val="clear" w:color="auto" w:fill="auto"/>
        <w:bidi w:val="0"/>
        <w:spacing w:before="0" w:after="140" w:line="319" w:lineRule="exact"/>
        <w:ind w:left="0" w:right="0" w:firstLine="0"/>
        <w:jc w:val="left"/>
      </w:pPr>
      <w:bookmarkStart w:id="331" w:name="bookmark331"/>
      <w:bookmarkStart w:id="332" w:name="bookmark332"/>
      <w:bookmarkStart w:id="335" w:name="bookmark335"/>
      <w:r>
        <w:rPr>
          <w:color w:val="000000"/>
          <w:spacing w:val="0"/>
          <w:w w:val="100"/>
          <w:position w:val="0"/>
        </w:rPr>
        <w:t>董事、监事、高级管理人员报酬的决策程序、确定依据、实际支付情况</w:t>
      </w:r>
      <w:bookmarkEnd w:id="331"/>
      <w:bookmarkEnd w:id="332"/>
      <w:bookmarkEnd w:id="335"/>
    </w:p>
    <w:p>
      <w:pPr>
        <w:pStyle w:val="Style35"/>
        <w:keepNext w:val="0"/>
        <w:keepLines w:val="0"/>
        <w:widowControl w:val="0"/>
        <w:shd w:val="clear" w:color="auto" w:fill="auto"/>
        <w:tabs>
          <w:tab w:pos="810" w:val="left"/>
        </w:tabs>
        <w:bidi w:val="0"/>
        <w:spacing w:before="0" w:after="140" w:line="322" w:lineRule="exact"/>
        <w:ind w:left="0" w:right="0" w:firstLine="420"/>
        <w:jc w:val="both"/>
      </w:pPr>
      <w:bookmarkStart w:id="336" w:name="bookmark336"/>
      <w:r>
        <w:rPr>
          <w:rFonts w:ascii="Times New Roman" w:eastAsia="Times New Roman" w:hAnsi="Times New Roman" w:cs="Times New Roman"/>
          <w:color w:val="000000"/>
          <w:spacing w:val="0"/>
          <w:w w:val="100"/>
          <w:position w:val="0"/>
          <w:sz w:val="24"/>
          <w:szCs w:val="24"/>
        </w:rPr>
        <w:t>1</w:t>
      </w:r>
      <w:bookmarkEnd w:id="336"/>
      <w:r>
        <w:rPr>
          <w:color w:val="000000"/>
          <w:spacing w:val="0"/>
          <w:w w:val="100"/>
          <w:position w:val="0"/>
        </w:rPr>
        <w:t>、</w:t>
        <w:tab/>
        <w:t>根据《公司章程》规定和公司实际经营情况，公司董事、监事的报酬分别由董事会、 监事会提出议案，股东大会批准；高级管理人员的报酬由总裁提出方案，报董事会批准。</w:t>
      </w:r>
    </w:p>
    <w:p>
      <w:pPr>
        <w:pStyle w:val="Style35"/>
        <w:keepNext w:val="0"/>
        <w:keepLines w:val="0"/>
        <w:widowControl w:val="0"/>
        <w:shd w:val="clear" w:color="auto" w:fill="auto"/>
        <w:tabs>
          <w:tab w:pos="810" w:val="left"/>
        </w:tabs>
        <w:bidi w:val="0"/>
        <w:spacing w:before="0" w:after="140" w:line="319" w:lineRule="exact"/>
        <w:ind w:left="0" w:right="0" w:firstLine="420"/>
        <w:jc w:val="both"/>
      </w:pPr>
      <w:bookmarkStart w:id="337" w:name="bookmark337"/>
      <w:r>
        <w:rPr>
          <w:rFonts w:ascii="Times New Roman" w:eastAsia="Times New Roman" w:hAnsi="Times New Roman" w:cs="Times New Roman"/>
          <w:color w:val="000000"/>
          <w:spacing w:val="0"/>
          <w:w w:val="100"/>
          <w:position w:val="0"/>
          <w:sz w:val="24"/>
          <w:szCs w:val="24"/>
        </w:rPr>
        <w:t>2</w:t>
      </w:r>
      <w:bookmarkEnd w:id="337"/>
      <w:r>
        <w:rPr>
          <w:color w:val="000000"/>
          <w:spacing w:val="0"/>
          <w:w w:val="100"/>
          <w:position w:val="0"/>
        </w:rPr>
        <w:t>、</w:t>
        <w:tab/>
        <w:t>公司董事、监事、高级管理人员的年度报酬由公司董事会薪酬与考核委员会制定标准, 依据公司的经营状况和个人的岗位职务结合绩效考核结果实际支付。独立董事薪酬由股东大 会审议确定为每人</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年。</w:t>
      </w:r>
    </w:p>
    <w:p>
      <w:pPr>
        <w:pStyle w:val="Style35"/>
        <w:keepNext w:val="0"/>
        <w:keepLines w:val="0"/>
        <w:widowControl w:val="0"/>
        <w:shd w:val="clear" w:color="auto" w:fill="auto"/>
        <w:tabs>
          <w:tab w:pos="814" w:val="left"/>
        </w:tabs>
        <w:bidi w:val="0"/>
        <w:spacing w:before="0" w:after="140" w:line="310" w:lineRule="exact"/>
        <w:ind w:left="0" w:right="0" w:firstLine="420"/>
        <w:jc w:val="both"/>
      </w:pPr>
      <w:bookmarkStart w:id="338" w:name="bookmark338"/>
      <w:r>
        <w:rPr>
          <w:rFonts w:ascii="Times New Roman" w:eastAsia="Times New Roman" w:hAnsi="Times New Roman" w:cs="Times New Roman"/>
          <w:color w:val="000000"/>
          <w:spacing w:val="0"/>
          <w:w w:val="100"/>
          <w:position w:val="0"/>
          <w:sz w:val="24"/>
          <w:szCs w:val="24"/>
        </w:rPr>
        <w:t>3</w:t>
      </w:r>
      <w:bookmarkEnd w:id="338"/>
      <w:r>
        <w:rPr>
          <w:color w:val="000000"/>
          <w:spacing w:val="0"/>
          <w:w w:val="100"/>
          <w:position w:val="0"/>
        </w:rPr>
        <w:t>、</w:t>
        <w:tab/>
        <w:t>公司高级管理人员按月支付基本薪酬，年终考核结算。独立董事的薪酬每季度支付一 次。</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年度，独立董事在公司领取的津贴总额为</w:t>
      </w:r>
      <w:r>
        <w:rPr>
          <w:rFonts w:ascii="Times New Roman" w:eastAsia="Times New Roman" w:hAnsi="Times New Roman" w:cs="Times New Roman"/>
          <w:color w:val="000000"/>
          <w:spacing w:val="0"/>
          <w:w w:val="100"/>
          <w:position w:val="0"/>
          <w:sz w:val="24"/>
          <w:szCs w:val="24"/>
        </w:rPr>
        <w:t>21.6</w:t>
      </w:r>
      <w:r>
        <w:rPr>
          <w:color w:val="000000"/>
          <w:spacing w:val="0"/>
          <w:w w:val="100"/>
          <w:position w:val="0"/>
        </w:rPr>
        <w:t>万元（税前），高级管理人员在公司 领取的报酬总额为</w:t>
      </w:r>
      <w:r>
        <w:rPr>
          <w:rFonts w:ascii="Times New Roman" w:eastAsia="Times New Roman" w:hAnsi="Times New Roman" w:cs="Times New Roman"/>
          <w:color w:val="000000"/>
          <w:spacing w:val="0"/>
          <w:w w:val="100"/>
          <w:position w:val="0"/>
          <w:sz w:val="24"/>
          <w:szCs w:val="24"/>
        </w:rPr>
        <w:t>580</w:t>
      </w:r>
      <w:r>
        <w:rPr>
          <w:color w:val="000000"/>
          <w:spacing w:val="0"/>
          <w:w w:val="100"/>
          <w:position w:val="0"/>
        </w:rPr>
        <w:t>万元（税前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3"/>
        <w:keepNext/>
        <w:keepLines/>
        <w:widowControl w:val="0"/>
        <w:shd w:val="clear" w:color="auto" w:fill="auto"/>
        <w:bidi w:val="0"/>
        <w:spacing w:before="0" w:after="140" w:line="319" w:lineRule="exact"/>
        <w:ind w:left="0" w:right="0" w:firstLine="0"/>
        <w:jc w:val="left"/>
      </w:pPr>
      <w:bookmarkStart w:id="339" w:name="bookmark339"/>
      <w:bookmarkStart w:id="340" w:name="bookmark340"/>
      <w:bookmarkStart w:id="341" w:name="bookmark341"/>
      <w:r>
        <w:rPr>
          <w:color w:val="000000"/>
          <w:spacing w:val="0"/>
          <w:w w:val="100"/>
          <w:position w:val="0"/>
        </w:rPr>
        <w:t>公司报告期内董事、监事和高级管理人员报酬情况</w:t>
      </w:r>
      <w:bookmarkEnd w:id="339"/>
      <w:bookmarkEnd w:id="340"/>
      <w:bookmarkEnd w:id="341"/>
    </w:p>
    <w:p>
      <w:pPr>
        <w:pStyle w:val="Style30"/>
        <w:keepNext w:val="0"/>
        <w:keepLines w:val="0"/>
        <w:widowControl w:val="0"/>
        <w:shd w:val="clear" w:color="auto" w:fill="auto"/>
        <w:bidi w:val="0"/>
        <w:spacing w:before="0" w:after="0" w:line="240" w:lineRule="auto"/>
        <w:ind w:left="8731"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205"/>
        <w:gridCol w:w="1325"/>
        <w:gridCol w:w="898"/>
        <w:gridCol w:w="902"/>
        <w:gridCol w:w="1258"/>
        <w:gridCol w:w="1440"/>
        <w:gridCol w:w="1354"/>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从股东单位获 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报告期末实 际所得报酬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陆致成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175</w:t>
            </w:r>
          </w:p>
        </w:tc>
      </w:tr>
    </w:tbl>
    <w:p>
      <w:pPr>
        <w:widowControl w:val="0"/>
        <w:spacing w:line="1" w:lineRule="exact"/>
      </w:pPr>
      <w:r>
        <w:br w:type="page"/>
      </w:r>
    </w:p>
    <w:tbl>
      <w:tblPr>
        <w:tblOverlap w:val="never"/>
        <w:jc w:val="center"/>
        <w:tblLayout w:type="fixed"/>
      </w:tblPr>
      <w:tblGrid>
        <w:gridCol w:w="1205"/>
        <w:gridCol w:w="1325"/>
        <w:gridCol w:w="898"/>
        <w:gridCol w:w="902"/>
        <w:gridCol w:w="1258"/>
        <w:gridCol w:w="1440"/>
        <w:gridCol w:w="1354"/>
        <w:gridCol w:w="120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董事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潘晋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段立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陈新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王震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吴行军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王清智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马丽华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杜林虎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杨秋平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四</w:t>
      </w:r>
      <w:bookmarkEnd w:id="344"/>
      <w:r>
        <w:rPr>
          <w:color w:val="000000"/>
          <w:spacing w:val="0"/>
          <w:w w:val="100"/>
          <w:position w:val="0"/>
        </w:rPr>
        <w:t>、公司董事、监事、高级管理人员变动情况</w:t>
      </w:r>
      <w:bookmarkEnd w:id="342"/>
      <w:bookmarkEnd w:id="343"/>
      <w:bookmarkEnd w:id="345"/>
    </w:p>
    <w:tbl>
      <w:tblPr>
        <w:tblOverlap w:val="never"/>
        <w:jc w:val="center"/>
        <w:tblLayout w:type="fixed"/>
      </w:tblPr>
      <w:tblGrid>
        <w:gridCol w:w="1339"/>
        <w:gridCol w:w="1330"/>
        <w:gridCol w:w="1330"/>
        <w:gridCol w:w="1771"/>
        <w:gridCol w:w="381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马丽华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工作原因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王清智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段立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工作原因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工作原因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孟令富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工作原因</w:t>
            </w:r>
          </w:p>
        </w:tc>
      </w:tr>
    </w:tbl>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417" w:right="1066" w:bottom="1465" w:left="1028" w:header="0" w:footer="3" w:gutter="0"/>
          <w:cols w:space="720"/>
          <w:noEndnote/>
          <w:titlePg/>
          <w:rtlGutter w:val="0"/>
          <w:docGrid w:linePitch="360"/>
        </w:sectPr>
      </w:pPr>
    </w:p>
    <w:tbl>
      <w:tblPr>
        <w:tblOverlap w:val="never"/>
        <w:jc w:val="center"/>
        <w:tblLayout w:type="fixed"/>
      </w:tblPr>
      <w:tblGrid>
        <w:gridCol w:w="1339"/>
        <w:gridCol w:w="1330"/>
        <w:gridCol w:w="1330"/>
        <w:gridCol w:w="1771"/>
        <w:gridCol w:w="381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股东大会选举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任期满离任</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五</w:t>
      </w:r>
      <w:bookmarkEnd w:id="348"/>
      <w:r>
        <w:rPr>
          <w:color w:val="000000"/>
          <w:spacing w:val="0"/>
          <w:w w:val="100"/>
          <w:position w:val="0"/>
        </w:rPr>
        <w:t>、报告期核心技术团队或关键技术人员变动情况（非董事、监事、高级管理人员）</w:t>
      </w:r>
      <w:bookmarkEnd w:id="346"/>
      <w:bookmarkEnd w:id="347"/>
      <w:bookmarkEnd w:id="349"/>
    </w:p>
    <w:p>
      <w:pPr>
        <w:pStyle w:val="Style3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报告期内，无核心技术团队或关键技术人员变动情况。</w:t>
      </w:r>
    </w:p>
    <w:p>
      <w:pPr>
        <w:pStyle w:val="Style23"/>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六</w:t>
      </w:r>
      <w:bookmarkEnd w:id="352"/>
      <w:r>
        <w:rPr>
          <w:color w:val="000000"/>
          <w:spacing w:val="0"/>
          <w:w w:val="100"/>
          <w:position w:val="0"/>
        </w:rPr>
        <w:t>、公司员工情况</w:t>
      </w:r>
      <w:bookmarkEnd w:id="350"/>
      <w:bookmarkEnd w:id="351"/>
      <w:bookmarkEnd w:id="353"/>
    </w:p>
    <w:p>
      <w:pPr>
        <w:pStyle w:val="Style35"/>
        <w:keepNext w:val="0"/>
        <w:keepLines w:val="0"/>
        <w:widowControl w:val="0"/>
        <w:shd w:val="clear" w:color="auto" w:fill="auto"/>
        <w:bidi w:val="0"/>
        <w:spacing w:before="0" w:after="160" w:line="312"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日，公司及子公司在职员工人数为</w:t>
      </w:r>
      <w:r>
        <w:rPr>
          <w:rFonts w:ascii="Times New Roman" w:eastAsia="Times New Roman" w:hAnsi="Times New Roman" w:cs="Times New Roman"/>
          <w:color w:val="000000"/>
          <w:spacing w:val="0"/>
          <w:w w:val="100"/>
          <w:position w:val="0"/>
          <w:sz w:val="24"/>
          <w:szCs w:val="24"/>
        </w:rPr>
        <w:t>1440</w:t>
      </w:r>
      <w:r>
        <w:rPr>
          <w:color w:val="000000"/>
          <w:spacing w:val="0"/>
          <w:w w:val="100"/>
          <w:position w:val="0"/>
        </w:rPr>
        <w:t>人。需公司承担费用的离退休 人员</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人。员工构成情况如下：</w:t>
      </w:r>
    </w:p>
    <w:p>
      <w:pPr>
        <w:pStyle w:val="Style35"/>
        <w:keepNext w:val="0"/>
        <w:keepLines w:val="0"/>
        <w:widowControl w:val="0"/>
        <w:shd w:val="clear" w:color="auto" w:fill="auto"/>
        <w:bidi w:val="0"/>
        <w:spacing w:before="0" w:after="160" w:line="312" w:lineRule="exact"/>
        <w:ind w:left="0" w:right="0" w:firstLine="4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、专业构成情况</w:t>
      </w:r>
    </w:p>
    <w:tbl>
      <w:tblPr>
        <w:tblOverlap w:val="never"/>
        <w:jc w:val="left"/>
        <w:tblLayout w:type="fixed"/>
      </w:tblPr>
      <w:tblGrid>
        <w:gridCol w:w="2702"/>
        <w:gridCol w:w="2693"/>
        <w:gridCol w:w="27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占公司总人数的比例（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79" w:line="1" w:lineRule="exact"/>
      </w:pPr>
    </w:p>
    <w:p>
      <w:pPr>
        <w:widowControl w:val="0"/>
        <w:spacing w:line="1" w:lineRule="exact"/>
      </w:pPr>
    </w:p>
    <w:p>
      <w:pPr>
        <w:widowControl w:val="0"/>
        <w:jc w:val="center"/>
        <w:rPr>
          <w:sz w:val="2"/>
          <w:szCs w:val="2"/>
        </w:rPr>
      </w:pPr>
      <w:r>
        <w:drawing>
          <wp:inline>
            <wp:extent cx="4724400" cy="185293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75"/>
                    <a:stretch/>
                  </pic:blipFill>
                  <pic:spPr>
                    <a:xfrm>
                      <a:ext cx="4724400" cy="1852930"/>
                    </a:xfrm>
                    <a:prstGeom prst="rect"/>
                  </pic:spPr>
                </pic:pic>
              </a:graphicData>
            </a:graphic>
          </wp:inline>
        </w:drawing>
      </w:r>
    </w:p>
    <w:p>
      <w:pPr>
        <w:widowControl w:val="0"/>
        <w:spacing w:after="419" w:line="1" w:lineRule="exact"/>
      </w:pPr>
    </w:p>
    <w:p>
      <w:pPr>
        <w:pStyle w:val="Style35"/>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、教育程度情况</w:t>
      </w:r>
    </w:p>
    <w:tbl>
      <w:tblPr>
        <w:tblOverlap w:val="never"/>
        <w:jc w:val="left"/>
        <w:tblLayout w:type="fixed"/>
      </w:tblPr>
      <w:tblGrid>
        <w:gridCol w:w="2698"/>
        <w:gridCol w:w="2693"/>
        <w:gridCol w:w="269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占公司总人数的比例（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专科以下学历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52.43%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r>
        <w:br w:type="page"/>
      </w:r>
    </w:p>
    <w:p>
      <w:pPr>
        <w:widowControl w:val="0"/>
        <w:jc w:val="left"/>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17" w:right="1066" w:bottom="1465" w:left="1028" w:header="0" w:footer="3" w:gutter="0"/>
          <w:cols w:space="720"/>
          <w:noEndnote/>
          <w:rtlGutter w:val="0"/>
          <w:docGrid w:linePitch="360"/>
        </w:sectPr>
      </w:pPr>
      <w:r>
        <w:drawing>
          <wp:anchor distT="6769100" distB="0" distL="114300" distR="114300" simplePos="0" relativeHeight="125829378" behindDoc="0" locked="0" layoutInCell="1" allowOverlap="1">
            <wp:simplePos x="0" y="0"/>
            <wp:positionH relativeFrom="page">
              <wp:posOffset>5834380</wp:posOffset>
            </wp:positionH>
            <wp:positionV relativeFrom="margin">
              <wp:posOffset>8815070</wp:posOffset>
            </wp:positionV>
            <wp:extent cx="1718945" cy="981710"/>
            <wp:wrapTopAndBottom/>
            <wp:docPr id="208" name="Shape 208"/>
            <a:graphic xmlns:a="http://schemas.openxmlformats.org/drawingml/2006/main">
              <a:graphicData uri="http://schemas.openxmlformats.org/drawingml/2006/picture">
                <pic:pic xmlns:pic="http://schemas.openxmlformats.org/drawingml/2006/picture">
                  <pic:nvPicPr>
                    <pic:cNvPr id="209" name="Picture box 209"/>
                    <pic:cNvPicPr/>
                  </pic:nvPicPr>
                  <pic:blipFill>
                    <a:blip r:embed="rId81"/>
                    <a:stretch/>
                  </pic:blipFill>
                  <pic:spPr>
                    <a:xfrm>
                      <a:ext cx="1718945" cy="981710"/>
                    </a:xfrm>
                    <a:prstGeom prst="rect"/>
                  </pic:spPr>
                </pic:pic>
              </a:graphicData>
            </a:graphic>
          </wp:anchor>
        </w:drawing>
      </w:r>
      <w:r>
        <w:drawing>
          <wp:inline>
            <wp:extent cx="4096385" cy="1938655"/>
            <wp:docPr id="210" name="Picutre 210"/>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83"/>
                    <a:stretch/>
                  </pic:blipFill>
                  <pic:spPr>
                    <a:xfrm>
                      <a:ext cx="4096385" cy="1938655"/>
                    </a:xfrm>
                    <a:prstGeom prst="rect"/>
                  </pic:spPr>
                </pic:pic>
              </a:graphicData>
            </a:graphic>
          </wp:inline>
        </w:drawing>
      </w:r>
    </w:p>
    <w:p>
      <w:pPr>
        <w:pStyle w:val="Style11"/>
        <w:keepNext/>
        <w:keepLines/>
        <w:widowControl w:val="0"/>
        <w:shd w:val="clear" w:color="auto" w:fill="auto"/>
        <w:bidi w:val="0"/>
        <w:spacing w:before="0" w:after="500" w:line="240" w:lineRule="auto"/>
        <w:ind w:left="0" w:right="0" w:firstLine="0"/>
        <w:jc w:val="center"/>
      </w:pPr>
      <w:bookmarkStart w:id="354" w:name="bookmark354"/>
      <w:bookmarkStart w:id="355" w:name="bookmark355"/>
      <w:bookmarkStart w:id="356" w:name="bookmark356"/>
      <w:r>
        <w:rPr>
          <w:color w:val="000000"/>
          <w:spacing w:val="0"/>
          <w:w w:val="100"/>
          <w:position w:val="0"/>
        </w:rPr>
        <w:t>第八节公司治理</w:t>
      </w:r>
      <w:bookmarkEnd w:id="354"/>
      <w:bookmarkEnd w:id="355"/>
      <w:bookmarkEnd w:id="356"/>
    </w:p>
    <w:p>
      <w:pPr>
        <w:pStyle w:val="Style23"/>
        <w:keepNext/>
        <w:keepLines/>
        <w:widowControl w:val="0"/>
        <w:shd w:val="clear" w:color="auto" w:fill="auto"/>
        <w:bidi w:val="0"/>
        <w:spacing w:before="0" w:after="280" w:line="314" w:lineRule="exact"/>
        <w:ind w:left="0" w:right="0" w:firstLine="0"/>
        <w:jc w:val="both"/>
      </w:pPr>
      <w:bookmarkStart w:id="357" w:name="bookmark357"/>
      <w:bookmarkStart w:id="358" w:name="bookmark358"/>
      <w:bookmarkStart w:id="359" w:name="bookmark359"/>
      <w:bookmarkStart w:id="360" w:name="bookmark360"/>
      <w:r>
        <w:rPr>
          <w:color w:val="000000"/>
          <w:spacing w:val="0"/>
          <w:w w:val="100"/>
          <w:position w:val="0"/>
        </w:rPr>
        <w:t>一</w:t>
      </w:r>
      <w:bookmarkEnd w:id="359"/>
      <w:r>
        <w:rPr>
          <w:color w:val="000000"/>
          <w:spacing w:val="0"/>
          <w:w w:val="100"/>
          <w:position w:val="0"/>
        </w:rPr>
        <w:t>、公司治理的基本状况</w:t>
      </w:r>
      <w:bookmarkEnd w:id="357"/>
      <w:bookmarkEnd w:id="358"/>
      <w:bookmarkEnd w:id="360"/>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报告期内，公司严格按照《公司法》、《证券法》、《上市公司治理准则》、《深圳证 券交易所股票上市规则》等有关法律、法规的要求，不断完善公司法人治理结构，建立、健 全公司内部管理和控制制度，持续提升公司治理水平，规范公司运作。</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报告期内，公司根据中国证监会、深圳证券交易所等监管部门的要求，结合公司的实际 情况，制定了《风险投资管理制度》，修订了《公司章程》、《股东大会议事规则》、《董 事会议事规则》、《监事会议事规则》、《财务管理制度》等规章制度。</w:t>
      </w:r>
    </w:p>
    <w:p>
      <w:pPr>
        <w:pStyle w:val="Style35"/>
        <w:keepNext w:val="0"/>
        <w:keepLines w:val="0"/>
        <w:widowControl w:val="0"/>
        <w:shd w:val="clear" w:color="auto" w:fill="auto"/>
        <w:bidi w:val="0"/>
        <w:spacing w:before="0" w:after="180" w:line="326" w:lineRule="exact"/>
        <w:ind w:left="0" w:right="0" w:firstLine="480"/>
        <w:jc w:val="both"/>
      </w:pPr>
      <w:r>
        <w:rPr>
          <w:color w:val="000000"/>
          <w:spacing w:val="0"/>
          <w:w w:val="100"/>
          <w:position w:val="0"/>
        </w:rPr>
        <w:t>报告期末，公司治理实际情况符合中国证监会发布的有关上市公司治理的规范性文件要 求，符合公司已建立制度的规定。</w:t>
      </w:r>
    </w:p>
    <w:p>
      <w:pPr>
        <w:pStyle w:val="Style35"/>
        <w:keepNext w:val="0"/>
        <w:keepLines w:val="0"/>
        <w:widowControl w:val="0"/>
        <w:shd w:val="clear" w:color="auto" w:fill="auto"/>
        <w:tabs>
          <w:tab w:pos="854" w:val="left"/>
        </w:tabs>
        <w:bidi w:val="0"/>
        <w:spacing w:before="0" w:after="140" w:line="314" w:lineRule="exact"/>
        <w:ind w:left="0" w:right="0" w:firstLine="480"/>
        <w:jc w:val="both"/>
      </w:pPr>
      <w:bookmarkStart w:id="361" w:name="bookmark361"/>
      <w:r>
        <w:rPr>
          <w:rFonts w:ascii="Times New Roman" w:eastAsia="Times New Roman" w:hAnsi="Times New Roman" w:cs="Times New Roman"/>
          <w:color w:val="000000"/>
          <w:spacing w:val="0"/>
          <w:w w:val="100"/>
          <w:position w:val="0"/>
          <w:sz w:val="24"/>
          <w:szCs w:val="24"/>
        </w:rPr>
        <w:t>1</w:t>
      </w:r>
      <w:bookmarkEnd w:id="361"/>
      <w:r>
        <w:rPr>
          <w:color w:val="000000"/>
          <w:spacing w:val="0"/>
          <w:w w:val="100"/>
          <w:position w:val="0"/>
        </w:rPr>
        <w:t>、</w:t>
        <w:tab/>
        <w:t>关于股东与股东大会</w:t>
      </w:r>
    </w:p>
    <w:p>
      <w:pPr>
        <w:pStyle w:val="Style35"/>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公司严格按照《上市公司股东大会规范意见》、《公司章程》和《股东大会议事规则》 的要求，规范股东大会召集、召开、表决程序，平等对待所有股东，保证全体股东对公司重 大事项的知情权和参与权，确保全体股东能够充分行使自己的权利。</w:t>
      </w:r>
    </w:p>
    <w:p>
      <w:pPr>
        <w:pStyle w:val="Style35"/>
        <w:keepNext w:val="0"/>
        <w:keepLines w:val="0"/>
        <w:widowControl w:val="0"/>
        <w:shd w:val="clear" w:color="auto" w:fill="auto"/>
        <w:tabs>
          <w:tab w:pos="878" w:val="left"/>
        </w:tabs>
        <w:bidi w:val="0"/>
        <w:spacing w:before="0" w:after="140" w:line="276" w:lineRule="auto"/>
        <w:ind w:left="0" w:right="0" w:firstLine="480"/>
        <w:jc w:val="both"/>
      </w:pPr>
      <w:bookmarkStart w:id="362" w:name="bookmark362"/>
      <w:r>
        <w:rPr>
          <w:rFonts w:ascii="Times New Roman" w:eastAsia="Times New Roman" w:hAnsi="Times New Roman" w:cs="Times New Roman"/>
          <w:color w:val="000000"/>
          <w:spacing w:val="0"/>
          <w:w w:val="100"/>
          <w:position w:val="0"/>
          <w:sz w:val="24"/>
          <w:szCs w:val="24"/>
        </w:rPr>
        <w:t>2</w:t>
      </w:r>
      <w:bookmarkEnd w:id="362"/>
      <w:r>
        <w:rPr>
          <w:color w:val="000000"/>
          <w:spacing w:val="0"/>
          <w:w w:val="100"/>
          <w:position w:val="0"/>
        </w:rPr>
        <w:t>、</w:t>
        <w:tab/>
        <w:t>关于董事和董事会</w:t>
      </w:r>
    </w:p>
    <w:p>
      <w:pPr>
        <w:pStyle w:val="Style35"/>
        <w:keepNext w:val="0"/>
        <w:keepLines w:val="0"/>
        <w:widowControl w:val="0"/>
        <w:shd w:val="clear" w:color="auto" w:fill="auto"/>
        <w:bidi w:val="0"/>
        <w:spacing w:before="0" w:after="180" w:line="310" w:lineRule="exact"/>
        <w:ind w:left="0" w:right="0" w:firstLine="480"/>
        <w:jc w:val="both"/>
      </w:pPr>
      <w:r>
        <w:rPr>
          <w:color w:val="000000"/>
          <w:spacing w:val="0"/>
          <w:w w:val="100"/>
          <w:position w:val="0"/>
        </w:rPr>
        <w:t>公司严格按照《公司法》和《公司章程》规定的选聘程序选举董事，公司董事会的人数 和人员构成符合法律、法规的要求，董事会下设四个专门委员会。董事会严格按照《公司章 程》、《董事会议事规则》召开会议，依法行使职权，公司全体董事按时出席董事会和股东 大会，诚实守信、勤勉尽责地履行董事义务。</w:t>
      </w:r>
    </w:p>
    <w:p>
      <w:pPr>
        <w:pStyle w:val="Style35"/>
        <w:keepNext w:val="0"/>
        <w:keepLines w:val="0"/>
        <w:widowControl w:val="0"/>
        <w:shd w:val="clear" w:color="auto" w:fill="auto"/>
        <w:tabs>
          <w:tab w:pos="878" w:val="left"/>
        </w:tabs>
        <w:bidi w:val="0"/>
        <w:spacing w:before="0" w:after="140" w:line="276" w:lineRule="auto"/>
        <w:ind w:left="0" w:right="0" w:firstLine="480"/>
        <w:jc w:val="both"/>
      </w:pPr>
      <w:bookmarkStart w:id="363" w:name="bookmark363"/>
      <w:r>
        <w:rPr>
          <w:rFonts w:ascii="Times New Roman" w:eastAsia="Times New Roman" w:hAnsi="Times New Roman" w:cs="Times New Roman"/>
          <w:color w:val="000000"/>
          <w:spacing w:val="0"/>
          <w:w w:val="100"/>
          <w:position w:val="0"/>
          <w:sz w:val="24"/>
          <w:szCs w:val="24"/>
        </w:rPr>
        <w:t>3</w:t>
      </w:r>
      <w:bookmarkEnd w:id="363"/>
      <w:r>
        <w:rPr>
          <w:color w:val="000000"/>
          <w:spacing w:val="0"/>
          <w:w w:val="100"/>
          <w:position w:val="0"/>
        </w:rPr>
        <w:t>、</w:t>
        <w:tab/>
        <w:t>关于监事和监事会</w:t>
      </w:r>
    </w:p>
    <w:p>
      <w:pPr>
        <w:pStyle w:val="Style35"/>
        <w:keepNext w:val="0"/>
        <w:keepLines w:val="0"/>
        <w:widowControl w:val="0"/>
        <w:shd w:val="clear" w:color="auto" w:fill="auto"/>
        <w:bidi w:val="0"/>
        <w:spacing w:before="0" w:after="140" w:line="316" w:lineRule="exact"/>
        <w:ind w:left="0" w:right="0" w:firstLine="480"/>
        <w:jc w:val="both"/>
      </w:pPr>
      <w:r>
        <w:rPr>
          <w:color w:val="000000"/>
          <w:spacing w:val="0"/>
          <w:w w:val="100"/>
          <w:position w:val="0"/>
        </w:rPr>
        <w:t>公司监事会严格按照《公司法》、《公司章程》和《监事会议事规则》的选聘程序选举 监事，公司监事会的人数和人员构成符合法律、法规要求。公司监事认真履行自己的职责， 本着对全体股东负责的精神，依《公司章程》召开监事会、出席股东大会，列席董事会，对 公司财务状况以及公司董事、总裁和其它高级管理人员履行职责的合法、合规性进行了有效 监督，维护了公司和全体股东的利益。</w:t>
      </w:r>
    </w:p>
    <w:p>
      <w:pPr>
        <w:pStyle w:val="Style35"/>
        <w:keepNext w:val="0"/>
        <w:keepLines w:val="0"/>
        <w:widowControl w:val="0"/>
        <w:shd w:val="clear" w:color="auto" w:fill="auto"/>
        <w:tabs>
          <w:tab w:pos="878" w:val="left"/>
        </w:tabs>
        <w:bidi w:val="0"/>
        <w:spacing w:before="0" w:after="140" w:line="314" w:lineRule="exact"/>
        <w:ind w:left="0" w:right="0" w:firstLine="480"/>
        <w:jc w:val="both"/>
      </w:pPr>
      <w:bookmarkStart w:id="364" w:name="bookmark364"/>
      <w:r>
        <w:rPr>
          <w:rFonts w:ascii="Times New Roman" w:eastAsia="Times New Roman" w:hAnsi="Times New Roman" w:cs="Times New Roman"/>
          <w:color w:val="000000"/>
          <w:spacing w:val="0"/>
          <w:w w:val="100"/>
          <w:position w:val="0"/>
          <w:sz w:val="24"/>
          <w:szCs w:val="24"/>
        </w:rPr>
        <w:t>4</w:t>
      </w:r>
      <w:bookmarkEnd w:id="364"/>
      <w:r>
        <w:rPr>
          <w:color w:val="000000"/>
          <w:spacing w:val="0"/>
          <w:w w:val="100"/>
          <w:position w:val="0"/>
        </w:rPr>
        <w:t>、</w:t>
        <w:tab/>
        <w:t>关于控股股东与上市公司的关系</w:t>
      </w:r>
    </w:p>
    <w:p>
      <w:pPr>
        <w:pStyle w:val="Style35"/>
        <w:keepNext w:val="0"/>
        <w:keepLines w:val="0"/>
        <w:widowControl w:val="0"/>
        <w:shd w:val="clear" w:color="auto" w:fill="auto"/>
        <w:bidi w:val="0"/>
        <w:spacing w:before="0" w:after="140" w:line="315" w:lineRule="exact"/>
        <w:ind w:left="0" w:right="0" w:firstLine="480"/>
        <w:jc w:val="both"/>
      </w:pPr>
      <w:r>
        <w:rPr>
          <w:color w:val="000000"/>
          <w:spacing w:val="0"/>
          <w:w w:val="100"/>
          <w:position w:val="0"/>
        </w:rPr>
        <w:t>公司控股股东行为规范，依法行使其权利并承担相应义务，没有超越股东大会直接或间 接干预公司的决策和经营活动，损害公司或其它股东的合法权益。公司与控股股东在人员、 资产、财务、机构和业务方面做到了分开独立，公司董事会、监事会和内部机构能够独立运 作。</w:t>
      </w:r>
    </w:p>
    <w:p>
      <w:pPr>
        <w:pStyle w:val="Style35"/>
        <w:keepNext w:val="0"/>
        <w:keepLines w:val="0"/>
        <w:widowControl w:val="0"/>
        <w:shd w:val="clear" w:color="auto" w:fill="auto"/>
        <w:tabs>
          <w:tab w:pos="878" w:val="left"/>
        </w:tabs>
        <w:bidi w:val="0"/>
        <w:spacing w:before="0" w:after="140" w:line="314" w:lineRule="exact"/>
        <w:ind w:left="0" w:right="0" w:firstLine="480"/>
        <w:jc w:val="both"/>
      </w:pPr>
      <w:bookmarkStart w:id="365" w:name="bookmark365"/>
      <w:r>
        <w:rPr>
          <w:rFonts w:ascii="Times New Roman" w:eastAsia="Times New Roman" w:hAnsi="Times New Roman" w:cs="Times New Roman"/>
          <w:color w:val="000000"/>
          <w:spacing w:val="0"/>
          <w:w w:val="100"/>
          <w:position w:val="0"/>
          <w:sz w:val="24"/>
          <w:szCs w:val="24"/>
        </w:rPr>
        <w:t>5</w:t>
      </w:r>
      <w:bookmarkEnd w:id="365"/>
      <w:r>
        <w:rPr>
          <w:color w:val="000000"/>
          <w:spacing w:val="0"/>
          <w:w w:val="100"/>
          <w:position w:val="0"/>
        </w:rPr>
        <w:t>、</w:t>
        <w:tab/>
        <w:t>关于绩效评价与激励约束机制</w:t>
      </w:r>
    </w:p>
    <w:p>
      <w:pPr>
        <w:pStyle w:val="Style35"/>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公司逐步完善高级管理人员的绩效评价体系和考核体系，高级管理人员的聘任公开、透 明，符合有关法律法规的要求。公司董事会、监事会能够严格按照规定向股东大会报告履行 职责的情况。</w:t>
      </w:r>
    </w:p>
    <w:p>
      <w:pPr>
        <w:pStyle w:val="Style35"/>
        <w:keepNext w:val="0"/>
        <w:keepLines w:val="0"/>
        <w:widowControl w:val="0"/>
        <w:shd w:val="clear" w:color="auto" w:fill="auto"/>
        <w:bidi w:val="0"/>
        <w:spacing w:before="0" w:line="240" w:lineRule="auto"/>
        <w:ind w:left="0" w:right="0" w:firstLine="500"/>
        <w:jc w:val="both"/>
      </w:pPr>
      <w:bookmarkStart w:id="366" w:name="bookmark366"/>
      <w:r>
        <w:rPr>
          <w:rFonts w:ascii="Times New Roman" w:eastAsia="Times New Roman" w:hAnsi="Times New Roman" w:cs="Times New Roman"/>
          <w:color w:val="000000"/>
          <w:spacing w:val="0"/>
          <w:w w:val="100"/>
          <w:position w:val="0"/>
          <w:sz w:val="24"/>
          <w:szCs w:val="24"/>
        </w:rPr>
        <w:t>6</w:t>
      </w:r>
      <w:bookmarkEnd w:id="366"/>
      <w:r>
        <w:rPr>
          <w:color w:val="000000"/>
          <w:spacing w:val="0"/>
          <w:w w:val="100"/>
          <w:position w:val="0"/>
        </w:rPr>
        <w:t>、关于相关利益者</w:t>
      </w:r>
    </w:p>
    <w:p>
      <w:pPr>
        <w:pStyle w:val="Style35"/>
        <w:keepNext w:val="0"/>
        <w:keepLines w:val="0"/>
        <w:widowControl w:val="0"/>
        <w:shd w:val="clear" w:color="auto" w:fill="auto"/>
        <w:bidi w:val="0"/>
        <w:spacing w:before="0" w:after="180" w:line="307" w:lineRule="exact"/>
        <w:ind w:left="0" w:right="0" w:firstLine="500"/>
        <w:jc w:val="left"/>
      </w:pPr>
      <w:r>
        <w:rPr>
          <w:color w:val="000000"/>
          <w:spacing w:val="0"/>
          <w:w w:val="100"/>
          <w:position w:val="0"/>
        </w:rPr>
        <w:t>公司充分尊重和维护相关利益者的合法权益，实现股东、员工、社会等各方利益的均衡, 重视社会责任，与利益相关者共同推动公司持续、健康地发展。</w:t>
      </w:r>
    </w:p>
    <w:p>
      <w:pPr>
        <w:pStyle w:val="Style35"/>
        <w:keepNext w:val="0"/>
        <w:keepLines w:val="0"/>
        <w:widowControl w:val="0"/>
        <w:shd w:val="clear" w:color="auto" w:fill="auto"/>
        <w:bidi w:val="0"/>
        <w:spacing w:before="0" w:line="276" w:lineRule="auto"/>
        <w:ind w:left="0" w:right="0" w:firstLine="500"/>
        <w:jc w:val="left"/>
      </w:pPr>
      <w:bookmarkStart w:id="367" w:name="bookmark367"/>
      <w:r>
        <w:rPr>
          <w:rFonts w:ascii="Times New Roman" w:eastAsia="Times New Roman" w:hAnsi="Times New Roman" w:cs="Times New Roman"/>
          <w:color w:val="000000"/>
          <w:spacing w:val="0"/>
          <w:w w:val="100"/>
          <w:position w:val="0"/>
          <w:sz w:val="24"/>
          <w:szCs w:val="24"/>
        </w:rPr>
        <w:t>7</w:t>
      </w:r>
      <w:bookmarkEnd w:id="367"/>
      <w:r>
        <w:rPr>
          <w:color w:val="000000"/>
          <w:spacing w:val="0"/>
          <w:w w:val="100"/>
          <w:position w:val="0"/>
        </w:rPr>
        <w:t>、关于信息披露与透明度</w:t>
      </w:r>
    </w:p>
    <w:p>
      <w:pPr>
        <w:pStyle w:val="Style35"/>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公司根据《公司章程》、《深圳证券交易所股票上市规则》和中国证监会及深圳证券交 易所的相关法律法规的要求，认真履行信息披露义务。公司制定了《信息披露管理制度》、</w:t>
      </w:r>
    </w:p>
    <w:p>
      <w:pPr>
        <w:pStyle w:val="Style35"/>
        <w:keepNext w:val="0"/>
        <w:keepLines w:val="0"/>
        <w:widowControl w:val="0"/>
        <w:shd w:val="clear" w:color="auto" w:fill="auto"/>
        <w:bidi w:val="0"/>
        <w:spacing w:before="0" w:line="316" w:lineRule="exact"/>
        <w:ind w:left="0" w:right="0" w:firstLine="0"/>
        <w:jc w:val="both"/>
      </w:pPr>
      <w:r>
        <w:rPr>
          <w:color w:val="000000"/>
          <w:spacing w:val="0"/>
          <w:w w:val="100"/>
          <w:position w:val="0"/>
        </w:rPr>
        <w:t>《投资者关系管理制度》，指定董事会秘书为公司信息披露工作负责人，协调公司与投资者 的关系，接待投资者来访，及时回复互动易平台的问题。公司能够严格按照有关法律、法规 和要求，真实、准确、完整、及时地披露有关信息，确保公司所有股东能够以平等的机会获 得信息。</w:t>
      </w:r>
    </w:p>
    <w:p>
      <w:pPr>
        <w:pStyle w:val="Style23"/>
        <w:keepNext/>
        <w:keepLines/>
        <w:widowControl w:val="0"/>
        <w:shd w:val="clear" w:color="auto" w:fill="auto"/>
        <w:bidi w:val="0"/>
        <w:spacing w:before="0" w:after="120" w:line="314" w:lineRule="exact"/>
        <w:ind w:left="0" w:right="0" w:firstLine="0"/>
        <w:jc w:val="left"/>
      </w:pPr>
      <w:bookmarkStart w:id="368" w:name="bookmark368"/>
      <w:bookmarkStart w:id="369" w:name="bookmark369"/>
      <w:bookmarkStart w:id="370" w:name="bookmark370"/>
      <w:r>
        <w:rPr>
          <w:color w:val="000000"/>
          <w:spacing w:val="0"/>
          <w:w w:val="100"/>
          <w:position w:val="0"/>
        </w:rPr>
        <w:t>公司治理与《公司法》和中国证监会相关规定的要求是否存在差异</w:t>
      </w:r>
      <w:bookmarkEnd w:id="368"/>
      <w:bookmarkEnd w:id="369"/>
      <w:bookmarkEnd w:id="370"/>
    </w:p>
    <w:p>
      <w:pPr>
        <w:pStyle w:val="Style35"/>
        <w:keepNext w:val="0"/>
        <w:keepLines w:val="0"/>
        <w:widowControl w:val="0"/>
        <w:shd w:val="clear" w:color="auto" w:fill="auto"/>
        <w:bidi w:val="0"/>
        <w:spacing w:before="0" w:after="180" w:line="314" w:lineRule="exact"/>
        <w:ind w:left="0" w:right="0" w:firstLine="500"/>
        <w:jc w:val="left"/>
      </w:pPr>
      <w:r>
        <w:rPr>
          <w:color w:val="000000"/>
          <w:spacing w:val="0"/>
          <w:w w:val="100"/>
          <w:position w:val="0"/>
        </w:rPr>
        <w:t>公司治理与《公司法》和中国证监会相关规定的要求不存在差异。</w:t>
      </w:r>
    </w:p>
    <w:p>
      <w:pPr>
        <w:pStyle w:val="Style23"/>
        <w:keepNext/>
        <w:keepLines/>
        <w:widowControl w:val="0"/>
        <w:shd w:val="clear" w:color="auto" w:fill="auto"/>
        <w:bidi w:val="0"/>
        <w:spacing w:before="0" w:after="120" w:line="314" w:lineRule="exact"/>
        <w:ind w:left="0" w:right="0" w:firstLine="0"/>
        <w:jc w:val="left"/>
      </w:pPr>
      <w:bookmarkStart w:id="371" w:name="bookmark371"/>
      <w:bookmarkStart w:id="372" w:name="bookmark372"/>
      <w:bookmarkStart w:id="373" w:name="bookmark373"/>
      <w:r>
        <w:rPr>
          <w:color w:val="000000"/>
          <w:spacing w:val="0"/>
          <w:w w:val="100"/>
          <w:position w:val="0"/>
        </w:rPr>
        <w:t>公司治理专项活动开展情况以及内幕信息知情人登记管理制度的制定、实施情况</w:t>
      </w:r>
      <w:bookmarkEnd w:id="371"/>
      <w:bookmarkEnd w:id="372"/>
      <w:bookmarkEnd w:id="373"/>
    </w:p>
    <w:p>
      <w:pPr>
        <w:pStyle w:val="Style35"/>
        <w:keepNext w:val="0"/>
        <w:keepLines w:val="0"/>
        <w:widowControl w:val="0"/>
        <w:shd w:val="clear" w:color="auto" w:fill="auto"/>
        <w:bidi w:val="0"/>
        <w:spacing w:before="0" w:line="312"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月开展公司治理专项活动，根据证监会的要求，公司先后完成了自查、公 众评议、整改提高、总结说明、监管检查验收等，具体情况详见公司于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日刊登 在《中国证券报》及巨潮资讯网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上的《公司治理专项活动整改报</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24"/>
          <w:szCs w:val="24"/>
        </w:rPr>
        <w:t>2007-49</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日刊登在《中国证券报》及巨潮资讯网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上的《关于公司专项治理整改情况说明的报告》(公告编号：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2008-24</w:t>
      </w:r>
      <w:r>
        <w:rPr>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月制定了《内幕信息知情人登记制度》，具体内容详见</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 刊登在巨潮资讯网(</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)上的《内幕信息知情人登记制度》。</w:t>
      </w:r>
    </w:p>
    <w:p>
      <w:pPr>
        <w:pStyle w:val="Style35"/>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报告期内，公司严格按照公司《内幕信息知情人登记制度》和有关规定执行，在定期报 告的编制、审议及披露等涉及公司内幕信息的事项中，加强内幕知情人登记管理、内幕信息 保密管理等工作，如实填报《内幕信息知情人登记表》，并按要求及时向深圳证券交易所和 河北证监局报备，同时严格规范向外部信息使用人报送公司信息的行为。报告期内，公司未 发现利用内幕信息买卖公司股份的情况。</w:t>
      </w:r>
    </w:p>
    <w:p>
      <w:pPr>
        <w:pStyle w:val="Style35"/>
        <w:keepNext w:val="0"/>
        <w:keepLines w:val="0"/>
        <w:widowControl w:val="0"/>
        <w:shd w:val="clear" w:color="auto" w:fill="auto"/>
        <w:bidi w:val="0"/>
        <w:spacing w:before="0" w:after="320" w:line="314" w:lineRule="exact"/>
        <w:ind w:left="0" w:right="0" w:firstLine="0"/>
        <w:jc w:val="left"/>
      </w:pPr>
      <w:bookmarkStart w:id="374" w:name="bookmark374"/>
      <w:r>
        <w:rPr>
          <w:b/>
          <w:bCs/>
          <w:color w:val="000000"/>
          <w:spacing w:val="0"/>
          <w:w w:val="100"/>
          <w:position w:val="0"/>
        </w:rPr>
        <w:t>二</w:t>
      </w:r>
      <w:bookmarkEnd w:id="374"/>
      <w:r>
        <w:rPr>
          <w:b/>
          <w:bCs/>
          <w:color w:val="000000"/>
          <w:spacing w:val="0"/>
          <w:w w:val="100"/>
          <w:position w:val="0"/>
        </w:rPr>
        <w:t>、报告期内召开的年度股东大会和临时股东大会的有关情况</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、本报告期年度股东大会情况</w:t>
      </w:r>
    </w:p>
    <w:tbl>
      <w:tblPr>
        <w:tblOverlap w:val="never"/>
        <w:jc w:val="center"/>
        <w:tblLayout w:type="fixed"/>
      </w:tblPr>
      <w:tblGrid>
        <w:gridCol w:w="1603"/>
        <w:gridCol w:w="1104"/>
        <w:gridCol w:w="2702"/>
        <w:gridCol w:w="979"/>
        <w:gridCol w:w="1181"/>
        <w:gridCol w:w="201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p>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p>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年度报告摘要》、《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 决算报告》、《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 预案》、《关于续聘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 机构的议案》、《关于改选公司第四 届董事会董事的议案》、《关于增补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刊登在《中国证券报》及 巨潮资讯网</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http://www.cninfo.com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上的《同方国芯电子 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股东大会决议公告》(公 告编号：</w:t>
            </w:r>
            <w:r>
              <w:rPr>
                <w:rFonts w:ascii="Times New Roman" w:eastAsia="Times New Roman" w:hAnsi="Times New Roman" w:cs="Times New Roman"/>
                <w:color w:val="000000"/>
                <w:spacing w:val="0"/>
                <w:w w:val="100"/>
                <w:position w:val="0"/>
                <w:sz w:val="18"/>
                <w:szCs w:val="18"/>
              </w:rPr>
              <w:t>2013-021</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603"/>
        <w:gridCol w:w="1104"/>
        <w:gridCol w:w="2702"/>
        <w:gridCol w:w="979"/>
        <w:gridCol w:w="1181"/>
        <w:gridCol w:w="201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曹阳先生为公司独立董事的议 案》、《关于调整公司独立董事津贴 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、本报告期临时股东大会情况</w:t>
      </w:r>
      <w:bookmarkEnd w:id="375"/>
      <w:bookmarkEnd w:id="376"/>
      <w:bookmarkEnd w:id="378"/>
    </w:p>
    <w:tbl>
      <w:tblPr>
        <w:tblOverlap w:val="never"/>
        <w:jc w:val="center"/>
        <w:tblLayout w:type="fixed"/>
      </w:tblPr>
      <w:tblGrid>
        <w:gridCol w:w="1603"/>
        <w:gridCol w:w="926"/>
        <w:gridCol w:w="2880"/>
        <w:gridCol w:w="979"/>
        <w:gridCol w:w="821"/>
        <w:gridCol w:w="23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《关于部分独立董事变更的议案》、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《关于补选公司监事的议案》。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刊登在《中国证券报》及巨潮 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上的《同方国芯电子股份有限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年第一次临时股东 大会决议公告》(公告编号： </w:t>
            </w:r>
            <w:r>
              <w:rPr>
                <w:rFonts w:ascii="Times New Roman" w:eastAsia="Times New Roman" w:hAnsi="Times New Roman" w:cs="Times New Roman"/>
                <w:color w:val="000000"/>
                <w:spacing w:val="0"/>
                <w:w w:val="100"/>
                <w:position w:val="0"/>
                <w:sz w:val="18"/>
                <w:szCs w:val="18"/>
              </w:rPr>
              <w:t>2013-035</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《关于董事会换届选举的议案》、《关 于监事会换届选举的议案》、《关于修 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的议案》、《关于修改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股东大会议事规则</w:t>
            </w:r>
            <w:r>
              <w:rPr>
                <w:color w:val="000000"/>
                <w:spacing w:val="0"/>
                <w:w w:val="100"/>
                <w:position w:val="0"/>
                <w:sz w:val="18"/>
                <w:szCs w:val="18"/>
              </w:rPr>
              <w:t>〉</w:t>
            </w:r>
            <w:r>
              <w:rPr>
                <w:color w:val="000000"/>
                <w:spacing w:val="0"/>
                <w:w w:val="100"/>
                <w:position w:val="0"/>
              </w:rPr>
              <w:t>的议案》、《关于 修改</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的议案》、《关 于修改</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刊登在《中国证券报》及巨潮 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上的《同方国芯电子股份有限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年第二次临时股东 大会决议公告》(公告编号： </w:t>
            </w:r>
            <w:r>
              <w:rPr>
                <w:rFonts w:ascii="Times New Roman" w:eastAsia="Times New Roman" w:hAnsi="Times New Roman" w:cs="Times New Roman"/>
                <w:color w:val="000000"/>
                <w:spacing w:val="0"/>
                <w:w w:val="100"/>
                <w:position w:val="0"/>
                <w:sz w:val="18"/>
                <w:szCs w:val="18"/>
              </w:rPr>
              <w:t>2013-048</w:t>
            </w: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三</w:t>
      </w:r>
      <w:bookmarkEnd w:id="381"/>
      <w:r>
        <w:rPr>
          <w:color w:val="000000"/>
          <w:spacing w:val="0"/>
          <w:w w:val="100"/>
          <w:position w:val="0"/>
        </w:rPr>
        <w:t>、报告期内独立董事履行职责的情况</w:t>
      </w:r>
      <w:bookmarkEnd w:id="379"/>
      <w:bookmarkEnd w:id="380"/>
      <w:bookmarkEnd w:id="382"/>
    </w:p>
    <w:p>
      <w:pPr>
        <w:pStyle w:val="Style44"/>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、独立董事出席董事会及股东大会的情况</w:t>
      </w:r>
      <w:bookmarkEnd w:id="383"/>
      <w:bookmarkEnd w:id="384"/>
      <w:bookmarkEnd w:id="386"/>
    </w:p>
    <w:tbl>
      <w:tblPr>
        <w:tblOverlap w:val="never"/>
        <w:jc w:val="center"/>
        <w:tblLayout w:type="fixed"/>
      </w:tblPr>
      <w:tblGrid>
        <w:gridCol w:w="1632"/>
        <w:gridCol w:w="1325"/>
        <w:gridCol w:w="1325"/>
        <w:gridCol w:w="1325"/>
        <w:gridCol w:w="1320"/>
        <w:gridCol w:w="1003"/>
        <w:gridCol w:w="1656"/>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本报告期应参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、独立董事对公司有关事项提出异议的情况</w:t>
      </w:r>
      <w:bookmarkEnd w:id="387"/>
      <w:bookmarkEnd w:id="388"/>
      <w:bookmarkEnd w:id="390"/>
    </w:p>
    <w:p>
      <w:pPr>
        <w:pStyle w:val="Style35"/>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报告期内独立董事对公司有关事项未提出异议。</w:t>
      </w:r>
    </w:p>
    <w:p>
      <w:pPr>
        <w:pStyle w:val="Style35"/>
        <w:keepNext w:val="0"/>
        <w:keepLines w:val="0"/>
        <w:widowControl w:val="0"/>
        <w:shd w:val="clear" w:color="auto" w:fill="auto"/>
        <w:bidi w:val="0"/>
        <w:spacing w:before="0" w:after="300" w:line="240" w:lineRule="auto"/>
        <w:ind w:left="0" w:right="0" w:firstLine="0"/>
        <w:jc w:val="left"/>
        <w:rPr>
          <w:sz w:val="20"/>
          <w:szCs w:val="20"/>
        </w:rPr>
      </w:pPr>
      <w:bookmarkStart w:id="391" w:name="bookmark391"/>
      <w:r>
        <w:rPr>
          <w:rFonts w:ascii="Times New Roman" w:eastAsia="Times New Roman" w:hAnsi="Times New Roman" w:cs="Times New Roman"/>
          <w:b/>
          <w:bCs/>
          <w:color w:val="000000"/>
          <w:spacing w:val="0"/>
          <w:w w:val="100"/>
          <w:position w:val="0"/>
          <w:sz w:val="20"/>
          <w:szCs w:val="20"/>
        </w:rPr>
        <w:t>3</w:t>
      </w:r>
      <w:bookmarkEnd w:id="391"/>
      <w:r>
        <w:rPr>
          <w:b/>
          <w:bCs/>
          <w:color w:val="000000"/>
          <w:spacing w:val="0"/>
          <w:w w:val="100"/>
          <w:position w:val="0"/>
          <w:sz w:val="20"/>
          <w:szCs w:val="20"/>
        </w:rPr>
        <w:t>、独立董事履行职责的其他说明</w:t>
      </w:r>
    </w:p>
    <w:p>
      <w:pPr>
        <w:pStyle w:val="Style23"/>
        <w:keepNext/>
        <w:keepLines/>
        <w:widowControl w:val="0"/>
        <w:shd w:val="clear" w:color="auto" w:fill="auto"/>
        <w:bidi w:val="0"/>
        <w:spacing w:before="0" w:after="120" w:line="314" w:lineRule="exact"/>
        <w:ind w:left="0" w:right="0" w:firstLine="0"/>
        <w:jc w:val="left"/>
      </w:pPr>
      <w:bookmarkStart w:id="392" w:name="bookmark392"/>
      <w:bookmarkStart w:id="393" w:name="bookmark393"/>
      <w:bookmarkStart w:id="394" w:name="bookmark394"/>
      <w:r>
        <w:rPr>
          <w:color w:val="000000"/>
          <w:spacing w:val="0"/>
          <w:w w:val="100"/>
          <w:position w:val="0"/>
        </w:rPr>
        <w:t>独立董事对公司有关建议被采纳或未被采纳的说明</w:t>
      </w:r>
      <w:bookmarkEnd w:id="392"/>
      <w:bookmarkEnd w:id="393"/>
      <w:bookmarkEnd w:id="394"/>
    </w:p>
    <w:p>
      <w:pPr>
        <w:pStyle w:val="Style35"/>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报告期内，独立董事严格按照公司《独立董事工作细则》等制度的规定履行职责，积极 出席董事会，股东大会会议，认真审议各项议案，深入公司现场调查，了解公司的生产经营 及公司内部控制制度的建设及执行情况等，对公司对外担保、续聘审计机构、利润分配预案、 聘任公司高管、部分独立董事变更、调整公司高级管理人员薪酬及独立董事津贴、募集资金 存放与使用情况、公司及子公司会计估计变更、关联交易、董事会换届选举等事项发表独立 意见。从各自专业的角度，在公司行业发展、内部控制建设、利润分配政策、关联交易等方 面提出合理的意见和建议，为公司发展和规范运作作出了贡献。</w:t>
      </w:r>
    </w:p>
    <w:p>
      <w:pPr>
        <w:pStyle w:val="Style23"/>
        <w:keepNext/>
        <w:keepLines/>
        <w:widowControl w:val="0"/>
        <w:shd w:val="clear" w:color="auto" w:fill="auto"/>
        <w:bidi w:val="0"/>
        <w:spacing w:before="0" w:after="300" w:line="314" w:lineRule="exact"/>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四</w:t>
      </w:r>
      <w:bookmarkEnd w:id="397"/>
      <w:r>
        <w:rPr>
          <w:color w:val="000000"/>
          <w:spacing w:val="0"/>
          <w:w w:val="100"/>
          <w:position w:val="0"/>
        </w:rPr>
        <w:t>、董事会下设专门委员会在报告期内履行职责情况</w:t>
      </w:r>
      <w:bookmarkEnd w:id="395"/>
      <w:bookmarkEnd w:id="396"/>
      <w:bookmarkEnd w:id="398"/>
    </w:p>
    <w:p>
      <w:pPr>
        <w:pStyle w:val="Style35"/>
        <w:keepNext w:val="0"/>
        <w:keepLines w:val="0"/>
        <w:widowControl w:val="0"/>
        <w:shd w:val="clear" w:color="auto" w:fill="auto"/>
        <w:bidi w:val="0"/>
        <w:spacing w:before="0" w:after="180" w:line="314" w:lineRule="exact"/>
        <w:ind w:left="0" w:right="0" w:firstLine="500"/>
        <w:jc w:val="left"/>
      </w:pPr>
      <w:bookmarkStart w:id="399" w:name="bookmark399"/>
      <w:r>
        <w:rPr>
          <w:color w:val="000000"/>
          <w:spacing w:val="0"/>
          <w:w w:val="100"/>
          <w:position w:val="0"/>
        </w:rPr>
        <w:t>（</w:t>
      </w:r>
      <w:bookmarkEnd w:id="399"/>
      <w:r>
        <w:rPr>
          <w:color w:val="000000"/>
          <w:spacing w:val="0"/>
          <w:w w:val="100"/>
          <w:position w:val="0"/>
        </w:rPr>
        <w:t>一）董事会审计委员会的履职情况</w:t>
      </w:r>
    </w:p>
    <w:p>
      <w:pPr>
        <w:pStyle w:val="Style35"/>
        <w:keepNext w:val="0"/>
        <w:keepLines w:val="0"/>
        <w:widowControl w:val="0"/>
        <w:shd w:val="clear" w:color="auto" w:fill="auto"/>
        <w:tabs>
          <w:tab w:pos="934" w:val="left"/>
        </w:tabs>
        <w:bidi w:val="0"/>
        <w:spacing w:before="0" w:line="276" w:lineRule="auto"/>
        <w:ind w:left="0" w:right="0" w:firstLine="500"/>
        <w:jc w:val="both"/>
      </w:pPr>
      <w:bookmarkStart w:id="400" w:name="bookmark400"/>
      <w:r>
        <w:rPr>
          <w:rFonts w:ascii="Times New Roman" w:eastAsia="Times New Roman" w:hAnsi="Times New Roman" w:cs="Times New Roman"/>
          <w:color w:val="000000"/>
          <w:spacing w:val="0"/>
          <w:w w:val="100"/>
          <w:position w:val="0"/>
          <w:sz w:val="24"/>
          <w:szCs w:val="24"/>
        </w:rPr>
        <w:t>1</w:t>
      </w:r>
      <w:bookmarkEnd w:id="400"/>
      <w:r>
        <w:rPr>
          <w:color w:val="000000"/>
          <w:spacing w:val="0"/>
          <w:w w:val="100"/>
          <w:position w:val="0"/>
        </w:rPr>
        <w:t>、</w:t>
        <w:tab/>
        <w:t>日常工作情况</w:t>
      </w:r>
    </w:p>
    <w:p>
      <w:pPr>
        <w:pStyle w:val="Style35"/>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 xml:space="preserve">公司董事会审计委员会严格按照《董事会审计委员会工作细则》的相关规定开展工作，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年度，审计委员会审议通过了公司内部审计部门提交的《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年度内部审计工作总结》 和《</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年度内部审计工作计划》；每季度对内部审计部门提交的《内部审计工作报告》、 《募集资金使用情况的内部审计报告》进行审议；不定期对内部审计工作进行检查、指导。</w:t>
      </w:r>
    </w:p>
    <w:p>
      <w:pPr>
        <w:pStyle w:val="Style35"/>
        <w:keepNext w:val="0"/>
        <w:keepLines w:val="0"/>
        <w:widowControl w:val="0"/>
        <w:shd w:val="clear" w:color="auto" w:fill="auto"/>
        <w:tabs>
          <w:tab w:pos="934" w:val="left"/>
        </w:tabs>
        <w:bidi w:val="0"/>
        <w:spacing w:before="0" w:line="276" w:lineRule="auto"/>
        <w:ind w:left="0" w:right="0" w:firstLine="500"/>
        <w:jc w:val="both"/>
      </w:pPr>
      <w:bookmarkStart w:id="401" w:name="bookmark401"/>
      <w:r>
        <w:rPr>
          <w:rFonts w:ascii="Times New Roman" w:eastAsia="Times New Roman" w:hAnsi="Times New Roman" w:cs="Times New Roman"/>
          <w:color w:val="000000"/>
          <w:spacing w:val="0"/>
          <w:w w:val="100"/>
          <w:position w:val="0"/>
          <w:sz w:val="24"/>
          <w:szCs w:val="24"/>
        </w:rPr>
        <w:t>2</w:t>
      </w:r>
      <w:bookmarkEnd w:id="401"/>
      <w:r>
        <w:rPr>
          <w:color w:val="000000"/>
          <w:spacing w:val="0"/>
          <w:w w:val="100"/>
          <w:position w:val="0"/>
        </w:rPr>
        <w:t>、</w:t>
        <w:tab/>
        <w:t>年报工作情况</w:t>
      </w:r>
    </w:p>
    <w:p>
      <w:pPr>
        <w:pStyle w:val="Style35"/>
        <w:keepNext w:val="0"/>
        <w:keepLines w:val="0"/>
        <w:widowControl w:val="0"/>
        <w:shd w:val="clear" w:color="auto" w:fill="auto"/>
        <w:bidi w:val="0"/>
        <w:spacing w:before="0" w:line="314" w:lineRule="exact"/>
        <w:ind w:left="0" w:right="0" w:firstLine="500"/>
        <w:jc w:val="both"/>
      </w:pPr>
      <w:r>
        <w:rPr>
          <w:color w:val="000000"/>
          <w:spacing w:val="0"/>
          <w:w w:val="100"/>
          <w:position w:val="0"/>
        </w:rPr>
        <w:t>根据中国证监会、深圳证券交易所有关规定及公司《董事会审计委员会工作细则》、《董 事会审计委员会年度财务报告审议工作规程》，公司董事会审计委员会积极开展年报工作， 履行了以下工作职责：</w:t>
      </w:r>
    </w:p>
    <w:p>
      <w:pPr>
        <w:pStyle w:val="Style35"/>
        <w:keepNext w:val="0"/>
        <w:keepLines w:val="0"/>
        <w:widowControl w:val="0"/>
        <w:shd w:val="clear" w:color="auto" w:fill="auto"/>
        <w:tabs>
          <w:tab w:pos="1013" w:val="left"/>
        </w:tabs>
        <w:bidi w:val="0"/>
        <w:spacing w:before="0" w:line="314" w:lineRule="exact"/>
        <w:ind w:left="0" w:right="0" w:firstLine="500"/>
        <w:jc w:val="left"/>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与年度审会计师事务所协商确定年度财务报告审计工作时间安排。</w:t>
      </w:r>
    </w:p>
    <w:p>
      <w:pPr>
        <w:pStyle w:val="Style35"/>
        <w:keepNext w:val="0"/>
        <w:keepLines w:val="0"/>
        <w:widowControl w:val="0"/>
        <w:shd w:val="clear" w:color="auto" w:fill="auto"/>
        <w:tabs>
          <w:tab w:pos="1013" w:val="left"/>
        </w:tabs>
        <w:bidi w:val="0"/>
        <w:spacing w:before="0" w:after="180" w:line="314" w:lineRule="exact"/>
        <w:ind w:left="0" w:right="0" w:firstLine="50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对财务报表的审阅意见</w:t>
      </w:r>
    </w:p>
    <w:p>
      <w:pPr>
        <w:pStyle w:val="Style35"/>
        <w:keepNext w:val="0"/>
        <w:keepLines w:val="0"/>
        <w:widowControl w:val="0"/>
        <w:shd w:val="clear" w:color="auto" w:fill="auto"/>
        <w:bidi w:val="0"/>
        <w:spacing w:before="0" w:line="316" w:lineRule="exact"/>
        <w:ind w:left="0" w:right="0" w:firstLine="500"/>
        <w:jc w:val="both"/>
      </w:pPr>
      <w:r>
        <w:rPr>
          <w:color w:val="000000"/>
          <w:spacing w:val="0"/>
          <w:w w:val="100"/>
          <w:position w:val="0"/>
        </w:rPr>
        <w:t>在年审注册会计师进场前，审阅了公司编制的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年度财务会计报表，形成书面审阅意 见，认为：公司编制的《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年度财务会计报表》符合《企业会计准则》的相关规定，真实、 完整地反映了公司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年度的经营成果和现金流量情况， 审计委员会全体委员无异议，可通知北京兴华会计师事务所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按上述报表开展 年度审计。</w:t>
      </w:r>
    </w:p>
    <w:p>
      <w:pPr>
        <w:pStyle w:val="Style35"/>
        <w:keepNext w:val="0"/>
        <w:keepLines w:val="0"/>
        <w:widowControl w:val="0"/>
        <w:shd w:val="clear" w:color="auto" w:fill="auto"/>
        <w:bidi w:val="0"/>
        <w:spacing w:before="0" w:line="314" w:lineRule="exact"/>
        <w:ind w:left="0" w:right="0" w:firstLine="500"/>
        <w:jc w:val="both"/>
      </w:pPr>
      <w:r>
        <w:rPr>
          <w:color w:val="000000"/>
          <w:spacing w:val="0"/>
          <w:w w:val="100"/>
          <w:position w:val="0"/>
        </w:rPr>
        <w:t>在年审注册会计师出具初步审计意见后，审计委员会对财务报告进行了审阅，并出具了 《关于对年审注册会计师</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年度财务报告初审意见的书面审核意见》，认为：北京兴华会 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所出具的初审意见，客观、公允地反映了公司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年度的财务状 况和经营成果，审计委员会全体委员无异议。</w:t>
      </w:r>
    </w:p>
    <w:p>
      <w:pPr>
        <w:pStyle w:val="Style35"/>
        <w:keepNext w:val="0"/>
        <w:keepLines w:val="0"/>
        <w:widowControl w:val="0"/>
        <w:shd w:val="clear" w:color="auto" w:fill="auto"/>
        <w:tabs>
          <w:tab w:pos="1013" w:val="left"/>
        </w:tabs>
        <w:bidi w:val="0"/>
        <w:spacing w:before="0" w:line="314" w:lineRule="exact"/>
        <w:ind w:left="0" w:right="0" w:firstLine="50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对会计师事务所的督促情况</w:t>
      </w:r>
    </w:p>
    <w:p>
      <w:pPr>
        <w:pStyle w:val="Style35"/>
        <w:keepNext w:val="0"/>
        <w:keepLines w:val="0"/>
        <w:widowControl w:val="0"/>
        <w:shd w:val="clear" w:color="auto" w:fill="auto"/>
        <w:bidi w:val="0"/>
        <w:spacing w:before="0" w:line="314" w:lineRule="exact"/>
        <w:ind w:left="0" w:right="0" w:firstLine="500"/>
        <w:jc w:val="both"/>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417" w:right="1066" w:bottom="1465" w:left="1028" w:header="0" w:footer="3" w:gutter="0"/>
          <w:cols w:space="720"/>
          <w:noEndnote/>
          <w:titlePg/>
          <w:rtlGutter w:val="0"/>
          <w:docGrid w:linePitch="360"/>
        </w:sectPr>
      </w:pPr>
      <w:r>
        <w:rPr>
          <w:color w:val="000000"/>
          <w:spacing w:val="0"/>
          <w:w w:val="100"/>
          <w:position w:val="0"/>
        </w:rPr>
        <w:t>公司年审注册会计师进场后，审计委员会根据审计工作安排，以电话、邮件、现场交流 等形式进行跟踪，关注审计进度，根据公司情况对会计师事务所提出了相关要求，并对审计 完成情况和审计报告的提交时间进行督促。</w:t>
      </w:r>
    </w:p>
    <w:p>
      <w:pPr>
        <w:pStyle w:val="Style35"/>
        <w:keepNext w:val="0"/>
        <w:keepLines w:val="0"/>
        <w:widowControl w:val="0"/>
        <w:shd w:val="clear" w:color="auto" w:fill="auto"/>
        <w:bidi w:val="0"/>
        <w:spacing w:before="0" w:after="140" w:line="313" w:lineRule="exact"/>
        <w:ind w:left="0" w:right="0" w:firstLine="500"/>
        <w:jc w:val="left"/>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24"/>
          <w:szCs w:val="24"/>
        </w:rPr>
        <w:t>4</w:t>
      </w:r>
      <w:r>
        <w:rPr>
          <w:color w:val="000000"/>
          <w:spacing w:val="0"/>
          <w:w w:val="100"/>
          <w:position w:val="0"/>
        </w:rPr>
        <w:t>）对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年财务会计报表、聘任会计师事务所等事项的表决情况</w:t>
      </w:r>
    </w:p>
    <w:p>
      <w:pPr>
        <w:pStyle w:val="Style35"/>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审计委员会审议通过《公司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年度财务报告》、《关于续聘北京兴华会计师事务所为 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年度审计机构的议案》、《董事会审计委员会对北京兴华会计师事务所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年度审 计工作的总结报告》，并提交公司董事会审议。</w:t>
      </w:r>
    </w:p>
    <w:p>
      <w:pPr>
        <w:pStyle w:val="Style35"/>
        <w:keepNext w:val="0"/>
        <w:keepLines w:val="0"/>
        <w:widowControl w:val="0"/>
        <w:shd w:val="clear" w:color="auto" w:fill="auto"/>
        <w:tabs>
          <w:tab w:pos="1146" w:val="left"/>
        </w:tabs>
        <w:bidi w:val="0"/>
        <w:spacing w:before="0" w:after="140" w:line="313" w:lineRule="exact"/>
        <w:ind w:left="0" w:right="0" w:firstLine="500"/>
        <w:jc w:val="both"/>
      </w:pPr>
      <w:bookmarkStart w:id="406" w:name="bookmark406"/>
      <w:r>
        <w:rPr>
          <w:color w:val="000000"/>
          <w:spacing w:val="0"/>
          <w:w w:val="100"/>
          <w:position w:val="0"/>
        </w:rPr>
        <w:t>（</w:t>
      </w:r>
      <w:bookmarkEnd w:id="406"/>
      <w:r>
        <w:rPr>
          <w:color w:val="000000"/>
          <w:spacing w:val="0"/>
          <w:w w:val="100"/>
          <w:position w:val="0"/>
        </w:rPr>
        <w:t>二）</w:t>
        <w:tab/>
        <w:t>董事会薪酬与考核委员会履职情况</w:t>
      </w:r>
    </w:p>
    <w:p>
      <w:pPr>
        <w:pStyle w:val="Style35"/>
        <w:keepNext w:val="0"/>
        <w:keepLines w:val="0"/>
        <w:widowControl w:val="0"/>
        <w:shd w:val="clear" w:color="auto" w:fill="auto"/>
        <w:bidi w:val="0"/>
        <w:spacing w:before="0" w:after="140" w:line="313" w:lineRule="exact"/>
        <w:ind w:left="0" w:right="0" w:firstLine="500"/>
        <w:jc w:val="both"/>
      </w:pPr>
      <w:r>
        <w:rPr>
          <w:color w:val="000000"/>
          <w:spacing w:val="0"/>
          <w:w w:val="100"/>
          <w:position w:val="0"/>
        </w:rPr>
        <w:t>报告期内，董事会薪酬与考核委员会根据公司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年度经营目标完成情况和高级管理人 员的工作业绩，对高级管理人员进行了年度绩效考评。并对公司董事、监事、高级管理人员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年度薪酬情况进行了审核。认为：公司高级管理人员认真履行了各项工作职责，很好地 完成了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年度的业绩，并能严格执行公司相关薪酬管理制度。公司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年年度报告中所披 露的公司董事、监事和高级管理人员的薪酬属实。</w:t>
      </w:r>
    </w:p>
    <w:p>
      <w:pPr>
        <w:pStyle w:val="Style35"/>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报告期内，董事会薪酬与考核委员会审议通过了《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年度独立董事津贴及高级管理人 员薪酬标准的建议》。建议结合公司的实际情况及国内上市公司独立董事整体津贴水平，从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年度起，独立董事的津贴调整为每人每年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万元人民币（含税）；建议从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年度起对公 司高级管理人员的薪酬进行调整，并提交公司董事会审议。</w:t>
      </w:r>
    </w:p>
    <w:p>
      <w:pPr>
        <w:pStyle w:val="Style35"/>
        <w:keepNext w:val="0"/>
        <w:keepLines w:val="0"/>
        <w:widowControl w:val="0"/>
        <w:shd w:val="clear" w:color="auto" w:fill="auto"/>
        <w:tabs>
          <w:tab w:pos="1146" w:val="left"/>
        </w:tabs>
        <w:bidi w:val="0"/>
        <w:spacing w:before="0" w:after="140" w:line="313" w:lineRule="exact"/>
        <w:ind w:left="0" w:right="0" w:firstLine="500"/>
        <w:jc w:val="both"/>
      </w:pPr>
      <w:bookmarkStart w:id="407" w:name="bookmark407"/>
      <w:r>
        <w:rPr>
          <w:color w:val="000000"/>
          <w:spacing w:val="0"/>
          <w:w w:val="100"/>
          <w:position w:val="0"/>
        </w:rPr>
        <w:t>（</w:t>
      </w:r>
      <w:bookmarkEnd w:id="407"/>
      <w:r>
        <w:rPr>
          <w:color w:val="000000"/>
          <w:spacing w:val="0"/>
          <w:w w:val="100"/>
          <w:position w:val="0"/>
        </w:rPr>
        <w:t>三）</w:t>
        <w:tab/>
        <w:t>董事会提名委员会履职情况</w:t>
      </w:r>
    </w:p>
    <w:p>
      <w:pPr>
        <w:pStyle w:val="Style35"/>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报告期内，公司董事会提名委员会按照《董事会提名委员会工作细则》，对公司增补的 独立董事候选人、变更的董事候选人、增聘的副总裁候选人以及公司第五届董事会董事候选 人进行了审查，并提交公司董事会审议。</w:t>
      </w:r>
    </w:p>
    <w:p>
      <w:pPr>
        <w:pStyle w:val="Style23"/>
        <w:keepNext/>
        <w:keepLines/>
        <w:widowControl w:val="0"/>
        <w:shd w:val="clear" w:color="auto" w:fill="auto"/>
        <w:tabs>
          <w:tab w:pos="517" w:val="left"/>
        </w:tabs>
        <w:bidi w:val="0"/>
        <w:spacing w:before="0" w:after="300" w:line="313" w:lineRule="exact"/>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五</w:t>
      </w:r>
      <w:bookmarkEnd w:id="410"/>
      <w:r>
        <w:rPr>
          <w:color w:val="000000"/>
          <w:spacing w:val="0"/>
          <w:w w:val="100"/>
          <w:position w:val="0"/>
        </w:rPr>
        <w:t>、</w:t>
        <w:tab/>
        <w:t>监事会工作情况</w:t>
      </w:r>
      <w:bookmarkEnd w:id="408"/>
      <w:bookmarkEnd w:id="409"/>
      <w:bookmarkEnd w:id="411"/>
    </w:p>
    <w:p>
      <w:pPr>
        <w:pStyle w:val="Style35"/>
        <w:keepNext w:val="0"/>
        <w:keepLines w:val="0"/>
        <w:widowControl w:val="0"/>
        <w:shd w:val="clear" w:color="auto" w:fill="auto"/>
        <w:bidi w:val="0"/>
        <w:spacing w:before="0" w:after="300" w:line="313" w:lineRule="exact"/>
        <w:ind w:left="0" w:right="0" w:firstLine="500"/>
        <w:jc w:val="left"/>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300" w:line="313" w:lineRule="exact"/>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六</w:t>
      </w:r>
      <w:bookmarkEnd w:id="414"/>
      <w:r>
        <w:rPr>
          <w:color w:val="000000"/>
          <w:spacing w:val="0"/>
          <w:w w:val="100"/>
          <w:position w:val="0"/>
        </w:rPr>
        <w:t>、</w:t>
        <w:tab/>
        <w:t>公司相对于控股股东在业务、人员、资产、机构、财务等方面的独立完整情况</w:t>
      </w:r>
      <w:bookmarkEnd w:id="412"/>
      <w:bookmarkEnd w:id="413"/>
      <w:bookmarkEnd w:id="415"/>
    </w:p>
    <w:p>
      <w:pPr>
        <w:pStyle w:val="Style35"/>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公司与控股股东在业务、人员、资产、机构、财务等方面完全分开，具有独立完整的业 务及自主经营能力。</w:t>
      </w:r>
    </w:p>
    <w:p>
      <w:pPr>
        <w:pStyle w:val="Style35"/>
        <w:keepNext w:val="0"/>
        <w:keepLines w:val="0"/>
        <w:widowControl w:val="0"/>
        <w:shd w:val="clear" w:color="auto" w:fill="auto"/>
        <w:tabs>
          <w:tab w:pos="1146" w:val="left"/>
        </w:tabs>
        <w:bidi w:val="0"/>
        <w:spacing w:before="0" w:after="140" w:line="313" w:lineRule="exact"/>
        <w:ind w:left="0" w:right="0" w:firstLine="500"/>
        <w:jc w:val="both"/>
      </w:pPr>
      <w:bookmarkStart w:id="416" w:name="bookmark416"/>
      <w:r>
        <w:rPr>
          <w:color w:val="000000"/>
          <w:spacing w:val="0"/>
          <w:w w:val="100"/>
          <w:position w:val="0"/>
        </w:rPr>
        <w:t>（</w:t>
      </w:r>
      <w:bookmarkEnd w:id="416"/>
      <w:r>
        <w:rPr>
          <w:color w:val="000000"/>
          <w:spacing w:val="0"/>
          <w:w w:val="100"/>
          <w:position w:val="0"/>
        </w:rPr>
        <w:t>一）</w:t>
        <w:tab/>
        <w:t>业务独立方面</w:t>
      </w:r>
    </w:p>
    <w:p>
      <w:pPr>
        <w:pStyle w:val="Style35"/>
        <w:keepNext w:val="0"/>
        <w:keepLines w:val="0"/>
        <w:widowControl w:val="0"/>
        <w:shd w:val="clear" w:color="auto" w:fill="auto"/>
        <w:bidi w:val="0"/>
        <w:spacing w:before="0" w:after="140" w:line="307" w:lineRule="exact"/>
        <w:ind w:left="0" w:right="0" w:firstLine="500"/>
        <w:jc w:val="both"/>
      </w:pPr>
      <w:r>
        <w:rPr>
          <w:color w:val="000000"/>
          <w:spacing w:val="0"/>
          <w:w w:val="100"/>
          <w:position w:val="0"/>
        </w:rPr>
        <w:t>公司拥有独立的生产、采购和销售系统，业务上完全独立于控股股东，控股股东及其关 联企业与本公司不存在同业竞争。</w:t>
      </w:r>
    </w:p>
    <w:p>
      <w:pPr>
        <w:pStyle w:val="Style35"/>
        <w:keepNext w:val="0"/>
        <w:keepLines w:val="0"/>
        <w:widowControl w:val="0"/>
        <w:shd w:val="clear" w:color="auto" w:fill="auto"/>
        <w:tabs>
          <w:tab w:pos="1146" w:val="left"/>
        </w:tabs>
        <w:bidi w:val="0"/>
        <w:spacing w:before="0" w:after="140" w:line="313" w:lineRule="exact"/>
        <w:ind w:left="0" w:right="0" w:firstLine="500"/>
        <w:jc w:val="both"/>
      </w:pPr>
      <w:bookmarkStart w:id="417" w:name="bookmark417"/>
      <w:r>
        <w:rPr>
          <w:color w:val="000000"/>
          <w:spacing w:val="0"/>
          <w:w w:val="100"/>
          <w:position w:val="0"/>
        </w:rPr>
        <w:t>（</w:t>
      </w:r>
      <w:bookmarkEnd w:id="417"/>
      <w:r>
        <w:rPr>
          <w:color w:val="000000"/>
          <w:spacing w:val="0"/>
          <w:w w:val="100"/>
          <w:position w:val="0"/>
        </w:rPr>
        <w:t>二）</w:t>
        <w:tab/>
        <w:t>人员独立方面</w:t>
      </w:r>
    </w:p>
    <w:p>
      <w:pPr>
        <w:pStyle w:val="Style35"/>
        <w:keepNext w:val="0"/>
        <w:keepLines w:val="0"/>
        <w:widowControl w:val="0"/>
        <w:shd w:val="clear" w:color="auto" w:fill="auto"/>
        <w:bidi w:val="0"/>
        <w:spacing w:before="0" w:after="140" w:line="313" w:lineRule="exact"/>
        <w:ind w:left="0" w:right="0" w:firstLine="500"/>
        <w:jc w:val="both"/>
      </w:pPr>
      <w:r>
        <w:rPr>
          <w:color w:val="000000"/>
          <w:spacing w:val="0"/>
          <w:w w:val="100"/>
          <w:position w:val="0"/>
        </w:rPr>
        <w:t>公司拥有独立的员工队伍，设立了独立的行政、财务、经营管理等部门，并建立了完整 的劳动、人事及工资管理等制度，公司人员独立于控股股东；公司的总裁、副总裁、财务总 监、董事会秘书等高级管理人员均在公司专职工作并领取薪酬，未在控股股东单位领薪，也 未在控股股东单位担任任何职务。公司董事、监事及高级管理人员严格按照《公司法》、《公 司章程》的有关规定，通过合法程序产生，不存在控股股东干预公司董事会和股东大会人事 任免决定的现象。</w:t>
      </w:r>
    </w:p>
    <w:p>
      <w:pPr>
        <w:pStyle w:val="Style35"/>
        <w:keepNext w:val="0"/>
        <w:keepLines w:val="0"/>
        <w:widowControl w:val="0"/>
        <w:shd w:val="clear" w:color="auto" w:fill="auto"/>
        <w:tabs>
          <w:tab w:pos="1146" w:val="left"/>
        </w:tabs>
        <w:bidi w:val="0"/>
        <w:spacing w:before="0" w:after="140" w:line="313" w:lineRule="exact"/>
        <w:ind w:left="0" w:right="0" w:firstLine="500"/>
        <w:jc w:val="both"/>
      </w:pPr>
      <w:bookmarkStart w:id="418" w:name="bookmark418"/>
      <w:r>
        <w:rPr>
          <w:color w:val="000000"/>
          <w:spacing w:val="0"/>
          <w:w w:val="100"/>
          <w:position w:val="0"/>
        </w:rPr>
        <w:t>（</w:t>
      </w:r>
      <w:bookmarkEnd w:id="418"/>
      <w:r>
        <w:rPr>
          <w:color w:val="000000"/>
          <w:spacing w:val="0"/>
          <w:w w:val="100"/>
          <w:position w:val="0"/>
        </w:rPr>
        <w:t>三）</w:t>
        <w:tab/>
        <w:t>资产完整方面公司</w:t>
      </w:r>
    </w:p>
    <w:p>
      <w:pPr>
        <w:pStyle w:val="Style35"/>
        <w:keepNext w:val="0"/>
        <w:keepLines w:val="0"/>
        <w:widowControl w:val="0"/>
        <w:shd w:val="clear" w:color="auto" w:fill="auto"/>
        <w:bidi w:val="0"/>
        <w:spacing w:before="0" w:after="140" w:line="310" w:lineRule="exact"/>
        <w:ind w:left="0" w:right="0" w:firstLine="500"/>
        <w:jc w:val="both"/>
      </w:pPr>
      <w:r>
        <w:rPr>
          <w:color w:val="000000"/>
          <w:spacing w:val="0"/>
          <w:w w:val="100"/>
          <w:position w:val="0"/>
        </w:rPr>
        <w:t>与控股股东之间产权关系明确，公司的资金、资产及其他资源不存在被其违规占用、支 配的情况。公司的资产完整，拥有与生产经营范围相适应的生产设备、辅助生产设备和专利 等资产，公司对所有资产拥有完全的控制与支配权。</w:t>
      </w:r>
    </w:p>
    <w:p>
      <w:pPr>
        <w:pStyle w:val="Style35"/>
        <w:keepNext w:val="0"/>
        <w:keepLines w:val="0"/>
        <w:widowControl w:val="0"/>
        <w:shd w:val="clear" w:color="auto" w:fill="auto"/>
        <w:tabs>
          <w:tab w:pos="1143" w:val="left"/>
        </w:tabs>
        <w:bidi w:val="0"/>
        <w:spacing w:before="0" w:after="140" w:line="314" w:lineRule="exact"/>
        <w:ind w:left="0" w:right="0" w:firstLine="500"/>
        <w:jc w:val="both"/>
      </w:pPr>
      <w:bookmarkStart w:id="419" w:name="bookmark419"/>
      <w:r>
        <w:rPr>
          <w:color w:val="000000"/>
          <w:spacing w:val="0"/>
          <w:w w:val="100"/>
          <w:position w:val="0"/>
        </w:rPr>
        <w:t>（</w:t>
      </w:r>
      <w:bookmarkEnd w:id="419"/>
      <w:r>
        <w:rPr>
          <w:color w:val="000000"/>
          <w:spacing w:val="0"/>
          <w:w w:val="100"/>
          <w:position w:val="0"/>
        </w:rPr>
        <w:t>四）</w:t>
        <w:tab/>
        <w:t>机构独立方面</w:t>
      </w:r>
    </w:p>
    <w:p>
      <w:pPr>
        <w:pStyle w:val="Style35"/>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公司董事会、监事会、管理层及其他内部机构独立运作，各职能部门在权责、人员等方 面与控股股东之间完全分开，控股股东及其职能部门与本公司及本公司的职能部门之间不存 在隶属关系，不存在控股股东影响本公司生产经营管理独立性的现象。</w:t>
      </w:r>
    </w:p>
    <w:p>
      <w:pPr>
        <w:pStyle w:val="Style35"/>
        <w:keepNext w:val="0"/>
        <w:keepLines w:val="0"/>
        <w:widowControl w:val="0"/>
        <w:shd w:val="clear" w:color="auto" w:fill="auto"/>
        <w:tabs>
          <w:tab w:pos="1143" w:val="left"/>
        </w:tabs>
        <w:bidi w:val="0"/>
        <w:spacing w:before="0" w:after="140" w:line="314" w:lineRule="exact"/>
        <w:ind w:left="0" w:right="0" w:firstLine="500"/>
        <w:jc w:val="both"/>
      </w:pPr>
      <w:bookmarkStart w:id="420" w:name="bookmark420"/>
      <w:r>
        <w:rPr>
          <w:color w:val="000000"/>
          <w:spacing w:val="0"/>
          <w:w w:val="100"/>
          <w:position w:val="0"/>
        </w:rPr>
        <w:t>（</w:t>
      </w:r>
      <w:bookmarkEnd w:id="420"/>
      <w:r>
        <w:rPr>
          <w:color w:val="000000"/>
          <w:spacing w:val="0"/>
          <w:w w:val="100"/>
          <w:position w:val="0"/>
        </w:rPr>
        <w:t>五）</w:t>
        <w:tab/>
        <w:t>财务独立方面</w:t>
      </w:r>
    </w:p>
    <w:p>
      <w:pPr>
        <w:pStyle w:val="Style35"/>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公司设置了独立的财务部门，建立了健全的财务、会计管理制度，独立核算，不存在控 股股东干预公司财务、会计活动的情况。公司在商业银行独立开户，不存在与控股股东共用 银行账户的情况。公司依法独立进行纳税申报和履行纳税义务。</w:t>
      </w:r>
    </w:p>
    <w:p>
      <w:pPr>
        <w:pStyle w:val="Style23"/>
        <w:keepNext/>
        <w:keepLines/>
        <w:widowControl w:val="0"/>
        <w:shd w:val="clear" w:color="auto" w:fill="auto"/>
        <w:bidi w:val="0"/>
        <w:spacing w:before="0" w:after="280" w:line="314" w:lineRule="exact"/>
        <w:ind w:left="0" w:right="0" w:firstLine="0"/>
        <w:jc w:val="both"/>
      </w:pPr>
      <w:bookmarkStart w:id="421" w:name="bookmark421"/>
      <w:bookmarkStart w:id="422" w:name="bookmark422"/>
      <w:bookmarkStart w:id="423" w:name="bookmark423"/>
      <w:bookmarkStart w:id="424" w:name="bookmark424"/>
      <w:r>
        <w:rPr>
          <w:color w:val="000000"/>
          <w:spacing w:val="0"/>
          <w:w w:val="100"/>
          <w:position w:val="0"/>
        </w:rPr>
        <w:t>七</w:t>
      </w:r>
      <w:bookmarkEnd w:id="423"/>
      <w:r>
        <w:rPr>
          <w:color w:val="000000"/>
          <w:spacing w:val="0"/>
          <w:w w:val="100"/>
          <w:position w:val="0"/>
        </w:rPr>
        <w:t>、高级管理人员的考评及激励情况</w:t>
      </w:r>
      <w:bookmarkEnd w:id="421"/>
      <w:bookmarkEnd w:id="422"/>
      <w:bookmarkEnd w:id="424"/>
    </w:p>
    <w:p>
      <w:pPr>
        <w:pStyle w:val="Style35"/>
        <w:keepNext w:val="0"/>
        <w:keepLines w:val="0"/>
        <w:widowControl w:val="0"/>
        <w:shd w:val="clear" w:color="auto" w:fill="auto"/>
        <w:bidi w:val="0"/>
        <w:spacing w:before="0" w:after="140" w:line="322" w:lineRule="exact"/>
        <w:ind w:left="0" w:right="0" w:firstLine="500"/>
        <w:jc w:val="both"/>
      </w:pPr>
      <w:r>
        <w:rPr>
          <w:color w:val="000000"/>
          <w:spacing w:val="0"/>
          <w:w w:val="100"/>
          <w:position w:val="0"/>
        </w:rPr>
        <w:t>报告期内，公司董事会薪酬与考核委员会根据公司年度经营目标完成情况以及高级管理 人员的工作业绩，对高级管理人员进行年度绩效考核，并监督薪酬制度执行情况。</w:t>
      </w:r>
    </w:p>
    <w:p>
      <w:pPr>
        <w:pStyle w:val="Style35"/>
        <w:keepNext w:val="0"/>
        <w:keepLines w:val="0"/>
        <w:widowControl w:val="0"/>
        <w:shd w:val="clear" w:color="auto" w:fill="auto"/>
        <w:bidi w:val="0"/>
        <w:spacing w:before="0" w:after="140" w:line="315" w:lineRule="exact"/>
        <w:ind w:left="0" w:right="0" w:firstLine="500"/>
        <w:jc w:val="both"/>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417" w:right="1066" w:bottom="1465" w:left="10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年度，公司高级管理人员考评结论为：认真履行了各项工作职责，工作业绩良好， 较好地完成了年初制定的各项工作任务。为充分发挥和调动公司高级管理人员的工作积极性 和创造性，公司将结合实际情况，进一步完善高级管理人员的激励和约束机制，建立科学的 高级管理人员绩效考核与激励约束机制。</w:t>
      </w:r>
    </w:p>
    <w:p>
      <w:pPr>
        <w:pStyle w:val="Style11"/>
        <w:keepNext/>
        <w:keepLines/>
        <w:widowControl w:val="0"/>
        <w:shd w:val="clear" w:color="auto" w:fill="auto"/>
        <w:bidi w:val="0"/>
        <w:spacing w:before="0" w:after="480" w:line="240" w:lineRule="auto"/>
        <w:ind w:left="0" w:right="0" w:firstLine="0"/>
        <w:jc w:val="center"/>
      </w:pPr>
      <w:bookmarkStart w:id="425" w:name="bookmark425"/>
      <w:bookmarkStart w:id="426" w:name="bookmark426"/>
      <w:bookmarkStart w:id="427" w:name="bookmark427"/>
      <w:r>
        <w:rPr>
          <w:color w:val="000000"/>
          <w:spacing w:val="0"/>
          <w:w w:val="100"/>
          <w:position w:val="0"/>
        </w:rPr>
        <w:t>第九节内部控制</w:t>
      </w:r>
      <w:bookmarkEnd w:id="425"/>
      <w:bookmarkEnd w:id="426"/>
      <w:bookmarkEnd w:id="427"/>
    </w:p>
    <w:p>
      <w:pPr>
        <w:pStyle w:val="Style23"/>
        <w:keepNext/>
        <w:keepLines/>
        <w:widowControl w:val="0"/>
        <w:shd w:val="clear" w:color="auto" w:fill="auto"/>
        <w:tabs>
          <w:tab w:pos="491" w:val="left"/>
        </w:tabs>
        <w:bidi w:val="0"/>
        <w:spacing w:before="0" w:after="280" w:line="312" w:lineRule="exact"/>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一</w:t>
      </w:r>
      <w:bookmarkEnd w:id="430"/>
      <w:r>
        <w:rPr>
          <w:color w:val="000000"/>
          <w:spacing w:val="0"/>
          <w:w w:val="100"/>
          <w:position w:val="0"/>
        </w:rPr>
        <w:t>、</w:t>
        <w:tab/>
        <w:t>内部控制建设情况</w:t>
      </w:r>
      <w:bookmarkEnd w:id="428"/>
      <w:bookmarkEnd w:id="429"/>
      <w:bookmarkEnd w:id="431"/>
    </w:p>
    <w:p>
      <w:pPr>
        <w:pStyle w:val="Style35"/>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公司根据《公司法》、《证券法》、《深圳证券交易所股票上市规则》、《深圳证券交 易所中小企业板上市公司规范运作指引》、《企业内部控制基本规范》及其配套指引等相关 法律、法规和规范性文件的规定，结合公司实际情况，自身特点、管理和发展需要，制定了 一套贯穿于公司生产经营各层面、各环节的内部控制制度体系，并不断补充、修改和完善， 严格贯彻执行，对公司的生产经营起到了有效的监督、控制和指导作用。董事会对公司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年度的内部控制进行了评价，认为公司建立了较为完善的法人治理结构，内部控制体系较为 健全，符合有关法律法规规定和证券监管部门的要求。公司内部控制制度能够贯彻落实执行, 在公司经营管理各个关键环节、关联交易、对外担保、重大投资、信息披露等方面发挥了较 好的管理控制作用，能够有效防范经营管理风险，保证公司各项业务的健康运行，</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 公司内部控制是有效的。</w:t>
      </w:r>
    </w:p>
    <w:p>
      <w:pPr>
        <w:pStyle w:val="Style23"/>
        <w:keepNext/>
        <w:keepLines/>
        <w:widowControl w:val="0"/>
        <w:shd w:val="clear" w:color="auto" w:fill="auto"/>
        <w:tabs>
          <w:tab w:pos="491" w:val="left"/>
        </w:tabs>
        <w:bidi w:val="0"/>
        <w:spacing w:before="0" w:after="280" w:line="312" w:lineRule="exact"/>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二</w:t>
      </w:r>
      <w:bookmarkEnd w:id="434"/>
      <w:r>
        <w:rPr>
          <w:color w:val="000000"/>
          <w:spacing w:val="0"/>
          <w:w w:val="100"/>
          <w:position w:val="0"/>
        </w:rPr>
        <w:t>、</w:t>
        <w:tab/>
        <w:t>董事会关于内部控制责任的声明</w:t>
      </w:r>
      <w:bookmarkEnd w:id="432"/>
      <w:bookmarkEnd w:id="433"/>
      <w:bookmarkEnd w:id="435"/>
    </w:p>
    <w:p>
      <w:pPr>
        <w:pStyle w:val="Style35"/>
        <w:keepNext w:val="0"/>
        <w:keepLines w:val="0"/>
        <w:widowControl w:val="0"/>
        <w:shd w:val="clear" w:color="auto" w:fill="auto"/>
        <w:bidi w:val="0"/>
        <w:spacing w:before="0" w:after="160" w:line="310" w:lineRule="exact"/>
        <w:ind w:left="0" w:right="0" w:firstLine="500"/>
        <w:jc w:val="both"/>
      </w:pPr>
      <w:r>
        <w:rPr>
          <w:color w:val="000000"/>
          <w:spacing w:val="0"/>
          <w:w w:val="100"/>
          <w:position w:val="0"/>
        </w:rPr>
        <w:t>按照企业内部控制规范体系的规定，建立健全和有效实施内部控制，评价其有效性，并 如实披露内部控制评价报告是公司董事会的责任。监事会对董事会建立和实施内部控制进行 监督。经理层负责组织领导企业内部控制的日常运行。</w:t>
      </w:r>
    </w:p>
    <w:p>
      <w:pPr>
        <w:pStyle w:val="Style35"/>
        <w:keepNext w:val="0"/>
        <w:keepLines w:val="0"/>
        <w:widowControl w:val="0"/>
        <w:shd w:val="clear" w:color="auto" w:fill="auto"/>
        <w:bidi w:val="0"/>
        <w:spacing w:before="0" w:after="160" w:line="307" w:lineRule="exact"/>
        <w:ind w:left="0" w:right="0" w:firstLine="500"/>
        <w:jc w:val="both"/>
      </w:pPr>
      <w:r>
        <w:rPr>
          <w:color w:val="000000"/>
          <w:spacing w:val="0"/>
          <w:w w:val="100"/>
          <w:position w:val="0"/>
        </w:rPr>
        <w:t>公司董事会、监事会及董事、监事、高级管理人员保证本报告内容不存在任何虚假记载、 误导性陈述或重大遗漏，并对报告内容的真实性、准确性和完整性承担个别及连带法律责任。</w:t>
      </w:r>
    </w:p>
    <w:p>
      <w:pPr>
        <w:pStyle w:val="Style35"/>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公司内部控制的目标是合理保证经营管理合法合规、资产安全、财务报告及相关信息真 实完整，提高经营效率和效果，促进实现发展战略。由于内部控制存在的固有局限性，故仅 能为实现上述目标提供合理保证。此外，由于情况的变化可能导致内部控制变得不恰当，或 对控制政策和程序遵循的程度降低，根据内部控制评价结果推测未来内部控制的有效性具有 一定的风险。</w:t>
      </w:r>
    </w:p>
    <w:p>
      <w:pPr>
        <w:pStyle w:val="Style23"/>
        <w:keepNext/>
        <w:keepLines/>
        <w:widowControl w:val="0"/>
        <w:shd w:val="clear" w:color="auto" w:fill="auto"/>
        <w:tabs>
          <w:tab w:pos="491" w:val="left"/>
        </w:tabs>
        <w:bidi w:val="0"/>
        <w:spacing w:before="0" w:after="280" w:line="312" w:lineRule="exact"/>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三</w:t>
      </w:r>
      <w:bookmarkEnd w:id="438"/>
      <w:r>
        <w:rPr>
          <w:color w:val="000000"/>
          <w:spacing w:val="0"/>
          <w:w w:val="100"/>
          <w:position w:val="0"/>
        </w:rPr>
        <w:t>、</w:t>
        <w:tab/>
        <w:t>建立财务报告内部控制的依据</w:t>
      </w:r>
      <w:bookmarkEnd w:id="436"/>
      <w:bookmarkEnd w:id="437"/>
      <w:bookmarkEnd w:id="439"/>
    </w:p>
    <w:p>
      <w:pPr>
        <w:pStyle w:val="Style35"/>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公司建立财务报告内部控制的依据是《会计法》、《企业会计准则》、《企业内部控制 基本规范及配套指引》等相关法律、法规、规章制度及公司制定的相关内部控制制度。</w:t>
      </w: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四、内部控制评价报告</w:t>
      </w:r>
    </w:p>
    <w:tbl>
      <w:tblPr>
        <w:tblOverlap w:val="never"/>
        <w:jc w:val="center"/>
        <w:tblLayout w:type="fixed"/>
      </w:tblPr>
      <w:tblGrid>
        <w:gridCol w:w="3610"/>
        <w:gridCol w:w="5976"/>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内部控制自我评价报告中报告期内发现的内部控制重大缺陷的具体情况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报告期内未发现内部控制重大缺陷。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内部控制自我评价报告全文披露日期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年度内部控制评价报告》刊登在巨潮资讯网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type w:val="continuous"/>
          <w:pgSz w:w="11900" w:h="16840"/>
          <w:pgMar w:top="1417" w:right="1066" w:bottom="1465" w:left="1028" w:header="0" w:footer="3" w:gutter="0"/>
          <w:cols w:space="720"/>
          <w:noEndnote/>
          <w:rtlGutter w:val="0"/>
          <w:docGrid w:linePitch="360"/>
        </w:sectPr>
      </w:pPr>
    </w:p>
    <w:p>
      <w:pPr>
        <w:pStyle w:val="Style23"/>
        <w:keepNext/>
        <w:keepLines/>
        <w:widowControl w:val="0"/>
        <w:shd w:val="clear" w:color="auto" w:fill="auto"/>
        <w:bidi w:val="0"/>
        <w:spacing w:before="0" w:after="280" w:line="312"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、年度报告重大差错责任追究制度的建立与执行情况</w:t>
      </w:r>
      <w:bookmarkEnd w:id="440"/>
      <w:bookmarkEnd w:id="441"/>
      <w:bookmarkEnd w:id="443"/>
    </w:p>
    <w:p>
      <w:pPr>
        <w:pStyle w:val="Style35"/>
        <w:keepNext w:val="0"/>
        <w:keepLines w:val="0"/>
        <w:widowControl w:val="0"/>
        <w:shd w:val="clear" w:color="auto" w:fill="auto"/>
        <w:bidi w:val="0"/>
        <w:spacing w:before="0" w:after="12020" w:line="312" w:lineRule="exact"/>
        <w:ind w:left="0" w:right="0" w:firstLine="480"/>
        <w:jc w:val="left"/>
      </w:pPr>
      <w:r>
        <w:rPr>
          <w:color w:val="000000"/>
          <w:spacing w:val="0"/>
          <w:w w:val="100"/>
          <w:position w:val="0"/>
        </w:rPr>
        <w:t>为提高公司规范运作水平，增强信息披露的真实性、准确性、完整性和及时性，提高年 报信息披露的质量和透明度，</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日，经公司第三届董事会第二十三次会议审议通过, 公司制定了《年报信息披露重大差错责任追究制度》。报告期内，该制度执行情况良好，公 司未发生重大会计差错更正、重大遗漏信息补充等情况。</w:t>
      </w:r>
    </w:p>
    <w:p>
      <w:pPr>
        <w:widowControl w:val="0"/>
        <w:jc w:val="center"/>
        <w:rPr>
          <w:sz w:val="2"/>
          <w:szCs w:val="2"/>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26" w:right="994" w:bottom="125" w:left="1109" w:header="0" w:footer="3" w:gutter="0"/>
          <w:cols w:space="720"/>
          <w:noEndnote/>
          <w:rtlGutter w:val="0"/>
          <w:docGrid w:linePitch="360"/>
        </w:sectPr>
      </w:pPr>
      <w:r>
        <w:drawing>
          <wp:inline>
            <wp:extent cx="1718945" cy="981710"/>
            <wp:docPr id="270" name="Picutre 270"/>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0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280" w:after="520" w:line="240" w:lineRule="auto"/>
        <w:ind w:left="0" w:right="0" w:firstLine="0"/>
        <w:jc w:val="center"/>
      </w:pPr>
      <w:bookmarkStart w:id="444" w:name="bookmark444"/>
      <w:bookmarkStart w:id="445" w:name="bookmark445"/>
      <w:bookmarkStart w:id="446" w:name="bookmark446"/>
      <w:r>
        <w:rPr>
          <w:color w:val="000000"/>
          <w:spacing w:val="0"/>
          <w:w w:val="100"/>
          <w:position w:val="0"/>
        </w:rPr>
        <w:t>第十节财务报告</w:t>
      </w:r>
      <w:bookmarkEnd w:id="444"/>
      <w:bookmarkEnd w:id="445"/>
      <w:bookmarkEnd w:id="44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）京会兴审字第</w:t>
            </w:r>
            <w:r>
              <w:rPr>
                <w:rFonts w:ascii="Times New Roman" w:eastAsia="Times New Roman" w:hAnsi="Times New Roman" w:cs="Times New Roman"/>
                <w:color w:val="000000"/>
                <w:spacing w:val="0"/>
                <w:w w:val="100"/>
                <w:position w:val="0"/>
                <w:sz w:val="20"/>
                <w:szCs w:val="20"/>
              </w:rPr>
              <w:t>01010002S</w:t>
            </w:r>
            <w:r>
              <w:rPr>
                <w:color w:val="000000"/>
                <w:spacing w:val="0"/>
                <w:w w:val="100"/>
                <w:position w:val="0"/>
                <w:sz w:val="20"/>
                <w:szCs w:val="2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杨轶辉、王权生</w:t>
            </w:r>
          </w:p>
        </w:tc>
      </w:tr>
    </w:tbl>
    <w:p>
      <w:pPr>
        <w:widowControl w:val="0"/>
        <w:spacing w:after="839" w:line="1" w:lineRule="exact"/>
      </w:pPr>
    </w:p>
    <w:p>
      <w:pPr>
        <w:pStyle w:val="Style1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审计报告正文</w:t>
      </w:r>
    </w:p>
    <w:p>
      <w:pPr>
        <w:pStyle w:val="Style23"/>
        <w:keepNext/>
        <w:keepLines/>
        <w:widowControl w:val="0"/>
        <w:shd w:val="clear" w:color="auto" w:fill="auto"/>
        <w:bidi w:val="0"/>
        <w:spacing w:before="0" w:after="140" w:line="467" w:lineRule="exact"/>
        <w:ind w:left="0" w:right="0" w:firstLine="0"/>
        <w:jc w:val="left"/>
      </w:pPr>
      <w:bookmarkStart w:id="447" w:name="bookmark447"/>
      <w:bookmarkStart w:id="448" w:name="bookmark448"/>
      <w:bookmarkStart w:id="449" w:name="bookmark449"/>
      <w:r>
        <w:rPr>
          <w:color w:val="000000"/>
          <w:spacing w:val="0"/>
          <w:w w:val="100"/>
          <w:position w:val="0"/>
        </w:rPr>
        <w:t>同方国芯电子股份有限公司全体股东：</w:t>
      </w:r>
      <w:bookmarkEnd w:id="447"/>
      <w:bookmarkEnd w:id="448"/>
      <w:bookmarkEnd w:id="449"/>
    </w:p>
    <w:p>
      <w:pPr>
        <w:pStyle w:val="Style35"/>
        <w:keepNext w:val="0"/>
        <w:keepLines w:val="0"/>
        <w:widowControl w:val="0"/>
        <w:shd w:val="clear" w:color="auto" w:fill="auto"/>
        <w:bidi w:val="0"/>
        <w:spacing w:before="0" w:after="60" w:line="470" w:lineRule="exact"/>
        <w:ind w:left="0" w:right="0" w:firstLine="500"/>
        <w:jc w:val="both"/>
      </w:pPr>
      <w:r>
        <w:rPr>
          <w:color w:val="000000"/>
          <w:spacing w:val="0"/>
          <w:w w:val="100"/>
          <w:position w:val="0"/>
        </w:rPr>
        <w:t>我们审计了后附的同方国芯电子股份有限公司（以下简称同方国芯）财务报表，包括</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年度的合并及母公司利润表、合并及母公司现金 流量表、合并及母公司股东权益变动表，以及财务报表附注。</w:t>
      </w:r>
    </w:p>
    <w:p>
      <w:pPr>
        <w:pStyle w:val="Style23"/>
        <w:keepNext/>
        <w:keepLines/>
        <w:widowControl w:val="0"/>
        <w:shd w:val="clear" w:color="auto" w:fill="auto"/>
        <w:tabs>
          <w:tab w:pos="1022" w:val="left"/>
        </w:tabs>
        <w:bidi w:val="0"/>
        <w:spacing w:before="0" w:after="60" w:line="467" w:lineRule="exact"/>
        <w:ind w:left="0" w:right="0" w:firstLine="500"/>
        <w:jc w:val="both"/>
      </w:pPr>
      <w:bookmarkStart w:id="450" w:name="bookmark450"/>
      <w:bookmarkStart w:id="451" w:name="bookmark451"/>
      <w:bookmarkStart w:id="452" w:name="bookmark452"/>
      <w:bookmarkStart w:id="453" w:name="bookmark453"/>
      <w:r>
        <w:rPr>
          <w:color w:val="000000"/>
          <w:spacing w:val="0"/>
          <w:w w:val="100"/>
          <w:position w:val="0"/>
        </w:rPr>
        <w:t>一</w:t>
      </w:r>
      <w:bookmarkEnd w:id="452"/>
      <w:r>
        <w:rPr>
          <w:color w:val="000000"/>
          <w:spacing w:val="0"/>
          <w:w w:val="100"/>
          <w:position w:val="0"/>
        </w:rPr>
        <w:t>、</w:t>
        <w:tab/>
        <w:t>管理层对财务报表的责任</w:t>
      </w:r>
      <w:bookmarkEnd w:id="450"/>
      <w:bookmarkEnd w:id="451"/>
      <w:bookmarkEnd w:id="453"/>
    </w:p>
    <w:p>
      <w:pPr>
        <w:pStyle w:val="Style35"/>
        <w:keepNext w:val="0"/>
        <w:keepLines w:val="0"/>
        <w:widowControl w:val="0"/>
        <w:shd w:val="clear" w:color="auto" w:fill="auto"/>
        <w:bidi w:val="0"/>
        <w:spacing w:before="0" w:after="60" w:line="470" w:lineRule="exact"/>
        <w:ind w:left="0" w:right="0" w:firstLine="500"/>
        <w:jc w:val="both"/>
      </w:pPr>
      <w:r>
        <w:rPr>
          <w:color w:val="000000"/>
          <w:spacing w:val="0"/>
          <w:w w:val="100"/>
          <w:position w:val="0"/>
        </w:rPr>
        <w:t>编制和公允列报财务报表是同方国芯管理层的责任，这种责任包括：（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23"/>
        <w:keepNext/>
        <w:keepLines/>
        <w:widowControl w:val="0"/>
        <w:shd w:val="clear" w:color="auto" w:fill="auto"/>
        <w:tabs>
          <w:tab w:pos="1022" w:val="left"/>
        </w:tabs>
        <w:bidi w:val="0"/>
        <w:spacing w:before="0" w:after="60" w:line="467" w:lineRule="exact"/>
        <w:ind w:left="0" w:right="0" w:firstLine="500"/>
        <w:jc w:val="both"/>
      </w:pPr>
      <w:bookmarkStart w:id="454" w:name="bookmark454"/>
      <w:bookmarkStart w:id="455" w:name="bookmark455"/>
      <w:bookmarkStart w:id="456" w:name="bookmark456"/>
      <w:bookmarkStart w:id="457" w:name="bookmark457"/>
      <w:r>
        <w:rPr>
          <w:color w:val="000000"/>
          <w:spacing w:val="0"/>
          <w:w w:val="100"/>
          <w:position w:val="0"/>
        </w:rPr>
        <w:t>二</w:t>
      </w:r>
      <w:bookmarkEnd w:id="456"/>
      <w:r>
        <w:rPr>
          <w:color w:val="000000"/>
          <w:spacing w:val="0"/>
          <w:w w:val="100"/>
          <w:position w:val="0"/>
        </w:rPr>
        <w:t>、</w:t>
        <w:tab/>
        <w:t>注册会计师的责任</w:t>
      </w:r>
      <w:bookmarkEnd w:id="454"/>
      <w:bookmarkEnd w:id="455"/>
      <w:bookmarkEnd w:id="457"/>
    </w:p>
    <w:p>
      <w:pPr>
        <w:pStyle w:val="Style35"/>
        <w:keepNext w:val="0"/>
        <w:keepLines w:val="0"/>
        <w:widowControl w:val="0"/>
        <w:shd w:val="clear" w:color="auto" w:fill="auto"/>
        <w:bidi w:val="0"/>
        <w:spacing w:before="0" w:after="140" w:line="466" w:lineRule="exact"/>
        <w:ind w:left="0" w:right="0" w:firstLine="50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35"/>
        <w:keepNext w:val="0"/>
        <w:keepLines w:val="0"/>
        <w:widowControl w:val="0"/>
        <w:shd w:val="clear" w:color="auto" w:fill="auto"/>
        <w:bidi w:val="0"/>
        <w:spacing w:before="0" w:after="140" w:line="467" w:lineRule="exact"/>
        <w:ind w:left="0" w:right="0" w:firstLine="50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审计程序，但目的并非对内部控制的有效性发表意见。审计工作还包括评价管理层选用会计政 策的恰当性和作出会计估计的合理性，以及评价财务报表的总体列报。</w:t>
      </w:r>
      <w:r>
        <w:br w:type="page"/>
      </w:r>
    </w:p>
    <w:p>
      <w:pPr>
        <w:pStyle w:val="Style3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我们相信，我们获取的审计证据是充分、适当的，为发表审计意见提供了基础。</w:t>
      </w:r>
    </w:p>
    <w:p>
      <w:pPr>
        <w:pStyle w:val="Style23"/>
        <w:keepNext/>
        <w:keepLines/>
        <w:widowControl w:val="0"/>
        <w:shd w:val="clear" w:color="auto" w:fill="auto"/>
        <w:bidi w:val="0"/>
        <w:spacing w:before="0" w:after="280" w:line="240" w:lineRule="auto"/>
        <w:ind w:left="0" w:right="0" w:firstLine="480"/>
        <w:jc w:val="left"/>
      </w:pPr>
      <w:bookmarkStart w:id="458" w:name="bookmark458"/>
      <w:bookmarkStart w:id="459" w:name="bookmark459"/>
      <w:bookmarkStart w:id="460" w:name="bookmark460"/>
      <w:bookmarkStart w:id="461" w:name="bookmark461"/>
      <w:r>
        <w:rPr>
          <w:color w:val="000000"/>
          <w:spacing w:val="0"/>
          <w:w w:val="100"/>
          <w:position w:val="0"/>
        </w:rPr>
        <w:t>三</w:t>
      </w:r>
      <w:bookmarkEnd w:id="460"/>
      <w:r>
        <w:rPr>
          <w:color w:val="000000"/>
          <w:spacing w:val="0"/>
          <w:w w:val="100"/>
          <w:position w:val="0"/>
        </w:rPr>
        <w:t>、审计意见</w:t>
      </w:r>
      <w:bookmarkEnd w:id="458"/>
      <w:bookmarkEnd w:id="459"/>
      <w:bookmarkEnd w:id="461"/>
    </w:p>
    <w:p>
      <w:pPr>
        <w:pStyle w:val="Style3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 xml:space="preserve">我们认为，同方国芯财务报表在所有重大方面按照企业会计准则的规定编制，公允反映了 </w:t>
      </w:r>
      <w:r>
        <w:rPr>
          <w:color w:val="000000"/>
          <w:spacing w:val="0"/>
          <w:w w:val="100"/>
          <w:position w:val="0"/>
        </w:rPr>
        <w:t>同方国芯</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年度的合并及母公司经营成果和</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p>
      <w:pPr>
        <w:widowControl w:val="0"/>
        <w:spacing w:line="1" w:lineRule="exact"/>
        <w:sectPr>
          <w:footnotePr>
            <w:pos w:val="pageBottom"/>
            <w:numFmt w:val="decimal"/>
            <w:numRestart w:val="continuous"/>
          </w:footnotePr>
          <w:pgSz w:w="11900" w:h="16840"/>
          <w:pgMar w:top="1230" w:right="1054" w:bottom="1816" w:left="1048" w:header="0" w:footer="3" w:gutter="0"/>
          <w:cols w:space="720"/>
          <w:noEndnote/>
          <w:rtlGutter w:val="0"/>
          <w:docGrid w:linePitch="360"/>
        </w:sectPr>
      </w:pPr>
      <w:r>
        <mc:AlternateContent>
          <mc:Choice Requires="wps">
            <w:drawing>
              <wp:anchor distT="457200" distB="0" distL="0" distR="0" simplePos="0" relativeHeight="125829379" behindDoc="0" locked="0" layoutInCell="1" allowOverlap="1">
                <wp:simplePos x="0" y="0"/>
                <wp:positionH relativeFrom="page">
                  <wp:posOffset>969010</wp:posOffset>
                </wp:positionH>
                <wp:positionV relativeFrom="paragraph">
                  <wp:posOffset>457200</wp:posOffset>
                </wp:positionV>
                <wp:extent cx="1545590" cy="414655"/>
                <wp:wrapTopAndBottom/>
                <wp:docPr id="271" name="Shape 271"/>
                <a:graphic xmlns:a="http://schemas.openxmlformats.org/drawingml/2006/main">
                  <a:graphicData uri="http://schemas.microsoft.com/office/word/2010/wordprocessingShape">
                    <wps:wsp>
                      <wps:cNvSpPr txBox="1"/>
                      <wps:spPr>
                        <a:xfrm>
                          <a:ext cx="1545590" cy="414655"/>
                        </a:xfrm>
                        <a:prstGeom prst="rect"/>
                        <a:noFill/>
                      </wps:spPr>
                      <wps:txbx>
                        <w:txbxContent>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北京兴华会计师事务所</w:t>
                              <w:br/>
                              <w:t>（特殊普通合伙）</w:t>
                            </w:r>
                          </w:p>
                        </w:txbxContent>
                      </wps:txbx>
                      <wps:bodyPr lIns="0" tIns="0" rIns="0" bIns="0">
                        <a:noAutoFit/>
                      </wps:bodyPr>
                    </wps:wsp>
                  </a:graphicData>
                </a:graphic>
              </wp:anchor>
            </w:drawing>
          </mc:Choice>
          <mc:Fallback>
            <w:pict>
              <v:shape id="_x0000_s1297" type="#_x0000_t202" style="position:absolute;margin-left:76.299999999999997pt;margin-top:36.pt;width:121.7pt;height:32.649999999999999pt;z-index:-125829374;mso-wrap-distance-left:0;mso-wrap-distance-top:36.pt;mso-wrap-distance-right:0;mso-position-horizontal-relative:page" filled="f" stroked="f">
                <v:textbox inset="0,0,0,0">
                  <w:txbxContent>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北京兴华会计师事务所</w:t>
                        <w:br/>
                        <w:t>（特殊普通合伙）</w:t>
                      </w:r>
                    </w:p>
                  </w:txbxContent>
                </v:textbox>
                <w10:wrap type="topAndBottom" anchorx="page"/>
              </v:shape>
            </w:pict>
          </mc:Fallback>
        </mc:AlternateContent>
      </w:r>
      <w:r>
        <mc:AlternateContent>
          <mc:Choice Requires="wps">
            <w:drawing>
              <wp:anchor distT="487680" distB="201295" distL="0" distR="0" simplePos="0" relativeHeight="125829381" behindDoc="0" locked="0" layoutInCell="1" allowOverlap="1">
                <wp:simplePos x="0" y="0"/>
                <wp:positionH relativeFrom="page">
                  <wp:posOffset>4272915</wp:posOffset>
                </wp:positionH>
                <wp:positionV relativeFrom="paragraph">
                  <wp:posOffset>487680</wp:posOffset>
                </wp:positionV>
                <wp:extent cx="1688465" cy="182880"/>
                <wp:wrapTopAndBottom/>
                <wp:docPr id="273" name="Shape 273"/>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中国注册会计师：杨轶辉</w:t>
                            </w:r>
                          </w:p>
                        </w:txbxContent>
                      </wps:txbx>
                      <wps:bodyPr wrap="none" lIns="0" tIns="0" rIns="0" bIns="0">
                        <a:noAutoFit/>
                      </wps:bodyPr>
                    </wps:wsp>
                  </a:graphicData>
                </a:graphic>
              </wp:anchor>
            </w:drawing>
          </mc:Choice>
          <mc:Fallback>
            <w:pict>
              <v:shape id="_x0000_s1299" type="#_x0000_t202" style="position:absolute;margin-left:336.44999999999999pt;margin-top:38.399999999999999pt;width:132.94999999999999pt;height:14.4pt;z-index:-125829372;mso-wrap-distance-left:0;mso-wrap-distance-top:38.399999999999999pt;mso-wrap-distance-right:0;mso-wrap-distance-bottom:15.8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中国注册会计师：杨轶辉</w:t>
                      </w:r>
                    </w:p>
                  </w:txbxContent>
                </v:textbox>
                <w10:wrap type="topAndBottom" anchorx="page"/>
              </v:shape>
            </w:pict>
          </mc:Fallback>
        </mc:AlternateContent>
      </w:r>
    </w:p>
    <w:p>
      <w:pPr>
        <w:pStyle w:val="Style35"/>
        <w:keepNext w:val="0"/>
        <w:keepLines w:val="0"/>
        <w:widowControl w:val="0"/>
        <w:shd w:val="clear" w:color="auto" w:fill="auto"/>
        <w:bidi w:val="0"/>
        <w:spacing w:before="0" w:after="980" w:line="240" w:lineRule="auto"/>
        <w:ind w:left="0" w:right="0" w:firstLine="0"/>
        <w:jc w:val="center"/>
      </w:pPr>
      <w:r>
        <w:rPr>
          <w:color w:val="000000"/>
          <w:spacing w:val="0"/>
          <w:w w:val="100"/>
          <w:position w:val="0"/>
        </w:rPr>
        <w:t>中国注册会计师：王权生</w:t>
      </w:r>
    </w:p>
    <w:p>
      <w:pPr>
        <w:pStyle w:val="Style35"/>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p>
      <w:pPr>
        <w:pStyle w:val="Style35"/>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二。一四年四月二日</w:t>
      </w:r>
    </w:p>
    <w:p>
      <w:pPr>
        <w:widowControl w:val="0"/>
        <w:spacing w:after="9521" w:line="1" w:lineRule="exact"/>
        <w:sectPr>
          <w:footnotePr>
            <w:pos w:val="pageBottom"/>
            <w:numFmt w:val="decimal"/>
            <w:numRestart w:val="continuous"/>
          </w:footnotePr>
          <w:type w:val="continuous"/>
          <w:pgSz w:w="11900" w:h="16840"/>
          <w:pgMar w:top="1037" w:right="958" w:bottom="1615" w:left="949" w:header="0" w:footer="3" w:gutter="0"/>
          <w:cols w:space="720"/>
          <w:noEndnote/>
          <w:rtlGutter w:val="0"/>
          <w:docGrid w:linePitch="360"/>
        </w:sectPr>
      </w:pPr>
      <w:r>
        <w:drawing>
          <wp:anchor distT="0" distB="0" distL="0" distR="0" simplePos="0" relativeHeight="62914912" behindDoc="1" locked="0" layoutInCell="1" allowOverlap="1">
            <wp:simplePos x="0" y="0"/>
            <wp:positionH relativeFrom="page">
              <wp:posOffset>5839460</wp:posOffset>
            </wp:positionH>
            <wp:positionV relativeFrom="paragraph">
              <wp:posOffset>5067300</wp:posOffset>
            </wp:positionV>
            <wp:extent cx="1718945" cy="981710"/>
            <wp:wrapNone/>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05"/>
                    <a:stretch/>
                  </pic:blipFill>
                  <pic:spPr>
                    <a:xfrm>
                      <a:ext cx="1718945" cy="981710"/>
                    </a:xfrm>
                    <a:prstGeom prst="rect"/>
                  </pic:spPr>
                </pic:pic>
              </a:graphicData>
            </a:graphic>
          </wp:anchor>
        </w:drawing>
      </w:r>
    </w:p>
    <w:p>
      <w:pPr>
        <w:widowControl w:val="0"/>
        <w:spacing w:line="1" w:lineRule="exact"/>
      </w:pPr>
      <w:r>
        <mc:AlternateContent>
          <mc:Choice Requires="wps">
            <w:drawing>
              <wp:anchor distT="0" distB="525780" distL="0" distR="0" simplePos="0" relativeHeight="125829383" behindDoc="0" locked="0" layoutInCell="1" allowOverlap="1">
                <wp:simplePos x="0" y="0"/>
                <wp:positionH relativeFrom="page">
                  <wp:posOffset>668020</wp:posOffset>
                </wp:positionH>
                <wp:positionV relativeFrom="paragraph">
                  <wp:posOffset>0</wp:posOffset>
                </wp:positionV>
                <wp:extent cx="941705" cy="189230"/>
                <wp:wrapTopAndBottom/>
                <wp:docPr id="277" name="Shape 277"/>
                <a:graphic xmlns:a="http://schemas.openxmlformats.org/drawingml/2006/main">
                  <a:graphicData uri="http://schemas.microsoft.com/office/word/2010/wordprocessingShape">
                    <wps:wsp>
                      <wps:cNvSpPr txBox="1"/>
                      <wps:spPr>
                        <a:xfrm>
                          <a:ext cx="941705" cy="189230"/>
                        </a:xfrm>
                        <a:prstGeom prst="rect"/>
                        <a:noFill/>
                      </wps:spPr>
                      <wps:txbx>
                        <w:txbxContent>
                          <w:p>
                            <w:pPr>
                              <w:pStyle w:val="Style23"/>
                              <w:keepNext/>
                              <w:keepLines/>
                              <w:widowControl w:val="0"/>
                              <w:shd w:val="clear" w:color="auto" w:fill="auto"/>
                              <w:bidi w:val="0"/>
                              <w:spacing w:before="0" w:after="0" w:line="240" w:lineRule="auto"/>
                              <w:ind w:left="0" w:right="0" w:firstLine="0"/>
                              <w:jc w:val="left"/>
                            </w:pPr>
                            <w:bookmarkStart w:id="462" w:name="bookmark462"/>
                            <w:bookmarkStart w:id="463" w:name="bookmark463"/>
                            <w:bookmarkStart w:id="464" w:name="bookmark464"/>
                            <w:r>
                              <w:rPr>
                                <w:color w:val="000000"/>
                                <w:spacing w:val="0"/>
                                <w:w w:val="100"/>
                                <w:position w:val="0"/>
                              </w:rPr>
                              <w:t>二、财务报表</w:t>
                            </w:r>
                            <w:bookmarkEnd w:id="462"/>
                            <w:bookmarkEnd w:id="463"/>
                            <w:bookmarkEnd w:id="464"/>
                          </w:p>
                        </w:txbxContent>
                      </wps:txbx>
                      <wps:bodyPr wrap="none" lIns="0" tIns="0" rIns="0" bIns="0">
                        <a:noAutoFit/>
                      </wps:bodyPr>
                    </wps:wsp>
                  </a:graphicData>
                </a:graphic>
              </wp:anchor>
            </w:drawing>
          </mc:Choice>
          <mc:Fallback>
            <w:pict>
              <v:shape id="_x0000_s1303" type="#_x0000_t202" style="position:absolute;margin-left:52.600000000000001pt;margin-top:0;width:74.150000000000006pt;height:14.9pt;z-index:-125829370;mso-wrap-distance-left:0;mso-wrap-distance-right:0;mso-wrap-distance-bottom:41.399999999999999pt;mso-position-horizontal-relative:page" filled="f" stroked="f">
                <v:textbox inset="0,0,0,0">
                  <w:txbxContent>
                    <w:p>
                      <w:pPr>
                        <w:pStyle w:val="Style23"/>
                        <w:keepNext/>
                        <w:keepLines/>
                        <w:widowControl w:val="0"/>
                        <w:shd w:val="clear" w:color="auto" w:fill="auto"/>
                        <w:bidi w:val="0"/>
                        <w:spacing w:before="0" w:after="0" w:line="240" w:lineRule="auto"/>
                        <w:ind w:left="0" w:right="0" w:firstLine="0"/>
                        <w:jc w:val="left"/>
                      </w:pPr>
                      <w:bookmarkStart w:id="462" w:name="bookmark462"/>
                      <w:bookmarkStart w:id="463" w:name="bookmark463"/>
                      <w:bookmarkStart w:id="464" w:name="bookmark464"/>
                      <w:r>
                        <w:rPr>
                          <w:color w:val="000000"/>
                          <w:spacing w:val="0"/>
                          <w:w w:val="100"/>
                          <w:position w:val="0"/>
                        </w:rPr>
                        <w:t>二、财务报表</w:t>
                      </w:r>
                      <w:bookmarkEnd w:id="462"/>
                      <w:bookmarkEnd w:id="463"/>
                      <w:bookmarkEnd w:id="464"/>
                    </w:p>
                  </w:txbxContent>
                </v:textbox>
                <w10:wrap type="topAndBottom" anchorx="page"/>
              </v:shape>
            </w:pict>
          </mc:Fallback>
        </mc:AlternateContent>
      </w:r>
      <w:r>
        <mc:AlternateContent>
          <mc:Choice Requires="wps">
            <w:drawing>
              <wp:anchor distT="289560" distB="269875" distL="0" distR="0" simplePos="0" relativeHeight="125829385" behindDoc="0" locked="0" layoutInCell="1" allowOverlap="1">
                <wp:simplePos x="0" y="0"/>
                <wp:positionH relativeFrom="page">
                  <wp:posOffset>3359150</wp:posOffset>
                </wp:positionH>
                <wp:positionV relativeFrom="paragraph">
                  <wp:posOffset>289560</wp:posOffset>
                </wp:positionV>
                <wp:extent cx="831850" cy="155575"/>
                <wp:wrapTopAndBottom/>
                <wp:docPr id="279" name="Shape 279"/>
                <a:graphic xmlns:a="http://schemas.openxmlformats.org/drawingml/2006/main">
                  <a:graphicData uri="http://schemas.microsoft.com/office/word/2010/wordprocessingShape">
                    <wps:wsp>
                      <wps:cNvSpPr txBox="1"/>
                      <wps:spPr>
                        <a:xfrm>
                          <a:ext cx="831850" cy="1555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txbxContent>
                      </wps:txbx>
                      <wps:bodyPr wrap="none" lIns="0" tIns="0" rIns="0" bIns="0">
                        <a:noAutoFit/>
                      </wps:bodyPr>
                    </wps:wsp>
                  </a:graphicData>
                </a:graphic>
              </wp:anchor>
            </w:drawing>
          </mc:Choice>
          <mc:Fallback>
            <w:pict>
              <v:shape id="_x0000_s1305" type="#_x0000_t202" style="position:absolute;margin-left:264.5pt;margin-top:22.800000000000001pt;width:65.5pt;height:12.25pt;z-index:-125829368;mso-wrap-distance-left:0;mso-wrap-distance-top:22.800000000000001pt;mso-wrap-distance-right:0;mso-wrap-distance-bottom:21.2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txbxContent>
                </v:textbox>
                <w10:wrap type="topAndBottom" anchorx="page"/>
              </v:shape>
            </w:pict>
          </mc:Fallback>
        </mc:AlternateContent>
      </w:r>
      <w:r>
        <mc:AlternateContent>
          <mc:Choice Requires="wps">
            <w:drawing>
              <wp:anchor distT="514985" distB="50800" distL="0" distR="0" simplePos="0" relativeHeight="125829387" behindDoc="0" locked="0" layoutInCell="1" allowOverlap="1">
                <wp:simplePos x="0" y="0"/>
                <wp:positionH relativeFrom="page">
                  <wp:posOffset>3282950</wp:posOffset>
                </wp:positionH>
                <wp:positionV relativeFrom="paragraph">
                  <wp:posOffset>514985</wp:posOffset>
                </wp:positionV>
                <wp:extent cx="975360" cy="149225"/>
                <wp:wrapTopAndBottom/>
                <wp:docPr id="281" name="Shape 281"/>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307" type="#_x0000_t202" style="position:absolute;margin-left:258.5pt;margin-top:40.550000000000004pt;width:76.799999999999997pt;height:11.75pt;z-index:-125829366;mso-wrap-distance-left:0;mso-wrap-distance-top:40.550000000000004pt;mso-wrap-distance-right:0;mso-wrap-distance-bottom: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p>
    <w:p>
      <w:pPr>
        <w:pStyle w:val="Style72"/>
        <w:keepNext w:val="0"/>
        <w:keepLines w:val="0"/>
        <w:widowControl w:val="0"/>
        <w:shd w:val="clear" w:color="auto" w:fill="auto"/>
        <w:bidi w:val="0"/>
        <w:spacing w:before="0" w:after="60" w:line="240" w:lineRule="auto"/>
        <w:ind w:left="0" w:right="0" w:firstLine="180"/>
        <w:jc w:val="left"/>
      </w:pPr>
      <w:r>
        <mc:AlternateContent>
          <mc:Choice Requires="wps">
            <w:drawing>
              <wp:anchor distT="0" distB="0" distL="114300" distR="114300" simplePos="0" relativeHeight="125829389" behindDoc="0" locked="0" layoutInCell="1" allowOverlap="1">
                <wp:simplePos x="0" y="0"/>
                <wp:positionH relativeFrom="page">
                  <wp:posOffset>5465445</wp:posOffset>
                </wp:positionH>
                <wp:positionV relativeFrom="paragraph">
                  <wp:posOffset>12700</wp:posOffset>
                </wp:positionV>
                <wp:extent cx="1289050" cy="149225"/>
                <wp:wrapSquare wrapText="left"/>
                <wp:docPr id="283" name="Shape 28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309" type="#_x0000_t202" style="position:absolute;margin-left:430.35000000000002pt;margin-top:1.pt;width:101.5pt;height:11.75pt;z-index:-125829364;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p>
      <w:pPr>
        <w:widowControl w:val="0"/>
        <w:spacing w:after="325" w:line="1" w:lineRule="exact"/>
      </w:pPr>
      <w:r>
        <mc:AlternateContent>
          <mc:Choice Requires="wps">
            <w:drawing>
              <wp:anchor distT="0" distB="0" distL="0" distR="0" simplePos="0" relativeHeight="62914913" behindDoc="1" locked="0" layoutInCell="1" allowOverlap="1">
                <wp:simplePos x="0" y="0"/>
                <wp:positionH relativeFrom="page">
                  <wp:posOffset>2835275</wp:posOffset>
                </wp:positionH>
                <wp:positionV relativeFrom="paragraph">
                  <wp:posOffset>50800</wp:posOffset>
                </wp:positionV>
                <wp:extent cx="1637030" cy="130810"/>
                <wp:wrapNone/>
                <wp:docPr id="285" name="Shape 285"/>
                <a:graphic xmlns:a="http://schemas.openxmlformats.org/drawingml/2006/main">
                  <a:graphicData uri="http://schemas.microsoft.com/office/word/2010/wordprocessingShape">
                    <wps:wsp>
                      <wps:cNvSpPr txBox="1"/>
                      <wps:spPr>
                        <a:xfrm>
                          <a:ext cx="163703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主管会计工作的负责人：杨秋平</w:t>
                            </w:r>
                          </w:p>
                        </w:txbxContent>
                      </wps:txbx>
                      <wps:bodyPr wrap="none" lIns="0" tIns="0" rIns="0" bIns="0">
                        <a:noAutoFit/>
                      </wps:bodyPr>
                    </wps:wsp>
                  </a:graphicData>
                </a:graphic>
              </wp:anchor>
            </w:drawing>
          </mc:Choice>
          <mc:Fallback>
            <w:pict>
              <v:shape id="_x0000_s1311" type="#_x0000_t202" style="position:absolute;margin-left:223.25pt;margin-top:4.pt;width:128.90000000000001pt;height:10.300000000000001pt;z-index:-188743840;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主管会计工作的负责人：杨秋平</w:t>
                      </w:r>
                    </w:p>
                  </w:txbxContent>
                </v:textbox>
                <w10:wrap anchorx="page"/>
              </v:shape>
            </w:pict>
          </mc:Fallback>
        </mc:AlternateContent>
      </w:r>
      <w:r>
        <mc:AlternateContent>
          <mc:Choice Requires="wps">
            <w:drawing>
              <wp:anchor distT="0" distB="0" distL="0" distR="0" simplePos="0" relativeHeight="62914915" behindDoc="1" locked="0" layoutInCell="1" allowOverlap="1">
                <wp:simplePos x="0" y="0"/>
                <wp:positionH relativeFrom="page">
                  <wp:posOffset>5349875</wp:posOffset>
                </wp:positionH>
                <wp:positionV relativeFrom="paragraph">
                  <wp:posOffset>50800</wp:posOffset>
                </wp:positionV>
                <wp:extent cx="1292225" cy="155575"/>
                <wp:wrapNone/>
                <wp:docPr id="287" name="Shape 287"/>
                <a:graphic xmlns:a="http://schemas.openxmlformats.org/drawingml/2006/main">
                  <a:graphicData uri="http://schemas.microsoft.com/office/word/2010/wordprocessingShape">
                    <wps:wsp>
                      <wps:cNvSpPr txBox="1"/>
                      <wps:spPr>
                        <a:xfrm>
                          <a:ext cx="1292225" cy="1555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w:t>
                            </w:r>
                            <w:r>
                              <w:rPr>
                                <w:color w:val="1F1F1F"/>
                                <w:spacing w:val="0"/>
                                <w:w w:val="100"/>
                                <w:position w:val="0"/>
                              </w:rPr>
                              <w:t>负</w:t>
                            </w:r>
                            <w:r>
                              <w:rPr>
                                <w:color w:val="7E7E7E"/>
                                <w:spacing w:val="0"/>
                                <w:w w:val="100"/>
                                <w:position w:val="0"/>
                              </w:rPr>
                              <w:t>责人：张典洪</w:t>
                            </w:r>
                          </w:p>
                        </w:txbxContent>
                      </wps:txbx>
                      <wps:bodyPr wrap="none" lIns="0" tIns="0" rIns="0" bIns="0">
                        <a:noAutoFit/>
                      </wps:bodyPr>
                    </wps:wsp>
                  </a:graphicData>
                </a:graphic>
              </wp:anchor>
            </w:drawing>
          </mc:Choice>
          <mc:Fallback>
            <w:pict>
              <v:shape id="_x0000_s1313" type="#_x0000_t202" style="position:absolute;margin-left:421.25pt;margin-top:4.pt;width:101.75pt;height:12.25pt;z-index:-188743838;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w:t>
                      </w:r>
                      <w:r>
                        <w:rPr>
                          <w:color w:val="1F1F1F"/>
                          <w:spacing w:val="0"/>
                          <w:w w:val="100"/>
                          <w:position w:val="0"/>
                        </w:rPr>
                        <w:t>负</w:t>
                      </w:r>
                      <w:r>
                        <w:rPr>
                          <w:color w:val="7E7E7E"/>
                          <w:spacing w:val="0"/>
                          <w:w w:val="100"/>
                          <w:position w:val="0"/>
                        </w:rPr>
                        <w:t>责人：张典洪</w:t>
                      </w:r>
                    </w:p>
                  </w:txbxContent>
                </v:textbox>
                <w10:wrap anchorx="page"/>
              </v:shape>
            </w:pict>
          </mc:Fallback>
        </mc:AlternateContent>
      </w:r>
    </w:p>
    <w:tbl>
      <w:tblPr>
        <w:tblOverlap w:val="never"/>
        <w:jc w:val="center"/>
        <w:tblLayout w:type="fixed"/>
      </w:tblPr>
      <w:tblGrid>
        <w:gridCol w:w="2011"/>
        <w:gridCol w:w="581"/>
        <w:gridCol w:w="1142"/>
        <w:gridCol w:w="1133"/>
        <w:gridCol w:w="2155"/>
        <w:gridCol w:w="542"/>
        <w:gridCol w:w="1133"/>
        <w:gridCol w:w="1138"/>
      </w:tblGrid>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附注七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期初余额</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906,856,558.49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870,645,948.25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48,750,000.00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81,758,925.41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17,538,050.20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412,332,198.33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321,197,103.79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105,256,200.72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102,574,354.24</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37,567,019.41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27,661,222.82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144,757,185.84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92,170,133.81</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1,350,634.99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20,981,372.94</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30,802,763.00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23,232,724.46</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20,935,995.95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8,648,501.07</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16,736,124.49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16,096,054.37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219,052,674.04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208,258,110.12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1,350,885.79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20,659,707.61</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1,674,303,500.17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1,461,396,489.55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790,000.00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305,113,666.29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317,806,794.13</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4,550,563.00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4,937,018.72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306,902,132.39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300,708,561.10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44,928,594.89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35,683,804.11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34,750,000.00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408,377,536.39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340,612,115.13</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421,127,536.39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375,362,115.13</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240,344,767.57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10,914,287.81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726,241,202.68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693,168,909.26</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105,173,225.35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210,859,582.41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685,676,016.95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685,676,016.95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303,408,984.00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5,095,249.09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2,351,875.80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926,741,924.61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808,110,463.49</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11,039,030.79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12,625,384.89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1,403,709,580.03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1,263,756,531.79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41,329,084.29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35,210,227.59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1,080,291,884.62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843,589,687.73</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2,351,771,877.52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rPr>
              <w:t>1,983,851,701.81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48,132,410.27</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2,351,771,877.52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rPr>
              <w:t>2,031,984,112.08</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3,078,013,080.20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2,725,153,021.34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3,078,013,080.20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rPr>
              <w:t>2,725,153,021.34</w:t>
            </w:r>
          </w:p>
        </w:tc>
      </w:tr>
    </w:tbl>
    <w:p>
      <w:pPr>
        <w:spacing w:lineRule="exact" w:line="1"/>
        <w:rPr>
          <w:sz w:val="2"/>
          <w:szCs w:val="2"/>
        </w:rPr>
      </w:pPr>
      <w:r>
        <w:br w:type="page"/>
      </w:r>
    </w:p>
    <w:p>
      <w:pPr>
        <w:widowControl w:val="0"/>
        <w:spacing w:line="1" w:lineRule="exact"/>
      </w:pPr>
      <w:r>
        <mc:AlternateContent>
          <mc:Choice Requires="wps">
            <w:drawing>
              <wp:anchor distT="0" distB="273050" distL="0" distR="0" simplePos="0" relativeHeight="125829391" behindDoc="0" locked="0" layoutInCell="1" allowOverlap="1">
                <wp:simplePos x="0" y="0"/>
                <wp:positionH relativeFrom="page">
                  <wp:posOffset>3272790</wp:posOffset>
                </wp:positionH>
                <wp:positionV relativeFrom="paragraph">
                  <wp:posOffset>0</wp:posOffset>
                </wp:positionV>
                <wp:extent cx="948055" cy="155575"/>
                <wp:wrapTopAndBottom/>
                <wp:docPr id="289" name="Shape 289"/>
                <a:graphic xmlns:a="http://schemas.openxmlformats.org/drawingml/2006/main">
                  <a:graphicData uri="http://schemas.microsoft.com/office/word/2010/wordprocessingShape">
                    <wps:wsp>
                      <wps:cNvSpPr txBox="1"/>
                      <wps:spPr>
                        <a:xfrm>
                          <a:ext cx="948055" cy="1555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xbxContent>
                      </wps:txbx>
                      <wps:bodyPr wrap="none" lIns="0" tIns="0" rIns="0" bIns="0">
                        <a:noAutoFit/>
                      </wps:bodyPr>
                    </wps:wsp>
                  </a:graphicData>
                </a:graphic>
              </wp:anchor>
            </w:drawing>
          </mc:Choice>
          <mc:Fallback>
            <w:pict>
              <v:shape id="_x0000_s1315" type="#_x0000_t202" style="position:absolute;margin-left:257.69999999999999pt;margin-top:0;width:74.650000000000006pt;height:12.25pt;z-index:-125829362;mso-wrap-distance-left:0;mso-wrap-distance-right:0;mso-wrap-distance-bottom:21.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xbxContent>
                </v:textbox>
                <w10:wrap type="topAndBottom" anchorx="page"/>
              </v:shape>
            </w:pict>
          </mc:Fallback>
        </mc:AlternateContent>
      </w:r>
      <w:r>
        <mc:AlternateContent>
          <mc:Choice Requires="wps">
            <w:drawing>
              <wp:anchor distT="225425" distB="50800" distL="0" distR="0" simplePos="0" relativeHeight="125829393" behindDoc="0" locked="0" layoutInCell="1" allowOverlap="1">
                <wp:simplePos x="0" y="0"/>
                <wp:positionH relativeFrom="page">
                  <wp:posOffset>3254375</wp:posOffset>
                </wp:positionH>
                <wp:positionV relativeFrom="paragraph">
                  <wp:posOffset>225425</wp:posOffset>
                </wp:positionV>
                <wp:extent cx="975360" cy="152400"/>
                <wp:wrapTopAndBottom/>
                <wp:docPr id="291" name="Shape 291"/>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317" type="#_x0000_t202" style="position:absolute;margin-left:256.25pt;margin-top:17.75pt;width:76.799999999999997pt;height:12.pt;z-index:-125829360;mso-wrap-distance-left:0;mso-wrap-distance-top:17.75pt;mso-wrap-distance-right:0;mso-wrap-distance-bottom: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p>
    <w:p>
      <w:pPr>
        <w:pStyle w:val="Style72"/>
        <w:keepNext w:val="0"/>
        <w:keepLines w:val="0"/>
        <w:widowControl w:val="0"/>
        <w:shd w:val="clear" w:color="auto" w:fill="auto"/>
        <w:bidi w:val="0"/>
        <w:spacing w:before="0" w:after="60" w:line="240" w:lineRule="auto"/>
        <w:ind w:left="0" w:right="0" w:firstLine="220"/>
        <w:jc w:val="left"/>
      </w:pPr>
      <w:r>
        <mc:AlternateContent>
          <mc:Choice Requires="wps">
            <w:drawing>
              <wp:anchor distT="0" distB="0" distL="114300" distR="114300" simplePos="0" relativeHeight="125829395" behindDoc="0" locked="0" layoutInCell="1" allowOverlap="1">
                <wp:simplePos x="0" y="0"/>
                <wp:positionH relativeFrom="page">
                  <wp:posOffset>5436870</wp:posOffset>
                </wp:positionH>
                <wp:positionV relativeFrom="paragraph">
                  <wp:posOffset>12700</wp:posOffset>
                </wp:positionV>
                <wp:extent cx="1289050" cy="149225"/>
                <wp:wrapSquare wrapText="left"/>
                <wp:docPr id="293" name="Shape 29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319" type="#_x0000_t202" style="position:absolute;margin-left:428.10000000000002pt;margin-top:1.pt;width:101.5pt;height:11.75pt;z-index:-125829358;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tbl>
      <w:tblPr>
        <w:tblOverlap w:val="never"/>
        <w:jc w:val="center"/>
        <w:tblLayout w:type="fixed"/>
      </w:tblPr>
      <w:tblGrid>
        <w:gridCol w:w="1925"/>
        <w:gridCol w:w="658"/>
        <w:gridCol w:w="1162"/>
        <w:gridCol w:w="1186"/>
        <w:gridCol w:w="1915"/>
        <w:gridCol w:w="653"/>
        <w:gridCol w:w="1166"/>
        <w:gridCol w:w="1320"/>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附注十三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68,936,730.53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22,825,444.42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3,059,991.30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2,117,010.70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41,216,815.75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47,135,801.73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24,563,644.52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25,090,413.17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10,795,171.14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12,159,972.02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10,559,663.56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10,279,103.47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4,552,475.35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4,746,303.29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32,719,902.82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-419,196.73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-6,973,211.82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7,373,696.04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11,202,897.40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66,975,239.29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58,632,569.42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3,402,152.46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18,623,482.59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198,357,644.05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186,793,598.51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43,318,739.16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b/>
                <w:bCs/>
                <w:color w:val="000000"/>
                <w:spacing w:val="0"/>
                <w:w w:val="100"/>
                <w:position w:val="0"/>
                <w:sz w:val="15"/>
                <w:szCs w:val="15"/>
              </w:rPr>
              <w:t>52,556,090.70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1,617,037,687.36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1,469,245,966.98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230,230,540.75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254,050,592.27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44,928,594.89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35,683,804.11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13,923,493.79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10,964,015.13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13,923,493.79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b/>
                <w:bCs/>
                <w:color w:val="000000"/>
                <w:spacing w:val="0"/>
                <w:w w:val="100"/>
                <w:position w:val="0"/>
                <w:sz w:val="15"/>
                <w:szCs w:val="15"/>
              </w:rPr>
              <w:t>11,734,015.13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57,242,232.95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b/>
                <w:bCs/>
                <w:color w:val="000000"/>
                <w:spacing w:val="0"/>
                <w:w w:val="100"/>
                <w:position w:val="0"/>
                <w:sz w:val="15"/>
                <w:szCs w:val="15"/>
              </w:rPr>
              <w:t>64290,105.83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10,471,480.13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10,565,965.09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303,408,984.00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1,522,453,066.85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1,404,752,208.75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4,118,589.19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731,813.84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2,980,716.12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2,438,430.74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39,002,109.42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32,883,252.72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1,909,767,608.44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1,772,716,573.03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186,018,859.27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160,643,281.24</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b/>
                <w:bCs/>
                <w:color w:val="000000"/>
                <w:spacing w:val="0"/>
                <w:w w:val="100"/>
                <w:position w:val="0"/>
                <w:sz w:val="15"/>
                <w:szCs w:val="15"/>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2,050,883,019.54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1,895,220,065.71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2,108,125,252.49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1,959,510,171.54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2,108,125252.49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1,959,510,171.54</w:t>
            </w:r>
          </w:p>
        </w:tc>
      </w:tr>
    </w:tbl>
    <w:p>
      <w:p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037" w:right="958" w:bottom="1615" w:left="949" w:header="0" w:footer="3" w:gutter="0"/>
          <w:cols w:space="720"/>
          <w:noEndnote/>
          <w:titlePg/>
          <w:rtlGutter w:val="0"/>
          <w:docGrid w:linePitch="360"/>
        </w:sectPr>
      </w:pPr>
    </w:p>
    <w:p>
      <w:pPr>
        <w:pStyle w:val="Style7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合并利润表</w:t>
      </w:r>
    </w:p>
    <w:p>
      <w:pPr>
        <w:pStyle w:val="Style7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bl>
      <w:tblPr>
        <w:tblOverlap w:val="never"/>
        <w:jc w:val="left"/>
        <w:tblLayout w:type="fixed"/>
      </w:tblPr>
      <w:tblGrid>
        <w:gridCol w:w="4214"/>
        <w:gridCol w:w="955"/>
        <w:gridCol w:w="2405"/>
        <w:gridCol w:w="2419"/>
      </w:tblGrid>
      <w:tr>
        <w:trPr>
          <w:trHeight w:val="317"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tabs>
                <w:tab w:pos="93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center"/>
            </w:pPr>
            <w:r>
              <w:rPr>
                <w:b/>
                <w:bCs/>
                <w:color w:val="000000"/>
                <w:spacing w:val="0"/>
                <w:w w:val="100"/>
                <w:position w:val="0"/>
              </w:rPr>
              <w:t>附注七</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both"/>
            </w:pPr>
            <w:r>
              <w:rPr>
                <w:b/>
                <w:bCs/>
                <w:color w:val="000000"/>
                <w:spacing w:val="0"/>
                <w:w w:val="100"/>
                <w:position w:val="0"/>
              </w:rPr>
              <w:t>一、营业总收入</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919,987,596.18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584,562,790.74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919,987,596.18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584,562,790.74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both"/>
            </w:pPr>
            <w:r>
              <w:rPr>
                <w:b/>
                <w:bCs/>
                <w:color w:val="000000"/>
                <w:spacing w:val="0"/>
                <w:w w:val="100"/>
                <w:position w:val="0"/>
              </w:rPr>
              <w:t>二、营业总成本</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700,222,999.24</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461,054,214.33</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606,071,279.01</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418,731,730.19</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6,488,390.16</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2,718,433.33</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32,600,722.87</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15,374,503.62</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78,201,250.77</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43,264,106.44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-20,035,641.23</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-16,672,801.94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-3,103,002.34</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-2,361,757.31</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加：公允价值变动收益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投资收益（损失以号填列）</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-546,115.89</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center"/>
            </w:pPr>
            <w:r>
              <w:rPr>
                <w:color w:val="000000"/>
                <w:spacing w:val="0"/>
                <w:w w:val="100"/>
                <w:position w:val="0"/>
              </w:rPr>
              <w:t>其中：对联营企业和合营企业的收益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740"/>
              <w:jc w:val="left"/>
            </w:pPr>
            <w:r>
              <w:rPr>
                <w:color w:val="000000"/>
                <w:spacing w:val="0"/>
                <w:w w:val="100"/>
                <w:position w:val="0"/>
              </w:rPr>
              <w:t>汇兑收益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left"/>
            </w:pPr>
            <w:r>
              <w:rPr>
                <w:b/>
                <w:bCs/>
                <w:color w:val="000000"/>
                <w:spacing w:val="0"/>
                <w:w w:val="100"/>
                <w:position w:val="0"/>
              </w:rPr>
              <w:t>三、营业利润</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219,218,481.05</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123,297,150.22</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79,663,425.45</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35,878,066.34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456,366.18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483,165.62</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222,644.08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57,560.97</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left"/>
            </w:pPr>
            <w:r>
              <w:rPr>
                <w:b/>
                <w:bCs/>
                <w:color w:val="000000"/>
                <w:spacing w:val="0"/>
                <w:w w:val="100"/>
                <w:position w:val="0"/>
              </w:rPr>
              <w:t>四、利润总额</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298,425,540.32</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158,692,050.94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24,820,091.24</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16,520,119.69</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left"/>
            </w:pPr>
            <w:r>
              <w:rPr>
                <w:b/>
                <w:bCs/>
                <w:color w:val="000000"/>
                <w:spacing w:val="0"/>
                <w:w w:val="100"/>
                <w:position w:val="0"/>
              </w:rPr>
              <w:t>五、净利润</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273,605,449.08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142,171,931.25</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272,515,185.89</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141,275,120.01</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560"/>
              <w:jc w:val="left"/>
            </w:pPr>
            <w:r>
              <w:rPr>
                <w:color w:val="000000"/>
                <w:spacing w:val="0"/>
                <w:w w:val="100"/>
                <w:position w:val="0"/>
              </w:rPr>
              <w:t>少数股东损益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1,090,263.19</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896,811.24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both"/>
            </w:pPr>
            <w:r>
              <w:rPr>
                <w:b/>
                <w:bCs/>
                <w:color w:val="000000"/>
                <w:spacing w:val="0"/>
                <w:w w:val="100"/>
                <w:position w:val="0"/>
              </w:rPr>
              <w:t>六、每股收益：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56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0.5844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56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0.5844</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left"/>
            </w:pPr>
            <w:r>
              <w:rPr>
                <w:b/>
                <w:bCs/>
                <w:color w:val="000000"/>
                <w:spacing w:val="0"/>
                <w:w w:val="100"/>
                <w:position w:val="0"/>
              </w:rPr>
              <w:t>七、其他综合收益</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994" w:h="12504" w:vSpace="312" w:wrap="notBeside" w:vAnchor="text" w:hAnchor="text" w:y="313"/>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200"/>
              <w:jc w:val="left"/>
            </w:pPr>
            <w:r>
              <w:rPr>
                <w:b/>
                <w:bCs/>
                <w:color w:val="000000"/>
                <w:spacing w:val="0"/>
                <w:w w:val="100"/>
                <w:position w:val="0"/>
              </w:rPr>
              <w:t>八、综合收益总额</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273,605,449.08</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142,171,931.25</w:t>
            </w:r>
          </w:p>
        </w:tc>
      </w:tr>
      <w:tr>
        <w:trPr>
          <w:trHeight w:val="312" w:hRule="exact"/>
        </w:trPr>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272,515,185.89</w:t>
            </w:r>
          </w:p>
        </w:tc>
        <w:tc>
          <w:tcPr>
            <w:tcBorders>
              <w:top w:val="single" w:sz="4"/>
              <w:left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141,275,120.01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0" w:right="0" w:firstLine="30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994" w:h="12504" w:vSpace="312" w:wrap="notBeside" w:vAnchor="text" w:hAnchor="text" w:y="313"/>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1,090,263.19</w:t>
            </w:r>
          </w:p>
        </w:tc>
        <w:tc>
          <w:tcPr>
            <w:tcBorders>
              <w:top w:val="single" w:sz="4"/>
              <w:left w:val="single" w:sz="4"/>
              <w:bottom w:val="single" w:sz="4"/>
              <w:right w:val="single" w:sz="4"/>
            </w:tcBorders>
            <w:shd w:val="clear" w:color="auto" w:fill="FFFFFF"/>
            <w:vAlign w:val="center"/>
          </w:tcPr>
          <w:p>
            <w:pPr>
              <w:pStyle w:val="Style2"/>
              <w:keepNext w:val="0"/>
              <w:keepLines w:val="0"/>
              <w:framePr w:w="9994" w:h="12504" w:vSpace="312" w:wrap="notBeside" w:vAnchor="text" w:hAnchor="text" w:y="313"/>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896,811.24</w:t>
            </w:r>
          </w:p>
        </w:tc>
      </w:tr>
    </w:tbl>
    <w:p>
      <w:pPr>
        <w:pStyle w:val="Style30"/>
        <w:keepNext w:val="0"/>
        <w:keepLines w:val="0"/>
        <w:framePr w:w="3106" w:h="230" w:hSpace="6888" w:wrap="notBeside" w:vAnchor="text" w:hAnchor="text" w:x="4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编制单位：同方国芯电子股份有限公司</w:t>
      </w:r>
    </w:p>
    <w:p>
      <w:pPr>
        <w:pStyle w:val="Style30"/>
        <w:keepNext w:val="0"/>
        <w:keepLines w:val="0"/>
        <w:framePr w:w="2026" w:h="230" w:hSpace="7968" w:wrap="notBeside" w:vAnchor="text" w:hAnchor="text" w:x="748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单位：元币种：人民币</w:t>
      </w:r>
    </w:p>
    <w:p>
      <w:pPr>
        <w:widowControl w:val="0"/>
        <w:spacing w:line="1" w:lineRule="exact"/>
      </w:pPr>
      <w:r>
        <w:br w:type="page"/>
      </w:r>
    </w:p>
    <w:p>
      <w:pPr>
        <w:pStyle w:val="Style7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母公司利润表</w:t>
      </w:r>
    </w:p>
    <w:p>
      <w:pPr>
        <w:pStyle w:val="Style74"/>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bl>
      <w:tblPr>
        <w:tblOverlap w:val="never"/>
        <w:jc w:val="left"/>
        <w:tblLayout w:type="fixed"/>
      </w:tblPr>
      <w:tblGrid>
        <w:gridCol w:w="4224"/>
        <w:gridCol w:w="1536"/>
        <w:gridCol w:w="2112"/>
        <w:gridCol w:w="2122"/>
      </w:tblGrid>
      <w:tr>
        <w:trPr>
          <w:trHeight w:val="49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tabs>
                <w:tab w:pos="93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pPr>
            <w:r>
              <w:rPr>
                <w:b/>
                <w:bCs/>
                <w:color w:val="000000"/>
                <w:spacing w:val="0"/>
                <w:w w:val="100"/>
                <w:position w:val="0"/>
              </w:rPr>
              <w:t>附注十三</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20"/>
              <w:jc w:val="left"/>
            </w:pPr>
            <w:r>
              <w:rPr>
                <w:b/>
                <w:bCs/>
                <w:color w:val="000000"/>
                <w:spacing w:val="0"/>
                <w:w w:val="100"/>
                <w:position w:val="0"/>
              </w:rPr>
              <w:t>上期金额</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205,984,342.69</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213,003,901.74</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178,648,029.32</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185,688,061.72</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624,821.77</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212,217.62</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1,885,220.58</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2,178,904.06</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15,549,480.30</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15,323,052.57</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2,343,343.55</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70,167.84</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-154,077.17</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-3,762,268.75</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300"/>
              <w:jc w:val="left"/>
            </w:pPr>
            <w:r>
              <w:rPr>
                <w:color w:val="000000"/>
                <w:spacing w:val="0"/>
                <w:w w:val="100"/>
                <w:position w:val="0"/>
              </w:rPr>
              <w:t>加：公允价值变动收益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994" w:h="11112" w:vSpace="274" w:wrap="notBeside" w:vAnchor="text" w:hAnchor="text" w:y="275"/>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740"/>
              <w:jc w:val="left"/>
            </w:pPr>
            <w:r>
              <w:rPr>
                <w:color w:val="000000"/>
                <w:spacing w:val="0"/>
                <w:w w:val="100"/>
                <w:position w:val="0"/>
              </w:rPr>
              <w:t>投资收益（损失以号填列）</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52,567,778.45</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59,788,573.81</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center"/>
            </w:pPr>
            <w:r>
              <w:rPr>
                <w:color w:val="000000"/>
                <w:spacing w:val="0"/>
                <w:w w:val="100"/>
                <w:position w:val="0"/>
              </w:rPr>
              <w:t>其中：对联营企业和合营企业的收益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二、营业利润</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59,655,302.79</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73,082,340.49</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3,510,966.86</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2,876,261.71</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59,498.93</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364,104.73</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30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39,098.93</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5,440.86</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三、利润总额</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63,106,770.72</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75,594,497.47</w:t>
            </w: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1,918,203.69</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3,439,791.51</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四、净利润</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61,188,567.03</w:t>
            </w:r>
          </w:p>
        </w:tc>
        <w:tc>
          <w:tcPr>
            <w:tcBorders>
              <w:top w:val="single" w:sz="4"/>
              <w:left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72,154,705.96</w:t>
            </w: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五、每股收益：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994" w:h="11112" w:vSpace="274" w:wrap="notBeside" w:vAnchor="text" w:hAnchor="text" w:y="275"/>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56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994" w:h="11112" w:vSpace="274" w:wrap="notBeside" w:vAnchor="text" w:hAnchor="text" w:y="275"/>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560"/>
              <w:jc w:val="left"/>
            </w:pPr>
            <w:r>
              <w:rPr>
                <w:color w:val="000000"/>
                <w:spacing w:val="0"/>
                <w:w w:val="100"/>
                <w:position w:val="0"/>
              </w:rPr>
              <w:t>（二）稀释每股收益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994" w:h="11112" w:vSpace="274" w:wrap="notBeside" w:vAnchor="text" w:hAnchor="text" w:y="275"/>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六、其他综合收益</w:t>
            </w: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994" w:h="11112" w:vSpace="274" w:wrap="notBeside" w:vAnchor="text" w:hAnchor="text" w:y="275"/>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200"/>
              <w:jc w:val="left"/>
            </w:pPr>
            <w:r>
              <w:rPr>
                <w:b/>
                <w:bCs/>
                <w:color w:val="000000"/>
                <w:spacing w:val="0"/>
                <w:w w:val="100"/>
                <w:position w:val="0"/>
              </w:rPr>
              <w:t>七、综合收益总额</w:t>
            </w:r>
          </w:p>
        </w:tc>
        <w:tc>
          <w:tcPr>
            <w:tcBorders>
              <w:top w:val="single" w:sz="4"/>
              <w:left w:val="single" w:sz="4"/>
              <w:bottom w:val="single" w:sz="4"/>
            </w:tcBorders>
            <w:shd w:val="clear" w:color="auto" w:fill="FFFFFF"/>
            <w:vAlign w:val="top"/>
          </w:tcPr>
          <w:p>
            <w:pPr>
              <w:framePr w:w="9994" w:h="11112" w:vSpace="274" w:wrap="notBeside" w:vAnchor="text" w:hAnchor="text" w:y="275"/>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61,188,567.03</w:t>
            </w:r>
          </w:p>
        </w:tc>
        <w:tc>
          <w:tcPr>
            <w:tcBorders>
              <w:top w:val="single" w:sz="4"/>
              <w:left w:val="single" w:sz="4"/>
              <w:bottom w:val="single" w:sz="4"/>
              <w:right w:val="single" w:sz="4"/>
            </w:tcBorders>
            <w:shd w:val="clear" w:color="auto" w:fill="FFFFFF"/>
            <w:vAlign w:val="center"/>
          </w:tcPr>
          <w:p>
            <w:pPr>
              <w:pStyle w:val="Style2"/>
              <w:keepNext w:val="0"/>
              <w:keepLines w:val="0"/>
              <w:framePr w:w="9994" w:h="11112" w:vSpace="274" w:wrap="notBeside" w:vAnchor="text" w:hAnchor="text"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72,154,705.96</w:t>
            </w:r>
          </w:p>
        </w:tc>
      </w:tr>
    </w:tbl>
    <w:p>
      <w:pPr>
        <w:pStyle w:val="Style30"/>
        <w:keepNext w:val="0"/>
        <w:keepLines w:val="0"/>
        <w:framePr w:w="3106" w:h="240" w:hSpace="6888" w:wrap="notBeside" w:vAnchor="text" w:hAnchor="text" w:x="4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编制单位：同方国芯电子股份有限公司</w:t>
      </w:r>
    </w:p>
    <w:p>
      <w:pPr>
        <w:pStyle w:val="Style30"/>
        <w:keepNext w:val="0"/>
        <w:keepLines w:val="0"/>
        <w:framePr w:w="2026" w:h="240" w:hSpace="7968" w:wrap="notBeside" w:vAnchor="text" w:hAnchor="text" w:x="748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单位：元币种：人民币</w:t>
      </w:r>
    </w:p>
    <w:p>
      <w:pPr>
        <w:pStyle w:val="Style30"/>
        <w:keepNext w:val="0"/>
        <w:keepLines w:val="0"/>
        <w:framePr w:w="1670" w:h="245" w:hSpace="8324" w:wrap="notBeside" w:vAnchor="text" w:hAnchor="text" w:x="102" w:y="115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法定代表人：陆致成</w:t>
      </w:r>
    </w:p>
    <w:p>
      <w:pPr>
        <w:pStyle w:val="Style30"/>
        <w:keepNext w:val="0"/>
        <w:keepLines w:val="0"/>
        <w:framePr w:w="2578" w:h="235" w:hSpace="7416" w:wrap="notBeside" w:vAnchor="text" w:hAnchor="text" w:x="3519" w:y="115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主管会计工作的负责人：杨秋平</w:t>
      </w:r>
    </w:p>
    <w:p>
      <w:pPr>
        <w:pStyle w:val="Style30"/>
        <w:keepNext w:val="0"/>
        <w:keepLines w:val="0"/>
        <w:framePr w:w="2035" w:h="245" w:hSpace="7959" w:wrap="notBeside" w:vAnchor="text" w:hAnchor="text" w:x="7479" w:y="115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会计机构负责人：张典洪</w:t>
      </w:r>
    </w:p>
    <w:p>
      <w:pPr>
        <w:widowControl w:val="0"/>
        <w:spacing w:line="1" w:lineRule="exact"/>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037" w:right="958" w:bottom="1615" w:left="949" w:header="0" w:footer="3" w:gutter="0"/>
          <w:cols w:space="720"/>
          <w:noEndnote/>
          <w:titlePg/>
          <w:rtlGutter w:val="0"/>
          <w:docGrid w:linePitch="360"/>
        </w:sectPr>
      </w:pPr>
    </w:p>
    <w:p>
      <w:pPr>
        <w:widowControl w:val="0"/>
        <w:spacing w:line="1" w:lineRule="exact"/>
      </w:pPr>
      <w:r>
        <mc:AlternateContent>
          <mc:Choice Requires="wps">
            <w:drawing>
              <wp:anchor distT="0" distB="50800" distL="0" distR="0" simplePos="0" relativeHeight="125829397" behindDoc="0" locked="0" layoutInCell="1" allowOverlap="1">
                <wp:simplePos x="0" y="0"/>
                <wp:positionH relativeFrom="page">
                  <wp:posOffset>3348990</wp:posOffset>
                </wp:positionH>
                <wp:positionV relativeFrom="paragraph">
                  <wp:posOffset>0</wp:posOffset>
                </wp:positionV>
                <wp:extent cx="835025" cy="377825"/>
                <wp:wrapTopAndBottom/>
                <wp:docPr id="333" name="Shape 333"/>
                <a:graphic xmlns:a="http://schemas.openxmlformats.org/drawingml/2006/main">
                  <a:graphicData uri="http://schemas.microsoft.com/office/word/2010/wordprocessingShape">
                    <wps:wsp>
                      <wps:cNvSpPr txBox="1"/>
                      <wps:spPr>
                        <a:xfrm>
                          <a:ext cx="835025" cy="377825"/>
                        </a:xfrm>
                        <a:prstGeom prst="rect"/>
                        <a:noFill/>
                      </wps:spPr>
                      <wps:txbx>
                        <w:txbxContent>
                          <w:p>
                            <w:pPr>
                              <w:pStyle w:val="Style7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合并现金流量表</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wps:txbx>
                      <wps:bodyPr lIns="0" tIns="0" rIns="0" bIns="0">
                        <a:noAutoFit/>
                      </wps:bodyPr>
                    </wps:wsp>
                  </a:graphicData>
                </a:graphic>
              </wp:anchor>
            </w:drawing>
          </mc:Choice>
          <mc:Fallback>
            <w:pict>
              <v:shape id="_x0000_s1359" type="#_x0000_t202" style="position:absolute;margin-left:263.69999999999999pt;margin-top:0;width:65.75pt;height:29.75pt;z-index:-125829356;mso-wrap-distance-left:0;mso-wrap-distance-right:0;mso-wrap-distance-bottom:4.pt;mso-position-horizontal-relative:page" filled="f" stroked="f">
                <v:textbox inset="0,0,0,0">
                  <w:txbxContent>
                    <w:p>
                      <w:pPr>
                        <w:pStyle w:val="Style7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合并现金流量表</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v:textbox>
                <w10:wrap type="topAndBottom" anchorx="page"/>
              </v:shape>
            </w:pict>
          </mc:Fallback>
        </mc:AlternateContent>
      </w:r>
    </w:p>
    <w:p>
      <w:pPr>
        <w:pStyle w:val="Style72"/>
        <w:keepNext w:val="0"/>
        <w:keepLines w:val="0"/>
        <w:widowControl w:val="0"/>
        <w:shd w:val="clear" w:color="auto" w:fill="auto"/>
        <w:bidi w:val="0"/>
        <w:spacing w:before="0" w:after="60" w:line="240" w:lineRule="auto"/>
        <w:ind w:left="0" w:right="0" w:firstLine="420"/>
        <w:jc w:val="left"/>
      </w:pPr>
      <w:r>
        <mc:AlternateContent>
          <mc:Choice Requires="wps">
            <w:drawing>
              <wp:anchor distT="0" distB="0" distL="114300" distR="114300" simplePos="0" relativeHeight="125829399" behindDoc="0" locked="0" layoutInCell="1" allowOverlap="1">
                <wp:simplePos x="0" y="0"/>
                <wp:positionH relativeFrom="page">
                  <wp:posOffset>5238750</wp:posOffset>
                </wp:positionH>
                <wp:positionV relativeFrom="paragraph">
                  <wp:posOffset>12700</wp:posOffset>
                </wp:positionV>
                <wp:extent cx="1289050" cy="149225"/>
                <wp:wrapSquare wrapText="left"/>
                <wp:docPr id="335" name="Shape 335"/>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361" type="#_x0000_t202" style="position:absolute;margin-left:412.5pt;margin-top:1.pt;width:101.5pt;height:11.75pt;z-index:-125829354;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tbl>
      <w:tblPr>
        <w:tblOverlap w:val="never"/>
        <w:jc w:val="center"/>
        <w:tblLayout w:type="fixed"/>
      </w:tblPr>
      <w:tblGrid>
        <w:gridCol w:w="4474"/>
        <w:gridCol w:w="835"/>
        <w:gridCol w:w="2419"/>
        <w:gridCol w:w="2266"/>
      </w:tblGrid>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上期金额</w:t>
            </w:r>
          </w:p>
        </w:tc>
      </w:tr>
      <w:tr>
        <w:trPr>
          <w:trHeight w:val="2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一、经营活动产生的现金流量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844,790,868.95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617,354,814.41</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32,136,682.41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28,355,971.89</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149,375,415.54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77,529,235.83</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b/>
                <w:bCs/>
                <w:color w:val="000000"/>
                <w:spacing w:val="0"/>
                <w:w w:val="100"/>
                <w:position w:val="0"/>
                <w:sz w:val="15"/>
                <w:szCs w:val="15"/>
              </w:rPr>
              <w:t>1,026,302,966.90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723,240,022.13</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559,504,248.54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446,892,549.77</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103,820,177.83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56,086,277.22</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74,134,049.68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50,159,129.15</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55,868,463.94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45,423,891.62</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b/>
                <w:bCs/>
                <w:color w:val="000000"/>
                <w:spacing w:val="0"/>
                <w:w w:val="100"/>
                <w:position w:val="0"/>
                <w:sz w:val="15"/>
                <w:szCs w:val="15"/>
              </w:rPr>
              <w:t>793,326,939.99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598,561,847.76</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b/>
                <w:bCs/>
                <w:color w:val="000000"/>
                <w:spacing w:val="0"/>
                <w:w w:val="100"/>
                <w:position w:val="0"/>
                <w:sz w:val="15"/>
                <w:szCs w:val="15"/>
              </w:rPr>
              <w:t>232,976,026.91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124,678,174.37</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二、投资活动产生的现金流量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127,762.00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145,825.00</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105,728.09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228,121,254.83</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b/>
                <w:bCs/>
                <w:color w:val="000000"/>
                <w:spacing w:val="0"/>
                <w:w w:val="100"/>
                <w:position w:val="0"/>
                <w:sz w:val="15"/>
                <w:szCs w:val="15"/>
              </w:rPr>
              <w:t>233,490.09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228,267,079.83</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184,039,466.43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103,679,035.38</w:t>
            </w:r>
          </w:p>
        </w:tc>
      </w:tr>
      <w:tr>
        <w:trPr>
          <w:trHeight w:val="2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42,157,103.00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b/>
                <w:bCs/>
                <w:color w:val="000000"/>
                <w:spacing w:val="0"/>
                <w:w w:val="100"/>
                <w:position w:val="0"/>
                <w:sz w:val="15"/>
                <w:szCs w:val="15"/>
              </w:rPr>
              <w:t>226,196,569.43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103,679,035.38</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-225,963,079.34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124,588,044.45</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三、筹资活动产生的现金流量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124,279,986.71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16,299,884.65</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b/>
                <w:bCs/>
                <w:color w:val="000000"/>
                <w:spacing w:val="0"/>
                <w:w w:val="100"/>
                <w:position w:val="0"/>
                <w:sz w:val="15"/>
                <w:szCs w:val="15"/>
              </w:rPr>
              <w:t>124,279,986.71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b/>
                <w:bCs/>
                <w:color w:val="000000"/>
                <w:spacing w:val="0"/>
                <w:w w:val="100"/>
                <w:position w:val="0"/>
                <w:sz w:val="15"/>
                <w:szCs w:val="15"/>
              </w:rPr>
              <w:t>16,299,884.65</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48,880,000.00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17,100,487.17</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30,637,777.30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12,863,295.07</w:t>
            </w:r>
          </w:p>
        </w:tc>
      </w:tr>
      <w:tr>
        <w:trPr>
          <w:trHeight w:val="2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color w:val="000000"/>
                <w:spacing w:val="0"/>
                <w:w w:val="100"/>
                <w:position w:val="0"/>
                <w:sz w:val="15"/>
                <w:szCs w:val="15"/>
              </w:rPr>
              <w:t>13,991,742.58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color w:val="000000"/>
                <w:spacing w:val="0"/>
                <w:w w:val="100"/>
                <w:position w:val="0"/>
                <w:sz w:val="15"/>
                <w:szCs w:val="15"/>
              </w:rPr>
              <w:t>18,446,054.10</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b/>
                <w:bCs/>
                <w:color w:val="000000"/>
                <w:spacing w:val="0"/>
                <w:w w:val="100"/>
                <w:position w:val="0"/>
                <w:sz w:val="15"/>
                <w:szCs w:val="15"/>
              </w:rPr>
              <w:t>93,509,519.88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Times New Roman" w:eastAsia="Times New Roman" w:hAnsi="Times New Roman" w:cs="Times New Roman"/>
                <w:b/>
                <w:bCs/>
                <w:color w:val="000000"/>
                <w:spacing w:val="0"/>
                <w:w w:val="100"/>
                <w:position w:val="0"/>
                <w:sz w:val="15"/>
                <w:szCs w:val="15"/>
              </w:rPr>
              <w:t>48,409,836.34</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b/>
                <w:bCs/>
                <w:color w:val="000000"/>
                <w:spacing w:val="0"/>
                <w:w w:val="100"/>
                <w:position w:val="0"/>
                <w:sz w:val="15"/>
                <w:szCs w:val="15"/>
              </w:rPr>
              <w:t>30,770,466.83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-32,109,951.69</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-1,572,804.16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-318,893.22</w:t>
            </w:r>
          </w:p>
        </w:tc>
      </w:tr>
      <w:tr>
        <w:trPr>
          <w:trHeight w:val="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5"/>
                <w:szCs w:val="15"/>
              </w:rPr>
            </w:pPr>
            <w:r>
              <w:rPr>
                <w:rFonts w:ascii="Times New Roman" w:eastAsia="Times New Roman" w:hAnsi="Times New Roman" w:cs="Times New Roman"/>
                <w:b/>
                <w:bCs/>
                <w:color w:val="000000"/>
                <w:spacing w:val="0"/>
                <w:w w:val="100"/>
                <w:position w:val="0"/>
                <w:sz w:val="15"/>
                <w:szCs w:val="15"/>
              </w:rPr>
              <w:t>36210,610.24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216,837,373.91</w:t>
            </w:r>
          </w:p>
        </w:tc>
      </w:tr>
      <w:tr>
        <w:trPr>
          <w:trHeight w:val="2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color w:val="000000"/>
                <w:spacing w:val="0"/>
                <w:w w:val="100"/>
                <w:position w:val="0"/>
                <w:sz w:val="15"/>
                <w:szCs w:val="15"/>
              </w:rPr>
              <w:t>870,645,948.25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653,808,574.34</w:t>
            </w: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5"/>
                <w:szCs w:val="15"/>
              </w:rPr>
            </w:pPr>
            <w:r>
              <w:rPr>
                <w:rFonts w:ascii="Times New Roman" w:eastAsia="Times New Roman" w:hAnsi="Times New Roman" w:cs="Times New Roman"/>
                <w:b/>
                <w:bCs/>
                <w:color w:val="000000"/>
                <w:spacing w:val="0"/>
                <w:w w:val="100"/>
                <w:position w:val="0"/>
                <w:sz w:val="15"/>
                <w:szCs w:val="15"/>
              </w:rPr>
              <w:t>906,856,558.49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b/>
                <w:bCs/>
                <w:color w:val="000000"/>
                <w:spacing w:val="0"/>
                <w:w w:val="100"/>
                <w:position w:val="0"/>
                <w:sz w:val="15"/>
                <w:szCs w:val="15"/>
              </w:rPr>
              <w:t>870,645,948.25</w:t>
            </w:r>
          </w:p>
        </w:tc>
      </w:tr>
    </w:tbl>
    <w:p>
      <w:pPr>
        <w:spacing w:lineRule="exact" w:line="1"/>
        <w:rPr>
          <w:sz w:val="2"/>
          <w:szCs w:val="2"/>
        </w:rPr>
      </w:pPr>
      <w:r>
        <w:br w:type="page"/>
      </w:r>
    </w:p>
    <w:p>
      <w:pPr>
        <w:pStyle w:val="Style7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母公司现金流量表</w:t>
      </w:r>
    </w:p>
    <w:p>
      <w:pPr>
        <w:pStyle w:val="Style74"/>
        <w:keepNext w:val="0"/>
        <w:keepLines w:val="0"/>
        <w:widowControl w:val="0"/>
        <w:shd w:val="clear" w:color="auto" w:fill="auto"/>
        <w:bidi w:val="0"/>
        <w:spacing w:before="0" w:after="56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bl>
      <w:tblPr>
        <w:tblOverlap w:val="never"/>
        <w:jc w:val="left"/>
        <w:tblLayout w:type="fixed"/>
      </w:tblPr>
      <w:tblGrid>
        <w:gridCol w:w="4531"/>
        <w:gridCol w:w="1070"/>
        <w:gridCol w:w="2194"/>
        <w:gridCol w:w="2083"/>
      </w:tblGrid>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center"/>
            </w:pPr>
            <w:r>
              <w:rPr>
                <w:b/>
                <w:bCs/>
                <w:color w:val="000000"/>
                <w:spacing w:val="0"/>
                <w:w w:val="100"/>
                <w:position w:val="0"/>
              </w:rPr>
              <w:t>附注十三</w:t>
            </w: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一、经营活动产生的现金流量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213,655,540.75</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213,609,130.29</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32,135,502.26</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28,355,971.89</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12,600,602.83</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3,594,092.00</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经营活动现金流入小计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258,391,645.84</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245,559,194.18</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158,503,845.44</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139,585,633.13</w:t>
            </w:r>
          </w:p>
        </w:tc>
      </w:tr>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26,604,729.24</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24,149,466.48</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5,005,791.73</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2,861,505.96</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9,850,499.65</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16,923,561.83</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经营活动现金流出小计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199,964,866.06</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183,520,167.40</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58,426,779.78</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62,039,026.78</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二、投资活动产生的现金流量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82,719,902.82</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27,280,097.18</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13,840.00</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6,325.00</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投资活动现金流入小计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83,733,742.82</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27,286,422.18</w:t>
            </w:r>
          </w:p>
        </w:tc>
      </w:tr>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23,762,212.66</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83,857,625.47</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158,253,720.02</w:t>
            </w: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投资活动现金流出小计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182,015,932.68</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83,857,625.47</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-98,282,189.86</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-56,571,203.29</w:t>
            </w:r>
          </w:p>
        </w:tc>
      </w:tr>
      <w:tr>
        <w:trPr>
          <w:trHeight w:val="288"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三、筹资活动产生的现金流量</w:t>
            </w:r>
            <w:r>
              <w:rPr>
                <w:b/>
                <w:bCs/>
                <w:color w:val="000000"/>
                <w:spacing w:val="0"/>
                <w:w w:val="100"/>
                <w:position w:val="0"/>
                <w:sz w:val="16"/>
                <w:szCs w:val="16"/>
              </w:rPr>
              <w:t>：</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124,279,986.71</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16,299,884.65</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right w:val="single" w:sz="4"/>
            </w:tcBorders>
            <w:shd w:val="clear" w:color="auto" w:fill="FFFFFF"/>
            <w:vAlign w:val="top"/>
          </w:tcPr>
          <w:p>
            <w:pPr>
              <w:framePr w:w="9878" w:h="11386" w:vSpace="274" w:wrap="notBeside" w:vAnchor="text" w:hAnchor="text" w:x="59" w:y="275"/>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筹资活动现金流入小计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124,279,986.71</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16,299,884.65</w:t>
            </w:r>
          </w:p>
        </w:tc>
      </w:tr>
      <w:tr>
        <w:trPr>
          <w:trHeight w:val="288"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偿还债务所支付的现金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17,100,487.17</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29,724,152.30</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12,863,295.07</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6,895,125.56</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18,446,054.10</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筹资活动现金流出小计</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36,749,277.86</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48,409,836.34</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87,530,708.85</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-32,109,951.69</w:t>
            </w:r>
          </w:p>
        </w:tc>
      </w:tr>
      <w:tr>
        <w:trPr>
          <w:trHeight w:val="283"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-1,564,012.66</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-307,857.16</w:t>
            </w:r>
          </w:p>
        </w:tc>
      </w:tr>
      <w:tr>
        <w:trPr>
          <w:trHeight w:val="288" w:hRule="exact"/>
        </w:trPr>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46,111,286.11</w:t>
            </w:r>
          </w:p>
        </w:tc>
        <w:tc>
          <w:tcPr>
            <w:tcBorders>
              <w:top w:val="single" w:sz="4"/>
              <w:left w:val="single" w:sz="4"/>
              <w:right w:val="single" w:sz="4"/>
            </w:tcBorders>
            <w:shd w:val="clear" w:color="auto" w:fill="FFFFFF"/>
            <w:vAlign w:val="bottom"/>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-26,949,985.36</w:t>
            </w:r>
          </w:p>
        </w:tc>
      </w:tr>
      <w:tr>
        <w:trPr>
          <w:trHeight w:val="283" w:hRule="exact"/>
        </w:trPr>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22,825,444.42</w:t>
            </w:r>
          </w:p>
        </w:tc>
        <w:tc>
          <w:tcPr>
            <w:tcBorders>
              <w:top w:val="single" w:sz="4"/>
              <w:left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49,775,429.78</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framePr w:w="9878" w:h="11386" w:vSpace="274" w:wrap="notBeside" w:vAnchor="text" w:hAnchor="text" w:x="59" w:y="275"/>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68,936,730.53</w:t>
            </w:r>
          </w:p>
        </w:tc>
        <w:tc>
          <w:tcPr>
            <w:tcBorders>
              <w:top w:val="single" w:sz="4"/>
              <w:left w:val="single" w:sz="4"/>
              <w:bottom w:val="single" w:sz="4"/>
              <w:right w:val="single" w:sz="4"/>
            </w:tcBorders>
            <w:shd w:val="clear" w:color="auto" w:fill="FFFFFF"/>
            <w:vAlign w:val="center"/>
          </w:tcPr>
          <w:p>
            <w:pPr>
              <w:pStyle w:val="Style2"/>
              <w:keepNext w:val="0"/>
              <w:keepLines w:val="0"/>
              <w:framePr w:w="9878" w:h="11386" w:vSpace="274" w:wrap="notBeside" w:vAnchor="text" w:hAnchor="text" w:x="59" w:y="275"/>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22,825,444.42</w:t>
            </w:r>
          </w:p>
        </w:tc>
      </w:tr>
    </w:tbl>
    <w:p>
      <w:pPr>
        <w:pStyle w:val="Style30"/>
        <w:keepNext w:val="0"/>
        <w:keepLines w:val="0"/>
        <w:framePr w:w="3110" w:h="240" w:hSpace="58" w:wrap="notBeside" w:vAnchor="text" w:hAnchor="text" w:x="46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编制单位：同方国芯电子股份有限公司</w:t>
      </w:r>
    </w:p>
    <w:p>
      <w:pPr>
        <w:pStyle w:val="Style30"/>
        <w:keepNext w:val="0"/>
        <w:keepLines w:val="0"/>
        <w:framePr w:w="2030" w:h="240" w:hSpace="58" w:wrap="notBeside" w:vAnchor="text" w:hAnchor="text" w:x="75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单位：元币种：人民币</w:t>
      </w:r>
    </w:p>
    <w:p>
      <w:pPr>
        <w:widowControl w:val="0"/>
        <w:spacing w:line="1" w:lineRule="exact"/>
      </w:pPr>
      <w:r>
        <w:br w:type="page"/>
      </w:r>
    </w:p>
    <w:p>
      <w:pPr>
        <w:widowControl w:val="0"/>
        <w:spacing w:line="1" w:lineRule="exact"/>
      </w:pPr>
      <w:r>
        <mc:AlternateContent>
          <mc:Choice Requires="wps">
            <w:drawing>
              <wp:anchor distT="0" distB="114300" distL="0" distR="0" simplePos="0" relativeHeight="125829401" behindDoc="0" locked="0" layoutInCell="1" allowOverlap="1">
                <wp:simplePos x="0" y="0"/>
                <wp:positionH relativeFrom="page">
                  <wp:posOffset>3063875</wp:posOffset>
                </wp:positionH>
                <wp:positionV relativeFrom="paragraph">
                  <wp:posOffset>0</wp:posOffset>
                </wp:positionV>
                <wp:extent cx="1405255" cy="326390"/>
                <wp:wrapTopAndBottom/>
                <wp:docPr id="337" name="Shape 337"/>
                <a:graphic xmlns:a="http://schemas.openxmlformats.org/drawingml/2006/main">
                  <a:graphicData uri="http://schemas.microsoft.com/office/word/2010/wordprocessingShape">
                    <wps:wsp>
                      <wps:cNvSpPr txBox="1"/>
                      <wps:spPr>
                        <a:xfrm>
                          <a:ext cx="1405255" cy="326390"/>
                        </a:xfrm>
                        <a:prstGeom prst="rect"/>
                        <a:noFill/>
                      </wps:spPr>
                      <wps:txbx>
                        <w:txbxContent>
                          <w:p>
                            <w:pPr>
                              <w:pStyle w:val="Style7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合并股东权益变动表（一）</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wps:txbx>
                      <wps:bodyPr lIns="0" tIns="0" rIns="0" bIns="0">
                        <a:noAutoFit/>
                      </wps:bodyPr>
                    </wps:wsp>
                  </a:graphicData>
                </a:graphic>
              </wp:anchor>
            </w:drawing>
          </mc:Choice>
          <mc:Fallback>
            <w:pict>
              <v:shape id="_x0000_s1363" type="#_x0000_t202" style="position:absolute;margin-left:241.25pt;margin-top:0;width:110.65000000000001pt;height:25.699999999999999pt;z-index:-125829352;mso-wrap-distance-left:0;mso-wrap-distance-right:0;mso-wrap-distance-bottom:9.pt;mso-position-horizontal-relative:page" filled="f" stroked="f">
                <v:textbox inset="0,0,0,0">
                  <w:txbxContent>
                    <w:p>
                      <w:pPr>
                        <w:pStyle w:val="Style7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合并股东权益变动表（一）</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v:textbox>
                <w10:wrap type="topAndBottom" anchorx="page"/>
              </v:shape>
            </w:pict>
          </mc:Fallback>
        </mc:AlternateContent>
      </w:r>
    </w:p>
    <w:p>
      <w:pPr>
        <w:pStyle w:val="Style72"/>
        <w:keepNext w:val="0"/>
        <w:keepLines w:val="0"/>
        <w:widowControl w:val="0"/>
        <w:shd w:val="clear" w:color="auto" w:fill="auto"/>
        <w:bidi w:val="0"/>
        <w:spacing w:before="0" w:after="40" w:line="240" w:lineRule="auto"/>
        <w:ind w:left="0" w:right="0" w:firstLine="160"/>
        <w:jc w:val="left"/>
      </w:pPr>
      <w:r>
        <mc:AlternateContent>
          <mc:Choice Requires="wps">
            <w:drawing>
              <wp:anchor distT="0" distB="0" distL="114300" distR="114300" simplePos="0" relativeHeight="125829403" behindDoc="0" locked="0" layoutInCell="1" allowOverlap="1">
                <wp:simplePos x="0" y="0"/>
                <wp:positionH relativeFrom="page">
                  <wp:posOffset>5438140</wp:posOffset>
                </wp:positionH>
                <wp:positionV relativeFrom="paragraph">
                  <wp:posOffset>12700</wp:posOffset>
                </wp:positionV>
                <wp:extent cx="1289050" cy="149225"/>
                <wp:wrapSquare wrapText="left"/>
                <wp:docPr id="339" name="Shape 339"/>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365" type="#_x0000_t202" style="position:absolute;margin-left:428.19999999999999pt;margin-top:1.pt;width:101.5pt;height:11.75pt;z-index:-125829350;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tbl>
      <w:tblPr>
        <w:tblOverlap w:val="never"/>
        <w:jc w:val="center"/>
        <w:tblLayout w:type="fixed"/>
      </w:tblPr>
      <w:tblGrid>
        <w:gridCol w:w="1627"/>
        <w:gridCol w:w="1070"/>
        <w:gridCol w:w="1128"/>
        <w:gridCol w:w="283"/>
        <w:gridCol w:w="283"/>
        <w:gridCol w:w="1080"/>
        <w:gridCol w:w="538"/>
        <w:gridCol w:w="1186"/>
        <w:gridCol w:w="254"/>
        <w:gridCol w:w="1080"/>
        <w:gridCol w:w="1277"/>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b/>
                <w:bCs/>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本期金额</w:t>
            </w:r>
          </w:p>
        </w:tc>
      </w:tr>
      <w:tr>
        <w:trPr>
          <w:trHeight w:val="36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股东权益合计</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5" w:lineRule="exact"/>
              <w:ind w:left="0" w:right="0" w:firstLine="0"/>
              <w:jc w:val="both"/>
              <w:rPr>
                <w:sz w:val="15"/>
                <w:szCs w:val="15"/>
              </w:rPr>
            </w:pPr>
            <w:r>
              <w:rPr>
                <w:b/>
                <w:bCs/>
                <w:color w:val="000000"/>
                <w:spacing w:val="0"/>
                <w:w w:val="100"/>
                <w:position w:val="0"/>
                <w:sz w:val="15"/>
                <w:szCs w:val="15"/>
              </w:rPr>
              <w:t>减: 库 存 股</w:t>
            </w:r>
          </w:p>
        </w:tc>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4" w:lineRule="exact"/>
              <w:ind w:left="0" w:right="0" w:firstLine="0"/>
              <w:jc w:val="left"/>
              <w:rPr>
                <w:sz w:val="15"/>
                <w:szCs w:val="15"/>
              </w:rPr>
            </w:pPr>
            <w:r>
              <w:rPr>
                <w:b/>
                <w:bCs/>
                <w:color w:val="000000"/>
                <w:spacing w:val="0"/>
                <w:w w:val="100"/>
                <w:position w:val="0"/>
                <w:sz w:val="15"/>
                <w:szCs w:val="15"/>
              </w:rPr>
              <w:t>一般 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未分配利润</w:t>
            </w:r>
          </w:p>
        </w:tc>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808,110,463.49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35210227.59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843,589,687.73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48,132,410.27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2,031,984,112.08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808,110,463.49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35210227.59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843,589,687.73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48,132,410.27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2,031,984,112.08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三、本年增减变动金额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118,631,461.12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236,702,196.89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-48,132,410.27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319,787,765.44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272,515,185.89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1,090,263.19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273,605,449.08</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上述（一）和（二）小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272,515,185.89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1,090,263.19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273,605,449.08</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（三）股东投入和减少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117,700,858.10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124,168,519.10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、股东投入资本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117,700,858.10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124,168,519.10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、股份支付计入股东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-35,812,989.00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-29,694,132.30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-29,694,132.30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（五）股东权益内部结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930,603.02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-49,222,673.46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-48,292,070.44</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303,408,984.00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926,741,924.61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41,329,084.29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1,080,291,884.62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2,351,771,877.52</w:t>
            </w:r>
          </w:p>
        </w:tc>
      </w:tr>
    </w:tbl>
    <w:p>
      <w:pPr>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037" w:right="958" w:bottom="1615" w:left="949" w:header="0" w:footer="3" w:gutter="0"/>
          <w:cols w:space="720"/>
          <w:noEndnote/>
          <w:titlePg/>
          <w:rtlGutter w:val="0"/>
          <w:docGrid w:linePitch="360"/>
        </w:sectPr>
      </w:pPr>
    </w:p>
    <w:p>
      <w:pPr>
        <w:widowControl w:val="0"/>
        <w:spacing w:line="1" w:lineRule="exact"/>
      </w:pPr>
      <w:r>
        <mc:AlternateContent>
          <mc:Choice Requires="wps">
            <w:drawing>
              <wp:anchor distT="0" distB="254000" distL="0" distR="0" simplePos="0" relativeHeight="125829405" behindDoc="0" locked="0" layoutInCell="1" allowOverlap="1">
                <wp:simplePos x="0" y="0"/>
                <wp:positionH relativeFrom="page">
                  <wp:posOffset>3054350</wp:posOffset>
                </wp:positionH>
                <wp:positionV relativeFrom="paragraph">
                  <wp:posOffset>0</wp:posOffset>
                </wp:positionV>
                <wp:extent cx="1405255" cy="326390"/>
                <wp:wrapTopAndBottom/>
                <wp:docPr id="362" name="Shape 362"/>
                <a:graphic xmlns:a="http://schemas.openxmlformats.org/drawingml/2006/main">
                  <a:graphicData uri="http://schemas.microsoft.com/office/word/2010/wordprocessingShape">
                    <wps:wsp>
                      <wps:cNvSpPr txBox="1"/>
                      <wps:spPr>
                        <a:xfrm>
                          <a:ext cx="1405255" cy="326390"/>
                        </a:xfrm>
                        <a:prstGeom prst="rect"/>
                        <a:noFill/>
                      </wps:spPr>
                      <wps:txbx>
                        <w:txbxContent>
                          <w:p>
                            <w:pPr>
                              <w:pStyle w:val="Style7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合并股东权益变动表（二）</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wps:txbx>
                      <wps:bodyPr lIns="0" tIns="0" rIns="0" bIns="0">
                        <a:noAutoFit/>
                      </wps:bodyPr>
                    </wps:wsp>
                  </a:graphicData>
                </a:graphic>
              </wp:anchor>
            </w:drawing>
          </mc:Choice>
          <mc:Fallback>
            <w:pict>
              <v:shape id="_x0000_s1388" type="#_x0000_t202" style="position:absolute;margin-left:240.5pt;margin-top:0;width:110.65000000000001pt;height:25.699999999999999pt;z-index:-125829348;mso-wrap-distance-left:0;mso-wrap-distance-right:0;mso-wrap-distance-bottom:20.pt;mso-position-horizontal-relative:page" filled="f" stroked="f">
                <v:textbox inset="0,0,0,0">
                  <w:txbxContent>
                    <w:p>
                      <w:pPr>
                        <w:pStyle w:val="Style7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合并股东权益变动表（二）</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v:textbox>
                <w10:wrap type="topAndBottom" anchorx="page"/>
              </v:shape>
            </w:pict>
          </mc:Fallback>
        </mc:AlternateContent>
      </w:r>
    </w:p>
    <w:p>
      <w:pPr>
        <w:pStyle w:val="Style72"/>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407" behindDoc="0" locked="0" layoutInCell="1" allowOverlap="1">
                <wp:simplePos x="0" y="0"/>
                <wp:positionH relativeFrom="page">
                  <wp:posOffset>5370830</wp:posOffset>
                </wp:positionH>
                <wp:positionV relativeFrom="paragraph">
                  <wp:posOffset>12700</wp:posOffset>
                </wp:positionV>
                <wp:extent cx="1289050" cy="149225"/>
                <wp:wrapSquare wrapText="left"/>
                <wp:docPr id="364" name="Shape 364"/>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390" type="#_x0000_t202" style="position:absolute;margin-left:422.90000000000003pt;margin-top:1.pt;width:101.5pt;height:11.75pt;z-index:-125829346;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p>
      <w:pPr>
        <w:widowControl w:val="0"/>
        <w:spacing w:line="1" w:lineRule="exact"/>
      </w:pPr>
      <w:r>
        <mc:AlternateContent>
          <mc:Choice Requires="wps">
            <w:drawing>
              <wp:anchor distT="50800" distB="0" distL="0" distR="0" simplePos="0" relativeHeight="125829409" behindDoc="0" locked="0" layoutInCell="1" allowOverlap="1">
                <wp:simplePos x="0" y="0"/>
                <wp:positionH relativeFrom="page">
                  <wp:posOffset>683260</wp:posOffset>
                </wp:positionH>
                <wp:positionV relativeFrom="paragraph">
                  <wp:posOffset>50800</wp:posOffset>
                </wp:positionV>
                <wp:extent cx="1063625" cy="152400"/>
                <wp:wrapTopAndBottom/>
                <wp:docPr id="366" name="Shape 366"/>
                <a:graphic xmlns:a="http://schemas.openxmlformats.org/drawingml/2006/main">
                  <a:graphicData uri="http://schemas.microsoft.com/office/word/2010/wordprocessingShape">
                    <wps:wsp>
                      <wps:cNvSpPr txBox="1"/>
                      <wps:spPr>
                        <a:xfrm>
                          <a:ext cx="106362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法定代表人：陆致成</w:t>
                            </w:r>
                          </w:p>
                        </w:txbxContent>
                      </wps:txbx>
                      <wps:bodyPr wrap="none" lIns="0" tIns="0" rIns="0" bIns="0">
                        <a:noAutoFit/>
                      </wps:bodyPr>
                    </wps:wsp>
                  </a:graphicData>
                </a:graphic>
              </wp:anchor>
            </w:drawing>
          </mc:Choice>
          <mc:Fallback>
            <w:pict>
              <v:shape id="_x0000_s1392" type="#_x0000_t202" style="position:absolute;margin-left:53.800000000000004pt;margin-top:4.pt;width:83.75pt;height:12.pt;z-index:-125829344;mso-wrap-distance-left:0;mso-wrap-distance-top:4.pt;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法定代表人：陆致成</w:t>
                      </w:r>
                    </w:p>
                  </w:txbxContent>
                </v:textbox>
                <w10:wrap type="topAndBottom" anchorx="page"/>
              </v:shape>
            </w:pict>
          </mc:Fallback>
        </mc:AlternateContent>
      </w:r>
      <w:r>
        <mc:AlternateContent>
          <mc:Choice Requires="wps">
            <w:drawing>
              <wp:anchor distT="50800" distB="6350" distL="0" distR="0" simplePos="0" relativeHeight="125829411" behindDoc="0" locked="0" layoutInCell="1" allowOverlap="1">
                <wp:simplePos x="0" y="0"/>
                <wp:positionH relativeFrom="page">
                  <wp:posOffset>2856230</wp:posOffset>
                </wp:positionH>
                <wp:positionV relativeFrom="paragraph">
                  <wp:posOffset>50800</wp:posOffset>
                </wp:positionV>
                <wp:extent cx="1637030" cy="146050"/>
                <wp:wrapTopAndBottom/>
                <wp:docPr id="368" name="Shape 368"/>
                <a:graphic xmlns:a="http://schemas.openxmlformats.org/drawingml/2006/main">
                  <a:graphicData uri="http://schemas.microsoft.com/office/word/2010/wordprocessingShape">
                    <wps:wsp>
                      <wps:cNvSpPr txBox="1"/>
                      <wps:spPr>
                        <a:xfrm>
                          <a:ext cx="1637030" cy="1460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主管会计工作的负责人：杨秋平</w:t>
                            </w:r>
                          </w:p>
                        </w:txbxContent>
                      </wps:txbx>
                      <wps:bodyPr wrap="none" lIns="0" tIns="0" rIns="0" bIns="0">
                        <a:noAutoFit/>
                      </wps:bodyPr>
                    </wps:wsp>
                  </a:graphicData>
                </a:graphic>
              </wp:anchor>
            </w:drawing>
          </mc:Choice>
          <mc:Fallback>
            <w:pict>
              <v:shape id="_x0000_s1394" type="#_x0000_t202" style="position:absolute;margin-left:224.90000000000001pt;margin-top:4.pt;width:128.90000000000001pt;height:11.5pt;z-index:-125829342;mso-wrap-distance-left:0;mso-wrap-distance-top:4.pt;mso-wrap-distance-right:0;mso-wrap-distance-bottom:0.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主管会计工作的负责人：杨秋平</w:t>
                      </w:r>
                    </w:p>
                  </w:txbxContent>
                </v:textbox>
                <w10:wrap type="topAndBottom" anchorx="page"/>
              </v:shape>
            </w:pict>
          </mc:Fallback>
        </mc:AlternateContent>
      </w:r>
      <w:r>
        <mc:AlternateContent>
          <mc:Choice Requires="wps">
            <w:drawing>
              <wp:anchor distT="50800" distB="0" distL="0" distR="0" simplePos="0" relativeHeight="125829413" behindDoc="0" locked="0" layoutInCell="1" allowOverlap="1">
                <wp:simplePos x="0" y="0"/>
                <wp:positionH relativeFrom="page">
                  <wp:posOffset>5370830</wp:posOffset>
                </wp:positionH>
                <wp:positionV relativeFrom="paragraph">
                  <wp:posOffset>50800</wp:posOffset>
                </wp:positionV>
                <wp:extent cx="1289050" cy="152400"/>
                <wp:wrapTopAndBottom/>
                <wp:docPr id="370" name="Shape 370"/>
                <a:graphic xmlns:a="http://schemas.openxmlformats.org/drawingml/2006/main">
                  <a:graphicData uri="http://schemas.microsoft.com/office/word/2010/wordprocessingShape">
                    <wps:wsp>
                      <wps:cNvSpPr txBox="1"/>
                      <wps:spPr>
                        <a:xfrm>
                          <a:ext cx="1289050"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会计机构负责人：张典洪</w:t>
                            </w:r>
                          </w:p>
                        </w:txbxContent>
                      </wps:txbx>
                      <wps:bodyPr wrap="none" lIns="0" tIns="0" rIns="0" bIns="0">
                        <a:noAutoFit/>
                      </wps:bodyPr>
                    </wps:wsp>
                  </a:graphicData>
                </a:graphic>
              </wp:anchor>
            </w:drawing>
          </mc:Choice>
          <mc:Fallback>
            <w:pict>
              <v:shape id="_x0000_s1396" type="#_x0000_t202" style="position:absolute;margin-left:422.90000000000003pt;margin-top:4.pt;width:101.5pt;height:12.pt;z-index:-125829340;mso-wrap-distance-left:0;mso-wrap-distance-top:4.pt;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会计机构负责人：张典洪</w:t>
                      </w:r>
                    </w:p>
                  </w:txbxContent>
                </v:textbox>
                <w10:wrap type="topAndBottom" anchorx="page"/>
              </v:shape>
            </w:pict>
          </mc:Fallback>
        </mc:AlternateContent>
      </w:r>
    </w:p>
    <w:tbl>
      <w:tblPr>
        <w:tblOverlap w:val="never"/>
        <w:jc w:val="center"/>
        <w:tblLayout w:type="fixed"/>
      </w:tblPr>
      <w:tblGrid>
        <w:gridCol w:w="1795"/>
        <w:gridCol w:w="1056"/>
        <w:gridCol w:w="1152"/>
        <w:gridCol w:w="427"/>
        <w:gridCol w:w="403"/>
        <w:gridCol w:w="950"/>
        <w:gridCol w:w="518"/>
        <w:gridCol w:w="994"/>
        <w:gridCol w:w="307"/>
        <w:gridCol w:w="1042"/>
        <w:gridCol w:w="1133"/>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b/>
                <w:bCs/>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上年金额</w:t>
            </w:r>
          </w:p>
        </w:tc>
      </w:tr>
      <w:tr>
        <w:trPr>
          <w:trHeight w:val="36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股东权益合计</w:t>
            </w:r>
          </w:p>
        </w:tc>
      </w:tr>
      <w:tr>
        <w:trPr>
          <w:trHeight w:val="60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b/>
                <w:bCs/>
                <w:color w:val="000000"/>
                <w:spacing w:val="0"/>
                <w:w w:val="100"/>
                <w:position w:val="0"/>
                <w:sz w:val="15"/>
                <w:szCs w:val="15"/>
              </w:rPr>
              <w:t>减： 库存</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b/>
                <w:bCs/>
                <w:color w:val="000000"/>
                <w:spacing w:val="0"/>
                <w:w w:val="100"/>
                <w:position w:val="0"/>
                <w:sz w:val="15"/>
                <w:szCs w:val="15"/>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b/>
                <w:bCs/>
                <w:color w:val="000000"/>
                <w:spacing w:val="0"/>
                <w:w w:val="100"/>
                <w:position w:val="0"/>
                <w:sz w:val="15"/>
                <w:szCs w:val="15"/>
              </w:rPr>
              <w:t>专项 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b/>
                <w:bCs/>
                <w:color w:val="000000"/>
                <w:spacing w:val="0"/>
                <w:w w:val="100"/>
                <w:position w:val="0"/>
                <w:sz w:val="15"/>
                <w:szCs w:val="15"/>
              </w:rPr>
              <w:t>一般风 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未分配利润</w:t>
            </w:r>
          </w:p>
        </w:tc>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196,578,435.61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27,994,756.99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681,205,992.87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14,372,788.59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1,055,151,974.06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196,578,435.61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27,994,756.99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681,205,992.87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14,372,788.59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1,055,151,974.06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三、本年增减变动金额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611,532,027.88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162,383,694.86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33,759,621.68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976,832,138.02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141,275,120.01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896,811.24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142,171,931.25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141,275,120.01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896,811.24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142,171,931.25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（三）股东投入和减少资本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1,244,815,152.80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-9,315,365.66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1,397,441,110.14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、股东投入资本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1,242,573,773.14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1,404,515,096.14</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、股份支付计入股东权益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2,241,379.66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-9,315,365.66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-7,073,986.00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-633,283,124.92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41,824,045.45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42,178,176.10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-549,280,903.37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808,110,463.49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35210227.59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843,589,687.73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48,132,410.27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2,031,984,112.08</w:t>
            </w: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037" w:right="958" w:bottom="1615" w:left="94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86" w:after="86" w:line="240" w:lineRule="exact"/>
        <w:rPr>
          <w:sz w:val="19"/>
          <w:szCs w:val="19"/>
        </w:rPr>
      </w:pPr>
    </w:p>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192" w:right="959" w:bottom="1690" w:left="1001" w:header="0" w:footer="3" w:gutter="0"/>
          <w:cols w:space="720"/>
          <w:noEndnote/>
          <w:titlePg/>
          <w:rtlGutter w:val="0"/>
          <w:docGrid w:linePitch="360"/>
        </w:sectPr>
      </w:pPr>
    </w:p>
    <w:p>
      <w:pPr>
        <w:widowControl w:val="0"/>
        <w:spacing w:line="1" w:lineRule="exact"/>
      </w:pPr>
      <w:r>
        <mc:AlternateContent>
          <mc:Choice Requires="wps">
            <w:drawing>
              <wp:anchor distT="0" distB="266700" distL="0" distR="0" simplePos="0" relativeHeight="125829415" behindDoc="0" locked="0" layoutInCell="1" allowOverlap="1">
                <wp:simplePos x="0" y="0"/>
                <wp:positionH relativeFrom="page">
                  <wp:posOffset>3063240</wp:posOffset>
                </wp:positionH>
                <wp:positionV relativeFrom="paragraph">
                  <wp:posOffset>0</wp:posOffset>
                </wp:positionV>
                <wp:extent cx="1471930" cy="326390"/>
                <wp:wrapTopAndBottom/>
                <wp:docPr id="407" name="Shape 407"/>
                <a:graphic xmlns:a="http://schemas.openxmlformats.org/drawingml/2006/main">
                  <a:graphicData uri="http://schemas.microsoft.com/office/word/2010/wordprocessingShape">
                    <wps:wsp>
                      <wps:cNvSpPr txBox="1"/>
                      <wps:spPr>
                        <a:xfrm>
                          <a:ext cx="1471930" cy="326390"/>
                        </a:xfrm>
                        <a:prstGeom prst="rect"/>
                        <a:noFill/>
                      </wps:spPr>
                      <wps:txbx>
                        <w:txbxContent>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母公司股东权益变动表（一）</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wps:txbx>
                      <wps:bodyPr lIns="0" tIns="0" rIns="0" bIns="0">
                        <a:noAutoFit/>
                      </wps:bodyPr>
                    </wps:wsp>
                  </a:graphicData>
                </a:graphic>
              </wp:anchor>
            </w:drawing>
          </mc:Choice>
          <mc:Fallback>
            <w:pict>
              <v:shape id="_x0000_s1433" type="#_x0000_t202" style="position:absolute;margin-left:241.20000000000002pt;margin-top:0;width:115.90000000000001pt;height:25.699999999999999pt;z-index:-125829338;mso-wrap-distance-left:0;mso-wrap-distance-right:0;mso-wrap-distance-bottom:21.pt;mso-position-horizontal-relative:page" filled="f" stroked="f">
                <v:textbox inset="0,0,0,0">
                  <w:txbxContent>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母公司股东权益变动表（一）</w:t>
                      </w:r>
                    </w:p>
                    <w:p>
                      <w:pPr>
                        <w:pStyle w:val="Style7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xbxContent>
                </v:textbox>
                <w10:wrap type="topAndBottom" anchorx="page"/>
              </v:shape>
            </w:pict>
          </mc:Fallback>
        </mc:AlternateContent>
      </w:r>
    </w:p>
    <w:p>
      <w:pPr>
        <w:pStyle w:val="Style72"/>
        <w:keepNext w:val="0"/>
        <w:keepLines w:val="0"/>
        <w:widowControl w:val="0"/>
        <w:shd w:val="clear" w:color="auto" w:fill="auto"/>
        <w:bidi w:val="0"/>
        <w:spacing w:before="0" w:after="40" w:line="240" w:lineRule="auto"/>
        <w:ind w:left="0" w:right="0" w:firstLine="220"/>
        <w:jc w:val="left"/>
      </w:pPr>
      <w:r>
        <mc:AlternateContent>
          <mc:Choice Requires="wps">
            <w:drawing>
              <wp:anchor distT="0" distB="0" distL="114300" distR="114300" simplePos="0" relativeHeight="125829417" behindDoc="0" locked="0" layoutInCell="1" allowOverlap="1">
                <wp:simplePos x="0" y="0"/>
                <wp:positionH relativeFrom="page">
                  <wp:posOffset>5495290</wp:posOffset>
                </wp:positionH>
                <wp:positionV relativeFrom="paragraph">
                  <wp:posOffset>12700</wp:posOffset>
                </wp:positionV>
                <wp:extent cx="1289050" cy="152400"/>
                <wp:wrapSquare wrapText="left"/>
                <wp:docPr id="409" name="Shape 409"/>
                <a:graphic xmlns:a="http://schemas.openxmlformats.org/drawingml/2006/main">
                  <a:graphicData uri="http://schemas.microsoft.com/office/word/2010/wordprocessingShape">
                    <wps:wsp>
                      <wps:cNvSpPr txBox="1"/>
                      <wps:spPr>
                        <a:xfrm>
                          <a:ext cx="1289050"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435" type="#_x0000_t202" style="position:absolute;margin-left:432.69999999999999pt;margin-top:1.pt;width:101.5pt;height:12.pt;z-index:-125829336;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编制单位：同方国芯电子股份有限公司</w:t>
      </w:r>
    </w:p>
    <w:tbl>
      <w:tblPr>
        <w:tblOverlap w:val="never"/>
        <w:jc w:val="center"/>
        <w:tblLayout w:type="fixed"/>
      </w:tblPr>
      <w:tblGrid>
        <w:gridCol w:w="2885"/>
        <w:gridCol w:w="1051"/>
        <w:gridCol w:w="1162"/>
        <w:gridCol w:w="466"/>
        <w:gridCol w:w="451"/>
        <w:gridCol w:w="979"/>
        <w:gridCol w:w="456"/>
        <w:gridCol w:w="1051"/>
        <w:gridCol w:w="1176"/>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本期金额</w:t>
            </w:r>
          </w:p>
        </w:tc>
      </w:tr>
      <w:tr>
        <w:trPr>
          <w:trHeight w:val="60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b/>
                <w:bCs/>
                <w:color w:val="000000"/>
                <w:spacing w:val="0"/>
                <w:w w:val="100"/>
                <w:position w:val="0"/>
                <w:sz w:val="15"/>
                <w:szCs w:val="15"/>
              </w:rPr>
              <w:t>减： 库存</w:t>
            </w:r>
          </w:p>
          <w:p>
            <w:pPr>
              <w:pStyle w:val="Style2"/>
              <w:keepNext w:val="0"/>
              <w:keepLines w:val="0"/>
              <w:widowControl w:val="0"/>
              <w:shd w:val="clear" w:color="auto" w:fill="auto"/>
              <w:bidi w:val="0"/>
              <w:spacing w:before="0" w:after="0" w:line="192" w:lineRule="exact"/>
              <w:ind w:left="0" w:right="0" w:firstLine="0"/>
              <w:jc w:val="center"/>
              <w:rPr>
                <w:sz w:val="15"/>
                <w:szCs w:val="15"/>
              </w:rPr>
            </w:pPr>
            <w:r>
              <w:rPr>
                <w:b/>
                <w:bCs/>
                <w:color w:val="000000"/>
                <w:spacing w:val="0"/>
                <w:w w:val="100"/>
                <w:position w:val="0"/>
                <w:sz w:val="15"/>
                <w:szCs w:val="15"/>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b/>
                <w:bCs/>
                <w:color w:val="000000"/>
                <w:spacing w:val="0"/>
                <w:w w:val="100"/>
                <w:position w:val="0"/>
                <w:sz w:val="15"/>
                <w:szCs w:val="15"/>
              </w:rPr>
              <w:t>专项 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0"/>
              <w:jc w:val="left"/>
              <w:rPr>
                <w:sz w:val="15"/>
                <w:szCs w:val="15"/>
              </w:rPr>
            </w:pPr>
            <w:r>
              <w:rPr>
                <w:b/>
                <w:bCs/>
                <w:color w:val="000000"/>
                <w:spacing w:val="0"/>
                <w:w w:val="100"/>
                <w:position w:val="0"/>
                <w:sz w:val="15"/>
                <w:szCs w:val="15"/>
              </w:rPr>
              <w:t>一般 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股东权益合计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1,404,752,208.75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32,883252.72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160,643281.24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1,895,220,065.71</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1,404,752,208.75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32,883252.72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160,643281.24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1,895,220,065.71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三、本年增减变动金额（减少以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117,700,858.10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25,375,578.03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155,662,953.83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61,188,567.03</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（三）股东投入和减少资本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117,700,858.10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124,168,519.10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、股东投入资本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6,467,661.00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117,700,858.10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124,168,519.10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-35,812,989.00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-6,118,856.70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-29,694,132.30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303,408,984.00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1,522,453,066.85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39,002,109.42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186,018,859.27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2,050,883,019.54</w:t>
            </w:r>
          </w:p>
        </w:tc>
      </w:tr>
    </w:tbl>
    <w:p>
      <w:pPr>
        <w:spacing w:lineRule="exact" w:line="1"/>
        <w:rPr>
          <w:sz w:val="2"/>
          <w:szCs w:val="2"/>
        </w:rPr>
      </w:pPr>
      <w:r>
        <w:br w:type="page"/>
      </w:r>
    </w:p>
    <w:p>
      <w:pPr>
        <w:pStyle w:val="Style7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母公司股东权益变动表（二）</w:t>
      </w:r>
    </w:p>
    <w:p>
      <w:pPr>
        <w:pStyle w:val="Style74"/>
        <w:keepNext w:val="0"/>
        <w:keepLines w:val="0"/>
        <w:widowControl w:val="0"/>
        <w:shd w:val="clear" w:color="auto" w:fill="auto"/>
        <w:bidi w:val="0"/>
        <w:spacing w:before="0" w:after="56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p>
      <w:pPr>
        <w:pStyle w:val="Style72"/>
        <w:keepNext w:val="0"/>
        <w:keepLines w:val="0"/>
        <w:widowControl w:val="0"/>
        <w:shd w:val="clear" w:color="auto" w:fill="auto"/>
        <w:tabs>
          <w:tab w:pos="7541" w:val="left"/>
        </w:tabs>
        <w:bidi w:val="0"/>
        <w:spacing w:before="0" w:after="60" w:line="240" w:lineRule="auto"/>
        <w:ind w:left="0" w:right="0" w:firstLine="0"/>
        <w:jc w:val="center"/>
      </w:pPr>
      <w:r>
        <w:rPr>
          <w:color w:val="000000"/>
          <w:spacing w:val="0"/>
          <w:w w:val="100"/>
          <w:position w:val="0"/>
        </w:rPr>
        <w:t>编制单位：同方国芯电子股份有限公司</w:t>
        <w:tab/>
        <w:t>单位：元币种：人民币</w:t>
      </w:r>
    </w:p>
    <w:tbl>
      <w:tblPr>
        <w:tblOverlap w:val="never"/>
        <w:jc w:val="center"/>
        <w:tblLayout w:type="fixed"/>
      </w:tblPr>
      <w:tblGrid>
        <w:gridCol w:w="2899"/>
        <w:gridCol w:w="1051"/>
        <w:gridCol w:w="1339"/>
        <w:gridCol w:w="360"/>
        <w:gridCol w:w="360"/>
        <w:gridCol w:w="1042"/>
        <w:gridCol w:w="509"/>
        <w:gridCol w:w="1075"/>
        <w:gridCol w:w="1166"/>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上年金额</w:t>
            </w: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5" w:lineRule="exact"/>
              <w:ind w:left="0" w:right="0" w:firstLine="0"/>
              <w:jc w:val="left"/>
              <w:rPr>
                <w:sz w:val="15"/>
                <w:szCs w:val="15"/>
              </w:rPr>
            </w:pPr>
            <w:r>
              <w:rPr>
                <w:b/>
                <w:bCs/>
                <w:color w:val="000000"/>
                <w:spacing w:val="0"/>
                <w:w w:val="100"/>
                <w:position w:val="0"/>
                <w:sz w:val="15"/>
                <w:szCs w:val="15"/>
              </w:rPr>
              <w:t>减： 库 存 股</w:t>
            </w:r>
          </w:p>
        </w:tc>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4" w:lineRule="exact"/>
              <w:ind w:left="0" w:right="0" w:firstLine="0"/>
              <w:jc w:val="left"/>
              <w:rPr>
                <w:sz w:val="15"/>
                <w:szCs w:val="15"/>
              </w:rPr>
            </w:pPr>
            <w:r>
              <w:rPr>
                <w:b/>
                <w:bCs/>
                <w:color w:val="000000"/>
                <w:spacing w:val="0"/>
                <w:w w:val="100"/>
                <w:position w:val="0"/>
                <w:sz w:val="15"/>
                <w:szCs w:val="15"/>
              </w:rPr>
              <w:t>一般 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股东权益合计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162,178,435.61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25,667,782.12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109,204,045.88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432,050,263.61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162,178,435.61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25,667,782.12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109,204,045.88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432,050,263.61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三、本年增减变动金额（减少以，，-，，号填列）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1,242,573,773.14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51,439235.36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1,463,169,802.10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72,154,705.96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72,154,705.96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（三）股东投入和减少资本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1,242,573,773.14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1,404,515,096.14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、股东投入资本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161,941,323.00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1,242,573,773.14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1,404,515,096.14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-20,715,470.60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-13,500,000.00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-7,215,470.60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-13,500,000.00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296,941,323.00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1,404,752208.75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32,883,252.72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160,643,281.24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1,895,220,065.71</w:t>
            </w:r>
          </w:p>
        </w:tc>
      </w:tr>
    </w:tbl>
    <w:p>
      <w:pPr>
        <w:sectPr>
          <w:footnotePr>
            <w:pos w:val="pageBottom"/>
            <w:numFmt w:val="decimal"/>
            <w:numRestart w:val="continuous"/>
          </w:footnotePr>
          <w:type w:val="continuous"/>
          <w:pgSz w:w="11900" w:h="16840"/>
          <w:pgMar w:top="1192" w:right="959" w:bottom="1690" w:left="1001" w:header="0" w:footer="3" w:gutter="0"/>
          <w:cols w:space="720"/>
          <w:noEndnote/>
          <w:rtlGutter w:val="0"/>
          <w:docGrid w:linePitch="360"/>
        </w:sectPr>
      </w:pPr>
    </w:p>
    <w:p>
      <w:pPr>
        <w:pStyle w:val="Style23"/>
        <w:keepNext/>
        <w:keepLines/>
        <w:widowControl w:val="0"/>
        <w:shd w:val="clear" w:color="auto" w:fill="auto"/>
        <w:bidi w:val="0"/>
        <w:spacing w:before="0" w:after="280" w:line="240" w:lineRule="auto"/>
        <w:ind w:left="0" w:right="0" w:firstLine="0"/>
        <w:jc w:val="both"/>
      </w:pPr>
      <w:bookmarkStart w:id="465" w:name="bookmark465"/>
      <w:bookmarkStart w:id="466" w:name="bookmark466"/>
      <w:bookmarkStart w:id="467" w:name="bookmark467"/>
      <w:r>
        <w:rPr>
          <w:color w:val="000000"/>
          <w:spacing w:val="0"/>
          <w:w w:val="100"/>
          <w:position w:val="0"/>
        </w:rPr>
        <w:t>三、公司基本情况</w:t>
      </w:r>
      <w:bookmarkEnd w:id="465"/>
      <w:bookmarkEnd w:id="466"/>
      <w:bookmarkEnd w:id="467"/>
    </w:p>
    <w:p>
      <w:pPr>
        <w:pStyle w:val="Style35"/>
        <w:keepNext w:val="0"/>
        <w:keepLines w:val="0"/>
        <w:widowControl w:val="0"/>
        <w:shd w:val="clear" w:color="auto" w:fill="auto"/>
        <w:bidi w:val="0"/>
        <w:spacing w:before="0" w:after="280" w:line="310" w:lineRule="exact"/>
        <w:ind w:left="0" w:right="0" w:firstLine="440"/>
        <w:jc w:val="both"/>
        <w:rPr>
          <w:sz w:val="20"/>
          <w:szCs w:val="20"/>
        </w:rPr>
      </w:pPr>
      <w:r>
        <w:rPr>
          <w:color w:val="000000"/>
          <w:spacing w:val="0"/>
          <w:w w:val="100"/>
          <w:position w:val="0"/>
          <w:sz w:val="20"/>
          <w:szCs w:val="20"/>
        </w:rPr>
        <w:t>同方国芯电子股份有限公司（以下简称“本公司”或“公司”</w:t>
      </w:r>
      <w:r>
        <w:rPr>
          <w:color w:val="000000"/>
          <w:spacing w:val="0"/>
          <w:w w:val="100"/>
          <w:position w:val="0"/>
          <w:sz w:val="20"/>
          <w:szCs w:val="20"/>
        </w:rPr>
        <w:t>）</w:t>
      </w:r>
      <w:r>
        <w:rPr>
          <w:color w:val="000000"/>
          <w:spacing w:val="0"/>
          <w:w w:val="100"/>
          <w:position w:val="0"/>
          <w:sz w:val="20"/>
          <w:szCs w:val="20"/>
        </w:rPr>
        <w:t>系</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日经河北省人民政府 以冀股办</w:t>
      </w:r>
      <w:r>
        <w:rPr>
          <w:rFonts w:ascii="Times New Roman" w:eastAsia="Times New Roman" w:hAnsi="Times New Roman" w:cs="Times New Roman"/>
          <w:color w:val="000000"/>
          <w:spacing w:val="0"/>
          <w:w w:val="100"/>
          <w:position w:val="0"/>
          <w:sz w:val="20"/>
          <w:szCs w:val="20"/>
        </w:rPr>
        <w:t>（2001）88</w:t>
      </w:r>
      <w:r>
        <w:rPr>
          <w:color w:val="000000"/>
          <w:spacing w:val="0"/>
          <w:w w:val="100"/>
          <w:position w:val="0"/>
          <w:sz w:val="20"/>
          <w:szCs w:val="20"/>
        </w:rPr>
        <w:t>号文批准，由唐山晶源裕丰电子有限公司整体变更而成的股份有限公司。整体变更时， 股本总额为</w:t>
      </w:r>
      <w:r>
        <w:rPr>
          <w:rFonts w:ascii="Times New Roman" w:eastAsia="Times New Roman" w:hAnsi="Times New Roman" w:cs="Times New Roman"/>
          <w:color w:val="000000"/>
          <w:spacing w:val="0"/>
          <w:w w:val="100"/>
          <w:position w:val="0"/>
          <w:sz w:val="20"/>
          <w:szCs w:val="20"/>
        </w:rPr>
        <w:t>50,500,000</w:t>
      </w:r>
      <w:r>
        <w:rPr>
          <w:color w:val="000000"/>
          <w:spacing w:val="0"/>
          <w:w w:val="100"/>
          <w:position w:val="0"/>
          <w:sz w:val="20"/>
          <w:szCs w:val="20"/>
        </w:rPr>
        <w:t>股，其中唐山晶源科技有限公司持有</w:t>
      </w:r>
      <w:r>
        <w:rPr>
          <w:rFonts w:ascii="Times New Roman" w:eastAsia="Times New Roman" w:hAnsi="Times New Roman" w:cs="Times New Roman"/>
          <w:color w:val="000000"/>
          <w:spacing w:val="0"/>
          <w:w w:val="100"/>
          <w:position w:val="0"/>
          <w:sz w:val="20"/>
          <w:szCs w:val="20"/>
        </w:rPr>
        <w:t>38,425,450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76.09%</w:t>
      </w:r>
      <w:r>
        <w:rPr>
          <w:color w:val="000000"/>
          <w:spacing w:val="0"/>
          <w:w w:val="100"/>
          <w:position w:val="0"/>
          <w:sz w:val="20"/>
          <w:szCs w:val="20"/>
        </w:rPr>
        <w:t xml:space="preserve">；陈继红等 </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位自然人持有</w:t>
      </w:r>
      <w:r>
        <w:rPr>
          <w:rFonts w:ascii="Times New Roman" w:eastAsia="Times New Roman" w:hAnsi="Times New Roman" w:cs="Times New Roman"/>
          <w:color w:val="000000"/>
          <w:spacing w:val="0"/>
          <w:w w:val="100"/>
          <w:position w:val="0"/>
          <w:sz w:val="20"/>
          <w:szCs w:val="20"/>
        </w:rPr>
        <w:t>12,074,550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23.91%</w:t>
      </w:r>
      <w:r>
        <w:rPr>
          <w:color w:val="000000"/>
          <w:spacing w:val="0"/>
          <w:w w:val="100"/>
          <w:position w:val="0"/>
          <w:sz w:val="20"/>
          <w:szCs w:val="20"/>
        </w:rPr>
        <w:t>。</w:t>
      </w:r>
    </w:p>
    <w:p>
      <w:pPr>
        <w:pStyle w:val="Style35"/>
        <w:keepNext w:val="0"/>
        <w:keepLines w:val="0"/>
        <w:widowControl w:val="0"/>
        <w:shd w:val="clear" w:color="auto" w:fill="auto"/>
        <w:bidi w:val="0"/>
        <w:spacing w:before="0" w:after="28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月，经中国证券监督管理委员会《关于核准唐山晶源裕丰电子股份有限公司公开发行股票的 通知》（证监发行字</w:t>
      </w:r>
      <w:r>
        <w:rPr>
          <w:rFonts w:ascii="Times New Roman" w:eastAsia="Times New Roman" w:hAnsi="Times New Roman" w:cs="Times New Roman"/>
          <w:color w:val="000000"/>
          <w:spacing w:val="0"/>
          <w:w w:val="100"/>
          <w:position w:val="0"/>
          <w:sz w:val="20"/>
          <w:szCs w:val="20"/>
        </w:rPr>
        <w:t>[2005]18</w:t>
      </w:r>
      <w:r>
        <w:rPr>
          <w:color w:val="000000"/>
          <w:spacing w:val="0"/>
          <w:w w:val="100"/>
          <w:position w:val="0"/>
          <w:sz w:val="20"/>
          <w:szCs w:val="20"/>
        </w:rPr>
        <w:t>号）核准，本公司首次向社会公开发行人民币普通股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）25,000,000</w:t>
      </w:r>
      <w:r>
        <w:rPr>
          <w:color w:val="000000"/>
          <w:spacing w:val="0"/>
          <w:w w:val="100"/>
          <w:position w:val="0"/>
          <w:sz w:val="20"/>
          <w:szCs w:val="20"/>
        </w:rPr>
        <w:t>股，并 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日在深圳证券交易所正式挂牌上市。发行股票后，本公司总股本变更为</w:t>
      </w:r>
      <w:r>
        <w:rPr>
          <w:rFonts w:ascii="Times New Roman" w:eastAsia="Times New Roman" w:hAnsi="Times New Roman" w:cs="Times New Roman"/>
          <w:color w:val="000000"/>
          <w:spacing w:val="0"/>
          <w:w w:val="100"/>
          <w:position w:val="0"/>
          <w:sz w:val="20"/>
          <w:szCs w:val="20"/>
        </w:rPr>
        <w:t>75,500,000</w:t>
      </w:r>
      <w:r>
        <w:rPr>
          <w:color w:val="000000"/>
          <w:spacing w:val="0"/>
          <w:w w:val="100"/>
          <w:position w:val="0"/>
          <w:sz w:val="20"/>
          <w:szCs w:val="20"/>
        </w:rPr>
        <w:t>股。</w:t>
      </w:r>
    </w:p>
    <w:p>
      <w:pPr>
        <w:pStyle w:val="Style35"/>
        <w:keepNext w:val="0"/>
        <w:keepLines w:val="0"/>
        <w:widowControl w:val="0"/>
        <w:shd w:val="clear" w:color="auto" w:fill="auto"/>
        <w:bidi w:val="0"/>
        <w:spacing w:before="0" w:after="28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月，经中国证券监督管理委员会《关于核准唐山晶源裕丰电子股份有限公司非公开发行股票 的通知》（证监发行字</w:t>
      </w:r>
      <w:r>
        <w:rPr>
          <w:rFonts w:ascii="Times New Roman" w:eastAsia="Times New Roman" w:hAnsi="Times New Roman" w:cs="Times New Roman"/>
          <w:color w:val="000000"/>
          <w:spacing w:val="0"/>
          <w:w w:val="100"/>
          <w:position w:val="0"/>
          <w:sz w:val="20"/>
          <w:szCs w:val="20"/>
        </w:rPr>
        <w:t>[2007]36</w:t>
      </w:r>
      <w:r>
        <w:rPr>
          <w:color w:val="000000"/>
          <w:spacing w:val="0"/>
          <w:w w:val="100"/>
          <w:position w:val="0"/>
          <w:sz w:val="20"/>
          <w:szCs w:val="20"/>
        </w:rPr>
        <w:t>号）核准，本公司非公开发行人民币普通股</w:t>
      </w:r>
      <w:r>
        <w:rPr>
          <w:rFonts w:ascii="Times New Roman" w:eastAsia="Times New Roman" w:hAnsi="Times New Roman" w:cs="Times New Roman"/>
          <w:color w:val="000000"/>
          <w:spacing w:val="0"/>
          <w:w w:val="100"/>
          <w:position w:val="0"/>
          <w:sz w:val="20"/>
          <w:szCs w:val="20"/>
        </w:rPr>
        <w:t>14,500,000</w:t>
      </w:r>
      <w:r>
        <w:rPr>
          <w:color w:val="000000"/>
          <w:spacing w:val="0"/>
          <w:w w:val="100"/>
          <w:position w:val="0"/>
          <w:sz w:val="20"/>
          <w:szCs w:val="20"/>
        </w:rPr>
        <w:t>股。本次非公开发 行后，本公司总股本变更为</w:t>
      </w:r>
      <w:r>
        <w:rPr>
          <w:rFonts w:ascii="Times New Roman" w:eastAsia="Times New Roman" w:hAnsi="Times New Roman" w:cs="Times New Roman"/>
          <w:color w:val="000000"/>
          <w:spacing w:val="0"/>
          <w:w w:val="100"/>
          <w:position w:val="0"/>
          <w:sz w:val="20"/>
          <w:szCs w:val="20"/>
        </w:rPr>
        <w:t>90,000,000</w:t>
      </w:r>
      <w:r>
        <w:rPr>
          <w:color w:val="000000"/>
          <w:spacing w:val="0"/>
          <w:w w:val="100"/>
          <w:position w:val="0"/>
          <w:sz w:val="20"/>
          <w:szCs w:val="20"/>
        </w:rPr>
        <w:t>股。</w:t>
      </w:r>
    </w:p>
    <w:p>
      <w:pPr>
        <w:pStyle w:val="Style35"/>
        <w:keepNext w:val="0"/>
        <w:keepLines w:val="0"/>
        <w:widowControl w:val="0"/>
        <w:shd w:val="clear" w:color="auto" w:fill="auto"/>
        <w:bidi w:val="0"/>
        <w:spacing w:before="0" w:after="280" w:line="315"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日，根据</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年第三次临时股东大会决议和修改后的公司章程规定，公司按每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 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股的比例，以资本公积向全体股东转增人民币普通股</w:t>
      </w:r>
      <w:r>
        <w:rPr>
          <w:rFonts w:ascii="Times New Roman" w:eastAsia="Times New Roman" w:hAnsi="Times New Roman" w:cs="Times New Roman"/>
          <w:color w:val="000000"/>
          <w:spacing w:val="0"/>
          <w:w w:val="100"/>
          <w:position w:val="0"/>
          <w:sz w:val="20"/>
          <w:szCs w:val="20"/>
        </w:rPr>
        <w:t>45,000,000</w:t>
      </w:r>
      <w:r>
        <w:rPr>
          <w:color w:val="000000"/>
          <w:spacing w:val="0"/>
          <w:w w:val="100"/>
          <w:position w:val="0"/>
          <w:sz w:val="20"/>
          <w:szCs w:val="20"/>
        </w:rPr>
        <w:t xml:space="preserve">股，转增后本公司总股本变更为 </w:t>
      </w:r>
      <w:r>
        <w:rPr>
          <w:rFonts w:ascii="Times New Roman" w:eastAsia="Times New Roman" w:hAnsi="Times New Roman" w:cs="Times New Roman"/>
          <w:color w:val="000000"/>
          <w:spacing w:val="0"/>
          <w:w w:val="100"/>
          <w:position w:val="0"/>
          <w:sz w:val="20"/>
          <w:szCs w:val="20"/>
        </w:rPr>
        <w:t>135,000,000</w:t>
      </w:r>
      <w:r>
        <w:rPr>
          <w:color w:val="000000"/>
          <w:spacing w:val="0"/>
          <w:w w:val="100"/>
          <w:position w:val="0"/>
          <w:sz w:val="20"/>
          <w:szCs w:val="20"/>
        </w:rPr>
        <w:t>股。本次变更业经唐山正大会计师事务所有限责任公司以唐正大会验变字</w:t>
      </w:r>
      <w:r>
        <w:rPr>
          <w:rFonts w:ascii="Times New Roman" w:eastAsia="Times New Roman" w:hAnsi="Times New Roman" w:cs="Times New Roman"/>
          <w:color w:val="000000"/>
          <w:spacing w:val="0"/>
          <w:w w:val="100"/>
          <w:position w:val="0"/>
          <w:sz w:val="20"/>
          <w:szCs w:val="20"/>
        </w:rPr>
        <w:t>[2008]29</w:t>
      </w:r>
      <w:r>
        <w:rPr>
          <w:color w:val="000000"/>
          <w:spacing w:val="0"/>
          <w:w w:val="100"/>
          <w:position w:val="0"/>
          <w:sz w:val="20"/>
          <w:szCs w:val="20"/>
        </w:rPr>
        <w:t>号验资报告 验证确认。</w:t>
      </w:r>
    </w:p>
    <w:p>
      <w:pPr>
        <w:pStyle w:val="Style35"/>
        <w:keepNext w:val="0"/>
        <w:keepLines w:val="0"/>
        <w:widowControl w:val="0"/>
        <w:shd w:val="clear" w:color="auto" w:fill="auto"/>
        <w:bidi w:val="0"/>
        <w:spacing w:before="0" w:after="28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日，公司原控股股东唐山晶源科技有限公司（以下简称“晶源科技”）与同方股份有限 公司（以下简称“同方股份”）签订了《同方股份有限公司与唐山晶源科技有限公司之发行股份购买资产 协议》。</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日，同方股份受让晶源科技持有的本公司</w:t>
      </w:r>
      <w:r>
        <w:rPr>
          <w:rFonts w:ascii="Times New Roman" w:eastAsia="Times New Roman" w:hAnsi="Times New Roman" w:cs="Times New Roman"/>
          <w:color w:val="000000"/>
          <w:spacing w:val="0"/>
          <w:w w:val="100"/>
          <w:position w:val="0"/>
          <w:sz w:val="20"/>
          <w:szCs w:val="20"/>
        </w:rPr>
        <w:t>3,375</w:t>
      </w:r>
      <w:r>
        <w:rPr>
          <w:color w:val="000000"/>
          <w:spacing w:val="0"/>
          <w:w w:val="100"/>
          <w:position w:val="0"/>
          <w:sz w:val="20"/>
          <w:szCs w:val="20"/>
        </w:rPr>
        <w:t>万股股份，在中国证券登记结算有 限责任公司深圳分公司办理完毕过户登记手续。至此，同方股份持有本公司</w:t>
      </w:r>
      <w:r>
        <w:rPr>
          <w:rFonts w:ascii="Times New Roman" w:eastAsia="Times New Roman" w:hAnsi="Times New Roman" w:cs="Times New Roman"/>
          <w:color w:val="000000"/>
          <w:spacing w:val="0"/>
          <w:w w:val="100"/>
          <w:position w:val="0"/>
          <w:sz w:val="20"/>
          <w:szCs w:val="20"/>
        </w:rPr>
        <w:t>3,375</w:t>
      </w:r>
      <w:r>
        <w:rPr>
          <w:color w:val="000000"/>
          <w:spacing w:val="0"/>
          <w:w w:val="100"/>
          <w:position w:val="0"/>
          <w:sz w:val="20"/>
          <w:szCs w:val="20"/>
        </w:rPr>
        <w:t xml:space="preserve">万股，占公司总股本的 </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，成为公司第一大股东。</w:t>
      </w:r>
    </w:p>
    <w:p>
      <w:pPr>
        <w:pStyle w:val="Style35"/>
        <w:keepNext w:val="0"/>
        <w:keepLines w:val="0"/>
        <w:widowControl w:val="0"/>
        <w:shd w:val="clear" w:color="auto" w:fill="auto"/>
        <w:bidi w:val="0"/>
        <w:spacing w:before="0" w:after="28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日，晶源科技股东会决议注销解散。</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日，晶源科技在玉田县工商行政 管理局办理了注销手续，其所持有的本公司股份由其股东阎永江先生、孟令富先生、毕立新女士参照晶源 科技出资比例进行了分配。</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日，晶源科技各股东在中国证券登记结算公司深圳分公司办理 完毕上述股份的过户登记手续。</w:t>
      </w:r>
    </w:p>
    <w:p>
      <w:pPr>
        <w:pStyle w:val="Style35"/>
        <w:keepNext w:val="0"/>
        <w:keepLines w:val="0"/>
        <w:widowControl w:val="0"/>
        <w:shd w:val="clear" w:color="auto" w:fill="auto"/>
        <w:bidi w:val="0"/>
        <w:spacing w:before="0" w:after="280" w:line="31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日，中国证券监督管理委员会《关于核准唐山晶源裕丰电子股份有限公司向同方股份 有限公司等发行股份购买资产的批复》（证监许可</w:t>
      </w:r>
      <w:r>
        <w:rPr>
          <w:rFonts w:ascii="Times New Roman" w:eastAsia="Times New Roman" w:hAnsi="Times New Roman" w:cs="Times New Roman"/>
          <w:color w:val="000000"/>
          <w:spacing w:val="0"/>
          <w:w w:val="100"/>
          <w:position w:val="0"/>
          <w:sz w:val="20"/>
          <w:szCs w:val="20"/>
        </w:rPr>
        <w:t>[2012]340</w:t>
      </w:r>
      <w:r>
        <w:rPr>
          <w:color w:val="000000"/>
          <w:spacing w:val="0"/>
          <w:w w:val="100"/>
          <w:position w:val="0"/>
          <w:sz w:val="20"/>
          <w:szCs w:val="20"/>
        </w:rPr>
        <w:t>号）核准了公司向同方股份、北京清晶微科技 有限公司及赵维健等八位自然人非公开发行股份购买北京同方微电子有限公司（以下简称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同方微电子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日，本次发行的</w:t>
      </w:r>
      <w:r>
        <w:rPr>
          <w:rFonts w:ascii="Times New Roman" w:eastAsia="Times New Roman" w:hAnsi="Times New Roman" w:cs="Times New Roman"/>
          <w:color w:val="000000"/>
          <w:spacing w:val="0"/>
          <w:w w:val="100"/>
          <w:position w:val="0"/>
          <w:sz w:val="20"/>
          <w:szCs w:val="20"/>
        </w:rPr>
        <w:t>106,753,049</w:t>
      </w:r>
      <w:r>
        <w:rPr>
          <w:color w:val="000000"/>
          <w:spacing w:val="0"/>
          <w:w w:val="100"/>
          <w:position w:val="0"/>
          <w:sz w:val="20"/>
          <w:szCs w:val="20"/>
        </w:rPr>
        <w:t>股股份上市，公司总股本变更为</w:t>
      </w:r>
      <w:r>
        <w:rPr>
          <w:rFonts w:ascii="Times New Roman" w:eastAsia="Times New Roman" w:hAnsi="Times New Roman" w:cs="Times New Roman"/>
          <w:color w:val="000000"/>
          <w:spacing w:val="0"/>
          <w:w w:val="100"/>
          <w:position w:val="0"/>
          <w:sz w:val="20"/>
          <w:szCs w:val="20"/>
        </w:rPr>
        <w:t>241,753,049</w:t>
      </w:r>
      <w:r>
        <w:rPr>
          <w:color w:val="000000"/>
          <w:spacing w:val="0"/>
          <w:w w:val="100"/>
          <w:position w:val="0"/>
          <w:sz w:val="20"/>
          <w:szCs w:val="20"/>
        </w:rPr>
        <w:t>股。</w:t>
      </w:r>
    </w:p>
    <w:p>
      <w:pPr>
        <w:pStyle w:val="Style35"/>
        <w:keepNext w:val="0"/>
        <w:keepLines w:val="0"/>
        <w:widowControl w:val="0"/>
        <w:shd w:val="clear" w:color="auto" w:fill="auto"/>
        <w:bidi w:val="0"/>
        <w:spacing w:before="0" w:after="28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日，公司召开</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次临时股东大会，同意公司名称由</w:t>
      </w:r>
      <w:r>
        <w:rPr>
          <w:color w:val="000000"/>
          <w:spacing w:val="0"/>
          <w:w w:val="100"/>
          <w:position w:val="0"/>
          <w:sz w:val="20"/>
          <w:szCs w:val="20"/>
        </w:rPr>
        <w:t>"</w:t>
      </w:r>
      <w:r>
        <w:rPr>
          <w:color w:val="000000"/>
          <w:spacing w:val="0"/>
          <w:w w:val="100"/>
          <w:position w:val="0"/>
          <w:sz w:val="20"/>
          <w:szCs w:val="20"/>
        </w:rPr>
        <w:t>唐山晶源裕丰电子股份 有限公司”变更为“同方国芯电子股份有限公司”。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日，公司完成了工商变更登记事项。</w:t>
      </w:r>
    </w:p>
    <w:p>
      <w:pPr>
        <w:pStyle w:val="Style35"/>
        <w:keepNext w:val="0"/>
        <w:keepLines w:val="0"/>
        <w:widowControl w:val="0"/>
        <w:shd w:val="clear" w:color="auto" w:fill="auto"/>
        <w:bidi w:val="0"/>
        <w:spacing w:before="0" w:after="280" w:line="32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日，中国证券监督管理委员会《关于核准同方国芯电子股份有限公司向深圳市国微投 资有限公司等发行股份购买资产并募集配套资金的批复》（证监许可</w:t>
      </w:r>
      <w:r>
        <w:rPr>
          <w:rFonts w:ascii="Times New Roman" w:eastAsia="Times New Roman" w:hAnsi="Times New Roman" w:cs="Times New Roman"/>
          <w:color w:val="000000"/>
          <w:spacing w:val="0"/>
          <w:w w:val="100"/>
          <w:position w:val="0"/>
          <w:sz w:val="20"/>
          <w:szCs w:val="20"/>
        </w:rPr>
        <w:t>[2012]1726</w:t>
      </w:r>
      <w:r>
        <w:rPr>
          <w:color w:val="000000"/>
          <w:spacing w:val="0"/>
          <w:w w:val="100"/>
          <w:position w:val="0"/>
          <w:sz w:val="20"/>
          <w:szCs w:val="20"/>
        </w:rPr>
        <w:t xml:space="preserve">号）核准了公司向深圳市 国微投资有限公司、深圳市天惠人投资有限公司、深圳市弘久投资有限公司、深圳市鼎仁投资有限公司、 </w:t>
      </w:r>
      <w:r>
        <w:rPr>
          <w:color w:val="000000"/>
          <w:spacing w:val="0"/>
          <w:w w:val="100"/>
          <w:position w:val="0"/>
          <w:sz w:val="20"/>
          <w:szCs w:val="20"/>
        </w:rPr>
        <w:t>韩雷、袁佩良发行股份购买深圳市国微电子股份有限公司（以下简称“国微电子”）</w:t>
      </w:r>
      <w:r>
        <w:rPr>
          <w:rFonts w:ascii="Times New Roman" w:eastAsia="Times New Roman" w:hAnsi="Times New Roman" w:cs="Times New Roman"/>
          <w:color w:val="000000"/>
          <w:spacing w:val="0"/>
          <w:w w:val="100"/>
          <w:position w:val="0"/>
          <w:sz w:val="20"/>
          <w:szCs w:val="20"/>
        </w:rPr>
        <w:t>96.4878%</w:t>
      </w:r>
      <w:r>
        <w:rPr>
          <w:color w:val="000000"/>
          <w:spacing w:val="0"/>
          <w:w w:val="100"/>
          <w:position w:val="0"/>
          <w:sz w:val="20"/>
          <w:szCs w:val="20"/>
        </w:rPr>
        <w:t>股权并募集 配套资金。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日，本次发行股份购买资产所发行的</w:t>
      </w:r>
      <w:r>
        <w:rPr>
          <w:rFonts w:ascii="Times New Roman" w:eastAsia="Times New Roman" w:hAnsi="Times New Roman" w:cs="Times New Roman"/>
          <w:color w:val="000000"/>
          <w:spacing w:val="0"/>
          <w:w w:val="100"/>
          <w:position w:val="0"/>
          <w:sz w:val="20"/>
          <w:szCs w:val="20"/>
        </w:rPr>
        <w:t>55,188,274</w:t>
      </w:r>
      <w:r>
        <w:rPr>
          <w:color w:val="000000"/>
          <w:spacing w:val="0"/>
          <w:w w:val="100"/>
          <w:position w:val="0"/>
          <w:sz w:val="20"/>
          <w:szCs w:val="20"/>
        </w:rPr>
        <w:t xml:space="preserve">股股份上市，公司总股本变更 为 </w:t>
      </w:r>
      <w:r>
        <w:rPr>
          <w:rFonts w:ascii="Times New Roman" w:eastAsia="Times New Roman" w:hAnsi="Times New Roman" w:cs="Times New Roman"/>
          <w:color w:val="000000"/>
          <w:spacing w:val="0"/>
          <w:w w:val="100"/>
          <w:position w:val="0"/>
          <w:sz w:val="20"/>
          <w:szCs w:val="20"/>
        </w:rPr>
        <w:t xml:space="preserve">296,941,323 </w:t>
      </w:r>
      <w:r>
        <w:rPr>
          <w:color w:val="000000"/>
          <w:spacing w:val="0"/>
          <w:w w:val="100"/>
          <w:position w:val="0"/>
          <w:sz w:val="20"/>
          <w:szCs w:val="20"/>
        </w:rPr>
        <w:t>股。</w:t>
      </w:r>
    </w:p>
    <w:p>
      <w:pPr>
        <w:pStyle w:val="Style35"/>
        <w:keepNext w:val="0"/>
        <w:keepLines w:val="0"/>
        <w:widowControl w:val="0"/>
        <w:shd w:val="clear" w:color="auto" w:fill="auto"/>
        <w:bidi w:val="0"/>
        <w:spacing w:before="0" w:after="28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日，公司发行股份购买国微电子</w:t>
      </w:r>
      <w:r>
        <w:rPr>
          <w:rFonts w:ascii="Times New Roman" w:eastAsia="Times New Roman" w:hAnsi="Times New Roman" w:cs="Times New Roman"/>
          <w:color w:val="000000"/>
          <w:spacing w:val="0"/>
          <w:w w:val="100"/>
          <w:position w:val="0"/>
          <w:sz w:val="20"/>
          <w:szCs w:val="20"/>
        </w:rPr>
        <w:t>96.4878%</w:t>
      </w:r>
      <w:r>
        <w:rPr>
          <w:color w:val="000000"/>
          <w:spacing w:val="0"/>
          <w:w w:val="100"/>
          <w:position w:val="0"/>
          <w:sz w:val="20"/>
          <w:szCs w:val="20"/>
        </w:rPr>
        <w:t>股权的重大资产重组后续的募集配套资金实 施完成，发行</w:t>
      </w:r>
      <w:r>
        <w:rPr>
          <w:rFonts w:ascii="Times New Roman" w:eastAsia="Times New Roman" w:hAnsi="Times New Roman" w:cs="Times New Roman"/>
          <w:color w:val="000000"/>
          <w:spacing w:val="0"/>
          <w:w w:val="100"/>
          <w:position w:val="0"/>
          <w:sz w:val="20"/>
          <w:szCs w:val="20"/>
        </w:rPr>
        <w:t>6,467,661</w:t>
      </w:r>
      <w:r>
        <w:rPr>
          <w:color w:val="000000"/>
          <w:spacing w:val="0"/>
          <w:w w:val="100"/>
          <w:position w:val="0"/>
          <w:sz w:val="20"/>
          <w:szCs w:val="20"/>
        </w:rPr>
        <w:t>股股份，公司总股本变更为</w:t>
      </w:r>
      <w:r>
        <w:rPr>
          <w:rFonts w:ascii="Times New Roman" w:eastAsia="Times New Roman" w:hAnsi="Times New Roman" w:cs="Times New Roman"/>
          <w:color w:val="000000"/>
          <w:spacing w:val="0"/>
          <w:w w:val="100"/>
          <w:position w:val="0"/>
          <w:sz w:val="20"/>
          <w:szCs w:val="20"/>
        </w:rPr>
        <w:t>303,408,984</w:t>
      </w:r>
      <w:r>
        <w:rPr>
          <w:color w:val="000000"/>
          <w:spacing w:val="0"/>
          <w:w w:val="100"/>
          <w:position w:val="0"/>
          <w:sz w:val="20"/>
          <w:szCs w:val="20"/>
        </w:rPr>
        <w:t>股。</w:t>
      </w:r>
    </w:p>
    <w:p>
      <w:pPr>
        <w:pStyle w:val="Style35"/>
        <w:keepNext w:val="0"/>
        <w:keepLines w:val="0"/>
        <w:widowControl w:val="0"/>
        <w:shd w:val="clear" w:color="auto" w:fill="auto"/>
        <w:bidi w:val="0"/>
        <w:spacing w:before="0" w:after="280" w:line="298" w:lineRule="exact"/>
        <w:ind w:left="0" w:right="0" w:firstLine="440"/>
        <w:jc w:val="both"/>
        <w:rPr>
          <w:sz w:val="20"/>
          <w:szCs w:val="20"/>
        </w:rPr>
      </w:pPr>
      <w:r>
        <w:rPr>
          <w:color w:val="000000"/>
          <w:spacing w:val="0"/>
          <w:w w:val="100"/>
          <w:position w:val="0"/>
          <w:sz w:val="20"/>
          <w:szCs w:val="20"/>
        </w:rPr>
        <w:t>公司属于电子元器件制造业，主营业务为集成电路芯片设计与销售，压电石英晶体元器件的开发、生 产和销售，</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蓝宝石衬底材料生产和销售。</w:t>
      </w:r>
    </w:p>
    <w:p>
      <w:pPr>
        <w:pStyle w:val="Style35"/>
        <w:keepNext w:val="0"/>
        <w:keepLines w:val="0"/>
        <w:widowControl w:val="0"/>
        <w:shd w:val="clear" w:color="auto" w:fill="auto"/>
        <w:bidi w:val="0"/>
        <w:spacing w:before="0" w:after="360" w:line="307" w:lineRule="exact"/>
        <w:ind w:left="0" w:right="0" w:firstLine="440"/>
        <w:jc w:val="both"/>
        <w:rPr>
          <w:sz w:val="20"/>
          <w:szCs w:val="20"/>
        </w:rPr>
      </w:pPr>
      <w:r>
        <w:rPr>
          <w:color w:val="000000"/>
          <w:spacing w:val="0"/>
          <w:w w:val="100"/>
          <w:position w:val="0"/>
          <w:sz w:val="20"/>
          <w:szCs w:val="20"/>
        </w:rPr>
        <w:t>企业法人营业执照号为</w:t>
      </w:r>
      <w:r>
        <w:rPr>
          <w:rFonts w:ascii="Times New Roman" w:eastAsia="Times New Roman" w:hAnsi="Times New Roman" w:cs="Times New Roman"/>
          <w:color w:val="000000"/>
          <w:spacing w:val="0"/>
          <w:w w:val="100"/>
          <w:position w:val="0"/>
          <w:sz w:val="20"/>
          <w:szCs w:val="20"/>
        </w:rPr>
        <w:t xml:space="preserve">130000000000406 </w:t>
      </w:r>
      <w:r>
        <w:rPr>
          <w:color w:val="000000"/>
          <w:spacing w:val="0"/>
          <w:w w:val="100"/>
          <w:position w:val="0"/>
          <w:sz w:val="20"/>
          <w:szCs w:val="20"/>
        </w:rPr>
        <w:t>；法定代表人为陆致成；公司注册地址为河北省玉田县无终 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p>
      <w:pPr>
        <w:pStyle w:val="Style23"/>
        <w:keepNext/>
        <w:keepLines/>
        <w:widowControl w:val="0"/>
        <w:shd w:val="clear" w:color="auto" w:fill="auto"/>
        <w:bidi w:val="0"/>
        <w:spacing w:before="0" w:after="2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四</w:t>
      </w:r>
      <w:bookmarkEnd w:id="470"/>
      <w:r>
        <w:rPr>
          <w:color w:val="000000"/>
          <w:spacing w:val="0"/>
          <w:w w:val="100"/>
          <w:position w:val="0"/>
        </w:rPr>
        <w:t>、主要会计政策、会计估计和前期会计差错</w:t>
      </w:r>
      <w:bookmarkEnd w:id="468"/>
      <w:bookmarkEnd w:id="469"/>
      <w:bookmarkEnd w:id="471"/>
    </w:p>
    <w:p>
      <w:pPr>
        <w:pStyle w:val="Style44"/>
        <w:keepNext/>
        <w:keepLines/>
        <w:widowControl w:val="0"/>
        <w:shd w:val="clear" w:color="auto" w:fill="auto"/>
        <w:tabs>
          <w:tab w:pos="1168" w:val="left"/>
        </w:tabs>
        <w:bidi w:val="0"/>
        <w:spacing w:before="0" w:after="280" w:line="312" w:lineRule="exact"/>
        <w:ind w:left="0" w:right="0" w:firstLine="44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一）</w:t>
        <w:tab/>
        <w:t>财务报表的编制基础</w:t>
      </w:r>
      <w:bookmarkEnd w:id="472"/>
      <w:bookmarkEnd w:id="473"/>
      <w:bookmarkEnd w:id="475"/>
    </w:p>
    <w:p>
      <w:pPr>
        <w:pStyle w:val="Style35"/>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本公司以持续经营为前提，以权责发生制为基础，根据实际发生的交易和事项，按照《企业会计准则 —基本准则》和其他各项会计准则的规定进行确认和计量，在此基础上编制财务报表。</w:t>
      </w:r>
    </w:p>
    <w:p>
      <w:pPr>
        <w:pStyle w:val="Style44"/>
        <w:keepNext/>
        <w:keepLines/>
        <w:widowControl w:val="0"/>
        <w:shd w:val="clear" w:color="auto" w:fill="auto"/>
        <w:tabs>
          <w:tab w:pos="1168" w:val="left"/>
        </w:tabs>
        <w:bidi w:val="0"/>
        <w:spacing w:before="0" w:after="280" w:line="312" w:lineRule="exact"/>
        <w:ind w:left="0" w:right="0" w:firstLine="440"/>
        <w:jc w:val="both"/>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二）</w:t>
        <w:tab/>
        <w:t>遵循企业会计准则的声明</w:t>
      </w:r>
      <w:bookmarkEnd w:id="476"/>
      <w:bookmarkEnd w:id="477"/>
      <w:bookmarkEnd w:id="479"/>
    </w:p>
    <w:p>
      <w:pPr>
        <w:pStyle w:val="Style35"/>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本公司所编制的财务报表符合企业会计准则的要求，真实、完整地反映了企业的财务状况、经营成果 和现金流量等有关信息。</w:t>
      </w:r>
    </w:p>
    <w:p>
      <w:pPr>
        <w:pStyle w:val="Style44"/>
        <w:keepNext/>
        <w:keepLines/>
        <w:widowControl w:val="0"/>
        <w:shd w:val="clear" w:color="auto" w:fill="auto"/>
        <w:tabs>
          <w:tab w:pos="1168" w:val="left"/>
        </w:tabs>
        <w:bidi w:val="0"/>
        <w:spacing w:before="0" w:after="280" w:line="312" w:lineRule="exact"/>
        <w:ind w:left="0" w:right="0" w:firstLine="440"/>
        <w:jc w:val="both"/>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三）</w:t>
        <w:tab/>
        <w:t>会计期间</w:t>
      </w:r>
      <w:bookmarkEnd w:id="480"/>
      <w:bookmarkEnd w:id="481"/>
      <w:bookmarkEnd w:id="483"/>
    </w:p>
    <w:p>
      <w:pPr>
        <w:pStyle w:val="Style35"/>
        <w:keepNext w:val="0"/>
        <w:keepLines w:val="0"/>
        <w:widowControl w:val="0"/>
        <w:shd w:val="clear" w:color="auto" w:fill="auto"/>
        <w:bidi w:val="0"/>
        <w:spacing w:before="0" w:after="280" w:line="312" w:lineRule="exact"/>
        <w:ind w:left="0" w:right="0" w:firstLine="440"/>
        <w:jc w:val="left"/>
        <w:rPr>
          <w:sz w:val="20"/>
          <w:szCs w:val="20"/>
        </w:rPr>
      </w:pPr>
      <w:r>
        <w:rPr>
          <w:color w:val="000000"/>
          <w:spacing w:val="0"/>
          <w:w w:val="100"/>
          <w:position w:val="0"/>
          <w:sz w:val="20"/>
          <w:szCs w:val="20"/>
        </w:rPr>
        <w:t>本公司以公历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日为一个会计年度。</w:t>
      </w:r>
    </w:p>
    <w:p>
      <w:pPr>
        <w:pStyle w:val="Style44"/>
        <w:keepNext/>
        <w:keepLines/>
        <w:widowControl w:val="0"/>
        <w:shd w:val="clear" w:color="auto" w:fill="auto"/>
        <w:tabs>
          <w:tab w:pos="1168" w:val="left"/>
        </w:tabs>
        <w:bidi w:val="0"/>
        <w:spacing w:before="0" w:after="280" w:line="312" w:lineRule="exact"/>
        <w:ind w:left="0" w:right="0" w:firstLine="440"/>
        <w:jc w:val="both"/>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四）</w:t>
        <w:tab/>
        <w:t>记账本位币</w:t>
      </w:r>
      <w:bookmarkEnd w:id="484"/>
      <w:bookmarkEnd w:id="485"/>
      <w:bookmarkEnd w:id="487"/>
    </w:p>
    <w:p>
      <w:pPr>
        <w:pStyle w:val="Style35"/>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本公司以人民币为记账本位币。</w:t>
      </w:r>
    </w:p>
    <w:p>
      <w:pPr>
        <w:pStyle w:val="Style44"/>
        <w:keepNext/>
        <w:keepLines/>
        <w:widowControl w:val="0"/>
        <w:shd w:val="clear" w:color="auto" w:fill="auto"/>
        <w:tabs>
          <w:tab w:pos="1168" w:val="left"/>
        </w:tabs>
        <w:bidi w:val="0"/>
        <w:spacing w:before="0" w:after="280" w:line="312" w:lineRule="exact"/>
        <w:ind w:left="0" w:right="0" w:firstLine="44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五）</w:t>
        <w:tab/>
        <w:t>记账基础和计量属性</w:t>
      </w:r>
      <w:bookmarkEnd w:id="488"/>
      <w:bookmarkEnd w:id="489"/>
      <w:bookmarkEnd w:id="491"/>
    </w:p>
    <w:p>
      <w:pPr>
        <w:pStyle w:val="Style35"/>
        <w:keepNext w:val="0"/>
        <w:keepLines w:val="0"/>
        <w:widowControl w:val="0"/>
        <w:shd w:val="clear" w:color="auto" w:fill="auto"/>
        <w:bidi w:val="0"/>
        <w:spacing w:before="0" w:after="280" w:line="312" w:lineRule="exact"/>
        <w:ind w:left="0" w:right="0" w:firstLine="440"/>
        <w:jc w:val="left"/>
        <w:rPr>
          <w:sz w:val="20"/>
          <w:szCs w:val="20"/>
        </w:rPr>
      </w:pPr>
      <w:r>
        <w:rPr>
          <w:color w:val="000000"/>
          <w:spacing w:val="0"/>
          <w:w w:val="100"/>
          <w:position w:val="0"/>
          <w:sz w:val="20"/>
          <w:szCs w:val="20"/>
        </w:rPr>
        <w:t>本公司对会计要素计量一般采用历史成本，当所确定的会计要素金额能够取得并可靠计量，且该等计 量符合《企业会计准则一基本准则》和其他各项会计准则的规定时，则适度采用重置成本、可变现净值、 现值或公允价值进行计量。</w:t>
      </w:r>
    </w:p>
    <w:p>
      <w:pPr>
        <w:pStyle w:val="Style44"/>
        <w:keepNext/>
        <w:keepLines/>
        <w:widowControl w:val="0"/>
        <w:shd w:val="clear" w:color="auto" w:fill="auto"/>
        <w:tabs>
          <w:tab w:pos="1168" w:val="left"/>
        </w:tabs>
        <w:bidi w:val="0"/>
        <w:spacing w:before="0" w:after="360" w:line="312" w:lineRule="exact"/>
        <w:ind w:left="0" w:right="0" w:firstLine="44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六）</w:t>
        <w:tab/>
        <w:t>同一控制下和非同一控制下企业合并的会计处理方法</w:t>
      </w:r>
      <w:bookmarkEnd w:id="492"/>
      <w:bookmarkEnd w:id="493"/>
      <w:bookmarkEnd w:id="495"/>
    </w:p>
    <w:p>
      <w:pPr>
        <w:pStyle w:val="Style35"/>
        <w:keepNext w:val="0"/>
        <w:keepLines w:val="0"/>
        <w:widowControl w:val="0"/>
        <w:numPr>
          <w:ilvl w:val="0"/>
          <w:numId w:val="3"/>
        </w:numPr>
        <w:shd w:val="clear" w:color="auto" w:fill="auto"/>
        <w:bidi w:val="0"/>
        <w:spacing w:before="0" w:after="160" w:line="326" w:lineRule="auto"/>
        <w:ind w:left="0" w:right="0" w:firstLine="440"/>
        <w:jc w:val="both"/>
        <w:rPr>
          <w:sz w:val="20"/>
          <w:szCs w:val="20"/>
        </w:rPr>
      </w:pPr>
      <w:bookmarkStart w:id="496" w:name="bookmark496"/>
      <w:bookmarkEnd w:id="496"/>
      <w:r>
        <w:rPr>
          <w:color w:val="000000"/>
          <w:spacing w:val="0"/>
          <w:w w:val="100"/>
          <w:position w:val="0"/>
          <w:sz w:val="20"/>
          <w:szCs w:val="20"/>
        </w:rPr>
        <w:t>同一控制下的企业合并</w:t>
      </w:r>
    </w:p>
    <w:p>
      <w:pPr>
        <w:pStyle w:val="Style35"/>
        <w:keepNext w:val="0"/>
        <w:keepLines w:val="0"/>
        <w:widowControl w:val="0"/>
        <w:shd w:val="clear" w:color="auto" w:fill="auto"/>
        <w:bidi w:val="0"/>
        <w:spacing w:before="0" w:after="280" w:line="314" w:lineRule="exact"/>
        <w:ind w:left="0" w:right="0" w:firstLine="440"/>
        <w:jc w:val="both"/>
        <w:rPr>
          <w:sz w:val="20"/>
          <w:szCs w:val="20"/>
        </w:rPr>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192" w:right="959" w:bottom="1690" w:left="1001" w:header="0" w:footer="3" w:gutter="0"/>
          <w:cols w:space="720"/>
          <w:noEndnote/>
          <w:titlePg/>
          <w:rtlGutter w:val="0"/>
          <w:docGrid w:linePitch="360"/>
        </w:sectPr>
      </w:pPr>
      <w:r>
        <w:rPr>
          <w:color w:val="000000"/>
          <w:spacing w:val="0"/>
          <w:w w:val="100"/>
          <w:position w:val="0"/>
          <w:sz w:val="20"/>
          <w:szCs w:val="20"/>
        </w:rPr>
        <w:t>对于同一控制下的企业合并，合并方在企业合并中取得的资产和负债，按照合并日在被合并方的账面 价值计量。合并方取得的净资产账面价值与支付的合并对价账面价值（或发行股份面值总额）的差额，调 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资本溢价或股本溢价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不足冲减的，调整留存收益。</w:t>
      </w:r>
    </w:p>
    <w:p>
      <w:pPr>
        <w:pStyle w:val="Style35"/>
        <w:keepNext w:val="0"/>
        <w:keepLines w:val="0"/>
        <w:widowControl w:val="0"/>
        <w:numPr>
          <w:ilvl w:val="0"/>
          <w:numId w:val="3"/>
        </w:numPr>
        <w:shd w:val="clear" w:color="auto" w:fill="auto"/>
        <w:bidi w:val="0"/>
        <w:spacing w:before="0" w:after="260" w:line="313" w:lineRule="exact"/>
        <w:ind w:left="0" w:right="0" w:firstLine="440"/>
        <w:jc w:val="both"/>
        <w:rPr>
          <w:sz w:val="20"/>
          <w:szCs w:val="20"/>
        </w:rPr>
      </w:pPr>
      <w:bookmarkStart w:id="497" w:name="bookmark497"/>
      <w:bookmarkEnd w:id="497"/>
      <w:r>
        <w:rPr>
          <w:color w:val="000000"/>
          <w:spacing w:val="0"/>
          <w:w w:val="100"/>
          <w:position w:val="0"/>
          <w:sz w:val="20"/>
          <w:szCs w:val="20"/>
        </w:rPr>
        <w:t>非同一控制下的企业合并</w:t>
      </w:r>
    </w:p>
    <w:p>
      <w:pPr>
        <w:pStyle w:val="Style35"/>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对于非同一控制下的企业合并，合并成本为购买方在购买日为取得对被购买方的控制权而付出的资 产、发生或承担的负债以及发行的权益性证券的公允价值。为企业合并发生的审计、法律服务、评估咨询 等中介费用以及其他相关管理费用，于发生时计入当期损益；作为合并对价发行的权益性证券或债务性证 券的交易费用，计入权益性证券或债务性证券的初始确认金额。在购买日本公司按照合并成本作为长期股 权投资的投资成本。</w:t>
      </w:r>
    </w:p>
    <w:p>
      <w:pPr>
        <w:pStyle w:val="Style35"/>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通过多次交易分步实现非同一控制下企业合并的，区分个别财务报表和合并财务报表进行相关会计处 理：在个别财务报表中，以购买日之前所持被购买方的股权投资的账面价值与购买日新增投资成本之和，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时将与其相关的其他综合收益（例如，可供出售金融资产公允价值变动计入资本公积的部分，下同）转入 当期投资收益。在合并财务报表中，对于购买日之前持有的被购买方的股权，按照该股权在购买日的公允 价值进行重新计量，公允价值与其账面价值的差额计入当期投资收益；购买日之前持有的被购买方的股权 涉及其他综合收益的，与其相关的其他综合收益转为购买日所属当期投资收益。</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购买方对合并成本大于合并中取得的被购买方可辨认净资产公允价值份额的差额，确认为商誉。购买 方对合并成本小于合并中取得的被购买方可辨认净资产公允价值份额的，经复核后合并成本仍小于合并中 取得的被购买方可辨认净资产公允价值份额的差额，计入当期损益。</w:t>
      </w:r>
    </w:p>
    <w:p>
      <w:pPr>
        <w:pStyle w:val="Style44"/>
        <w:keepNext/>
        <w:keepLines/>
        <w:widowControl w:val="0"/>
        <w:shd w:val="clear" w:color="auto" w:fill="auto"/>
        <w:bidi w:val="0"/>
        <w:spacing w:before="0" w:after="260" w:line="313" w:lineRule="exact"/>
        <w:ind w:left="0" w:right="0" w:firstLine="44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color w:val="000000"/>
          <w:spacing w:val="0"/>
          <w:w w:val="100"/>
          <w:position w:val="0"/>
        </w:rPr>
        <w:t>七）合并财务报表的编制方法</w:t>
      </w:r>
      <w:bookmarkEnd w:id="498"/>
      <w:bookmarkEnd w:id="499"/>
      <w:bookmarkEnd w:id="501"/>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本公司将拥有实际控制权的子公司纳入合并财务报表范围。本公司合并财务报表按照《企业会计准则 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号一合并财务报表》及相关规定的要求编制，合并时合并范围内的所有重大内部交易和往来业已抵 销。子公司少数股东应占有的权益和损益分别在合并资产负债表中股东权益项目下和合并利润表净利润项 目下进行列示。子公司与本公司采用的会计政策或会计期间不一致的，在编制合并财务报表时，按照本公 司的会计政策或会计期间对子公司财务报表进行必要的调整。</w:t>
      </w:r>
    </w:p>
    <w:p>
      <w:pPr>
        <w:pStyle w:val="Style35"/>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对于非同一控制下企业合并取得的子公司，在编制合并财务报表时，以购买日可辨认净资产公允价值 为基础对其个别财务报表进行调整，并自购买日起将被购买子公司的资产、负债、经营成果和现金流量合 并纳入本公司财务报表中；对于同一控制下企业合并取得的子公司，在编制合并财务报表时，视同合并后 形成的报告主体自最终控制方开始实施控制时一直是一体化存续下来的，从合并当期的年初起将其资产、 负债、经营成果和现金流量，按原账面价值纳入合并财务报表，并对前期比较报表进行相应调整，其合并 日前实现的净利润在合并利润表中单列项目反映。</w:t>
      </w:r>
    </w:p>
    <w:p>
      <w:pPr>
        <w:pStyle w:val="Style35"/>
        <w:keepNext w:val="0"/>
        <w:keepLines w:val="0"/>
        <w:widowControl w:val="0"/>
        <w:shd w:val="clear" w:color="auto" w:fill="auto"/>
        <w:bidi w:val="0"/>
        <w:spacing w:before="0" w:after="260" w:line="307" w:lineRule="exact"/>
        <w:ind w:left="0" w:right="0" w:firstLine="440"/>
        <w:jc w:val="both"/>
        <w:rPr>
          <w:sz w:val="20"/>
          <w:szCs w:val="20"/>
        </w:rPr>
      </w:pPr>
      <w:r>
        <w:rPr>
          <w:color w:val="000000"/>
          <w:spacing w:val="0"/>
          <w:w w:val="100"/>
          <w:position w:val="0"/>
          <w:sz w:val="20"/>
          <w:szCs w:val="20"/>
        </w:rPr>
        <w:t>本公司自少数股东处购买股权，因购买少数股东股权的长期投资成本与按照新增持股比例计算的应享 有子公司自购买日（合并日）开始持续计算的可辨认净资产份额之间的差额，调整合并资产负债表中的资 本公积（资本溢价或股本溢价），资本公积（资本溢价或股本溢价）不足冲减的，调整留存收益。</w:t>
      </w:r>
    </w:p>
    <w:p>
      <w:pPr>
        <w:pStyle w:val="Style35"/>
        <w:keepNext w:val="0"/>
        <w:keepLines w:val="0"/>
        <w:widowControl w:val="0"/>
        <w:shd w:val="clear" w:color="auto" w:fill="auto"/>
        <w:bidi w:val="0"/>
        <w:spacing w:before="0" w:after="260" w:line="319" w:lineRule="exact"/>
        <w:ind w:left="0" w:right="0" w:firstLine="440"/>
        <w:jc w:val="both"/>
        <w:rPr>
          <w:sz w:val="20"/>
          <w:szCs w:val="20"/>
        </w:rPr>
      </w:pPr>
      <w:r>
        <w:rPr>
          <w:color w:val="000000"/>
          <w:spacing w:val="0"/>
          <w:w w:val="100"/>
          <w:position w:val="0"/>
          <w:sz w:val="20"/>
          <w:szCs w:val="20"/>
        </w:rPr>
        <w:t>本公司报告期内处置合并范围内的子公司，编制合并资产负债表时，不调整合并资产负债表的期初数； 编制合并利润表时，将该子公司期初至处置日的收入、费用、利润纳入合并利润表；编制合并现金流量表 时，将子公司期初至处置日的现金流量纳入合并现金流量表。</w:t>
      </w:r>
    </w:p>
    <w:p>
      <w:pPr>
        <w:pStyle w:val="Style44"/>
        <w:keepNext/>
        <w:keepLines/>
        <w:widowControl w:val="0"/>
        <w:shd w:val="clear" w:color="auto" w:fill="auto"/>
        <w:tabs>
          <w:tab w:pos="1165" w:val="left"/>
        </w:tabs>
        <w:bidi w:val="0"/>
        <w:spacing w:before="0" w:after="260" w:line="312" w:lineRule="exact"/>
        <w:ind w:left="0" w:right="0" w:firstLine="440"/>
        <w:jc w:val="both"/>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八）</w:t>
        <w:tab/>
        <w:t>现金及现金等价物的确认标准</w:t>
      </w:r>
      <w:bookmarkEnd w:id="502"/>
      <w:bookmarkEnd w:id="503"/>
      <w:bookmarkEnd w:id="505"/>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本公司现金流量表之现金指库存现金以及可以随时用于支付的存款。现金等价物指持有的期限短（一 般是指从购买日起三个月内到期）、流动性强、易于转换为已知金额现金、价值变动风险很小的投资。</w:t>
      </w:r>
    </w:p>
    <w:p>
      <w:pPr>
        <w:pStyle w:val="Style44"/>
        <w:keepNext/>
        <w:keepLines/>
        <w:widowControl w:val="0"/>
        <w:shd w:val="clear" w:color="auto" w:fill="auto"/>
        <w:tabs>
          <w:tab w:pos="1165" w:val="left"/>
        </w:tabs>
        <w:bidi w:val="0"/>
        <w:spacing w:before="0" w:after="260" w:line="312" w:lineRule="exact"/>
        <w:ind w:left="0" w:right="0" w:firstLine="440"/>
        <w:jc w:val="both"/>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九）</w:t>
        <w:tab/>
        <w:t>外币业务和外币报表折算</w:t>
      </w:r>
      <w:bookmarkEnd w:id="506"/>
      <w:bookmarkEnd w:id="507"/>
      <w:bookmarkEnd w:id="509"/>
    </w:p>
    <w:p>
      <w:pPr>
        <w:pStyle w:val="Style35"/>
        <w:keepNext w:val="0"/>
        <w:keepLines w:val="0"/>
        <w:widowControl w:val="0"/>
        <w:shd w:val="clear" w:color="auto" w:fill="auto"/>
        <w:bidi w:val="0"/>
        <w:spacing w:before="0" w:after="260" w:line="322" w:lineRule="exact"/>
        <w:ind w:left="0" w:right="0" w:firstLine="440"/>
        <w:jc w:val="both"/>
        <w:rPr>
          <w:sz w:val="20"/>
          <w:szCs w:val="20"/>
        </w:rPr>
      </w:pPr>
      <w:r>
        <w:rPr>
          <w:color w:val="000000"/>
          <w:spacing w:val="0"/>
          <w:w w:val="100"/>
          <w:position w:val="0"/>
          <w:sz w:val="20"/>
          <w:szCs w:val="20"/>
        </w:rPr>
        <w:t>发生外币业务，按交易发生日的即期汇率折合成记账本位币记账；期末，分外币货币性项目和外币非 货币性项目进行处理。</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对于外币货币性项目，采用期末即期汇率折算为人民币金额，所产生的折算差额除了为购建或生产符 合资本化条件的资产而借入的外币专门借款产生的汇兑差额按资本化的原则处理外，直接计入当期损益。</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以历史成本计量的外币非货币性项目，仍采用交易发生日的即期汇率折算，期末不改变原记账本位币 金额，不产生汇兑差额。</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以公允价值计量的外币非货币性项目，采用公允价值确定日的即期汇率折算，折算后的记账本位币与 原记账本位币金额的差额，属于可供出售金融资产的外币非货币性项目，其差额计入资本公积；属于以公 允价值计量且其变动计入当期损益的外币非货币性项目，其差额计入当期损益。</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境外经营的资产负债表中的资产和负债项目，采用资产负债表日的即期汇率折算，股东权益项目除未 分配利润项目外，其他项目采用发生时的即期汇率折算。境外经营的利润表中的收入与费用项目，采用交 易发生日的即期汇率的近似汇率折算。上述折算产生的外币报表折算差额，在股东权益项目下单独列示。 实质上构成对境外经营净投资的外币货币性项目，因汇率变动而产生的汇兑差额，在编制合并财务报表时, 也作为外币报表折算差额在股东权益项目下单独列示。处置境外经营时，与该境外经营有关的外币报表折 算差额，按比例转入处置当期损益。外币现金流量以及境外子公司的现金流量采用现金流量发生日的即期 汇率的近似汇率折算。汇率变动对现金的影响额，在现金流量表中单独列示。</w:t>
      </w:r>
    </w:p>
    <w:p>
      <w:pPr>
        <w:pStyle w:val="Style44"/>
        <w:keepNext/>
        <w:keepLines/>
        <w:widowControl w:val="0"/>
        <w:shd w:val="clear" w:color="auto" w:fill="auto"/>
        <w:bidi w:val="0"/>
        <w:spacing w:before="0" w:after="360" w:line="312" w:lineRule="exact"/>
        <w:ind w:left="0" w:right="0" w:firstLine="440"/>
        <w:jc w:val="both"/>
      </w:pPr>
      <w:bookmarkStart w:id="510" w:name="bookmark510"/>
      <w:bookmarkStart w:id="511" w:name="bookmark511"/>
      <w:bookmarkStart w:id="512" w:name="bookmark512"/>
      <w:r>
        <w:rPr>
          <w:color w:val="000000"/>
          <w:spacing w:val="0"/>
          <w:w w:val="100"/>
          <w:position w:val="0"/>
        </w:rPr>
        <w:t>（十）金融工具</w:t>
      </w:r>
      <w:bookmarkEnd w:id="510"/>
      <w:bookmarkEnd w:id="511"/>
      <w:bookmarkEnd w:id="512"/>
    </w:p>
    <w:p>
      <w:pPr>
        <w:pStyle w:val="Style35"/>
        <w:keepNext w:val="0"/>
        <w:keepLines w:val="0"/>
        <w:widowControl w:val="0"/>
        <w:shd w:val="clear" w:color="auto" w:fill="auto"/>
        <w:tabs>
          <w:tab w:pos="777" w:val="left"/>
        </w:tabs>
        <w:bidi w:val="0"/>
        <w:spacing w:before="0" w:after="180" w:line="326" w:lineRule="auto"/>
        <w:ind w:left="0" w:right="0" w:firstLine="440"/>
        <w:jc w:val="both"/>
        <w:rPr>
          <w:sz w:val="20"/>
          <w:szCs w:val="20"/>
        </w:rPr>
      </w:pPr>
      <w:bookmarkStart w:id="513" w:name="bookmark513"/>
      <w:r>
        <w:rPr>
          <w:rFonts w:ascii="Times New Roman" w:eastAsia="Times New Roman" w:hAnsi="Times New Roman" w:cs="Times New Roman"/>
          <w:color w:val="000000"/>
          <w:spacing w:val="0"/>
          <w:w w:val="100"/>
          <w:position w:val="0"/>
          <w:sz w:val="20"/>
          <w:szCs w:val="20"/>
        </w:rPr>
        <w:t>1</w:t>
      </w:r>
      <w:bookmarkEnd w:id="513"/>
      <w:r>
        <w:rPr>
          <w:color w:val="000000"/>
          <w:spacing w:val="0"/>
          <w:w w:val="100"/>
          <w:position w:val="0"/>
          <w:sz w:val="20"/>
          <w:szCs w:val="20"/>
        </w:rPr>
        <w:t>、</w:t>
        <w:tab/>
        <w:t>金融资产和金融负债的分类</w:t>
      </w:r>
    </w:p>
    <w:p>
      <w:pPr>
        <w:pStyle w:val="Style35"/>
        <w:keepNext w:val="0"/>
        <w:keepLines w:val="0"/>
        <w:widowControl w:val="0"/>
        <w:shd w:val="clear" w:color="auto" w:fill="auto"/>
        <w:bidi w:val="0"/>
        <w:spacing w:before="0" w:after="260" w:line="310" w:lineRule="exact"/>
        <w:ind w:left="0" w:right="0" w:firstLine="440"/>
        <w:jc w:val="both"/>
        <w:rPr>
          <w:sz w:val="20"/>
          <w:szCs w:val="20"/>
        </w:rPr>
      </w:pPr>
      <w:r>
        <w:rPr>
          <w:color w:val="000000"/>
          <w:spacing w:val="0"/>
          <w:w w:val="100"/>
          <w:position w:val="0"/>
          <w:sz w:val="20"/>
          <w:szCs w:val="20"/>
        </w:rPr>
        <w:t>本公司根据自身业务的特点和风险管理的要求，将金融资产在初始确认时划分为下列四类：（</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 允价值计量且其变动计入当期损益的金融资产，包括交易性金融资产和指定为以公允价值计量且其变动计 入当期损益的金融资产；（</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）持有至到期投资；（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）应收款项；（</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）可供出售金融资产。</w:t>
      </w:r>
    </w:p>
    <w:p>
      <w:pPr>
        <w:pStyle w:val="Style35"/>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金融负债在初始确认时划分为下列两类：（</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）以公允价值计量且其变动计入当期损益的金融负债，包 括交易性金融负债和指定为以公允价值计量且其变动计入当期损益的金融负债；（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）其他金融负债。</w:t>
      </w:r>
    </w:p>
    <w:p>
      <w:pPr>
        <w:pStyle w:val="Style35"/>
        <w:keepNext w:val="0"/>
        <w:keepLines w:val="0"/>
        <w:widowControl w:val="0"/>
        <w:shd w:val="clear" w:color="auto" w:fill="auto"/>
        <w:tabs>
          <w:tab w:pos="796" w:val="left"/>
        </w:tabs>
        <w:bidi w:val="0"/>
        <w:spacing w:before="0" w:after="180" w:line="326" w:lineRule="auto"/>
        <w:ind w:left="0" w:right="0" w:firstLine="440"/>
        <w:jc w:val="both"/>
        <w:rPr>
          <w:sz w:val="20"/>
          <w:szCs w:val="20"/>
        </w:rPr>
      </w:pPr>
      <w:bookmarkStart w:id="514" w:name="bookmark514"/>
      <w:r>
        <w:rPr>
          <w:rFonts w:ascii="Times New Roman" w:eastAsia="Times New Roman" w:hAnsi="Times New Roman" w:cs="Times New Roman"/>
          <w:color w:val="000000"/>
          <w:spacing w:val="0"/>
          <w:w w:val="100"/>
          <w:position w:val="0"/>
          <w:sz w:val="20"/>
          <w:szCs w:val="20"/>
        </w:rPr>
        <w:t>2</w:t>
      </w:r>
      <w:bookmarkEnd w:id="514"/>
      <w:r>
        <w:rPr>
          <w:color w:val="000000"/>
          <w:spacing w:val="0"/>
          <w:w w:val="100"/>
          <w:position w:val="0"/>
          <w:sz w:val="20"/>
          <w:szCs w:val="20"/>
        </w:rPr>
        <w:t>、</w:t>
        <w:tab/>
        <w:t>金融工具的确认依据和计量方法</w:t>
      </w:r>
    </w:p>
    <w:p>
      <w:pPr>
        <w:pStyle w:val="Style35"/>
        <w:keepNext w:val="0"/>
        <w:keepLines w:val="0"/>
        <w:widowControl w:val="0"/>
        <w:shd w:val="clear" w:color="auto" w:fill="auto"/>
        <w:bidi w:val="0"/>
        <w:spacing w:before="0" w:after="260" w:line="312" w:lineRule="exact"/>
        <w:ind w:left="0" w:right="0" w:firstLine="440"/>
        <w:jc w:val="both"/>
        <w:rPr>
          <w:sz w:val="20"/>
          <w:szCs w:val="20"/>
        </w:rPr>
      </w:pPr>
      <w:bookmarkStart w:id="515" w:name="bookmark515"/>
      <w:r>
        <w:rPr>
          <w:color w:val="000000"/>
          <w:spacing w:val="0"/>
          <w:w w:val="100"/>
          <w:position w:val="0"/>
          <w:sz w:val="20"/>
          <w:szCs w:val="20"/>
        </w:rPr>
        <w:t>（</w:t>
      </w:r>
      <w:bookmarkEnd w:id="51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）金融工具的确认依据</w:t>
      </w:r>
    </w:p>
    <w:p>
      <w:pPr>
        <w:pStyle w:val="Style35"/>
        <w:keepNext w:val="0"/>
        <w:keepLines w:val="0"/>
        <w:widowControl w:val="0"/>
        <w:shd w:val="clear" w:color="auto" w:fill="auto"/>
        <w:bidi w:val="0"/>
        <w:spacing w:before="0" w:after="260" w:line="302" w:lineRule="exact"/>
        <w:ind w:left="0" w:right="0" w:firstLine="440"/>
        <w:jc w:val="both"/>
        <w:rPr>
          <w:sz w:val="20"/>
          <w:szCs w:val="20"/>
        </w:rPr>
      </w:pPr>
      <w:r>
        <w:rPr>
          <w:color w:val="000000"/>
          <w:spacing w:val="0"/>
          <w:w w:val="100"/>
          <w:position w:val="0"/>
          <w:sz w:val="20"/>
          <w:szCs w:val="20"/>
        </w:rPr>
        <w:t>本公司在成为金融工具合同的一方时，确认一项金融资产或金融负债。金融资产满足下列条件之一时, 本公司对其终止确认：①收取该金融资产现金流量的合同权利终止；②该金融资产已转移，且符合《企业 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金融资产转移》规定的金融资产终止确认条件。金融负债的现时义务全部或部分已经 </w:t>
      </w:r>
      <w:r>
        <w:rPr>
          <w:color w:val="000000"/>
          <w:spacing w:val="0"/>
          <w:w w:val="100"/>
          <w:position w:val="0"/>
          <w:sz w:val="20"/>
          <w:szCs w:val="20"/>
        </w:rPr>
        <w:t>解除时，本公司终止确认该金融负债或其一部分。</w:t>
      </w:r>
    </w:p>
    <w:p>
      <w:pPr>
        <w:pStyle w:val="Style35"/>
        <w:keepNext w:val="0"/>
        <w:keepLines w:val="0"/>
        <w:widowControl w:val="0"/>
        <w:shd w:val="clear" w:color="auto" w:fill="auto"/>
        <w:bidi w:val="0"/>
        <w:spacing w:before="0" w:after="260" w:line="313" w:lineRule="exact"/>
        <w:ind w:left="0" w:right="0" w:firstLine="440"/>
        <w:jc w:val="both"/>
        <w:rPr>
          <w:sz w:val="20"/>
          <w:szCs w:val="20"/>
        </w:rPr>
      </w:pPr>
      <w:bookmarkStart w:id="516" w:name="bookmark516"/>
      <w:r>
        <w:rPr>
          <w:color w:val="000000"/>
          <w:spacing w:val="0"/>
          <w:w w:val="100"/>
          <w:position w:val="0"/>
          <w:sz w:val="20"/>
          <w:szCs w:val="20"/>
        </w:rPr>
        <w:t>（</w:t>
      </w:r>
      <w:bookmarkEnd w:id="51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）金融工具的计量方法</w:t>
      </w:r>
    </w:p>
    <w:p>
      <w:pPr>
        <w:pStyle w:val="Style35"/>
        <w:keepNext w:val="0"/>
        <w:keepLines w:val="0"/>
        <w:widowControl w:val="0"/>
        <w:numPr>
          <w:ilvl w:val="0"/>
          <w:numId w:val="5"/>
        </w:numPr>
        <w:shd w:val="clear" w:color="auto" w:fill="auto"/>
        <w:tabs>
          <w:tab w:pos="754" w:val="left"/>
        </w:tabs>
        <w:bidi w:val="0"/>
        <w:spacing w:before="0" w:after="260" w:line="315" w:lineRule="exact"/>
        <w:ind w:left="0" w:right="0" w:firstLine="440"/>
        <w:jc w:val="both"/>
        <w:rPr>
          <w:sz w:val="20"/>
          <w:szCs w:val="20"/>
        </w:rPr>
      </w:pPr>
      <w:bookmarkStart w:id="517" w:name="bookmark517"/>
      <w:bookmarkEnd w:id="517"/>
      <w:r>
        <w:rPr>
          <w:color w:val="000000"/>
          <w:spacing w:val="0"/>
          <w:w w:val="100"/>
          <w:position w:val="0"/>
          <w:sz w:val="20"/>
          <w:szCs w:val="20"/>
        </w:rPr>
        <w:t>本公司初始确认金融资产或金融负债，按照公允价值计量（对外销售商品或提供劳务形成的债权通 常按从购买方应收的合同或协议价款进行计量）。对于以公允价值计量且其变动计入当期损益的金融资产 或金融负债，相关交易费用直接计入当期损益；对于其他类别的金融资产或金融负债，相关交易费用计入 初始确认金额；</w:t>
      </w:r>
    </w:p>
    <w:p>
      <w:pPr>
        <w:pStyle w:val="Style35"/>
        <w:keepNext w:val="0"/>
        <w:keepLines w:val="0"/>
        <w:widowControl w:val="0"/>
        <w:numPr>
          <w:ilvl w:val="0"/>
          <w:numId w:val="5"/>
        </w:numPr>
        <w:shd w:val="clear" w:color="auto" w:fill="auto"/>
        <w:tabs>
          <w:tab w:pos="754" w:val="left"/>
        </w:tabs>
        <w:bidi w:val="0"/>
        <w:spacing w:before="0" w:after="260" w:line="314" w:lineRule="exact"/>
        <w:ind w:left="0" w:right="0" w:firstLine="440"/>
        <w:jc w:val="both"/>
        <w:rPr>
          <w:sz w:val="20"/>
          <w:szCs w:val="20"/>
        </w:rPr>
      </w:pPr>
      <w:bookmarkStart w:id="518" w:name="bookmark518"/>
      <w:bookmarkEnd w:id="518"/>
      <w:r>
        <w:rPr>
          <w:color w:val="000000"/>
          <w:spacing w:val="0"/>
          <w:w w:val="100"/>
          <w:position w:val="0"/>
          <w:sz w:val="20"/>
          <w:szCs w:val="20"/>
        </w:rPr>
        <w:t>除下列情况外，本公司按照公允价值对金融资产进行后续计量，且不扣除将来处置该金融资产时可 能发生的交易费用：</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应收款项和持有至到期投资，采用实际利率法按摊余成本计量；</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在活跃市场中 没有报价且其公允价值不能可靠计量的权益工具投资，以及与该权益工具挂钩并须通过交付该权益工具结 算的衍生金融资产，按成本计量；</w:t>
      </w:r>
    </w:p>
    <w:p>
      <w:pPr>
        <w:pStyle w:val="Style35"/>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除下列情况外，本公司采用实际利率法，按摊余成本对金融负债进行后续计量：</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 xml:space="preserve">以公允价值计量 且其变动计入当期损益的金融负债，按公允价值计量，且不扣除将来结清金融负债时可能发生的交易费用； </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与在活跃市场中没有报价、公允价值不能可靠计量的权益工具挂钩并须通过交付该权益工具结算的衍 生金融负债，按照成本计量；</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不属于指定为以公允价值计量且其变动计入当期损益的金额负债的财务 担保合同，在初始确认后按照下列两项金额之中的较高者进行后续计量：</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 —或有事项》确定的金额；</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初始确认金额扣除按照《企业会计准则第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号一收入》的原则确定的 累计摊销额后的余额；</w:t>
      </w:r>
    </w:p>
    <w:p>
      <w:pPr>
        <w:pStyle w:val="Style35"/>
        <w:keepNext w:val="0"/>
        <w:keepLines w:val="0"/>
        <w:widowControl w:val="0"/>
        <w:numPr>
          <w:ilvl w:val="0"/>
          <w:numId w:val="5"/>
        </w:numPr>
        <w:shd w:val="clear" w:color="auto" w:fill="auto"/>
        <w:tabs>
          <w:tab w:pos="754" w:val="left"/>
        </w:tabs>
        <w:bidi w:val="0"/>
        <w:spacing w:before="0" w:after="360" w:line="312" w:lineRule="exact"/>
        <w:ind w:left="0" w:right="0" w:firstLine="440"/>
        <w:jc w:val="both"/>
        <w:rPr>
          <w:sz w:val="20"/>
          <w:szCs w:val="20"/>
        </w:rPr>
      </w:pPr>
      <w:bookmarkStart w:id="519" w:name="bookmark519"/>
      <w:bookmarkEnd w:id="519"/>
      <w:r>
        <w:rPr>
          <w:color w:val="000000"/>
          <w:spacing w:val="0"/>
          <w:w w:val="100"/>
          <w:position w:val="0"/>
          <w:sz w:val="20"/>
          <w:szCs w:val="20"/>
        </w:rPr>
        <w:t>金融工具公允价值变动形成的利得或损失的处理如下：</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以公允价值计量且其变动计入当期损益 的金融资产或金融负债公允价值变动形成的利得或损失，计入当期损益；</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可供出售金融资产公允价值 变动形成的利得或损失，除减值损失和外币货币性金融资产形成的汇兑差额外，直接计入所有者权益，在 该金融资产终止确认时转出，计入当期损益；</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外币货币性金融资产形成的汇兑差额，计入当期损益。</w:t>
      </w:r>
    </w:p>
    <w:p>
      <w:pPr>
        <w:pStyle w:val="Style35"/>
        <w:keepNext w:val="0"/>
        <w:keepLines w:val="0"/>
        <w:widowControl w:val="0"/>
        <w:shd w:val="clear" w:color="auto" w:fill="auto"/>
        <w:bidi w:val="0"/>
        <w:spacing w:before="0" w:after="160" w:line="326" w:lineRule="auto"/>
        <w:ind w:left="0" w:right="0" w:firstLine="440"/>
        <w:jc w:val="both"/>
        <w:rPr>
          <w:sz w:val="20"/>
          <w:szCs w:val="20"/>
        </w:rPr>
      </w:pPr>
      <w:bookmarkStart w:id="520" w:name="bookmark520"/>
      <w:r>
        <w:rPr>
          <w:rFonts w:ascii="Times New Roman" w:eastAsia="Times New Roman" w:hAnsi="Times New Roman" w:cs="Times New Roman"/>
          <w:color w:val="000000"/>
          <w:spacing w:val="0"/>
          <w:w w:val="100"/>
          <w:position w:val="0"/>
          <w:sz w:val="20"/>
          <w:szCs w:val="20"/>
        </w:rPr>
        <w:t>3</w:t>
      </w:r>
      <w:bookmarkEnd w:id="520"/>
      <w:r>
        <w:rPr>
          <w:color w:val="000000"/>
          <w:spacing w:val="0"/>
          <w:w w:val="100"/>
          <w:position w:val="0"/>
          <w:sz w:val="20"/>
          <w:szCs w:val="20"/>
        </w:rPr>
        <w:t>、金融资产减值测试方法和减值准备计提方法</w:t>
      </w:r>
    </w:p>
    <w:p>
      <w:pPr>
        <w:pStyle w:val="Style35"/>
        <w:keepNext w:val="0"/>
        <w:keepLines w:val="0"/>
        <w:widowControl w:val="0"/>
        <w:shd w:val="clear" w:color="auto" w:fill="auto"/>
        <w:bidi w:val="0"/>
        <w:spacing w:before="0" w:after="260" w:line="317" w:lineRule="exact"/>
        <w:ind w:left="0" w:right="0" w:firstLine="440"/>
        <w:jc w:val="both"/>
        <w:rPr>
          <w:sz w:val="20"/>
          <w:szCs w:val="20"/>
        </w:rPr>
      </w:pPr>
      <w:r>
        <w:rPr>
          <w:color w:val="000000"/>
          <w:spacing w:val="0"/>
          <w:w w:val="100"/>
          <w:position w:val="0"/>
          <w:sz w:val="20"/>
          <w:szCs w:val="20"/>
        </w:rPr>
        <w:t>本公司期末对以公允价值计量且其变动计入当期损益的金融资产以外的金融资产的账面价值进行检 查，有客观证据表明该金融资产发生减值的，计提减值准备。</w:t>
      </w:r>
    </w:p>
    <w:p>
      <w:pPr>
        <w:pStyle w:val="Style35"/>
        <w:keepNext w:val="0"/>
        <w:keepLines w:val="0"/>
        <w:widowControl w:val="0"/>
        <w:shd w:val="clear" w:color="auto" w:fill="auto"/>
        <w:bidi w:val="0"/>
        <w:spacing w:before="0" w:after="260" w:line="313" w:lineRule="exact"/>
        <w:ind w:left="0" w:right="0" w:firstLine="440"/>
        <w:jc w:val="both"/>
        <w:rPr>
          <w:sz w:val="20"/>
          <w:szCs w:val="20"/>
        </w:rPr>
      </w:pPr>
      <w:r>
        <w:rPr>
          <w:color w:val="000000"/>
          <w:spacing w:val="0"/>
          <w:w w:val="100"/>
          <w:position w:val="0"/>
          <w:sz w:val="20"/>
          <w:szCs w:val="20"/>
        </w:rPr>
        <w:t>以摊余成本计量的金融资产发生减值时，本公司将该金融资产的账面价值减记至预计未来现金流量 （不包括尚未发生的未来信用损失）现值，减记的金额确认为资产减值损失，计入当期损益。以摊余成本 计量的金融资产确认减值损失后，如有客观证据表明该金融资产价值已恢复，且客观上与确认该损失后发 生的事项有关，本公司对原确认的损失予以转回，计入当期损益。但是，转回后的账面价值不超过假定不 计提减值准备情况下该金融资产在转回日的摊余成本。</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可供出售金融资产发生减值时，本公司对原直接计入所有者权益的因公允价值下降形成的累计损失予 以转出，计入当期损益。</w:t>
      </w:r>
    </w:p>
    <w:p>
      <w:pPr>
        <w:pStyle w:val="Style35"/>
        <w:keepNext w:val="0"/>
        <w:keepLines w:val="0"/>
        <w:widowControl w:val="0"/>
        <w:shd w:val="clear" w:color="auto" w:fill="auto"/>
        <w:bidi w:val="0"/>
        <w:spacing w:before="0" w:after="360" w:line="312" w:lineRule="exact"/>
        <w:ind w:left="0" w:right="0" w:firstLine="440"/>
        <w:jc w:val="both"/>
        <w:rPr>
          <w:sz w:val="20"/>
          <w:szCs w:val="20"/>
        </w:r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192" w:right="959" w:bottom="1690" w:left="1001" w:header="0" w:footer="3" w:gutter="0"/>
          <w:cols w:space="720"/>
          <w:noEndnote/>
          <w:titlePg/>
          <w:rtlGutter w:val="0"/>
          <w:docGrid w:linePitch="360"/>
        </w:sectPr>
      </w:pPr>
      <w:r>
        <w:rPr>
          <w:color w:val="000000"/>
          <w:spacing w:val="0"/>
          <w:w w:val="100"/>
          <w:position w:val="0"/>
          <w:sz w:val="20"/>
          <w:szCs w:val="20"/>
        </w:rPr>
        <w:t xml:space="preserve">对已确认减值损失的可供出售债务工具投资，在期后公允价值上升且客观上与确认原减值损失确认后 发生的事项有关的，原确认的减值损失予以转回，计入当期损益。对已确认减值损失的可供出售权益工具 投资，在期后公允价值上升且客观上与确认原减值损失确认后发生的事项有关的，原确认的减值损失予以 转回，计入股东权益。在活跃市场中没有报价且其公允价值不能可靠计量的权益工具投资发生的减值损失, </w:t>
      </w:r>
    </w:p>
    <w:p>
      <w:pPr>
        <w:pStyle w:val="Style35"/>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不予转回。</w:t>
      </w:r>
    </w:p>
    <w:p>
      <w:pPr>
        <w:pStyle w:val="Style44"/>
        <w:keepNext/>
        <w:keepLines/>
        <w:widowControl w:val="0"/>
        <w:shd w:val="clear" w:color="auto" w:fill="auto"/>
        <w:tabs>
          <w:tab w:pos="1658" w:val="left"/>
        </w:tabs>
        <w:bidi w:val="0"/>
        <w:spacing w:before="0" w:after="360" w:line="240" w:lineRule="auto"/>
        <w:ind w:left="0" w:right="0" w:firstLine="520"/>
        <w:jc w:val="left"/>
      </w:pPr>
      <w:bookmarkStart w:id="521" w:name="bookmark521"/>
      <w:bookmarkStart w:id="522" w:name="bookmark522"/>
      <w:bookmarkStart w:id="523" w:name="bookmark523"/>
      <w:r>
        <w:rPr>
          <w:color w:val="000000"/>
          <w:spacing w:val="0"/>
          <w:w w:val="100"/>
          <w:position w:val="0"/>
        </w:rPr>
        <w:t>(^一)</w:t>
        <w:tab/>
        <w:t>应收款项</w:t>
      </w:r>
      <w:bookmarkEnd w:id="521"/>
      <w:bookmarkEnd w:id="522"/>
      <w:bookmarkEnd w:id="523"/>
    </w:p>
    <w:p>
      <w:pPr>
        <w:pStyle w:val="Style35"/>
        <w:keepNext w:val="0"/>
        <w:keepLines w:val="0"/>
        <w:widowControl w:val="0"/>
        <w:numPr>
          <w:ilvl w:val="0"/>
          <w:numId w:val="7"/>
        </w:numPr>
        <w:shd w:val="clear" w:color="auto" w:fill="auto"/>
        <w:bidi w:val="0"/>
        <w:spacing w:before="0" w:after="300" w:line="240" w:lineRule="auto"/>
        <w:ind w:left="0" w:right="0" w:firstLine="520"/>
        <w:jc w:val="left"/>
        <w:rPr>
          <w:sz w:val="20"/>
          <w:szCs w:val="20"/>
        </w:rPr>
      </w:pPr>
      <w:bookmarkStart w:id="524" w:name="bookmark524"/>
      <w:bookmarkEnd w:id="524"/>
      <w:r>
        <w:rPr>
          <w:color w:val="000000"/>
          <w:spacing w:val="0"/>
          <w:w w:val="100"/>
          <w:position w:val="0"/>
          <w:sz w:val="20"/>
          <w:szCs w:val="20"/>
        </w:rPr>
        <w:t>单项金额重大并单项计提坏账准备的应收款项</w:t>
      </w:r>
    </w:p>
    <w:tbl>
      <w:tblPr>
        <w:tblOverlap w:val="never"/>
        <w:jc w:val="center"/>
        <w:tblLayout w:type="fixed"/>
      </w:tblPr>
      <w:tblGrid>
        <w:gridCol w:w="2635"/>
        <w:gridCol w:w="7234"/>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单项金额重大的判断依据</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应收款项金额</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万元以上(含)。</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单项金额重大并单项计提 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对于单项金额重大的应收款项单独进行减值测试，有客观证据表明发生了减 值，根据其未来现金流量现值低于其账面价值的差额计提坏账准备。</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)按组合计提坏账准备的应收款项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2635"/>
        <w:gridCol w:w="2909"/>
        <w:gridCol w:w="4325"/>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按组合计提坏账准备的计提方法</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)组合中，采用账龄分析法计提坏账准备的:</w:t>
      </w:r>
    </w:p>
    <w:tbl>
      <w:tblPr>
        <w:tblOverlap w:val="never"/>
        <w:jc w:val="center"/>
        <w:tblLayout w:type="fixed"/>
      </w:tblPr>
      <w:tblGrid>
        <w:gridCol w:w="3533"/>
        <w:gridCol w:w="3029"/>
        <w:gridCol w:w="3307"/>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29"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)单项金额虽不重大但单项计提坏账准备的应收款项:</w:t>
      </w:r>
    </w:p>
    <w:tbl>
      <w:tblPr>
        <w:tblOverlap w:val="never"/>
        <w:jc w:val="center"/>
        <w:tblLayout w:type="fixed"/>
      </w:tblPr>
      <w:tblGrid>
        <w:gridCol w:w="3461"/>
        <w:gridCol w:w="6408"/>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根据款项性质或者有客观表明发生了减值</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有客观证据表明发生了减值，根据其未来现金流量现值低于其账面 价值的差额计提坏账准备。</w:t>
            </w:r>
          </w:p>
        </w:tc>
      </w:tr>
    </w:tbl>
    <w:p>
      <w:pPr>
        <w:widowControl w:val="0"/>
        <w:spacing w:after="199" w:line="1" w:lineRule="exact"/>
      </w:pPr>
    </w:p>
    <w:p>
      <w:pPr>
        <w:pStyle w:val="Style44"/>
        <w:keepNext/>
        <w:keepLines/>
        <w:widowControl w:val="0"/>
        <w:shd w:val="clear" w:color="auto" w:fill="auto"/>
        <w:tabs>
          <w:tab w:pos="1658" w:val="left"/>
        </w:tabs>
        <w:bidi w:val="0"/>
        <w:spacing w:before="0" w:after="300" w:line="319" w:lineRule="exact"/>
        <w:ind w:left="0" w:right="0" w:firstLine="520"/>
        <w:jc w:val="both"/>
      </w:pPr>
      <w:bookmarkStart w:id="525" w:name="bookmark525"/>
      <w:bookmarkStart w:id="526" w:name="bookmark526"/>
      <w:bookmarkStart w:id="527" w:name="bookmark527"/>
      <w:r>
        <w:rPr>
          <w:color w:val="000000"/>
          <w:spacing w:val="0"/>
          <w:w w:val="100"/>
          <w:position w:val="0"/>
        </w:rPr>
        <w:t>(十二)</w:t>
        <w:tab/>
        <w:t>存货</w:t>
      </w:r>
      <w:bookmarkEnd w:id="525"/>
      <w:bookmarkEnd w:id="526"/>
      <w:bookmarkEnd w:id="527"/>
    </w:p>
    <w:p>
      <w:pPr>
        <w:pStyle w:val="Style35"/>
        <w:keepNext w:val="0"/>
        <w:keepLines w:val="0"/>
        <w:widowControl w:val="0"/>
        <w:shd w:val="clear" w:color="auto" w:fill="auto"/>
        <w:tabs>
          <w:tab w:pos="790" w:val="left"/>
        </w:tabs>
        <w:bidi w:val="0"/>
        <w:spacing w:before="0" w:after="300" w:line="312" w:lineRule="exact"/>
        <w:ind w:left="0" w:right="0" w:firstLine="520"/>
        <w:jc w:val="both"/>
        <w:rPr>
          <w:sz w:val="20"/>
          <w:szCs w:val="20"/>
        </w:rPr>
      </w:pPr>
      <w:bookmarkStart w:id="528" w:name="bookmark528"/>
      <w:r>
        <w:rPr>
          <w:rFonts w:ascii="Times New Roman" w:eastAsia="Times New Roman" w:hAnsi="Times New Roman" w:cs="Times New Roman"/>
          <w:color w:val="000000"/>
          <w:spacing w:val="0"/>
          <w:w w:val="100"/>
          <w:position w:val="0"/>
          <w:sz w:val="20"/>
          <w:szCs w:val="20"/>
        </w:rPr>
        <w:t>1</w:t>
      </w:r>
      <w:bookmarkEnd w:id="528"/>
      <w:r>
        <w:rPr>
          <w:color w:val="000000"/>
          <w:spacing w:val="0"/>
          <w:w w:val="100"/>
          <w:position w:val="0"/>
          <w:sz w:val="20"/>
          <w:szCs w:val="20"/>
        </w:rPr>
        <w:t>、</w:t>
        <w:tab/>
        <w:t>存货主要包括原材料、在产品、产成品、库存商品、委托加工物资、未验收设计服务项目、周转 材料以及低值易耗品等。</w:t>
      </w:r>
    </w:p>
    <w:p>
      <w:pPr>
        <w:pStyle w:val="Style35"/>
        <w:keepNext w:val="0"/>
        <w:keepLines w:val="0"/>
        <w:widowControl w:val="0"/>
        <w:shd w:val="clear" w:color="auto" w:fill="auto"/>
        <w:tabs>
          <w:tab w:pos="790" w:val="left"/>
        </w:tabs>
        <w:bidi w:val="0"/>
        <w:spacing w:before="0" w:after="300" w:line="319" w:lineRule="exact"/>
        <w:ind w:left="0" w:right="0" w:firstLine="520"/>
        <w:jc w:val="both"/>
        <w:rPr>
          <w:sz w:val="20"/>
          <w:szCs w:val="20"/>
        </w:rPr>
      </w:pPr>
      <w:bookmarkStart w:id="529" w:name="bookmark529"/>
      <w:r>
        <w:rPr>
          <w:rFonts w:ascii="Times New Roman" w:eastAsia="Times New Roman" w:hAnsi="Times New Roman" w:cs="Times New Roman"/>
          <w:color w:val="000000"/>
          <w:spacing w:val="0"/>
          <w:w w:val="100"/>
          <w:position w:val="0"/>
          <w:sz w:val="20"/>
          <w:szCs w:val="20"/>
        </w:rPr>
        <w:t>2</w:t>
      </w:r>
      <w:bookmarkEnd w:id="529"/>
      <w:r>
        <w:rPr>
          <w:color w:val="000000"/>
          <w:spacing w:val="0"/>
          <w:w w:val="100"/>
          <w:position w:val="0"/>
          <w:sz w:val="20"/>
          <w:szCs w:val="20"/>
        </w:rPr>
        <w:t>、</w:t>
        <w:tab/>
        <w:t>存货计量：取得时以实际成本计价。存货成本包括采购成本、加工成本和其他成本。应计入存货 成本的借款费用，按照《企业会计准则第</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号——借款费用》处理。投资者投入存货的成本，按照投资 合同或协议约定的价值确定，但合同或协议约定价值不公允的除外。</w:t>
      </w:r>
    </w:p>
    <w:p>
      <w:pPr>
        <w:pStyle w:val="Style35"/>
        <w:keepNext w:val="0"/>
        <w:keepLines w:val="0"/>
        <w:widowControl w:val="0"/>
        <w:shd w:val="clear" w:color="auto" w:fill="auto"/>
        <w:tabs>
          <w:tab w:pos="875" w:val="left"/>
        </w:tabs>
        <w:bidi w:val="0"/>
        <w:spacing w:before="0" w:after="260" w:line="313" w:lineRule="exact"/>
        <w:ind w:left="0" w:right="0" w:firstLine="540"/>
        <w:jc w:val="both"/>
        <w:rPr>
          <w:sz w:val="20"/>
          <w:szCs w:val="20"/>
        </w:rPr>
      </w:pPr>
      <w:bookmarkStart w:id="530" w:name="bookmark530"/>
      <w:r>
        <w:rPr>
          <w:rFonts w:ascii="Times New Roman" w:eastAsia="Times New Roman" w:hAnsi="Times New Roman" w:cs="Times New Roman"/>
          <w:color w:val="000000"/>
          <w:spacing w:val="0"/>
          <w:w w:val="100"/>
          <w:position w:val="0"/>
          <w:sz w:val="20"/>
          <w:szCs w:val="20"/>
        </w:rPr>
        <w:t>3</w:t>
      </w:r>
      <w:bookmarkEnd w:id="530"/>
      <w:r>
        <w:rPr>
          <w:color w:val="000000"/>
          <w:spacing w:val="0"/>
          <w:w w:val="100"/>
          <w:position w:val="0"/>
          <w:sz w:val="20"/>
          <w:szCs w:val="20"/>
        </w:rPr>
        <w:t>、</w:t>
        <w:tab/>
        <w:t>存货的发出计价：</w:t>
      </w:r>
    </w:p>
    <w:p>
      <w:pPr>
        <w:pStyle w:val="Style35"/>
        <w:keepNext w:val="0"/>
        <w:keepLines w:val="0"/>
        <w:widowControl w:val="0"/>
        <w:shd w:val="clear" w:color="auto" w:fill="auto"/>
        <w:bidi w:val="0"/>
        <w:spacing w:before="0" w:after="260" w:line="314" w:lineRule="exact"/>
        <w:ind w:left="0" w:right="0" w:firstLine="540"/>
        <w:jc w:val="both"/>
        <w:rPr>
          <w:sz w:val="20"/>
          <w:szCs w:val="20"/>
        </w:rPr>
      </w:pPr>
      <w:r>
        <w:rPr>
          <w:color w:val="000000"/>
          <w:spacing w:val="0"/>
          <w:w w:val="100"/>
          <w:position w:val="0"/>
          <w:sz w:val="20"/>
          <w:szCs w:val="20"/>
        </w:rPr>
        <w:t>原材料以计划成本或实际成本计价，采用计划成本计价的，期末通过分摊材料成本差异，将存货的计 划成本调整为实际成本；产品成本计算主要采用品种法、批次法，发出计价采用加权平均法；未验收设计 服务项目按完工百分比法结转成本；周转材料按预计使用年限进行摊销；低值易耗品采用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一次摊销法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 行分摊。</w:t>
      </w:r>
    </w:p>
    <w:p>
      <w:pPr>
        <w:pStyle w:val="Style35"/>
        <w:keepNext w:val="0"/>
        <w:keepLines w:val="0"/>
        <w:widowControl w:val="0"/>
        <w:shd w:val="clear" w:color="auto" w:fill="auto"/>
        <w:tabs>
          <w:tab w:pos="875" w:val="left"/>
        </w:tabs>
        <w:bidi w:val="0"/>
        <w:spacing w:before="0" w:after="260" w:line="313" w:lineRule="exact"/>
        <w:ind w:left="0" w:right="0" w:firstLine="540"/>
        <w:jc w:val="both"/>
        <w:rPr>
          <w:sz w:val="20"/>
          <w:szCs w:val="20"/>
        </w:rPr>
      </w:pPr>
      <w:bookmarkStart w:id="531" w:name="bookmark531"/>
      <w:r>
        <w:rPr>
          <w:rFonts w:ascii="Times New Roman" w:eastAsia="Times New Roman" w:hAnsi="Times New Roman" w:cs="Times New Roman"/>
          <w:color w:val="000000"/>
          <w:spacing w:val="0"/>
          <w:w w:val="100"/>
          <w:position w:val="0"/>
          <w:sz w:val="20"/>
          <w:szCs w:val="20"/>
        </w:rPr>
        <w:t>4</w:t>
      </w:r>
      <w:bookmarkEnd w:id="531"/>
      <w:r>
        <w:rPr>
          <w:color w:val="000000"/>
          <w:spacing w:val="0"/>
          <w:w w:val="100"/>
          <w:position w:val="0"/>
          <w:sz w:val="20"/>
          <w:szCs w:val="20"/>
        </w:rPr>
        <w:t>、</w:t>
        <w:tab/>
        <w:t>存货的盘存制度：本公司采用永续盘存制。</w:t>
      </w:r>
    </w:p>
    <w:p>
      <w:pPr>
        <w:pStyle w:val="Style35"/>
        <w:keepNext w:val="0"/>
        <w:keepLines w:val="0"/>
        <w:widowControl w:val="0"/>
        <w:shd w:val="clear" w:color="auto" w:fill="auto"/>
        <w:tabs>
          <w:tab w:pos="744" w:val="left"/>
        </w:tabs>
        <w:bidi w:val="0"/>
        <w:spacing w:before="0" w:after="260" w:line="313" w:lineRule="exact"/>
        <w:ind w:left="0" w:right="0" w:firstLine="540"/>
        <w:jc w:val="both"/>
        <w:rPr>
          <w:sz w:val="20"/>
          <w:szCs w:val="20"/>
        </w:rPr>
      </w:pPr>
      <w:bookmarkStart w:id="532" w:name="bookmark532"/>
      <w:r>
        <w:rPr>
          <w:rFonts w:ascii="Times New Roman" w:eastAsia="Times New Roman" w:hAnsi="Times New Roman" w:cs="Times New Roman"/>
          <w:color w:val="000000"/>
          <w:spacing w:val="0"/>
          <w:w w:val="100"/>
          <w:position w:val="0"/>
          <w:sz w:val="20"/>
          <w:szCs w:val="20"/>
        </w:rPr>
        <w:t>5</w:t>
      </w:r>
      <w:bookmarkEnd w:id="532"/>
      <w:r>
        <w:rPr>
          <w:color w:val="000000"/>
          <w:spacing w:val="0"/>
          <w:w w:val="100"/>
          <w:position w:val="0"/>
          <w:sz w:val="20"/>
          <w:szCs w:val="20"/>
        </w:rPr>
        <w:t>、</w:t>
        <w:tab/>
        <w:t>期末存货计价原则及存货跌价准备确认标准和计提方法：期末存货按成本与可变现净值孰低原则 计价；本公司于期末在对存货进行全面盘点的基础上，对于存货因霉烂变质、毁损、非标准化特点等原因 预计无法销售，导致存货无使用价值；或者存货因全部或部分过时以及消费者偏好改变而使市场的需求发 生变化，导致存货的市场价格持续下跌、并且在可预见的未来不能回升等原因，预计存货的成本高于其可 变现净值，则按产品类别的成本高于其可变现净值的差额计提存货跌价准备，计入当期损益。</w:t>
      </w:r>
    </w:p>
    <w:p>
      <w:pPr>
        <w:pStyle w:val="Style35"/>
        <w:keepNext w:val="0"/>
        <w:keepLines w:val="0"/>
        <w:widowControl w:val="0"/>
        <w:shd w:val="clear" w:color="auto" w:fill="auto"/>
        <w:bidi w:val="0"/>
        <w:spacing w:before="0" w:after="260" w:line="312" w:lineRule="exact"/>
        <w:ind w:left="0" w:right="0" w:firstLine="540"/>
        <w:jc w:val="both"/>
        <w:rPr>
          <w:sz w:val="20"/>
          <w:szCs w:val="20"/>
        </w:rPr>
      </w:pPr>
      <w:r>
        <w:rPr>
          <w:color w:val="000000"/>
          <w:spacing w:val="0"/>
          <w:w w:val="100"/>
          <w:position w:val="0"/>
          <w:sz w:val="20"/>
          <w:szCs w:val="20"/>
        </w:rPr>
        <w:t>本公司对直接用于出售的商品存货，其可变现净值按该存货的估计售价减去估计的销售费用和相关税 费后的金额确定；对需要经过加工的材料存货，以所生产的产成品的估计售价减去至完工时估计将要发生 的成本、估计的销售费用和相关税费后的金额确定；为执行销售合同或者劳务合同而持有的存货，其可变 现净值以合同价格为基础计算；企业持有存货的数量多于销售合同订购数量的，超出部分的存货可变现净 值以一般销售价格为基础计算。</w:t>
      </w:r>
    </w:p>
    <w:p>
      <w:pPr>
        <w:pStyle w:val="Style35"/>
        <w:keepNext w:val="0"/>
        <w:keepLines w:val="0"/>
        <w:widowControl w:val="0"/>
        <w:shd w:val="clear" w:color="auto" w:fill="auto"/>
        <w:bidi w:val="0"/>
        <w:spacing w:before="0" w:after="260" w:line="312" w:lineRule="exact"/>
        <w:ind w:left="0" w:right="0" w:firstLine="540"/>
        <w:jc w:val="both"/>
        <w:rPr>
          <w:sz w:val="20"/>
          <w:szCs w:val="20"/>
        </w:rPr>
      </w:pPr>
      <w:r>
        <w:rPr>
          <w:color w:val="000000"/>
          <w:spacing w:val="0"/>
          <w:w w:val="100"/>
          <w:position w:val="0"/>
          <w:sz w:val="20"/>
          <w:szCs w:val="20"/>
        </w:rPr>
        <w:t>如果以前减记存货价值的影响因素已经消失，则本公司对减记的金额予以恢复，并在原已计提的存货 跌价准备的金额内转回，转回的金额计入当期损益。</w:t>
      </w:r>
    </w:p>
    <w:p>
      <w:pPr>
        <w:pStyle w:val="Style44"/>
        <w:keepNext/>
        <w:keepLines/>
        <w:widowControl w:val="0"/>
        <w:shd w:val="clear" w:color="auto" w:fill="auto"/>
        <w:tabs>
          <w:tab w:pos="1678" w:val="left"/>
        </w:tabs>
        <w:bidi w:val="0"/>
        <w:spacing w:before="0" w:after="260" w:line="313" w:lineRule="exact"/>
        <w:ind w:left="0" w:right="0" w:firstLine="540"/>
        <w:jc w:val="both"/>
      </w:pPr>
      <w:bookmarkStart w:id="533" w:name="bookmark533"/>
      <w:bookmarkStart w:id="534" w:name="bookmark534"/>
      <w:bookmarkStart w:id="535" w:name="bookmark535"/>
      <w:r>
        <w:rPr>
          <w:color w:val="000000"/>
          <w:spacing w:val="0"/>
          <w:w w:val="100"/>
          <w:position w:val="0"/>
        </w:rPr>
        <w:t>（十三）</w:t>
        <w:tab/>
        <w:t>长期股权投资</w:t>
      </w:r>
      <w:bookmarkEnd w:id="533"/>
      <w:bookmarkEnd w:id="534"/>
      <w:bookmarkEnd w:id="535"/>
    </w:p>
    <w:p>
      <w:pPr>
        <w:pStyle w:val="Style35"/>
        <w:keepNext w:val="0"/>
        <w:keepLines w:val="0"/>
        <w:widowControl w:val="0"/>
        <w:shd w:val="clear" w:color="auto" w:fill="auto"/>
        <w:bidi w:val="0"/>
        <w:spacing w:before="0" w:after="260" w:line="313" w:lineRule="exact"/>
        <w:ind w:left="0" w:right="0" w:firstLine="540"/>
        <w:jc w:val="both"/>
        <w:rPr>
          <w:sz w:val="20"/>
          <w:szCs w:val="20"/>
        </w:rPr>
      </w:pPr>
      <w:bookmarkStart w:id="536" w:name="bookmark536"/>
      <w:r>
        <w:rPr>
          <w:rFonts w:ascii="Times New Roman" w:eastAsia="Times New Roman" w:hAnsi="Times New Roman" w:cs="Times New Roman"/>
          <w:color w:val="000000"/>
          <w:spacing w:val="0"/>
          <w:w w:val="100"/>
          <w:position w:val="0"/>
          <w:sz w:val="20"/>
          <w:szCs w:val="20"/>
        </w:rPr>
        <w:t>1</w:t>
      </w:r>
      <w:bookmarkEnd w:id="536"/>
      <w:r>
        <w:rPr>
          <w:color w:val="000000"/>
          <w:spacing w:val="0"/>
          <w:w w:val="100"/>
          <w:position w:val="0"/>
          <w:sz w:val="20"/>
          <w:szCs w:val="20"/>
        </w:rPr>
        <w:t>、长期股权投资的初始计量</w:t>
      </w:r>
    </w:p>
    <w:p>
      <w:pPr>
        <w:pStyle w:val="Style35"/>
        <w:keepNext w:val="0"/>
        <w:keepLines w:val="0"/>
        <w:widowControl w:val="0"/>
        <w:shd w:val="clear" w:color="auto" w:fill="auto"/>
        <w:tabs>
          <w:tab w:pos="977" w:val="left"/>
        </w:tabs>
        <w:bidi w:val="0"/>
        <w:spacing w:before="0" w:after="260" w:line="313" w:lineRule="exact"/>
        <w:ind w:left="0" w:right="0" w:firstLine="540"/>
        <w:jc w:val="both"/>
        <w:rPr>
          <w:sz w:val="20"/>
          <w:szCs w:val="20"/>
        </w:rPr>
      </w:pPr>
      <w:bookmarkStart w:id="537" w:name="bookmark537"/>
      <w:r>
        <w:rPr>
          <w:color w:val="000000"/>
          <w:spacing w:val="0"/>
          <w:w w:val="100"/>
          <w:position w:val="0"/>
          <w:sz w:val="20"/>
          <w:szCs w:val="20"/>
        </w:rPr>
        <w:t>（</w:t>
      </w:r>
      <w:bookmarkEnd w:id="53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本公司对通过企业合并形成的长期股权投资，按照以下方法确定其投资成本：</w:t>
      </w:r>
    </w:p>
    <w:p>
      <w:pPr>
        <w:pStyle w:val="Style35"/>
        <w:keepNext w:val="0"/>
        <w:keepLines w:val="0"/>
        <w:widowControl w:val="0"/>
        <w:numPr>
          <w:ilvl w:val="0"/>
          <w:numId w:val="9"/>
        </w:numPr>
        <w:shd w:val="clear" w:color="auto" w:fill="auto"/>
        <w:tabs>
          <w:tab w:pos="763" w:val="left"/>
        </w:tabs>
        <w:bidi w:val="0"/>
        <w:spacing w:before="0" w:after="260" w:line="312" w:lineRule="exact"/>
        <w:ind w:left="0" w:right="0" w:firstLine="540"/>
        <w:jc w:val="both"/>
        <w:rPr>
          <w:sz w:val="20"/>
          <w:szCs w:val="20"/>
        </w:rPr>
      </w:pPr>
      <w:bookmarkStart w:id="538" w:name="bookmark538"/>
      <w:bookmarkEnd w:id="538"/>
      <w:r>
        <w:rPr>
          <w:color w:val="000000"/>
          <w:spacing w:val="0"/>
          <w:w w:val="100"/>
          <w:position w:val="0"/>
          <w:sz w:val="20"/>
          <w:szCs w:val="20"/>
        </w:rPr>
        <w:t>通过同一控制下的企业合并取得的长期股权投资，在合并日按照取得被合并方所有者权益账面价值 的份额作为长期股权投资的投资成本。长期股权投资投资成本与支付对价的账面价值或发行权益性证券面 值总额之间的差额，计入资本公积（资本溢价或股本溢价）；其借方差额导致资本公积（资本溢价或股本 溢价）不足冲减的，不足部分计入留存收益；</w:t>
      </w:r>
    </w:p>
    <w:p>
      <w:pPr>
        <w:pStyle w:val="Style35"/>
        <w:keepNext w:val="0"/>
        <w:keepLines w:val="0"/>
        <w:widowControl w:val="0"/>
        <w:numPr>
          <w:ilvl w:val="0"/>
          <w:numId w:val="9"/>
        </w:numPr>
        <w:shd w:val="clear" w:color="auto" w:fill="auto"/>
        <w:tabs>
          <w:tab w:pos="763" w:val="left"/>
        </w:tabs>
        <w:bidi w:val="0"/>
        <w:spacing w:before="0" w:after="260" w:line="313" w:lineRule="exact"/>
        <w:ind w:left="0" w:right="0" w:firstLine="540"/>
        <w:jc w:val="both"/>
        <w:rPr>
          <w:sz w:val="20"/>
          <w:szCs w:val="20"/>
        </w:rPr>
      </w:pPr>
      <w:bookmarkStart w:id="539" w:name="bookmark539"/>
      <w:bookmarkEnd w:id="539"/>
      <w:r>
        <w:rPr>
          <w:color w:val="000000"/>
          <w:spacing w:val="0"/>
          <w:w w:val="100"/>
          <w:position w:val="0"/>
          <w:sz w:val="20"/>
          <w:szCs w:val="20"/>
        </w:rPr>
        <w:t>通过非同一控制下的企业合并取得的长期股权投资，以在购买日为取得对被购买方的控制权而付出 的资产、发生或承担的负债以及发行的权益性证券的公允价值作为合并成本，为企业合并发生的审计、法 律服务、评估咨询等中介费用以及其他相关管理费用，于发生时计入当期损益；作为合并对价发行的权益 性证券或债务性证券的交易费用，计入权益性证券或债务性证券的初始确认金额。在购买日本公司按照合 并成本作为长期股权投资的投资成本。</w:t>
      </w:r>
    </w:p>
    <w:p>
      <w:pPr>
        <w:pStyle w:val="Style35"/>
        <w:keepNext w:val="0"/>
        <w:keepLines w:val="0"/>
        <w:widowControl w:val="0"/>
        <w:shd w:val="clear" w:color="auto" w:fill="auto"/>
        <w:tabs>
          <w:tab w:pos="977" w:val="left"/>
        </w:tabs>
        <w:bidi w:val="0"/>
        <w:spacing w:before="0" w:after="260" w:line="313" w:lineRule="exact"/>
        <w:ind w:left="0" w:right="0" w:firstLine="540"/>
        <w:jc w:val="both"/>
        <w:rPr>
          <w:sz w:val="20"/>
          <w:szCs w:val="20"/>
        </w:rPr>
      </w:pPr>
      <w:bookmarkStart w:id="540" w:name="bookmark540"/>
      <w:r>
        <w:rPr>
          <w:color w:val="000000"/>
          <w:spacing w:val="0"/>
          <w:w w:val="100"/>
          <w:position w:val="0"/>
          <w:sz w:val="20"/>
          <w:szCs w:val="20"/>
        </w:rPr>
        <w:t>（</w:t>
      </w:r>
      <w:bookmarkEnd w:id="5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本公司对通过企业合并以外其他方式取得的长期股权投资，按照以下方法确定其投资成本：</w:t>
      </w:r>
    </w:p>
    <w:p>
      <w:pPr>
        <w:pStyle w:val="Style35"/>
        <w:keepNext w:val="0"/>
        <w:keepLines w:val="0"/>
        <w:widowControl w:val="0"/>
        <w:numPr>
          <w:ilvl w:val="0"/>
          <w:numId w:val="11"/>
        </w:numPr>
        <w:shd w:val="clear" w:color="auto" w:fill="auto"/>
        <w:bidi w:val="0"/>
        <w:spacing w:before="0" w:after="260" w:line="312" w:lineRule="exact"/>
        <w:ind w:left="0" w:right="0" w:firstLine="540"/>
        <w:jc w:val="both"/>
        <w:rPr>
          <w:sz w:val="20"/>
          <w:szCs w:val="20"/>
        </w:rPr>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192" w:right="959" w:bottom="1690" w:left="1001" w:header="0" w:footer="3" w:gutter="0"/>
          <w:cols w:space="720"/>
          <w:noEndnote/>
          <w:titlePg/>
          <w:rtlGutter w:val="0"/>
          <w:docGrid w:linePitch="360"/>
        </w:sectPr>
      </w:pPr>
      <w:bookmarkStart w:id="541" w:name="bookmark541"/>
      <w:bookmarkEnd w:id="541"/>
      <w:r>
        <w:rPr>
          <w:color w:val="000000"/>
          <w:spacing w:val="0"/>
          <w:w w:val="100"/>
          <w:position w:val="0"/>
          <w:sz w:val="20"/>
          <w:szCs w:val="20"/>
        </w:rPr>
        <w:t>以现金购入的长期股权投资，按照实际支付的全部价款（包括直接相关的费用、税金及其他必要支 出）作为投资成本；实际支付的价款中包含已宣告但尚未领取的现金股利，按实际支付的价款减去已宣告 但尚未领取的现金股利后的差额，作为投资成本；</w:t>
      </w:r>
    </w:p>
    <w:p>
      <w:pPr>
        <w:pStyle w:val="Style35"/>
        <w:keepNext w:val="0"/>
        <w:keepLines w:val="0"/>
        <w:widowControl w:val="0"/>
        <w:numPr>
          <w:ilvl w:val="0"/>
          <w:numId w:val="11"/>
        </w:numPr>
        <w:shd w:val="clear" w:color="auto" w:fill="auto"/>
        <w:tabs>
          <w:tab w:pos="837" w:val="left"/>
        </w:tabs>
        <w:bidi w:val="0"/>
        <w:spacing w:before="0" w:after="260" w:line="317" w:lineRule="exact"/>
        <w:ind w:left="0" w:right="0" w:firstLine="440"/>
        <w:jc w:val="both"/>
        <w:rPr>
          <w:sz w:val="20"/>
          <w:szCs w:val="20"/>
        </w:rPr>
      </w:pPr>
      <w:bookmarkStart w:id="542" w:name="bookmark542"/>
      <w:bookmarkEnd w:id="542"/>
      <w:r>
        <w:rPr>
          <w:color w:val="000000"/>
          <w:spacing w:val="0"/>
          <w:w w:val="100"/>
          <w:position w:val="0"/>
          <w:sz w:val="20"/>
          <w:szCs w:val="20"/>
        </w:rPr>
        <w:t>以发行权益性证券取得的长期股权投资，按照发行权益性证券的公允价值作为投资成本；</w:t>
      </w:r>
    </w:p>
    <w:p>
      <w:pPr>
        <w:pStyle w:val="Style35"/>
        <w:keepNext w:val="0"/>
        <w:keepLines w:val="0"/>
        <w:widowControl w:val="0"/>
        <w:numPr>
          <w:ilvl w:val="0"/>
          <w:numId w:val="11"/>
        </w:numPr>
        <w:shd w:val="clear" w:color="auto" w:fill="auto"/>
        <w:tabs>
          <w:tab w:pos="814" w:val="left"/>
        </w:tabs>
        <w:bidi w:val="0"/>
        <w:spacing w:before="0" w:after="260" w:line="307" w:lineRule="exact"/>
        <w:ind w:left="0" w:right="0" w:firstLine="440"/>
        <w:jc w:val="both"/>
        <w:rPr>
          <w:sz w:val="20"/>
          <w:szCs w:val="20"/>
        </w:rPr>
      </w:pPr>
      <w:bookmarkStart w:id="543" w:name="bookmark543"/>
      <w:bookmarkEnd w:id="543"/>
      <w:r>
        <w:rPr>
          <w:color w:val="000000"/>
          <w:spacing w:val="0"/>
          <w:w w:val="100"/>
          <w:position w:val="0"/>
          <w:sz w:val="20"/>
          <w:szCs w:val="20"/>
        </w:rPr>
        <w:t>投资者投入的长期股权投资，按照投资合同或协议约定的价值作为投资成本，但合同或协议约定价 值不公允的，则以投入股权的公允价值作为投资成本；</w:t>
      </w:r>
    </w:p>
    <w:p>
      <w:pPr>
        <w:pStyle w:val="Style35"/>
        <w:keepNext w:val="0"/>
        <w:keepLines w:val="0"/>
        <w:widowControl w:val="0"/>
        <w:numPr>
          <w:ilvl w:val="0"/>
          <w:numId w:val="11"/>
        </w:numPr>
        <w:shd w:val="clear" w:color="auto" w:fill="auto"/>
        <w:tabs>
          <w:tab w:pos="814" w:val="left"/>
        </w:tabs>
        <w:bidi w:val="0"/>
        <w:spacing w:before="0" w:after="260" w:line="322" w:lineRule="exact"/>
        <w:ind w:left="0" w:right="0" w:firstLine="440"/>
        <w:jc w:val="both"/>
        <w:rPr>
          <w:sz w:val="20"/>
          <w:szCs w:val="20"/>
        </w:rPr>
      </w:pPr>
      <w:bookmarkStart w:id="544" w:name="bookmark544"/>
      <w:bookmarkEnd w:id="544"/>
      <w:r>
        <w:rPr>
          <w:color w:val="000000"/>
          <w:spacing w:val="0"/>
          <w:w w:val="100"/>
          <w:position w:val="0"/>
          <w:sz w:val="20"/>
          <w:szCs w:val="20"/>
        </w:rPr>
        <w:t>通过非货币性资产交换取得的长期股权投资，其投资成本应当按照《企业会计准则第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非货币 性资产交换》确定；</w:t>
      </w:r>
    </w:p>
    <w:p>
      <w:pPr>
        <w:pStyle w:val="Style35"/>
        <w:keepNext w:val="0"/>
        <w:keepLines w:val="0"/>
        <w:widowControl w:val="0"/>
        <w:numPr>
          <w:ilvl w:val="0"/>
          <w:numId w:val="11"/>
        </w:numPr>
        <w:shd w:val="clear" w:color="auto" w:fill="auto"/>
        <w:tabs>
          <w:tab w:pos="810" w:val="left"/>
        </w:tabs>
        <w:bidi w:val="0"/>
        <w:spacing w:before="0" w:after="260" w:line="317" w:lineRule="exact"/>
        <w:ind w:left="0" w:right="0" w:firstLine="440"/>
        <w:jc w:val="both"/>
        <w:rPr>
          <w:sz w:val="20"/>
          <w:szCs w:val="20"/>
        </w:rPr>
      </w:pPr>
      <w:bookmarkStart w:id="545" w:name="bookmark545"/>
      <w:bookmarkEnd w:id="545"/>
      <w:r>
        <w:rPr>
          <w:color w:val="000000"/>
          <w:spacing w:val="0"/>
          <w:w w:val="100"/>
          <w:position w:val="0"/>
          <w:sz w:val="20"/>
          <w:szCs w:val="20"/>
        </w:rPr>
        <w:t>通过债务重组取得的长期股权投资，其投资成本应当按照《企业会计准则第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债务重组》确 定。</w:t>
      </w:r>
    </w:p>
    <w:p>
      <w:pPr>
        <w:pStyle w:val="Style35"/>
        <w:keepNext w:val="0"/>
        <w:keepLines w:val="0"/>
        <w:widowControl w:val="0"/>
        <w:shd w:val="clear" w:color="auto" w:fill="auto"/>
        <w:bidi w:val="0"/>
        <w:spacing w:before="0" w:after="360" w:line="317" w:lineRule="exact"/>
        <w:ind w:left="0" w:right="0" w:firstLine="440"/>
        <w:jc w:val="both"/>
        <w:rPr>
          <w:sz w:val="20"/>
          <w:szCs w:val="20"/>
        </w:rPr>
      </w:pPr>
      <w:r>
        <w:rPr>
          <w:color w:val="000000"/>
          <w:spacing w:val="0"/>
          <w:w w:val="100"/>
          <w:position w:val="0"/>
          <w:sz w:val="20"/>
          <w:szCs w:val="20"/>
        </w:rPr>
        <w:t>本公司对通过企业合并以外其他方式取得的长期股权投资的投资成本大于投资时应享有被投资单位 可辨认净资产公允价值份额的，不调整长期股权投资的投资成本；长期股权投资的投资成本小于投资时应 享有被投资单位可辨认净资产公允价值份额的差额，计入当期损益，同时调整长期股权投资的成本。</w:t>
      </w:r>
    </w:p>
    <w:p>
      <w:pPr>
        <w:pStyle w:val="Style35"/>
        <w:keepNext w:val="0"/>
        <w:keepLines w:val="0"/>
        <w:widowControl w:val="0"/>
        <w:shd w:val="clear" w:color="auto" w:fill="auto"/>
        <w:bidi w:val="0"/>
        <w:spacing w:before="0" w:after="180" w:line="331" w:lineRule="auto"/>
        <w:ind w:left="0" w:right="0" w:firstLine="440"/>
        <w:jc w:val="both"/>
        <w:rPr>
          <w:sz w:val="20"/>
          <w:szCs w:val="20"/>
        </w:rPr>
      </w:pPr>
      <w:bookmarkStart w:id="546" w:name="bookmark546"/>
      <w:r>
        <w:rPr>
          <w:rFonts w:ascii="Times New Roman" w:eastAsia="Times New Roman" w:hAnsi="Times New Roman" w:cs="Times New Roman"/>
          <w:color w:val="000000"/>
          <w:spacing w:val="0"/>
          <w:w w:val="100"/>
          <w:position w:val="0"/>
          <w:sz w:val="20"/>
          <w:szCs w:val="20"/>
        </w:rPr>
        <w:t>2</w:t>
      </w:r>
      <w:bookmarkEnd w:id="546"/>
      <w:r>
        <w:rPr>
          <w:color w:val="000000"/>
          <w:spacing w:val="0"/>
          <w:w w:val="100"/>
          <w:position w:val="0"/>
          <w:sz w:val="20"/>
          <w:szCs w:val="20"/>
        </w:rPr>
        <w:t>、长期股权投资的后续计量</w:t>
      </w:r>
    </w:p>
    <w:p>
      <w:pPr>
        <w:pStyle w:val="Style35"/>
        <w:keepNext w:val="0"/>
        <w:keepLines w:val="0"/>
        <w:widowControl w:val="0"/>
        <w:shd w:val="clear" w:color="auto" w:fill="auto"/>
        <w:tabs>
          <w:tab w:pos="1021" w:val="left"/>
        </w:tabs>
        <w:bidi w:val="0"/>
        <w:spacing w:before="0" w:after="260" w:line="307" w:lineRule="exact"/>
        <w:ind w:left="0" w:right="0" w:firstLine="440"/>
        <w:jc w:val="both"/>
        <w:rPr>
          <w:sz w:val="20"/>
          <w:szCs w:val="20"/>
        </w:rPr>
      </w:pPr>
      <w:bookmarkStart w:id="547" w:name="bookmark547"/>
      <w:r>
        <w:rPr>
          <w:color w:val="000000"/>
          <w:spacing w:val="0"/>
          <w:w w:val="100"/>
          <w:position w:val="0"/>
          <w:sz w:val="20"/>
          <w:szCs w:val="20"/>
        </w:rPr>
        <w:t>（</w:t>
      </w:r>
      <w:bookmarkEnd w:id="54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本公司对子公司的投资，是指本公司对其拥有实际控制权的股权投资。对子公司投资母公司个 别财务报表采用成本法核算，并按权益法纳入合并财务报表范围；</w:t>
      </w:r>
    </w:p>
    <w:p>
      <w:pPr>
        <w:pStyle w:val="Style35"/>
        <w:keepNext w:val="0"/>
        <w:keepLines w:val="0"/>
        <w:widowControl w:val="0"/>
        <w:shd w:val="clear" w:color="auto" w:fill="auto"/>
        <w:tabs>
          <w:tab w:pos="1016" w:val="left"/>
        </w:tabs>
        <w:bidi w:val="0"/>
        <w:spacing w:before="0" w:after="260" w:line="319" w:lineRule="exact"/>
        <w:ind w:left="0" w:right="0" w:firstLine="440"/>
        <w:jc w:val="both"/>
        <w:rPr>
          <w:sz w:val="20"/>
          <w:szCs w:val="20"/>
        </w:rPr>
      </w:pPr>
      <w:bookmarkStart w:id="548" w:name="bookmark548"/>
      <w:r>
        <w:rPr>
          <w:color w:val="000000"/>
          <w:spacing w:val="0"/>
          <w:w w:val="100"/>
          <w:position w:val="0"/>
          <w:sz w:val="20"/>
          <w:szCs w:val="20"/>
        </w:rPr>
        <w:t>（</w:t>
      </w:r>
      <w:bookmarkEnd w:id="54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本公司对合营公司的投资，是指按照合同约定对某项经济活动所共有的控制，仅在与该项经济 活动相关的重要财务和生产经营决策需要分享控制权的投资方一致同意时存在的股权投资。对合营投资本 公司采用权益法核算；</w:t>
      </w:r>
    </w:p>
    <w:p>
      <w:pPr>
        <w:pStyle w:val="Style35"/>
        <w:keepNext w:val="0"/>
        <w:keepLines w:val="0"/>
        <w:widowControl w:val="0"/>
        <w:shd w:val="clear" w:color="auto" w:fill="auto"/>
        <w:tabs>
          <w:tab w:pos="1021" w:val="left"/>
        </w:tabs>
        <w:bidi w:val="0"/>
        <w:spacing w:before="0" w:after="260" w:line="312" w:lineRule="exact"/>
        <w:ind w:left="0" w:right="0" w:firstLine="440"/>
        <w:jc w:val="both"/>
        <w:rPr>
          <w:sz w:val="20"/>
          <w:szCs w:val="20"/>
        </w:rPr>
      </w:pPr>
      <w:bookmarkStart w:id="549" w:name="bookmark549"/>
      <w:r>
        <w:rPr>
          <w:color w:val="000000"/>
          <w:spacing w:val="0"/>
          <w:w w:val="100"/>
          <w:position w:val="0"/>
          <w:sz w:val="20"/>
          <w:szCs w:val="20"/>
        </w:rPr>
        <w:t>（</w:t>
      </w:r>
      <w:bookmarkEnd w:id="54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本公司对联营公司的投资，是指本公司对其具有重大影响的股权投资。对联营投资本公司采用 权益法核算；</w:t>
      </w:r>
    </w:p>
    <w:p>
      <w:pPr>
        <w:pStyle w:val="Style35"/>
        <w:keepNext w:val="0"/>
        <w:keepLines w:val="0"/>
        <w:widowControl w:val="0"/>
        <w:shd w:val="clear" w:color="auto" w:fill="auto"/>
        <w:tabs>
          <w:tab w:pos="1016" w:val="left"/>
        </w:tabs>
        <w:bidi w:val="0"/>
        <w:spacing w:before="0" w:after="260" w:line="326" w:lineRule="exact"/>
        <w:ind w:left="0" w:right="0" w:firstLine="440"/>
        <w:jc w:val="both"/>
        <w:rPr>
          <w:sz w:val="20"/>
          <w:szCs w:val="20"/>
        </w:rPr>
      </w:pPr>
      <w:bookmarkStart w:id="550" w:name="bookmark550"/>
      <w:r>
        <w:rPr>
          <w:color w:val="000000"/>
          <w:spacing w:val="0"/>
          <w:w w:val="100"/>
          <w:position w:val="0"/>
          <w:sz w:val="20"/>
          <w:szCs w:val="20"/>
        </w:rPr>
        <w:t>（</w:t>
      </w:r>
      <w:bookmarkEnd w:id="55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本公司对不具有重大影响，并且在活跃市场中没有报价、公允价值不能可靠计量的长期股权投 资，采用成本法核算。</w:t>
      </w:r>
    </w:p>
    <w:p>
      <w:pPr>
        <w:pStyle w:val="Style44"/>
        <w:keepNext/>
        <w:keepLines/>
        <w:widowControl w:val="0"/>
        <w:shd w:val="clear" w:color="auto" w:fill="auto"/>
        <w:tabs>
          <w:tab w:pos="1597" w:val="left"/>
        </w:tabs>
        <w:bidi w:val="0"/>
        <w:spacing w:before="0" w:after="260" w:line="317" w:lineRule="exact"/>
        <w:ind w:left="0" w:right="0" w:firstLine="440"/>
        <w:jc w:val="both"/>
      </w:pPr>
      <w:bookmarkStart w:id="551" w:name="bookmark551"/>
      <w:bookmarkStart w:id="552" w:name="bookmark552"/>
      <w:bookmarkStart w:id="553" w:name="bookmark553"/>
      <w:r>
        <w:rPr>
          <w:color w:val="000000"/>
          <w:spacing w:val="0"/>
          <w:w w:val="100"/>
          <w:position w:val="0"/>
        </w:rPr>
        <w:t>（十四）</w:t>
        <w:tab/>
        <w:t>固定资产</w:t>
      </w:r>
      <w:bookmarkEnd w:id="551"/>
      <w:bookmarkEnd w:id="552"/>
      <w:bookmarkEnd w:id="553"/>
    </w:p>
    <w:p>
      <w:pPr>
        <w:pStyle w:val="Style35"/>
        <w:keepNext w:val="0"/>
        <w:keepLines w:val="0"/>
        <w:widowControl w:val="0"/>
        <w:shd w:val="clear" w:color="auto" w:fill="auto"/>
        <w:tabs>
          <w:tab w:pos="790" w:val="left"/>
        </w:tabs>
        <w:bidi w:val="0"/>
        <w:spacing w:before="0" w:after="260" w:line="312" w:lineRule="exact"/>
        <w:ind w:left="0" w:right="0" w:firstLine="440"/>
        <w:jc w:val="both"/>
        <w:rPr>
          <w:sz w:val="20"/>
          <w:szCs w:val="20"/>
        </w:rPr>
      </w:pPr>
      <w:bookmarkStart w:id="554" w:name="bookmark554"/>
      <w:r>
        <w:rPr>
          <w:rFonts w:ascii="Times New Roman" w:eastAsia="Times New Roman" w:hAnsi="Times New Roman" w:cs="Times New Roman"/>
          <w:color w:val="000000"/>
          <w:spacing w:val="0"/>
          <w:w w:val="100"/>
          <w:position w:val="0"/>
          <w:sz w:val="20"/>
          <w:szCs w:val="20"/>
        </w:rPr>
        <w:t>1</w:t>
      </w:r>
      <w:bookmarkEnd w:id="554"/>
      <w:r>
        <w:rPr>
          <w:color w:val="000000"/>
          <w:spacing w:val="0"/>
          <w:w w:val="100"/>
          <w:position w:val="0"/>
          <w:sz w:val="20"/>
          <w:szCs w:val="20"/>
        </w:rPr>
        <w:t>、</w:t>
        <w:tab/>
        <w:t>固定资产的确认标准：固定资产是指为生产商品、提供劳务、出租或经营管理而持有的，使用寿 命超过一个会计年度的有形资产。固定资产同时满足下列条件的，本公司予以确认：</w:t>
      </w:r>
    </w:p>
    <w:p>
      <w:pPr>
        <w:pStyle w:val="Style35"/>
        <w:keepNext w:val="0"/>
        <w:keepLines w:val="0"/>
        <w:widowControl w:val="0"/>
        <w:shd w:val="clear" w:color="auto" w:fill="auto"/>
        <w:tabs>
          <w:tab w:pos="948" w:val="left"/>
        </w:tabs>
        <w:bidi w:val="0"/>
        <w:spacing w:before="0" w:after="260" w:line="317" w:lineRule="exact"/>
        <w:ind w:left="0" w:right="0" w:firstLine="440"/>
        <w:jc w:val="both"/>
        <w:rPr>
          <w:sz w:val="20"/>
          <w:szCs w:val="20"/>
        </w:rPr>
      </w:pPr>
      <w:bookmarkStart w:id="555" w:name="bookmark555"/>
      <w:r>
        <w:rPr>
          <w:color w:val="000000"/>
          <w:spacing w:val="0"/>
          <w:w w:val="100"/>
          <w:position w:val="0"/>
          <w:sz w:val="20"/>
          <w:szCs w:val="20"/>
        </w:rPr>
        <w:t>（</w:t>
      </w:r>
      <w:bookmarkEnd w:id="55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与该固定资产有关的经济利益很可能流入企业；</w:t>
      </w:r>
    </w:p>
    <w:p>
      <w:pPr>
        <w:pStyle w:val="Style35"/>
        <w:keepNext w:val="0"/>
        <w:keepLines w:val="0"/>
        <w:widowControl w:val="0"/>
        <w:shd w:val="clear" w:color="auto" w:fill="auto"/>
        <w:tabs>
          <w:tab w:pos="948" w:val="left"/>
        </w:tabs>
        <w:bidi w:val="0"/>
        <w:spacing w:before="0" w:after="360" w:line="317" w:lineRule="exact"/>
        <w:ind w:left="0" w:right="0" w:firstLine="440"/>
        <w:jc w:val="both"/>
        <w:rPr>
          <w:sz w:val="20"/>
          <w:szCs w:val="20"/>
        </w:rPr>
      </w:pPr>
      <w:bookmarkStart w:id="556" w:name="bookmark556"/>
      <w:r>
        <w:rPr>
          <w:color w:val="000000"/>
          <w:spacing w:val="0"/>
          <w:w w:val="100"/>
          <w:position w:val="0"/>
          <w:sz w:val="20"/>
          <w:szCs w:val="20"/>
        </w:rPr>
        <w:t>（</w:t>
      </w:r>
      <w:bookmarkEnd w:id="55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该固定资产的成本能够可靠地计量。</w:t>
      </w:r>
    </w:p>
    <w:p>
      <w:pPr>
        <w:pStyle w:val="Style35"/>
        <w:keepNext w:val="0"/>
        <w:keepLines w:val="0"/>
        <w:widowControl w:val="0"/>
        <w:shd w:val="clear" w:color="auto" w:fill="auto"/>
        <w:tabs>
          <w:tab w:pos="813" w:val="left"/>
        </w:tabs>
        <w:bidi w:val="0"/>
        <w:spacing w:before="0" w:after="260" w:line="331" w:lineRule="auto"/>
        <w:ind w:left="0" w:right="0" w:firstLine="440"/>
        <w:jc w:val="both"/>
        <w:rPr>
          <w:sz w:val="20"/>
          <w:szCs w:val="20"/>
        </w:rPr>
      </w:pPr>
      <w:bookmarkStart w:id="557" w:name="bookmark557"/>
      <w:r>
        <w:rPr>
          <w:rFonts w:ascii="Times New Roman" w:eastAsia="Times New Roman" w:hAnsi="Times New Roman" w:cs="Times New Roman"/>
          <w:color w:val="000000"/>
          <w:spacing w:val="0"/>
          <w:w w:val="100"/>
          <w:position w:val="0"/>
          <w:sz w:val="20"/>
          <w:szCs w:val="20"/>
        </w:rPr>
        <w:t>2</w:t>
      </w:r>
      <w:bookmarkEnd w:id="557"/>
      <w:r>
        <w:rPr>
          <w:color w:val="000000"/>
          <w:spacing w:val="0"/>
          <w:w w:val="100"/>
          <w:position w:val="0"/>
          <w:sz w:val="20"/>
          <w:szCs w:val="20"/>
        </w:rPr>
        <w:t>、</w:t>
        <w:tab/>
        <w:t>固定资产的分类：房屋建筑物、机器设备、运输设备、电子设备。</w:t>
      </w:r>
    </w:p>
    <w:p>
      <w:pPr>
        <w:pStyle w:val="Style35"/>
        <w:keepNext w:val="0"/>
        <w:keepLines w:val="0"/>
        <w:widowControl w:val="0"/>
        <w:shd w:val="clear" w:color="auto" w:fill="auto"/>
        <w:tabs>
          <w:tab w:pos="813" w:val="left"/>
        </w:tabs>
        <w:bidi w:val="0"/>
        <w:spacing w:before="0" w:after="180" w:line="331" w:lineRule="auto"/>
        <w:ind w:left="0" w:right="0" w:firstLine="440"/>
        <w:jc w:val="both"/>
        <w:rPr>
          <w:sz w:val="20"/>
          <w:szCs w:val="20"/>
        </w:rPr>
      </w:pPr>
      <w:bookmarkStart w:id="558" w:name="bookmark558"/>
      <w:r>
        <w:rPr>
          <w:rFonts w:ascii="Times New Roman" w:eastAsia="Times New Roman" w:hAnsi="Times New Roman" w:cs="Times New Roman"/>
          <w:color w:val="000000"/>
          <w:spacing w:val="0"/>
          <w:w w:val="100"/>
          <w:position w:val="0"/>
          <w:sz w:val="20"/>
          <w:szCs w:val="20"/>
        </w:rPr>
        <w:t>3</w:t>
      </w:r>
      <w:bookmarkEnd w:id="558"/>
      <w:r>
        <w:rPr>
          <w:color w:val="000000"/>
          <w:spacing w:val="0"/>
          <w:w w:val="100"/>
          <w:position w:val="0"/>
          <w:sz w:val="20"/>
          <w:szCs w:val="20"/>
        </w:rPr>
        <w:t>、</w:t>
        <w:tab/>
        <w:t>固定资产的初始计量：本公司的固定资产按照成本进行初始计量，具体情况如下：</w:t>
      </w:r>
    </w:p>
    <w:p>
      <w:pPr>
        <w:pStyle w:val="Style35"/>
        <w:keepNext w:val="0"/>
        <w:keepLines w:val="0"/>
        <w:widowControl w:val="0"/>
        <w:shd w:val="clear" w:color="auto" w:fill="auto"/>
        <w:bidi w:val="0"/>
        <w:spacing w:before="0" w:after="260" w:line="307" w:lineRule="exact"/>
        <w:ind w:left="0" w:right="0" w:firstLine="440"/>
        <w:jc w:val="both"/>
        <w:rPr>
          <w:sz w:val="20"/>
          <w:szCs w:val="20"/>
        </w:rPr>
      </w:pPr>
      <w:bookmarkStart w:id="559" w:name="bookmark559"/>
      <w:r>
        <w:rPr>
          <w:color w:val="000000"/>
          <w:spacing w:val="0"/>
          <w:w w:val="100"/>
          <w:position w:val="0"/>
          <w:sz w:val="20"/>
          <w:szCs w:val="20"/>
        </w:rPr>
        <w:t>（</w:t>
      </w:r>
      <w:bookmarkEnd w:id="55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）外购固定资产的成本，包括购买价款、相关税费、使固定资产达到预定可使用状态前所发生的 可归属于该项资产的运输费、装卸费、安装费和专业人员服务费等；</w:t>
      </w:r>
    </w:p>
    <w:p>
      <w:pPr>
        <w:pStyle w:val="Style35"/>
        <w:keepNext w:val="0"/>
        <w:keepLines w:val="0"/>
        <w:widowControl w:val="0"/>
        <w:shd w:val="clear" w:color="auto" w:fill="auto"/>
        <w:tabs>
          <w:tab w:pos="928" w:val="left"/>
        </w:tabs>
        <w:bidi w:val="0"/>
        <w:spacing w:before="0" w:after="260" w:line="317" w:lineRule="exact"/>
        <w:ind w:left="0" w:right="0" w:firstLine="440"/>
        <w:jc w:val="both"/>
        <w:rPr>
          <w:sz w:val="20"/>
          <w:szCs w:val="20"/>
        </w:rPr>
      </w:pPr>
      <w:bookmarkStart w:id="560" w:name="bookmark560"/>
      <w:r>
        <w:rPr>
          <w:color w:val="000000"/>
          <w:spacing w:val="0"/>
          <w:w w:val="100"/>
          <w:position w:val="0"/>
          <w:sz w:val="20"/>
          <w:szCs w:val="20"/>
        </w:rPr>
        <w:t>（</w:t>
      </w:r>
      <w:bookmarkEnd w:id="56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自行建造固定资产的成本，由建造该项资产达到预定可使用状态前所发生的必要支出构成；</w:t>
      </w:r>
    </w:p>
    <w:p>
      <w:pPr>
        <w:pStyle w:val="Style35"/>
        <w:keepNext w:val="0"/>
        <w:keepLines w:val="0"/>
        <w:widowControl w:val="0"/>
        <w:shd w:val="clear" w:color="auto" w:fill="auto"/>
        <w:tabs>
          <w:tab w:pos="1011" w:val="left"/>
        </w:tabs>
        <w:bidi w:val="0"/>
        <w:spacing w:before="0" w:after="260" w:line="322" w:lineRule="exact"/>
        <w:ind w:left="0" w:right="0" w:firstLine="440"/>
        <w:jc w:val="both"/>
        <w:rPr>
          <w:sz w:val="20"/>
          <w:szCs w:val="20"/>
        </w:rPr>
      </w:pPr>
      <w:bookmarkStart w:id="561" w:name="bookmark561"/>
      <w:r>
        <w:rPr>
          <w:color w:val="000000"/>
          <w:spacing w:val="0"/>
          <w:w w:val="100"/>
          <w:position w:val="0"/>
          <w:sz w:val="20"/>
          <w:szCs w:val="20"/>
        </w:rPr>
        <w:t>（</w:t>
      </w:r>
      <w:bookmarkEnd w:id="56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投资者投入固定资产的成本，按照投资合同或协议约定的价值确定，但合同或协议约定价值不 公允的除外；</w:t>
      </w:r>
    </w:p>
    <w:p>
      <w:pPr>
        <w:pStyle w:val="Style35"/>
        <w:keepNext w:val="0"/>
        <w:keepLines w:val="0"/>
        <w:widowControl w:val="0"/>
        <w:shd w:val="clear" w:color="auto" w:fill="auto"/>
        <w:tabs>
          <w:tab w:pos="1021" w:val="left"/>
        </w:tabs>
        <w:bidi w:val="0"/>
        <w:spacing w:before="0" w:after="260" w:line="317" w:lineRule="exact"/>
        <w:ind w:left="0" w:right="0" w:firstLine="440"/>
        <w:jc w:val="both"/>
        <w:rPr>
          <w:sz w:val="20"/>
          <w:szCs w:val="20"/>
        </w:rPr>
      </w:pPr>
      <w:bookmarkStart w:id="562" w:name="bookmark562"/>
      <w:r>
        <w:rPr>
          <w:color w:val="000000"/>
          <w:spacing w:val="0"/>
          <w:w w:val="100"/>
          <w:position w:val="0"/>
          <w:sz w:val="20"/>
          <w:szCs w:val="20"/>
        </w:rPr>
        <w:t>（</w:t>
      </w:r>
      <w:bookmarkEnd w:id="562"/>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非货币性资产交换、债务重组、企业合并和融资租赁（实质上转移了与资产所有权有关的全部 风险和报酬的租赁）取得的固定资产的成本，分别按照《企业会计准则第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非货币性资产交换》、《企 业会计准则第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债务重组》、《企业会计准则第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企业合并》和《企业会计准则第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租赁》 确定。</w:t>
      </w:r>
    </w:p>
    <w:p>
      <w:pPr>
        <w:pStyle w:val="Style35"/>
        <w:keepNext w:val="0"/>
        <w:keepLines w:val="0"/>
        <w:widowControl w:val="0"/>
        <w:shd w:val="clear" w:color="auto" w:fill="auto"/>
        <w:bidi w:val="0"/>
        <w:spacing w:before="0" w:after="260" w:line="317" w:lineRule="exact"/>
        <w:ind w:left="0" w:right="0" w:firstLine="440"/>
        <w:jc w:val="both"/>
        <w:rPr>
          <w:sz w:val="20"/>
          <w:szCs w:val="20"/>
        </w:rPr>
      </w:pPr>
      <w:r>
        <w:rPr>
          <w:color w:val="000000"/>
          <w:spacing w:val="0"/>
          <w:w w:val="100"/>
          <w:position w:val="0"/>
          <w:sz w:val="20"/>
          <w:szCs w:val="20"/>
        </w:rPr>
        <w:t>本公司在确定固定资产成本时，考虑预计弃置费用因素。</w:t>
      </w:r>
    </w:p>
    <w:p>
      <w:pPr>
        <w:pStyle w:val="Style35"/>
        <w:keepNext w:val="0"/>
        <w:keepLines w:val="0"/>
        <w:widowControl w:val="0"/>
        <w:shd w:val="clear" w:color="auto" w:fill="auto"/>
        <w:tabs>
          <w:tab w:pos="822" w:val="left"/>
        </w:tabs>
        <w:bidi w:val="0"/>
        <w:spacing w:before="0" w:after="320" w:line="317" w:lineRule="exact"/>
        <w:ind w:left="0" w:right="0" w:firstLine="440"/>
        <w:jc w:val="both"/>
        <w:rPr>
          <w:sz w:val="20"/>
          <w:szCs w:val="20"/>
        </w:rPr>
      </w:pPr>
      <w:bookmarkStart w:id="563" w:name="bookmark563"/>
      <w:r>
        <w:rPr>
          <w:rFonts w:ascii="Times New Roman" w:eastAsia="Times New Roman" w:hAnsi="Times New Roman" w:cs="Times New Roman"/>
          <w:color w:val="000000"/>
          <w:spacing w:val="0"/>
          <w:w w:val="100"/>
          <w:position w:val="0"/>
          <w:sz w:val="20"/>
          <w:szCs w:val="20"/>
        </w:rPr>
        <w:t>4</w:t>
      </w:r>
      <w:bookmarkEnd w:id="563"/>
      <w:r>
        <w:rPr>
          <w:color w:val="000000"/>
          <w:spacing w:val="0"/>
          <w:w w:val="100"/>
          <w:position w:val="0"/>
          <w:sz w:val="20"/>
          <w:szCs w:val="20"/>
        </w:rPr>
        <w:t>、</w:t>
        <w:tab/>
        <w:t>固定资产的折旧方法：年限平均法。</w:t>
      </w:r>
    </w:p>
    <w:p>
      <w:pPr>
        <w:pStyle w:val="Style30"/>
        <w:keepNext w:val="0"/>
        <w:keepLines w:val="0"/>
        <w:widowControl w:val="0"/>
        <w:shd w:val="clear" w:color="auto" w:fill="auto"/>
        <w:tabs>
          <w:tab w:pos="757" w:val="left"/>
        </w:tabs>
        <w:bidi w:val="0"/>
        <w:spacing w:before="0" w:after="0" w:line="317" w:lineRule="exact"/>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w:t>
        <w:tab/>
        <w:t>各类固定资产的预计使用寿命、预计净残值和折旧率：</w:t>
      </w:r>
    </w:p>
    <w:tbl>
      <w:tblPr>
        <w:tblOverlap w:val="never"/>
        <w:jc w:val="center"/>
        <w:tblLayout w:type="fixed"/>
      </w:tblPr>
      <w:tblGrid>
        <w:gridCol w:w="1747"/>
        <w:gridCol w:w="2165"/>
        <w:gridCol w:w="1882"/>
        <w:gridCol w:w="217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固定资产类别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预计使用年限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残值率</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年折旧率</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房屋建筑物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3.17</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9.50-19.00</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9.50-19.00</w:t>
            </w:r>
          </w:p>
        </w:tc>
      </w:tr>
      <w:tr>
        <w:trPr>
          <w:trHeight w:val="49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电子设备</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本公司采用与自有固定资产相一致的折旧政策计提租赁资产折旧。</w:t>
      </w:r>
    </w:p>
    <w:p>
      <w:pPr>
        <w:widowControl w:val="0"/>
        <w:spacing w:after="259" w:line="1" w:lineRule="exact"/>
      </w:pPr>
    </w:p>
    <w:p>
      <w:pPr>
        <w:pStyle w:val="Style35"/>
        <w:keepNext w:val="0"/>
        <w:keepLines w:val="0"/>
        <w:widowControl w:val="0"/>
        <w:shd w:val="clear" w:color="auto" w:fill="auto"/>
        <w:bidi w:val="0"/>
        <w:spacing w:before="0" w:after="260" w:line="317" w:lineRule="exact"/>
        <w:ind w:left="0" w:right="0" w:firstLine="440"/>
        <w:jc w:val="both"/>
        <w:rPr>
          <w:sz w:val="20"/>
          <w:szCs w:val="20"/>
        </w:rPr>
      </w:pPr>
      <w:bookmarkStart w:id="564" w:name="bookmark564"/>
      <w:r>
        <w:rPr>
          <w:rFonts w:ascii="Times New Roman" w:eastAsia="Times New Roman" w:hAnsi="Times New Roman" w:cs="Times New Roman"/>
          <w:color w:val="000000"/>
          <w:spacing w:val="0"/>
          <w:w w:val="100"/>
          <w:position w:val="0"/>
          <w:sz w:val="20"/>
          <w:szCs w:val="20"/>
        </w:rPr>
        <w:t>6</w:t>
      </w:r>
      <w:bookmarkEnd w:id="564"/>
      <w:r>
        <w:rPr>
          <w:color w:val="000000"/>
          <w:spacing w:val="0"/>
          <w:w w:val="100"/>
          <w:position w:val="0"/>
          <w:sz w:val="20"/>
          <w:szCs w:val="20"/>
        </w:rPr>
        <w:t>、固定资产后续支出的处理原则：本公司对符合上述固定资产确认条件的、与固定资产有关的更新 改造等后续支出，计入固定资产成本，同时将被替换部分的账面价值扣除；对不符合上述固定资产确认条 件的、与固定资产有关的修理费用等后续支出，计入当期损益。</w:t>
      </w:r>
    </w:p>
    <w:p>
      <w:pPr>
        <w:pStyle w:val="Style44"/>
        <w:keepNext/>
        <w:keepLines/>
        <w:widowControl w:val="0"/>
        <w:shd w:val="clear" w:color="auto" w:fill="auto"/>
        <w:tabs>
          <w:tab w:pos="1575" w:val="left"/>
        </w:tabs>
        <w:bidi w:val="0"/>
        <w:spacing w:before="0" w:after="260" w:line="314" w:lineRule="exact"/>
        <w:ind w:left="0" w:right="0" w:firstLine="440"/>
        <w:jc w:val="both"/>
      </w:pPr>
      <w:bookmarkStart w:id="565" w:name="bookmark565"/>
      <w:bookmarkStart w:id="566" w:name="bookmark566"/>
      <w:bookmarkStart w:id="567" w:name="bookmark567"/>
      <w:r>
        <w:rPr>
          <w:color w:val="000000"/>
          <w:spacing w:val="0"/>
          <w:w w:val="100"/>
          <w:position w:val="0"/>
        </w:rPr>
        <w:t>（十五）</w:t>
        <w:tab/>
        <w:t>在建工程</w:t>
      </w:r>
      <w:bookmarkEnd w:id="565"/>
      <w:bookmarkEnd w:id="566"/>
      <w:bookmarkEnd w:id="567"/>
    </w:p>
    <w:p>
      <w:pPr>
        <w:pStyle w:val="Style35"/>
        <w:keepNext w:val="0"/>
        <w:keepLines w:val="0"/>
        <w:widowControl w:val="0"/>
        <w:shd w:val="clear" w:color="auto" w:fill="auto"/>
        <w:tabs>
          <w:tab w:pos="822" w:val="left"/>
        </w:tabs>
        <w:bidi w:val="0"/>
        <w:spacing w:before="0" w:after="260" w:line="312" w:lineRule="exact"/>
        <w:ind w:left="0" w:right="0" w:firstLine="440"/>
        <w:jc w:val="both"/>
        <w:rPr>
          <w:sz w:val="20"/>
          <w:szCs w:val="20"/>
        </w:rPr>
      </w:pPr>
      <w:bookmarkStart w:id="568" w:name="bookmark568"/>
      <w:r>
        <w:rPr>
          <w:rFonts w:ascii="Times New Roman" w:eastAsia="Times New Roman" w:hAnsi="Times New Roman" w:cs="Times New Roman"/>
          <w:color w:val="000000"/>
          <w:spacing w:val="0"/>
          <w:w w:val="100"/>
          <w:position w:val="0"/>
          <w:sz w:val="20"/>
          <w:szCs w:val="20"/>
        </w:rPr>
        <w:t>1</w:t>
      </w:r>
      <w:bookmarkEnd w:id="568"/>
      <w:r>
        <w:rPr>
          <w:color w:val="000000"/>
          <w:spacing w:val="0"/>
          <w:w w:val="100"/>
          <w:position w:val="0"/>
          <w:sz w:val="20"/>
          <w:szCs w:val="20"/>
        </w:rPr>
        <w:t>、</w:t>
        <w:tab/>
        <w:t>在建工程的类别：本公司在建工程指为建造或更新改造固定资产而进行的各项建筑和安装工程， 包括自营的在建工程和发包的在建工程；</w:t>
      </w:r>
    </w:p>
    <w:p>
      <w:pPr>
        <w:pStyle w:val="Style35"/>
        <w:keepNext w:val="0"/>
        <w:keepLines w:val="0"/>
        <w:widowControl w:val="0"/>
        <w:shd w:val="clear" w:color="auto" w:fill="auto"/>
        <w:tabs>
          <w:tab w:pos="822" w:val="left"/>
        </w:tabs>
        <w:bidi w:val="0"/>
        <w:spacing w:before="0" w:after="260" w:line="326" w:lineRule="exact"/>
        <w:ind w:left="0" w:right="0" w:firstLine="440"/>
        <w:jc w:val="both"/>
        <w:rPr>
          <w:sz w:val="20"/>
          <w:szCs w:val="20"/>
        </w:rPr>
      </w:pPr>
      <w:bookmarkStart w:id="569" w:name="bookmark569"/>
      <w:r>
        <w:rPr>
          <w:rFonts w:ascii="Times New Roman" w:eastAsia="Times New Roman" w:hAnsi="Times New Roman" w:cs="Times New Roman"/>
          <w:color w:val="000000"/>
          <w:spacing w:val="0"/>
          <w:w w:val="100"/>
          <w:position w:val="0"/>
          <w:sz w:val="20"/>
          <w:szCs w:val="20"/>
        </w:rPr>
        <w:t>2</w:t>
      </w:r>
      <w:bookmarkEnd w:id="569"/>
      <w:r>
        <w:rPr>
          <w:color w:val="000000"/>
          <w:spacing w:val="0"/>
          <w:w w:val="100"/>
          <w:position w:val="0"/>
          <w:sz w:val="20"/>
          <w:szCs w:val="20"/>
        </w:rPr>
        <w:t>、</w:t>
        <w:tab/>
        <w:t>在建工程的计价：在建工程按成本进行初始计量，工程成本包括在建期间发生的各项工程支出以 及符合资本化条件的借款费用等；</w:t>
      </w:r>
    </w:p>
    <w:p>
      <w:pPr>
        <w:pStyle w:val="Style35"/>
        <w:keepNext w:val="0"/>
        <w:keepLines w:val="0"/>
        <w:widowControl w:val="0"/>
        <w:shd w:val="clear" w:color="auto" w:fill="auto"/>
        <w:tabs>
          <w:tab w:pos="822" w:val="left"/>
        </w:tabs>
        <w:bidi w:val="0"/>
        <w:spacing w:before="0" w:after="260" w:line="310" w:lineRule="exact"/>
        <w:ind w:left="0" w:right="0" w:firstLine="440"/>
        <w:jc w:val="both"/>
        <w:rPr>
          <w:sz w:val="20"/>
          <w:szCs w:val="20"/>
        </w:rPr>
      </w:pPr>
      <w:bookmarkStart w:id="570" w:name="bookmark570"/>
      <w:r>
        <w:rPr>
          <w:rFonts w:ascii="Times New Roman" w:eastAsia="Times New Roman" w:hAnsi="Times New Roman" w:cs="Times New Roman"/>
          <w:color w:val="000000"/>
          <w:spacing w:val="0"/>
          <w:w w:val="100"/>
          <w:position w:val="0"/>
          <w:sz w:val="20"/>
          <w:szCs w:val="20"/>
        </w:rPr>
        <w:t>3</w:t>
      </w:r>
      <w:bookmarkEnd w:id="570"/>
      <w:r>
        <w:rPr>
          <w:color w:val="000000"/>
          <w:spacing w:val="0"/>
          <w:w w:val="100"/>
          <w:position w:val="0"/>
          <w:sz w:val="20"/>
          <w:szCs w:val="20"/>
        </w:rPr>
        <w:t>、</w:t>
        <w:tab/>
        <w:t>在建工程结转固定资产的时点：本公司在工程完工、验收合格交付使用的当月结转固定资产。对 已达到预定可使用状态但尚未办理竣工决算的固定资产，按照估计价值确定其成本，并计提折旧；待办理 竣工结算后，按实际成本调整原来的暂估价值，但不调整原已计提的折旧额。</w:t>
      </w:r>
    </w:p>
    <w:p>
      <w:pPr>
        <w:pStyle w:val="Style44"/>
        <w:keepNext/>
        <w:keepLines/>
        <w:widowControl w:val="0"/>
        <w:shd w:val="clear" w:color="auto" w:fill="auto"/>
        <w:tabs>
          <w:tab w:pos="1575" w:val="left"/>
        </w:tabs>
        <w:bidi w:val="0"/>
        <w:spacing w:before="0" w:after="260" w:line="314" w:lineRule="exact"/>
        <w:ind w:left="0" w:right="0" w:firstLine="440"/>
        <w:jc w:val="both"/>
      </w:pPr>
      <w:bookmarkStart w:id="571" w:name="bookmark571"/>
      <w:bookmarkStart w:id="572" w:name="bookmark572"/>
      <w:bookmarkStart w:id="573" w:name="bookmark573"/>
      <w:r>
        <w:rPr>
          <w:color w:val="000000"/>
          <w:spacing w:val="0"/>
          <w:w w:val="100"/>
          <w:position w:val="0"/>
        </w:rPr>
        <w:t>（十六）</w:t>
        <w:tab/>
        <w:t>无形资产</w:t>
      </w:r>
      <w:bookmarkEnd w:id="571"/>
      <w:bookmarkEnd w:id="572"/>
      <w:bookmarkEnd w:id="573"/>
    </w:p>
    <w:p>
      <w:pPr>
        <w:pStyle w:val="Style35"/>
        <w:keepNext w:val="0"/>
        <w:keepLines w:val="0"/>
        <w:widowControl w:val="0"/>
        <w:shd w:val="clear" w:color="auto" w:fill="auto"/>
        <w:bidi w:val="0"/>
        <w:spacing w:before="0" w:after="260" w:line="314" w:lineRule="exact"/>
        <w:ind w:left="0" w:right="0" w:firstLine="440"/>
        <w:jc w:val="both"/>
        <w:rPr>
          <w:sz w:val="20"/>
          <w:szCs w:val="20"/>
        </w:rPr>
      </w:pPr>
      <w:bookmarkStart w:id="574" w:name="bookmark574"/>
      <w:r>
        <w:rPr>
          <w:rFonts w:ascii="Times New Roman" w:eastAsia="Times New Roman" w:hAnsi="Times New Roman" w:cs="Times New Roman"/>
          <w:color w:val="000000"/>
          <w:spacing w:val="0"/>
          <w:w w:val="100"/>
          <w:position w:val="0"/>
          <w:sz w:val="20"/>
          <w:szCs w:val="20"/>
        </w:rPr>
        <w:t>1</w:t>
      </w:r>
      <w:bookmarkEnd w:id="574"/>
      <w:r>
        <w:rPr>
          <w:color w:val="000000"/>
          <w:spacing w:val="0"/>
          <w:w w:val="100"/>
          <w:position w:val="0"/>
          <w:sz w:val="20"/>
          <w:szCs w:val="20"/>
        </w:rPr>
        <w:t>、本公司对无形资产按照成本进行初始计量，具体方法如下：</w:t>
      </w:r>
    </w:p>
    <w:p>
      <w:pPr>
        <w:pStyle w:val="Style35"/>
        <w:keepNext w:val="0"/>
        <w:keepLines w:val="0"/>
        <w:widowControl w:val="0"/>
        <w:shd w:val="clear" w:color="auto" w:fill="auto"/>
        <w:bidi w:val="0"/>
        <w:spacing w:before="0" w:after="260" w:line="314" w:lineRule="exact"/>
        <w:ind w:left="0" w:right="0" w:firstLine="440"/>
        <w:jc w:val="both"/>
        <w:rPr>
          <w:sz w:val="20"/>
          <w:szCs w:val="20"/>
        </w:rPr>
      </w:pPr>
      <w:bookmarkStart w:id="575" w:name="bookmark575"/>
      <w:r>
        <w:rPr>
          <w:color w:val="000000"/>
          <w:spacing w:val="0"/>
          <w:w w:val="100"/>
          <w:position w:val="0"/>
          <w:sz w:val="20"/>
          <w:szCs w:val="20"/>
        </w:rPr>
        <w:t>（</w:t>
      </w:r>
      <w:bookmarkEnd w:id="57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）购入的无形资产的成本，包括购买价款、相关税费及直接归属于使该项资产达到预定用途所发 </w:t>
      </w:r>
      <w:r>
        <w:rPr>
          <w:color w:val="000000"/>
          <w:spacing w:val="0"/>
          <w:w w:val="100"/>
          <w:position w:val="0"/>
          <w:sz w:val="20"/>
          <w:szCs w:val="20"/>
        </w:rPr>
        <w:t>生的其他支出；购买无形资产的价款超过正常信用条件延期支付，且实质上具有融资性质的，无形资产的 成本以购买价款的现值为基础确定；</w:t>
      </w:r>
    </w:p>
    <w:p>
      <w:pPr>
        <w:pStyle w:val="Style35"/>
        <w:keepNext w:val="0"/>
        <w:keepLines w:val="0"/>
        <w:widowControl w:val="0"/>
        <w:shd w:val="clear" w:color="auto" w:fill="auto"/>
        <w:tabs>
          <w:tab w:pos="1001" w:val="left"/>
        </w:tabs>
        <w:bidi w:val="0"/>
        <w:spacing w:before="0" w:after="260" w:line="322" w:lineRule="exact"/>
        <w:ind w:left="0" w:right="0" w:firstLine="440"/>
        <w:jc w:val="both"/>
        <w:rPr>
          <w:sz w:val="20"/>
          <w:szCs w:val="20"/>
        </w:rPr>
      </w:pPr>
      <w:bookmarkStart w:id="576" w:name="bookmark576"/>
      <w:r>
        <w:rPr>
          <w:color w:val="000000"/>
          <w:spacing w:val="0"/>
          <w:w w:val="100"/>
          <w:position w:val="0"/>
          <w:sz w:val="20"/>
          <w:szCs w:val="20"/>
        </w:rPr>
        <w:t>（</w:t>
      </w:r>
      <w:bookmarkEnd w:id="5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自行开发的无形资产的成本，按满足资本化条件的时点至达到预定用途前发生的支出总额确定, 但对于以前期间已经费用化的支出不再调整；</w:t>
      </w:r>
    </w:p>
    <w:p>
      <w:pPr>
        <w:pStyle w:val="Style35"/>
        <w:keepNext w:val="0"/>
        <w:keepLines w:val="0"/>
        <w:widowControl w:val="0"/>
        <w:shd w:val="clear" w:color="auto" w:fill="auto"/>
        <w:tabs>
          <w:tab w:pos="992" w:val="left"/>
        </w:tabs>
        <w:bidi w:val="0"/>
        <w:spacing w:before="0" w:after="260" w:line="326" w:lineRule="exact"/>
        <w:ind w:left="0" w:right="0" w:firstLine="440"/>
        <w:jc w:val="both"/>
        <w:rPr>
          <w:sz w:val="20"/>
          <w:szCs w:val="20"/>
        </w:rPr>
      </w:pPr>
      <w:bookmarkStart w:id="577" w:name="bookmark577"/>
      <w:r>
        <w:rPr>
          <w:color w:val="000000"/>
          <w:spacing w:val="0"/>
          <w:w w:val="100"/>
          <w:position w:val="0"/>
          <w:sz w:val="20"/>
          <w:szCs w:val="20"/>
        </w:rPr>
        <w:t>（</w:t>
      </w:r>
      <w:bookmarkEnd w:id="57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投资者投入的无形资产的成本，按投资合同或协议约定的价值确定，但合同或协议约定价值不 公允的除外；</w:t>
      </w:r>
    </w:p>
    <w:p>
      <w:pPr>
        <w:pStyle w:val="Style35"/>
        <w:keepNext w:val="0"/>
        <w:keepLines w:val="0"/>
        <w:widowControl w:val="0"/>
        <w:shd w:val="clear" w:color="auto" w:fill="auto"/>
        <w:tabs>
          <w:tab w:pos="1001" w:val="left"/>
        </w:tabs>
        <w:bidi w:val="0"/>
        <w:spacing w:before="0" w:after="360" w:line="312" w:lineRule="exact"/>
        <w:ind w:left="0" w:right="0" w:firstLine="440"/>
        <w:jc w:val="both"/>
        <w:rPr>
          <w:sz w:val="20"/>
          <w:szCs w:val="20"/>
        </w:rPr>
      </w:pPr>
      <w:bookmarkStart w:id="578" w:name="bookmark578"/>
      <w:r>
        <w:rPr>
          <w:color w:val="000000"/>
          <w:spacing w:val="0"/>
          <w:w w:val="100"/>
          <w:position w:val="0"/>
          <w:sz w:val="20"/>
          <w:szCs w:val="20"/>
        </w:rPr>
        <w:t>（</w:t>
      </w:r>
      <w:bookmarkEnd w:id="57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非货币性资产交换、债务重组、政府补助和企业合并取得的无形资产的成本，分别按《企业会 计准则第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非货币性资产交换》、《企业会计准则第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债务重组》、《企业会计准则第</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政府补 助》和《企业会计准则第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企业合并》的相关规定确定。</w:t>
      </w:r>
    </w:p>
    <w:p>
      <w:pPr>
        <w:pStyle w:val="Style35"/>
        <w:keepNext w:val="0"/>
        <w:keepLines w:val="0"/>
        <w:widowControl w:val="0"/>
        <w:shd w:val="clear" w:color="auto" w:fill="auto"/>
        <w:tabs>
          <w:tab w:pos="793" w:val="left"/>
        </w:tabs>
        <w:bidi w:val="0"/>
        <w:spacing w:before="0" w:after="180" w:line="329" w:lineRule="auto"/>
        <w:ind w:left="0" w:right="0" w:firstLine="440"/>
        <w:jc w:val="both"/>
        <w:rPr>
          <w:sz w:val="20"/>
          <w:szCs w:val="20"/>
        </w:rPr>
      </w:pPr>
      <w:bookmarkStart w:id="579" w:name="bookmark579"/>
      <w:r>
        <w:rPr>
          <w:rFonts w:ascii="Times New Roman" w:eastAsia="Times New Roman" w:hAnsi="Times New Roman" w:cs="Times New Roman"/>
          <w:color w:val="000000"/>
          <w:spacing w:val="0"/>
          <w:w w:val="100"/>
          <w:position w:val="0"/>
          <w:sz w:val="20"/>
          <w:szCs w:val="20"/>
        </w:rPr>
        <w:t>2</w:t>
      </w:r>
      <w:bookmarkEnd w:id="579"/>
      <w:r>
        <w:rPr>
          <w:color w:val="000000"/>
          <w:spacing w:val="0"/>
          <w:w w:val="100"/>
          <w:position w:val="0"/>
          <w:sz w:val="20"/>
          <w:szCs w:val="20"/>
        </w:rPr>
        <w:t>、</w:t>
        <w:tab/>
        <w:t>本公司对内部研究开发无形资产的计量原则和会计处理如下：</w:t>
      </w:r>
    </w:p>
    <w:p>
      <w:pPr>
        <w:pStyle w:val="Style35"/>
        <w:keepNext w:val="0"/>
        <w:keepLines w:val="0"/>
        <w:widowControl w:val="0"/>
        <w:shd w:val="clear" w:color="auto" w:fill="auto"/>
        <w:tabs>
          <w:tab w:pos="1001" w:val="left"/>
        </w:tabs>
        <w:bidi w:val="0"/>
        <w:spacing w:before="0" w:after="260" w:line="312" w:lineRule="exact"/>
        <w:ind w:left="0" w:right="0" w:firstLine="440"/>
        <w:jc w:val="both"/>
        <w:rPr>
          <w:sz w:val="20"/>
          <w:szCs w:val="20"/>
        </w:rPr>
      </w:pPr>
      <w:bookmarkStart w:id="580" w:name="bookmark580"/>
      <w:r>
        <w:rPr>
          <w:color w:val="000000"/>
          <w:spacing w:val="0"/>
          <w:w w:val="100"/>
          <w:position w:val="0"/>
          <w:sz w:val="20"/>
          <w:szCs w:val="20"/>
        </w:rPr>
        <w:t>（</w:t>
      </w:r>
      <w:bookmarkEnd w:id="58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本公司将企业内部研究开发项目的支出区分为研究阶段支出和开发阶段支出，研究阶段支出是 指为获取并理解新的科学或技术知识而进行的独创性的有计划调查阶段而发生的支出；开发阶段支出是指 在进行商业性生产或使用前，将研究成果或其他知识应用于某项计划或设计，以生产出新的或具有实质性 改进的材料、装置、产品等阶段而发生的支出。</w:t>
      </w:r>
    </w:p>
    <w:p>
      <w:pPr>
        <w:pStyle w:val="Style35"/>
        <w:keepNext w:val="0"/>
        <w:keepLines w:val="0"/>
        <w:widowControl w:val="0"/>
        <w:shd w:val="clear" w:color="auto" w:fill="auto"/>
        <w:tabs>
          <w:tab w:pos="987" w:val="left"/>
        </w:tabs>
        <w:bidi w:val="0"/>
        <w:spacing w:before="0" w:after="260" w:line="326" w:lineRule="exact"/>
        <w:ind w:left="0" w:right="0" w:firstLine="440"/>
        <w:jc w:val="both"/>
        <w:rPr>
          <w:sz w:val="20"/>
          <w:szCs w:val="20"/>
        </w:rPr>
      </w:pPr>
      <w:bookmarkStart w:id="581" w:name="bookmark581"/>
      <w:r>
        <w:rPr>
          <w:color w:val="000000"/>
          <w:spacing w:val="0"/>
          <w:w w:val="100"/>
          <w:position w:val="0"/>
          <w:sz w:val="20"/>
          <w:szCs w:val="20"/>
        </w:rPr>
        <w:t>（</w:t>
      </w:r>
      <w:bookmarkEnd w:id="58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本公司对研究阶段的支出，于发生时计入当期损益；对开发阶段的支出，在同时满足下列条件 时确认为无形资产，不同时满足下列条件的确认为损益：</w:t>
      </w:r>
    </w:p>
    <w:p>
      <w:pPr>
        <w:pStyle w:val="Style35"/>
        <w:keepNext w:val="0"/>
        <w:keepLines w:val="0"/>
        <w:widowControl w:val="0"/>
        <w:numPr>
          <w:ilvl w:val="0"/>
          <w:numId w:val="13"/>
        </w:numPr>
        <w:shd w:val="clear" w:color="auto" w:fill="auto"/>
        <w:tabs>
          <w:tab w:pos="813" w:val="left"/>
        </w:tabs>
        <w:bidi w:val="0"/>
        <w:spacing w:before="0" w:after="260" w:line="315" w:lineRule="exact"/>
        <w:ind w:left="0" w:right="0" w:firstLine="440"/>
        <w:jc w:val="both"/>
        <w:rPr>
          <w:sz w:val="20"/>
          <w:szCs w:val="20"/>
        </w:rPr>
      </w:pPr>
      <w:bookmarkStart w:id="582" w:name="bookmark582"/>
      <w:bookmarkEnd w:id="582"/>
      <w:r>
        <w:rPr>
          <w:color w:val="000000"/>
          <w:spacing w:val="0"/>
          <w:w w:val="100"/>
          <w:position w:val="0"/>
          <w:sz w:val="20"/>
          <w:szCs w:val="20"/>
        </w:rPr>
        <w:t>完成该无形资产以使其能够使用或出售在技术上具有可行性；</w:t>
      </w:r>
    </w:p>
    <w:p>
      <w:pPr>
        <w:pStyle w:val="Style35"/>
        <w:keepNext w:val="0"/>
        <w:keepLines w:val="0"/>
        <w:widowControl w:val="0"/>
        <w:numPr>
          <w:ilvl w:val="0"/>
          <w:numId w:val="13"/>
        </w:numPr>
        <w:shd w:val="clear" w:color="auto" w:fill="auto"/>
        <w:tabs>
          <w:tab w:pos="817" w:val="left"/>
        </w:tabs>
        <w:bidi w:val="0"/>
        <w:spacing w:before="0" w:after="260" w:line="315" w:lineRule="exact"/>
        <w:ind w:left="0" w:right="0" w:firstLine="440"/>
        <w:jc w:val="both"/>
        <w:rPr>
          <w:sz w:val="20"/>
          <w:szCs w:val="20"/>
        </w:rPr>
      </w:pPr>
      <w:bookmarkStart w:id="583" w:name="bookmark583"/>
      <w:bookmarkEnd w:id="583"/>
      <w:r>
        <w:rPr>
          <w:color w:val="000000"/>
          <w:spacing w:val="0"/>
          <w:w w:val="100"/>
          <w:position w:val="0"/>
          <w:sz w:val="20"/>
          <w:szCs w:val="20"/>
        </w:rPr>
        <w:t>具有完成该无形资产并使用或出售的意图；</w:t>
      </w:r>
    </w:p>
    <w:p>
      <w:pPr>
        <w:pStyle w:val="Style35"/>
        <w:keepNext w:val="0"/>
        <w:keepLines w:val="0"/>
        <w:widowControl w:val="0"/>
        <w:numPr>
          <w:ilvl w:val="0"/>
          <w:numId w:val="13"/>
        </w:numPr>
        <w:shd w:val="clear" w:color="auto" w:fill="auto"/>
        <w:tabs>
          <w:tab w:pos="795" w:val="left"/>
        </w:tabs>
        <w:bidi w:val="0"/>
        <w:spacing w:before="0" w:after="260" w:line="307" w:lineRule="exact"/>
        <w:ind w:left="0" w:right="0" w:firstLine="440"/>
        <w:jc w:val="both"/>
        <w:rPr>
          <w:sz w:val="20"/>
          <w:szCs w:val="20"/>
        </w:rPr>
      </w:pPr>
      <w:bookmarkStart w:id="584" w:name="bookmark584"/>
      <w:bookmarkEnd w:id="584"/>
      <w:r>
        <w:rPr>
          <w:color w:val="000000"/>
          <w:spacing w:val="0"/>
          <w:w w:val="100"/>
          <w:position w:val="0"/>
          <w:sz w:val="20"/>
          <w:szCs w:val="20"/>
        </w:rPr>
        <w:t>无形资产产生经济利益的方式，包括能够证明运用该无形资产生产的产品存在市场或无形资产自身 存在市场，无形资产将在内部使用的，应当证明其有用性；</w:t>
      </w:r>
    </w:p>
    <w:p>
      <w:pPr>
        <w:pStyle w:val="Style35"/>
        <w:keepNext w:val="0"/>
        <w:keepLines w:val="0"/>
        <w:widowControl w:val="0"/>
        <w:numPr>
          <w:ilvl w:val="0"/>
          <w:numId w:val="13"/>
        </w:numPr>
        <w:shd w:val="clear" w:color="auto" w:fill="auto"/>
        <w:tabs>
          <w:tab w:pos="790" w:val="left"/>
        </w:tabs>
        <w:bidi w:val="0"/>
        <w:spacing w:before="0" w:after="260" w:line="298" w:lineRule="exact"/>
        <w:ind w:left="0" w:right="0" w:firstLine="440"/>
        <w:jc w:val="both"/>
        <w:rPr>
          <w:sz w:val="20"/>
          <w:szCs w:val="20"/>
        </w:rPr>
      </w:pPr>
      <w:bookmarkStart w:id="585" w:name="bookmark585"/>
      <w:bookmarkEnd w:id="585"/>
      <w:r>
        <w:rPr>
          <w:color w:val="000000"/>
          <w:spacing w:val="0"/>
          <w:w w:val="100"/>
          <w:position w:val="0"/>
          <w:sz w:val="20"/>
          <w:szCs w:val="20"/>
        </w:rPr>
        <w:t>有足够的技术、财务资源和其他资源支持，以完成该无形资产的开发，并有能力使用或出售该无形 资产；</w:t>
      </w:r>
    </w:p>
    <w:p>
      <w:pPr>
        <w:pStyle w:val="Style35"/>
        <w:keepNext w:val="0"/>
        <w:keepLines w:val="0"/>
        <w:widowControl w:val="0"/>
        <w:numPr>
          <w:ilvl w:val="0"/>
          <w:numId w:val="13"/>
        </w:numPr>
        <w:shd w:val="clear" w:color="auto" w:fill="auto"/>
        <w:tabs>
          <w:tab w:pos="817" w:val="left"/>
        </w:tabs>
        <w:bidi w:val="0"/>
        <w:spacing w:before="0" w:after="360" w:line="315" w:lineRule="exact"/>
        <w:ind w:left="0" w:right="0" w:firstLine="440"/>
        <w:jc w:val="both"/>
        <w:rPr>
          <w:sz w:val="20"/>
          <w:szCs w:val="20"/>
        </w:rPr>
      </w:pPr>
      <w:bookmarkStart w:id="586" w:name="bookmark586"/>
      <w:bookmarkEnd w:id="586"/>
      <w:r>
        <w:rPr>
          <w:color w:val="000000"/>
          <w:spacing w:val="0"/>
          <w:w w:val="100"/>
          <w:position w:val="0"/>
          <w:sz w:val="20"/>
          <w:szCs w:val="20"/>
        </w:rPr>
        <w:t>归属于该无形资产开发阶段的支出能够可靠地计量。</w:t>
      </w:r>
    </w:p>
    <w:p>
      <w:pPr>
        <w:pStyle w:val="Style35"/>
        <w:keepNext w:val="0"/>
        <w:keepLines w:val="0"/>
        <w:widowControl w:val="0"/>
        <w:shd w:val="clear" w:color="auto" w:fill="auto"/>
        <w:tabs>
          <w:tab w:pos="793" w:val="left"/>
        </w:tabs>
        <w:bidi w:val="0"/>
        <w:spacing w:before="0" w:after="180" w:line="329" w:lineRule="auto"/>
        <w:ind w:left="0" w:right="0" w:firstLine="440"/>
        <w:jc w:val="both"/>
        <w:rPr>
          <w:sz w:val="20"/>
          <w:szCs w:val="20"/>
        </w:rPr>
      </w:pPr>
      <w:bookmarkStart w:id="587" w:name="bookmark587"/>
      <w:r>
        <w:rPr>
          <w:rFonts w:ascii="Times New Roman" w:eastAsia="Times New Roman" w:hAnsi="Times New Roman" w:cs="Times New Roman"/>
          <w:color w:val="000000"/>
          <w:spacing w:val="0"/>
          <w:w w:val="100"/>
          <w:position w:val="0"/>
          <w:sz w:val="20"/>
          <w:szCs w:val="20"/>
        </w:rPr>
        <w:t>3</w:t>
      </w:r>
      <w:bookmarkEnd w:id="587"/>
      <w:r>
        <w:rPr>
          <w:color w:val="000000"/>
          <w:spacing w:val="0"/>
          <w:w w:val="100"/>
          <w:position w:val="0"/>
          <w:sz w:val="20"/>
          <w:szCs w:val="20"/>
        </w:rPr>
        <w:t>、</w:t>
        <w:tab/>
        <w:t>本公司对无形资产使用寿命的估计情况如下：</w:t>
      </w:r>
    </w:p>
    <w:p>
      <w:pPr>
        <w:pStyle w:val="Style35"/>
        <w:keepNext w:val="0"/>
        <w:keepLines w:val="0"/>
        <w:widowControl w:val="0"/>
        <w:shd w:val="clear" w:color="auto" w:fill="auto"/>
        <w:bidi w:val="0"/>
        <w:spacing w:before="0" w:after="260" w:line="315" w:lineRule="exact"/>
        <w:ind w:left="0" w:right="0" w:firstLine="440"/>
        <w:jc w:val="both"/>
        <w:rPr>
          <w:sz w:val="20"/>
          <w:szCs w:val="20"/>
        </w:rPr>
      </w:pPr>
      <w:r>
        <w:rPr>
          <w:color w:val="000000"/>
          <w:spacing w:val="0"/>
          <w:w w:val="100"/>
          <w:position w:val="0"/>
          <w:sz w:val="20"/>
          <w:szCs w:val="20"/>
        </w:rPr>
        <w:t>本公司对来源于合同性权利或其他法定权利的无形资产，认定其使用寿命不超过合同性权利或其他法 定权利的期限；对合同或法律没有规定使用寿命的无形资产，通常综合各方面因素判断（如与同行业比较、 参考历史经验，或聘用相关专家进行论证等），确定无形资产为公司带来经济利益的期限。无法合理确定 无形资产为公司带来经济利益期限的，本公司将其视为使用寿命不确定的无形资产。</w:t>
      </w:r>
    </w:p>
    <w:p>
      <w:pPr>
        <w:pStyle w:val="Style35"/>
        <w:keepNext w:val="0"/>
        <w:keepLines w:val="0"/>
        <w:widowControl w:val="0"/>
        <w:shd w:val="clear" w:color="auto" w:fill="auto"/>
        <w:tabs>
          <w:tab w:pos="771" w:val="left"/>
        </w:tabs>
        <w:bidi w:val="0"/>
        <w:spacing w:before="0" w:after="260" w:line="318" w:lineRule="exact"/>
        <w:ind w:left="0" w:right="0" w:firstLine="440"/>
        <w:jc w:val="both"/>
        <w:rPr>
          <w:sz w:val="20"/>
          <w:szCs w:val="20"/>
        </w:rPr>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0" w:h="16840"/>
          <w:pgMar w:top="1192" w:right="959" w:bottom="1690" w:left="1001" w:header="0" w:footer="3" w:gutter="0"/>
          <w:cols w:space="720"/>
          <w:noEndnote/>
          <w:titlePg/>
          <w:rtlGutter w:val="0"/>
          <w:docGrid w:linePitch="360"/>
        </w:sectPr>
      </w:pPr>
      <w:bookmarkStart w:id="588" w:name="bookmark588"/>
      <w:r>
        <w:rPr>
          <w:rFonts w:ascii="Times New Roman" w:eastAsia="Times New Roman" w:hAnsi="Times New Roman" w:cs="Times New Roman"/>
          <w:color w:val="000000"/>
          <w:spacing w:val="0"/>
          <w:w w:val="100"/>
          <w:position w:val="0"/>
          <w:sz w:val="20"/>
          <w:szCs w:val="20"/>
        </w:rPr>
        <w:t>4</w:t>
      </w:r>
      <w:bookmarkEnd w:id="588"/>
      <w:r>
        <w:rPr>
          <w:color w:val="000000"/>
          <w:spacing w:val="0"/>
          <w:w w:val="100"/>
          <w:position w:val="0"/>
          <w:sz w:val="20"/>
          <w:szCs w:val="20"/>
        </w:rPr>
        <w:t>、</w:t>
        <w:tab/>
        <w:t>本公司对使用寿命有限的无形资产自其可供使用时起至不再作为无形资产确认时止在无形资产使 用寿命内采用直线法摊销，即按预计使用年限、合同规定的受益年限和法律规定的有效年限三者中最短者 分期平均摊销。摊销金额按其受益对象计入相关资产成本和当期损益。本公司对已提减值准备的无形资产 计算应摊销金额时，还需扣除该无形资产已计提的减值准备累计金额。</w:t>
      </w:r>
    </w:p>
    <w:p>
      <w:pPr>
        <w:pStyle w:val="Style35"/>
        <w:keepNext w:val="0"/>
        <w:keepLines w:val="0"/>
        <w:widowControl w:val="0"/>
        <w:shd w:val="clear" w:color="auto" w:fill="auto"/>
        <w:bidi w:val="0"/>
        <w:spacing w:before="0" w:after="260" w:line="322" w:lineRule="exact"/>
        <w:ind w:left="0" w:right="0" w:firstLine="440"/>
        <w:jc w:val="both"/>
        <w:rPr>
          <w:sz w:val="20"/>
          <w:szCs w:val="20"/>
        </w:rPr>
      </w:pPr>
      <w:r>
        <w:rPr>
          <w:color w:val="000000"/>
          <w:spacing w:val="0"/>
          <w:w w:val="100"/>
          <w:position w:val="0"/>
          <w:sz w:val="20"/>
          <w:szCs w:val="20"/>
        </w:rPr>
        <w:t>对于使用寿命不确定的无形资产，本公司不对其进行摊销，但在每个会计期末，对该部分无形资产的 使用寿命进行复核，如使用寿命仍不能确定，则对其进行减值测试。</w:t>
      </w:r>
    </w:p>
    <w:p>
      <w:pPr>
        <w:pStyle w:val="Style44"/>
        <w:keepNext/>
        <w:keepLines/>
        <w:widowControl w:val="0"/>
        <w:shd w:val="clear" w:color="auto" w:fill="auto"/>
        <w:tabs>
          <w:tab w:pos="1573" w:val="left"/>
        </w:tabs>
        <w:bidi w:val="0"/>
        <w:spacing w:before="0" w:after="360" w:line="315" w:lineRule="exact"/>
        <w:ind w:left="0" w:right="0" w:firstLine="440"/>
        <w:jc w:val="both"/>
      </w:pPr>
      <w:bookmarkStart w:id="589" w:name="bookmark589"/>
      <w:bookmarkStart w:id="590" w:name="bookmark590"/>
      <w:bookmarkStart w:id="591" w:name="bookmark591"/>
      <w:r>
        <w:rPr>
          <w:color w:val="000000"/>
          <w:spacing w:val="0"/>
          <w:w w:val="100"/>
          <w:position w:val="0"/>
        </w:rPr>
        <w:t>（十七）</w:t>
        <w:tab/>
        <w:t>除存货及金融资产外，其他主要类别资产的资产减值准备确定方法</w:t>
      </w:r>
      <w:bookmarkEnd w:id="589"/>
      <w:bookmarkEnd w:id="590"/>
      <w:bookmarkEnd w:id="591"/>
    </w:p>
    <w:p>
      <w:pPr>
        <w:pStyle w:val="Style35"/>
        <w:keepNext w:val="0"/>
        <w:keepLines w:val="0"/>
        <w:widowControl w:val="0"/>
        <w:shd w:val="clear" w:color="auto" w:fill="auto"/>
        <w:tabs>
          <w:tab w:pos="870" w:val="left"/>
        </w:tabs>
        <w:bidi w:val="0"/>
        <w:spacing w:before="0" w:after="160" w:line="329" w:lineRule="auto"/>
        <w:ind w:left="0" w:right="0" w:firstLine="440"/>
        <w:jc w:val="both"/>
        <w:rPr>
          <w:sz w:val="20"/>
          <w:szCs w:val="20"/>
        </w:rPr>
      </w:pPr>
      <w:bookmarkStart w:id="592" w:name="bookmark592"/>
      <w:r>
        <w:rPr>
          <w:rFonts w:ascii="Times New Roman" w:eastAsia="Times New Roman" w:hAnsi="Times New Roman" w:cs="Times New Roman"/>
          <w:color w:val="000000"/>
          <w:spacing w:val="0"/>
          <w:w w:val="100"/>
          <w:position w:val="0"/>
          <w:sz w:val="20"/>
          <w:szCs w:val="20"/>
        </w:rPr>
        <w:t>1</w:t>
      </w:r>
      <w:bookmarkEnd w:id="592"/>
      <w:r>
        <w:rPr>
          <w:color w:val="000000"/>
          <w:spacing w:val="0"/>
          <w:w w:val="100"/>
          <w:position w:val="0"/>
          <w:sz w:val="20"/>
          <w:szCs w:val="20"/>
        </w:rPr>
        <w:t>、</w:t>
        <w:tab/>
        <w:t>长期股权投资减值准备的确认标准和计提方法</w:t>
      </w:r>
    </w:p>
    <w:p>
      <w:pPr>
        <w:pStyle w:val="Style35"/>
        <w:keepNext w:val="0"/>
        <w:keepLines w:val="0"/>
        <w:widowControl w:val="0"/>
        <w:shd w:val="clear" w:color="auto" w:fill="auto"/>
        <w:bidi w:val="0"/>
        <w:spacing w:before="0" w:after="360" w:line="315" w:lineRule="exact"/>
        <w:ind w:left="0" w:right="0" w:firstLine="440"/>
        <w:jc w:val="both"/>
        <w:rPr>
          <w:sz w:val="20"/>
          <w:szCs w:val="20"/>
        </w:rPr>
      </w:pPr>
      <w:r>
        <w:rPr>
          <w:color w:val="000000"/>
          <w:spacing w:val="0"/>
          <w:w w:val="100"/>
          <w:position w:val="0"/>
          <w:sz w:val="20"/>
          <w:szCs w:val="20"/>
        </w:rPr>
        <w:t>本公司于期末对长期股权投资的账面价值逐项进行检查，如果由于市价持续下跌或被投资单位经营状 况发生变化等原因导致长期股权投资的可收回金额低于其账面价值，并且这种降低的价值在可预计的未来 期间内不可能恢复时，按单项长期股权投资账面价值高于可收回金额的差额计提长期股权投资减值准备， 确认资产减值损失。</w:t>
      </w:r>
    </w:p>
    <w:p>
      <w:pPr>
        <w:pStyle w:val="Style35"/>
        <w:keepNext w:val="0"/>
        <w:keepLines w:val="0"/>
        <w:widowControl w:val="0"/>
        <w:shd w:val="clear" w:color="auto" w:fill="auto"/>
        <w:tabs>
          <w:tab w:pos="870" w:val="left"/>
        </w:tabs>
        <w:bidi w:val="0"/>
        <w:spacing w:before="0" w:after="160" w:line="329" w:lineRule="auto"/>
        <w:ind w:left="0" w:right="0" w:firstLine="440"/>
        <w:jc w:val="both"/>
        <w:rPr>
          <w:sz w:val="20"/>
          <w:szCs w:val="20"/>
        </w:rPr>
      </w:pPr>
      <w:bookmarkStart w:id="593" w:name="bookmark593"/>
      <w:r>
        <w:rPr>
          <w:rFonts w:ascii="Times New Roman" w:eastAsia="Times New Roman" w:hAnsi="Times New Roman" w:cs="Times New Roman"/>
          <w:color w:val="000000"/>
          <w:spacing w:val="0"/>
          <w:w w:val="100"/>
          <w:position w:val="0"/>
          <w:sz w:val="20"/>
          <w:szCs w:val="20"/>
        </w:rPr>
        <w:t>2</w:t>
      </w:r>
      <w:bookmarkEnd w:id="593"/>
      <w:r>
        <w:rPr>
          <w:color w:val="000000"/>
          <w:spacing w:val="0"/>
          <w:w w:val="100"/>
          <w:position w:val="0"/>
          <w:sz w:val="20"/>
          <w:szCs w:val="20"/>
        </w:rPr>
        <w:t>、</w:t>
        <w:tab/>
        <w:t>固定资产减值准备的确认标准和计提方法</w:t>
      </w:r>
    </w:p>
    <w:p>
      <w:pPr>
        <w:pStyle w:val="Style35"/>
        <w:keepNext w:val="0"/>
        <w:keepLines w:val="0"/>
        <w:widowControl w:val="0"/>
        <w:shd w:val="clear" w:color="auto" w:fill="auto"/>
        <w:bidi w:val="0"/>
        <w:spacing w:before="0" w:after="260" w:line="314" w:lineRule="exact"/>
        <w:ind w:left="0" w:right="0" w:firstLine="440"/>
        <w:jc w:val="both"/>
        <w:rPr>
          <w:sz w:val="20"/>
          <w:szCs w:val="20"/>
        </w:rPr>
      </w:pPr>
      <w:r>
        <w:rPr>
          <w:color w:val="000000"/>
          <w:spacing w:val="0"/>
          <w:w w:val="100"/>
          <w:position w:val="0"/>
          <w:sz w:val="20"/>
          <w:szCs w:val="20"/>
        </w:rPr>
        <w:t>本公司于期末对固定资产进行检查，如发现存在下列情况，则计算固定资产的可收回金额，以确定资 产是否已经发生减值。对于可收回金额低于其账面价值的固定资产，按该资产可收回金额低于其账面价值 的差额计提减值准备，确认资产减值损失。</w:t>
      </w:r>
    </w:p>
    <w:p>
      <w:pPr>
        <w:pStyle w:val="Style35"/>
        <w:keepNext w:val="0"/>
        <w:keepLines w:val="0"/>
        <w:widowControl w:val="0"/>
        <w:shd w:val="clear" w:color="auto" w:fill="auto"/>
        <w:tabs>
          <w:tab w:pos="928" w:val="left"/>
        </w:tabs>
        <w:bidi w:val="0"/>
        <w:spacing w:before="0" w:after="260" w:line="315" w:lineRule="exact"/>
        <w:ind w:left="0" w:right="0" w:firstLine="440"/>
        <w:jc w:val="both"/>
        <w:rPr>
          <w:sz w:val="20"/>
          <w:szCs w:val="20"/>
        </w:rPr>
      </w:pPr>
      <w:bookmarkStart w:id="594" w:name="bookmark594"/>
      <w:r>
        <w:rPr>
          <w:color w:val="000000"/>
          <w:spacing w:val="0"/>
          <w:w w:val="100"/>
          <w:position w:val="0"/>
          <w:sz w:val="20"/>
          <w:szCs w:val="20"/>
        </w:rPr>
        <w:t>（</w:t>
      </w:r>
      <w:bookmarkEnd w:id="59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固定资产市价大幅度下跌，其跌幅明显高于因时间的推移或者正常使用而预计的下跌；</w:t>
      </w:r>
    </w:p>
    <w:p>
      <w:pPr>
        <w:pStyle w:val="Style35"/>
        <w:keepNext w:val="0"/>
        <w:keepLines w:val="0"/>
        <w:widowControl w:val="0"/>
        <w:shd w:val="clear" w:color="auto" w:fill="auto"/>
        <w:tabs>
          <w:tab w:pos="928" w:val="left"/>
        </w:tabs>
        <w:bidi w:val="0"/>
        <w:spacing w:before="0" w:after="260" w:line="315" w:lineRule="exact"/>
        <w:ind w:left="0" w:right="0" w:firstLine="440"/>
        <w:jc w:val="both"/>
        <w:rPr>
          <w:sz w:val="20"/>
          <w:szCs w:val="20"/>
        </w:rPr>
      </w:pPr>
      <w:bookmarkStart w:id="595" w:name="bookmark595"/>
      <w:r>
        <w:rPr>
          <w:color w:val="000000"/>
          <w:spacing w:val="0"/>
          <w:w w:val="100"/>
          <w:position w:val="0"/>
          <w:sz w:val="20"/>
          <w:szCs w:val="20"/>
        </w:rPr>
        <w:t>（</w:t>
      </w:r>
      <w:bookmarkEnd w:id="5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固定资产已经陈旧过时或者其实体已经损坏；</w:t>
      </w:r>
    </w:p>
    <w:p>
      <w:pPr>
        <w:pStyle w:val="Style35"/>
        <w:keepNext w:val="0"/>
        <w:keepLines w:val="0"/>
        <w:widowControl w:val="0"/>
        <w:shd w:val="clear" w:color="auto" w:fill="auto"/>
        <w:tabs>
          <w:tab w:pos="1021" w:val="left"/>
        </w:tabs>
        <w:bidi w:val="0"/>
        <w:spacing w:before="0" w:after="260" w:line="326" w:lineRule="exact"/>
        <w:ind w:left="0" w:right="0" w:firstLine="440"/>
        <w:jc w:val="both"/>
        <w:rPr>
          <w:sz w:val="20"/>
          <w:szCs w:val="20"/>
        </w:rPr>
      </w:pPr>
      <w:bookmarkStart w:id="596" w:name="bookmark596"/>
      <w:r>
        <w:rPr>
          <w:color w:val="000000"/>
          <w:spacing w:val="0"/>
          <w:w w:val="100"/>
          <w:position w:val="0"/>
          <w:sz w:val="20"/>
          <w:szCs w:val="20"/>
        </w:rPr>
        <w:t>（</w:t>
      </w:r>
      <w:bookmarkEnd w:id="59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固定资产预计使用方式发生重大不利变化，如固定资产已经或者将被闲置、企业计划终止或重 组该资产所属的经营业务、提前处置资产等情形，从而对企业产生负面影响；</w:t>
      </w:r>
    </w:p>
    <w:p>
      <w:pPr>
        <w:pStyle w:val="Style35"/>
        <w:keepNext w:val="0"/>
        <w:keepLines w:val="0"/>
        <w:widowControl w:val="0"/>
        <w:shd w:val="clear" w:color="auto" w:fill="auto"/>
        <w:tabs>
          <w:tab w:pos="1021" w:val="left"/>
        </w:tabs>
        <w:bidi w:val="0"/>
        <w:spacing w:before="0" w:after="260" w:line="312" w:lineRule="exact"/>
        <w:ind w:left="0" w:right="0" w:firstLine="440"/>
        <w:jc w:val="both"/>
        <w:rPr>
          <w:sz w:val="20"/>
          <w:szCs w:val="20"/>
        </w:rPr>
      </w:pPr>
      <w:bookmarkStart w:id="597" w:name="bookmark597"/>
      <w:r>
        <w:rPr>
          <w:color w:val="000000"/>
          <w:spacing w:val="0"/>
          <w:w w:val="100"/>
          <w:position w:val="0"/>
          <w:sz w:val="20"/>
          <w:szCs w:val="20"/>
        </w:rPr>
        <w:t>（</w:t>
      </w:r>
      <w:bookmarkEnd w:id="59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企业经营所处的经济、技术或者法律等环境以及固定资产所处的市场在当期或者将在近期发生 重大变化，从而对企业产生不利影响；</w:t>
      </w:r>
    </w:p>
    <w:p>
      <w:pPr>
        <w:pStyle w:val="Style35"/>
        <w:keepNext w:val="0"/>
        <w:keepLines w:val="0"/>
        <w:widowControl w:val="0"/>
        <w:shd w:val="clear" w:color="auto" w:fill="auto"/>
        <w:tabs>
          <w:tab w:pos="1021" w:val="left"/>
        </w:tabs>
        <w:bidi w:val="0"/>
        <w:spacing w:before="0" w:after="260" w:line="326" w:lineRule="exact"/>
        <w:ind w:left="0" w:right="0" w:firstLine="440"/>
        <w:jc w:val="both"/>
        <w:rPr>
          <w:sz w:val="20"/>
          <w:szCs w:val="20"/>
        </w:rPr>
      </w:pPr>
      <w:bookmarkStart w:id="598" w:name="bookmark598"/>
      <w:r>
        <w:rPr>
          <w:color w:val="000000"/>
          <w:spacing w:val="0"/>
          <w:w w:val="100"/>
          <w:position w:val="0"/>
          <w:sz w:val="20"/>
          <w:szCs w:val="20"/>
        </w:rPr>
        <w:t>（</w:t>
      </w:r>
      <w:bookmarkEnd w:id="59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同期市场利率或者其他市场投资报酬率在当期已经提高，从而影响企业计算资产预计未来现金 流量现值的折现率，导致固定资产可收回金额大幅度降低；</w:t>
      </w:r>
    </w:p>
    <w:p>
      <w:pPr>
        <w:pStyle w:val="Style35"/>
        <w:keepNext w:val="0"/>
        <w:keepLines w:val="0"/>
        <w:widowControl w:val="0"/>
        <w:shd w:val="clear" w:color="auto" w:fill="auto"/>
        <w:tabs>
          <w:tab w:pos="1021" w:val="left"/>
        </w:tabs>
        <w:bidi w:val="0"/>
        <w:spacing w:before="0" w:after="260" w:line="326" w:lineRule="exact"/>
        <w:ind w:left="0" w:right="0" w:firstLine="440"/>
        <w:jc w:val="both"/>
        <w:rPr>
          <w:sz w:val="20"/>
          <w:szCs w:val="20"/>
        </w:rPr>
      </w:pPr>
      <w:bookmarkStart w:id="599" w:name="bookmark599"/>
      <w:r>
        <w:rPr>
          <w:color w:val="000000"/>
          <w:spacing w:val="0"/>
          <w:w w:val="100"/>
          <w:position w:val="0"/>
          <w:sz w:val="20"/>
          <w:szCs w:val="20"/>
        </w:rPr>
        <w:t>（</w:t>
      </w:r>
      <w:bookmarkEnd w:id="599"/>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企业内部报告的证据表明固定资产的经济绩效已经低于或者将低于预期，如固定资产所创造的 净现金流量或者实现的营业利润（或者亏损）远远低于（或者高于）预计金额；</w:t>
      </w:r>
    </w:p>
    <w:p>
      <w:pPr>
        <w:pStyle w:val="Style35"/>
        <w:keepNext w:val="0"/>
        <w:keepLines w:val="0"/>
        <w:widowControl w:val="0"/>
        <w:shd w:val="clear" w:color="auto" w:fill="auto"/>
        <w:tabs>
          <w:tab w:pos="928" w:val="left"/>
        </w:tabs>
        <w:bidi w:val="0"/>
        <w:spacing w:before="0" w:after="360" w:line="315" w:lineRule="exact"/>
        <w:ind w:left="0" w:right="0" w:firstLine="440"/>
        <w:jc w:val="both"/>
        <w:rPr>
          <w:sz w:val="20"/>
          <w:szCs w:val="20"/>
        </w:rPr>
      </w:pPr>
      <w:bookmarkStart w:id="600" w:name="bookmark600"/>
      <w:r>
        <w:rPr>
          <w:color w:val="000000"/>
          <w:spacing w:val="0"/>
          <w:w w:val="100"/>
          <w:position w:val="0"/>
          <w:sz w:val="20"/>
          <w:szCs w:val="20"/>
        </w:rPr>
        <w:t>（</w:t>
      </w:r>
      <w:bookmarkEnd w:id="600"/>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其他表明固定资产可能已经发生减值的迹象。</w:t>
      </w:r>
    </w:p>
    <w:p>
      <w:pPr>
        <w:pStyle w:val="Style35"/>
        <w:keepNext w:val="0"/>
        <w:keepLines w:val="0"/>
        <w:widowControl w:val="0"/>
        <w:shd w:val="clear" w:color="auto" w:fill="auto"/>
        <w:tabs>
          <w:tab w:pos="870" w:val="left"/>
        </w:tabs>
        <w:bidi w:val="0"/>
        <w:spacing w:before="0" w:after="160" w:line="329" w:lineRule="auto"/>
        <w:ind w:left="0" w:right="0" w:firstLine="440"/>
        <w:jc w:val="both"/>
        <w:rPr>
          <w:sz w:val="20"/>
          <w:szCs w:val="20"/>
        </w:rPr>
      </w:pPr>
      <w:bookmarkStart w:id="601" w:name="bookmark601"/>
      <w:r>
        <w:rPr>
          <w:rFonts w:ascii="Times New Roman" w:eastAsia="Times New Roman" w:hAnsi="Times New Roman" w:cs="Times New Roman"/>
          <w:color w:val="000000"/>
          <w:spacing w:val="0"/>
          <w:w w:val="100"/>
          <w:position w:val="0"/>
          <w:sz w:val="20"/>
          <w:szCs w:val="20"/>
        </w:rPr>
        <w:t>3</w:t>
      </w:r>
      <w:bookmarkEnd w:id="601"/>
      <w:r>
        <w:rPr>
          <w:color w:val="000000"/>
          <w:spacing w:val="0"/>
          <w:w w:val="100"/>
          <w:position w:val="0"/>
          <w:sz w:val="20"/>
          <w:szCs w:val="20"/>
        </w:rPr>
        <w:t>、</w:t>
        <w:tab/>
        <w:t>在建工程减值准备的确认标准和计提方法</w:t>
      </w:r>
    </w:p>
    <w:p>
      <w:pPr>
        <w:pStyle w:val="Style35"/>
        <w:keepNext w:val="0"/>
        <w:keepLines w:val="0"/>
        <w:widowControl w:val="0"/>
        <w:shd w:val="clear" w:color="auto" w:fill="auto"/>
        <w:bidi w:val="0"/>
        <w:spacing w:before="0" w:after="260" w:line="314" w:lineRule="exact"/>
        <w:ind w:left="0" w:right="0" w:firstLine="440"/>
        <w:jc w:val="both"/>
        <w:rPr>
          <w:sz w:val="20"/>
          <w:szCs w:val="20"/>
        </w:rPr>
      </w:pPr>
      <w:r>
        <w:rPr>
          <w:color w:val="000000"/>
          <w:spacing w:val="0"/>
          <w:w w:val="100"/>
          <w:position w:val="0"/>
          <w:sz w:val="20"/>
          <w:szCs w:val="20"/>
        </w:rPr>
        <w:t>本公司于期末对在建工程进行检查，如发现存在下列情况，则计算在建工程的可收回金额，以确定资 产是否已经发生减值。对于可收回金额低于其账面价值的在建工程，按该资产可收回金额低于其账面价值 的差额计提减值准备，确认资产减值损失。</w:t>
      </w:r>
    </w:p>
    <w:p>
      <w:pPr>
        <w:pStyle w:val="Style35"/>
        <w:keepNext w:val="0"/>
        <w:keepLines w:val="0"/>
        <w:widowControl w:val="0"/>
        <w:shd w:val="clear" w:color="auto" w:fill="auto"/>
        <w:tabs>
          <w:tab w:pos="928" w:val="left"/>
        </w:tabs>
        <w:bidi w:val="0"/>
        <w:spacing w:before="0" w:after="260" w:line="315" w:lineRule="exact"/>
        <w:ind w:left="0" w:right="0" w:firstLine="440"/>
        <w:jc w:val="both"/>
        <w:rPr>
          <w:sz w:val="20"/>
          <w:szCs w:val="20"/>
        </w:rPr>
      </w:pPr>
      <w:bookmarkStart w:id="602" w:name="bookmark602"/>
      <w:r>
        <w:rPr>
          <w:color w:val="000000"/>
          <w:spacing w:val="0"/>
          <w:w w:val="100"/>
          <w:position w:val="0"/>
          <w:sz w:val="20"/>
          <w:szCs w:val="20"/>
        </w:rPr>
        <w:t>（</w:t>
      </w:r>
      <w:bookmarkEnd w:id="60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长期停建并且预计未来三年内不会重新开工的在建工程；</w:t>
      </w:r>
    </w:p>
    <w:p>
      <w:pPr>
        <w:pStyle w:val="Style35"/>
        <w:keepNext w:val="0"/>
        <w:keepLines w:val="0"/>
        <w:widowControl w:val="0"/>
        <w:shd w:val="clear" w:color="auto" w:fill="auto"/>
        <w:bidi w:val="0"/>
        <w:spacing w:before="0" w:after="260" w:line="315" w:lineRule="exact"/>
        <w:ind w:left="0" w:right="0" w:firstLine="420"/>
        <w:jc w:val="both"/>
        <w:rPr>
          <w:sz w:val="20"/>
          <w:szCs w:val="20"/>
        </w:rPr>
      </w:pPr>
      <w:bookmarkStart w:id="603" w:name="bookmark603"/>
      <w:r>
        <w:rPr>
          <w:color w:val="000000"/>
          <w:spacing w:val="0"/>
          <w:w w:val="100"/>
          <w:position w:val="0"/>
          <w:sz w:val="20"/>
          <w:szCs w:val="20"/>
        </w:rPr>
        <w:t>（</w:t>
      </w:r>
      <w:bookmarkEnd w:id="60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项目无论在性能上，还是在技术上已经落后，并且给企业带来的经济利益具有很大的不确定性;</w:t>
      </w:r>
    </w:p>
    <w:p>
      <w:pPr>
        <w:pStyle w:val="Style35"/>
        <w:keepNext w:val="0"/>
        <w:keepLines w:val="0"/>
        <w:widowControl w:val="0"/>
        <w:shd w:val="clear" w:color="auto" w:fill="auto"/>
        <w:bidi w:val="0"/>
        <w:spacing w:before="0" w:after="260" w:line="314" w:lineRule="exact"/>
        <w:ind w:left="0" w:right="0" w:firstLine="420"/>
        <w:jc w:val="left"/>
        <w:rPr>
          <w:sz w:val="20"/>
          <w:szCs w:val="20"/>
        </w:rPr>
      </w:pPr>
      <w:bookmarkStart w:id="604" w:name="bookmark604"/>
      <w:r>
        <w:rPr>
          <w:color w:val="000000"/>
          <w:spacing w:val="0"/>
          <w:w w:val="100"/>
          <w:position w:val="0"/>
          <w:sz w:val="20"/>
          <w:szCs w:val="20"/>
        </w:rPr>
        <w:t>（</w:t>
      </w:r>
      <w:bookmarkEnd w:id="60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）其他足以证明在建工程已经发生减值的情形。</w:t>
      </w:r>
    </w:p>
    <w:p>
      <w:pPr>
        <w:pStyle w:val="Style35"/>
        <w:keepNext w:val="0"/>
        <w:keepLines w:val="0"/>
        <w:widowControl w:val="0"/>
        <w:shd w:val="clear" w:color="auto" w:fill="auto"/>
        <w:tabs>
          <w:tab w:pos="794" w:val="left"/>
        </w:tabs>
        <w:bidi w:val="0"/>
        <w:spacing w:before="0" w:after="260" w:line="314" w:lineRule="exact"/>
        <w:ind w:left="0" w:right="0" w:firstLine="420"/>
        <w:jc w:val="left"/>
        <w:rPr>
          <w:sz w:val="20"/>
          <w:szCs w:val="20"/>
        </w:rPr>
      </w:pPr>
      <w:bookmarkStart w:id="605" w:name="bookmark605"/>
      <w:r>
        <w:rPr>
          <w:rFonts w:ascii="Times New Roman" w:eastAsia="Times New Roman" w:hAnsi="Times New Roman" w:cs="Times New Roman"/>
          <w:color w:val="000000"/>
          <w:spacing w:val="0"/>
          <w:w w:val="100"/>
          <w:position w:val="0"/>
          <w:sz w:val="20"/>
          <w:szCs w:val="20"/>
        </w:rPr>
        <w:t>4</w:t>
      </w:r>
      <w:bookmarkEnd w:id="605"/>
      <w:r>
        <w:rPr>
          <w:color w:val="000000"/>
          <w:spacing w:val="0"/>
          <w:w w:val="100"/>
          <w:position w:val="0"/>
          <w:sz w:val="20"/>
          <w:szCs w:val="20"/>
        </w:rPr>
        <w:t>、</w:t>
        <w:tab/>
        <w:t>无形资产减值准备的确认标准和计提方法</w:t>
      </w:r>
    </w:p>
    <w:p>
      <w:pPr>
        <w:pStyle w:val="Style35"/>
        <w:keepNext w:val="0"/>
        <w:keepLines w:val="0"/>
        <w:widowControl w:val="0"/>
        <w:shd w:val="clear" w:color="auto" w:fill="auto"/>
        <w:bidi w:val="0"/>
        <w:spacing w:before="0" w:after="260" w:line="317" w:lineRule="exact"/>
        <w:ind w:left="0" w:right="0" w:firstLine="440"/>
        <w:jc w:val="both"/>
        <w:rPr>
          <w:sz w:val="20"/>
          <w:szCs w:val="20"/>
        </w:rPr>
      </w:pPr>
      <w:r>
        <w:rPr>
          <w:color w:val="000000"/>
          <w:spacing w:val="0"/>
          <w:w w:val="100"/>
          <w:position w:val="0"/>
          <w:sz w:val="20"/>
          <w:szCs w:val="20"/>
        </w:rPr>
        <w:t>本公司对商标等受益年限不确定的无形资产，每年末均需进行减值测试，估计其可收回金额，按其可 收回金额低于账面价值的差额计提无形资产减值准备，确认资产减值损失。</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对其他无形资产，期末进行检查，当存在下述减值迹象时估计其可收回金额，按其可收回金额低于账 面价值的差额计提无形资产减值准备，确认资产减值损失：</w:t>
      </w:r>
    </w:p>
    <w:p>
      <w:pPr>
        <w:pStyle w:val="Style35"/>
        <w:keepNext w:val="0"/>
        <w:keepLines w:val="0"/>
        <w:widowControl w:val="0"/>
        <w:shd w:val="clear" w:color="auto" w:fill="auto"/>
        <w:tabs>
          <w:tab w:pos="900" w:val="left"/>
        </w:tabs>
        <w:bidi w:val="0"/>
        <w:spacing w:before="0" w:after="260" w:line="314" w:lineRule="exact"/>
        <w:ind w:left="0" w:right="0" w:firstLine="420"/>
        <w:jc w:val="left"/>
        <w:rPr>
          <w:sz w:val="20"/>
          <w:szCs w:val="20"/>
        </w:rPr>
      </w:pPr>
      <w:bookmarkStart w:id="606" w:name="bookmark606"/>
      <w:r>
        <w:rPr>
          <w:color w:val="000000"/>
          <w:spacing w:val="0"/>
          <w:w w:val="100"/>
          <w:position w:val="0"/>
          <w:sz w:val="20"/>
          <w:szCs w:val="20"/>
        </w:rPr>
        <w:t>（</w:t>
      </w:r>
      <w:bookmarkEnd w:id="60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已被其他新技术所代替，使其为本公司创造经济利益的能力受到重大不利影响；</w:t>
      </w:r>
    </w:p>
    <w:p>
      <w:pPr>
        <w:pStyle w:val="Style35"/>
        <w:keepNext w:val="0"/>
        <w:keepLines w:val="0"/>
        <w:widowControl w:val="0"/>
        <w:shd w:val="clear" w:color="auto" w:fill="auto"/>
        <w:tabs>
          <w:tab w:pos="900" w:val="left"/>
        </w:tabs>
        <w:bidi w:val="0"/>
        <w:spacing w:before="0" w:after="260" w:line="314" w:lineRule="exact"/>
        <w:ind w:left="0" w:right="0" w:firstLine="420"/>
        <w:jc w:val="left"/>
        <w:rPr>
          <w:sz w:val="20"/>
          <w:szCs w:val="20"/>
        </w:rPr>
      </w:pPr>
      <w:bookmarkStart w:id="607" w:name="bookmark607"/>
      <w:r>
        <w:rPr>
          <w:color w:val="000000"/>
          <w:spacing w:val="0"/>
          <w:w w:val="100"/>
          <w:position w:val="0"/>
          <w:sz w:val="20"/>
          <w:szCs w:val="20"/>
        </w:rPr>
        <w:t>（</w:t>
      </w:r>
      <w:bookmarkEnd w:id="60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市价在当期大幅下跌，在剩余摊销年限内预期不会恢复；</w:t>
      </w:r>
    </w:p>
    <w:p>
      <w:pPr>
        <w:pStyle w:val="Style35"/>
        <w:keepNext w:val="0"/>
        <w:keepLines w:val="0"/>
        <w:widowControl w:val="0"/>
        <w:shd w:val="clear" w:color="auto" w:fill="auto"/>
        <w:tabs>
          <w:tab w:pos="900" w:val="left"/>
        </w:tabs>
        <w:bidi w:val="0"/>
        <w:spacing w:before="0" w:after="260" w:line="314" w:lineRule="exact"/>
        <w:ind w:left="0" w:right="0" w:firstLine="420"/>
        <w:jc w:val="left"/>
        <w:rPr>
          <w:sz w:val="20"/>
          <w:szCs w:val="20"/>
        </w:rPr>
      </w:pPr>
      <w:bookmarkStart w:id="608" w:name="bookmark608"/>
      <w:r>
        <w:rPr>
          <w:color w:val="000000"/>
          <w:spacing w:val="0"/>
          <w:w w:val="100"/>
          <w:position w:val="0"/>
          <w:sz w:val="20"/>
          <w:szCs w:val="20"/>
        </w:rPr>
        <w:t>（</w:t>
      </w:r>
      <w:bookmarkEnd w:id="60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已超过法律保护期限，但仍然具有部分使用价值；</w:t>
      </w:r>
    </w:p>
    <w:p>
      <w:pPr>
        <w:pStyle w:val="Style35"/>
        <w:keepNext w:val="0"/>
        <w:keepLines w:val="0"/>
        <w:widowControl w:val="0"/>
        <w:shd w:val="clear" w:color="auto" w:fill="auto"/>
        <w:tabs>
          <w:tab w:pos="900" w:val="left"/>
        </w:tabs>
        <w:bidi w:val="0"/>
        <w:spacing w:before="0" w:after="260" w:line="314" w:lineRule="exact"/>
        <w:ind w:left="0" w:right="0" w:firstLine="420"/>
        <w:jc w:val="left"/>
        <w:rPr>
          <w:sz w:val="20"/>
          <w:szCs w:val="20"/>
        </w:rPr>
      </w:pPr>
      <w:bookmarkStart w:id="609" w:name="bookmark609"/>
      <w:r>
        <w:rPr>
          <w:color w:val="000000"/>
          <w:spacing w:val="0"/>
          <w:w w:val="100"/>
          <w:position w:val="0"/>
          <w:sz w:val="20"/>
          <w:szCs w:val="20"/>
        </w:rPr>
        <w:t>（</w:t>
      </w:r>
      <w:bookmarkEnd w:id="60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其他足以证明实际上已经发生减值的情形。</w:t>
      </w:r>
    </w:p>
    <w:p>
      <w:pPr>
        <w:pStyle w:val="Style35"/>
        <w:keepNext w:val="0"/>
        <w:keepLines w:val="0"/>
        <w:widowControl w:val="0"/>
        <w:shd w:val="clear" w:color="auto" w:fill="auto"/>
        <w:tabs>
          <w:tab w:pos="805" w:val="left"/>
        </w:tabs>
        <w:bidi w:val="0"/>
        <w:spacing w:before="0" w:after="260" w:line="314" w:lineRule="exact"/>
        <w:ind w:left="0" w:right="0" w:firstLine="440"/>
        <w:jc w:val="both"/>
        <w:rPr>
          <w:sz w:val="20"/>
          <w:szCs w:val="20"/>
        </w:rPr>
      </w:pPr>
      <w:bookmarkStart w:id="610" w:name="bookmark610"/>
      <w:r>
        <w:rPr>
          <w:rFonts w:ascii="Times New Roman" w:eastAsia="Times New Roman" w:hAnsi="Times New Roman" w:cs="Times New Roman"/>
          <w:color w:val="000000"/>
          <w:spacing w:val="0"/>
          <w:w w:val="100"/>
          <w:position w:val="0"/>
          <w:sz w:val="20"/>
          <w:szCs w:val="20"/>
        </w:rPr>
        <w:t>5</w:t>
      </w:r>
      <w:bookmarkEnd w:id="610"/>
      <w:r>
        <w:rPr>
          <w:color w:val="000000"/>
          <w:spacing w:val="0"/>
          <w:w w:val="100"/>
          <w:position w:val="0"/>
          <w:sz w:val="20"/>
          <w:szCs w:val="20"/>
        </w:rPr>
        <w:t>、</w:t>
        <w:tab/>
        <w:t>资产组的认定及减值处理</w:t>
      </w:r>
    </w:p>
    <w:p>
      <w:pPr>
        <w:pStyle w:val="Style35"/>
        <w:keepNext w:val="0"/>
        <w:keepLines w:val="0"/>
        <w:widowControl w:val="0"/>
        <w:shd w:val="clear" w:color="auto" w:fill="auto"/>
        <w:bidi w:val="0"/>
        <w:spacing w:before="0" w:after="260" w:line="315" w:lineRule="exact"/>
        <w:ind w:left="0" w:right="0" w:firstLine="440"/>
        <w:jc w:val="both"/>
        <w:rPr>
          <w:sz w:val="20"/>
          <w:szCs w:val="20"/>
        </w:rPr>
      </w:pPr>
      <w:r>
        <w:rPr>
          <w:color w:val="000000"/>
          <w:spacing w:val="0"/>
          <w:w w:val="100"/>
          <w:position w:val="0"/>
          <w:sz w:val="20"/>
          <w:szCs w:val="20"/>
        </w:rPr>
        <w:t>本公司对有迹象表明一项资产（如单项固定资产或无形资产等）可能发生减值的，以单项资产为基础 估计其可收回金额。难以对单项资产的可收回金额进行估计的，则以该资产所属的资产组为基础确定资产 组的可收回金额。资产组的认定，以资产组产生的主要现金流入是否独立于其他资产或者资产组的现金流 入为依据。</w:t>
      </w:r>
    </w:p>
    <w:p>
      <w:pPr>
        <w:pStyle w:val="Style35"/>
        <w:keepNext w:val="0"/>
        <w:keepLines w:val="0"/>
        <w:widowControl w:val="0"/>
        <w:shd w:val="clear" w:color="auto" w:fill="auto"/>
        <w:tabs>
          <w:tab w:pos="805" w:val="left"/>
        </w:tabs>
        <w:bidi w:val="0"/>
        <w:spacing w:before="0" w:after="260" w:line="314" w:lineRule="exact"/>
        <w:ind w:left="0" w:right="0" w:firstLine="440"/>
        <w:jc w:val="both"/>
        <w:rPr>
          <w:sz w:val="20"/>
          <w:szCs w:val="20"/>
        </w:rPr>
      </w:pPr>
      <w:bookmarkStart w:id="611" w:name="bookmark611"/>
      <w:r>
        <w:rPr>
          <w:rFonts w:ascii="Times New Roman" w:eastAsia="Times New Roman" w:hAnsi="Times New Roman" w:cs="Times New Roman"/>
          <w:color w:val="000000"/>
          <w:spacing w:val="0"/>
          <w:w w:val="100"/>
          <w:position w:val="0"/>
          <w:sz w:val="20"/>
          <w:szCs w:val="20"/>
        </w:rPr>
        <w:t>6</w:t>
      </w:r>
      <w:bookmarkEnd w:id="611"/>
      <w:r>
        <w:rPr>
          <w:color w:val="000000"/>
          <w:spacing w:val="0"/>
          <w:w w:val="100"/>
          <w:position w:val="0"/>
          <w:sz w:val="20"/>
          <w:szCs w:val="20"/>
        </w:rPr>
        <w:t>、</w:t>
        <w:tab/>
        <w:t>商誉减值准备的确认标准和计提方法</w:t>
      </w:r>
    </w:p>
    <w:p>
      <w:pPr>
        <w:pStyle w:val="Style35"/>
        <w:keepNext w:val="0"/>
        <w:keepLines w:val="0"/>
        <w:widowControl w:val="0"/>
        <w:shd w:val="clear" w:color="auto" w:fill="auto"/>
        <w:bidi w:val="0"/>
        <w:spacing w:before="0" w:after="260" w:line="314" w:lineRule="exact"/>
        <w:ind w:left="0" w:right="0" w:firstLine="440"/>
        <w:jc w:val="both"/>
        <w:rPr>
          <w:sz w:val="20"/>
          <w:szCs w:val="20"/>
        </w:rPr>
      </w:pPr>
      <w:r>
        <w:rPr>
          <w:color w:val="000000"/>
          <w:spacing w:val="0"/>
          <w:w w:val="100"/>
          <w:position w:val="0"/>
          <w:sz w:val="20"/>
          <w:szCs w:val="20"/>
        </w:rPr>
        <w:t>本公司对企业合并所形成的商誉，每年末均进行减值测试。测试时，对因企业合并形成的商誉的账面 价值自购买日起按照合理的方法分摊至相关的资产组；难以分摊至相关的资产组的，将其分摊至相关的资 产组组合。在对包含商誉的相关资产组或者资产组组合进行减值测试时，如与商誉相关的资产组或者资产 组组合存在减值迹象的，首先对不包含商誉的资产组或者资产组组合进行减值测试，计算可收回金额，并 与相关账面价值相比较，确认相应的减值损失。然后，再对包含商誉的资产组或者资产组组合进行减值测 试，比较这些相关资产组或者资产组组合的账面价值（包括所分摊的商誉的账面价值部分）与其可收回金 额，如相关资产组或者资产组组合的可收回金额低于其账面价值的，计提资产减值准备，确认资产减值损 失。</w:t>
      </w:r>
    </w:p>
    <w:p>
      <w:pPr>
        <w:pStyle w:val="Style35"/>
        <w:keepNext w:val="0"/>
        <w:keepLines w:val="0"/>
        <w:widowControl w:val="0"/>
        <w:shd w:val="clear" w:color="auto" w:fill="auto"/>
        <w:tabs>
          <w:tab w:pos="794" w:val="left"/>
        </w:tabs>
        <w:bidi w:val="0"/>
        <w:spacing w:before="0" w:after="260" w:line="326" w:lineRule="exact"/>
        <w:ind w:left="0" w:right="0" w:firstLine="440"/>
        <w:jc w:val="both"/>
        <w:rPr>
          <w:sz w:val="20"/>
          <w:szCs w:val="20"/>
        </w:rPr>
      </w:pPr>
      <w:bookmarkStart w:id="612" w:name="bookmark612"/>
      <w:r>
        <w:rPr>
          <w:rFonts w:ascii="Times New Roman" w:eastAsia="Times New Roman" w:hAnsi="Times New Roman" w:cs="Times New Roman"/>
          <w:color w:val="000000"/>
          <w:spacing w:val="0"/>
          <w:w w:val="100"/>
          <w:position w:val="0"/>
          <w:sz w:val="20"/>
          <w:szCs w:val="20"/>
        </w:rPr>
        <w:t>7</w:t>
      </w:r>
      <w:bookmarkEnd w:id="612"/>
      <w:r>
        <w:rPr>
          <w:color w:val="000000"/>
          <w:spacing w:val="0"/>
          <w:w w:val="100"/>
          <w:position w:val="0"/>
          <w:sz w:val="20"/>
          <w:szCs w:val="20"/>
        </w:rPr>
        <w:t>、</w:t>
        <w:tab/>
        <w:t>除对资产进行处置、出售、对外投资等情况外，本公司对前期已确认的资产减值损失在以后会计 期间不予转回。</w:t>
      </w:r>
    </w:p>
    <w:p>
      <w:pPr>
        <w:pStyle w:val="Style44"/>
        <w:keepNext/>
        <w:keepLines/>
        <w:widowControl w:val="0"/>
        <w:shd w:val="clear" w:color="auto" w:fill="auto"/>
        <w:tabs>
          <w:tab w:pos="1568" w:val="left"/>
        </w:tabs>
        <w:bidi w:val="0"/>
        <w:spacing w:before="0" w:after="260" w:line="314" w:lineRule="exact"/>
        <w:ind w:left="0" w:right="0" w:firstLine="440"/>
        <w:jc w:val="both"/>
      </w:pPr>
      <w:bookmarkStart w:id="613" w:name="bookmark613"/>
      <w:bookmarkStart w:id="614" w:name="bookmark614"/>
      <w:bookmarkStart w:id="615" w:name="bookmark615"/>
      <w:r>
        <w:rPr>
          <w:color w:val="000000"/>
          <w:spacing w:val="0"/>
          <w:w w:val="100"/>
          <w:position w:val="0"/>
        </w:rPr>
        <w:t>（十八）</w:t>
        <w:tab/>
        <w:t>长期待摊费用</w:t>
      </w:r>
      <w:bookmarkEnd w:id="613"/>
      <w:bookmarkEnd w:id="614"/>
      <w:bookmarkEnd w:id="615"/>
    </w:p>
    <w:p>
      <w:pPr>
        <w:pStyle w:val="Style35"/>
        <w:keepNext w:val="0"/>
        <w:keepLines w:val="0"/>
        <w:widowControl w:val="0"/>
        <w:shd w:val="clear" w:color="auto" w:fill="auto"/>
        <w:bidi w:val="0"/>
        <w:spacing w:before="0" w:after="260" w:line="312" w:lineRule="exact"/>
        <w:ind w:left="0" w:right="0" w:firstLine="440"/>
        <w:jc w:val="both"/>
        <w:rPr>
          <w:sz w:val="20"/>
          <w:szCs w:val="20"/>
        </w:rPr>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192" w:right="959" w:bottom="1690" w:left="1001" w:header="0" w:footer="3" w:gutter="0"/>
          <w:cols w:space="720"/>
          <w:noEndnote/>
          <w:titlePg/>
          <w:rtlGutter w:val="0"/>
          <w:docGrid w:linePitch="360"/>
        </w:sectPr>
      </w:pPr>
      <w:r>
        <w:rPr>
          <w:color w:val="000000"/>
          <w:spacing w:val="0"/>
          <w:w w:val="100"/>
          <w:position w:val="0"/>
          <w:sz w:val="20"/>
          <w:szCs w:val="20"/>
        </w:rPr>
        <w:t>长期待摊费用核算已经发生，但应由当期及以后各期负担的分摊期限在一年以上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不含一年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的各项费 用，本公司对该等费用采用直线法在其受益期内平均摊销，如果长期待摊费用项目不能使以后会计期间受 益，则将尚未摊销的该项目的摊余价值全部转入当期损益。</w:t>
      </w:r>
    </w:p>
    <w:p>
      <w:pPr>
        <w:pStyle w:val="Style44"/>
        <w:keepNext/>
        <w:keepLines/>
        <w:widowControl w:val="0"/>
        <w:shd w:val="clear" w:color="auto" w:fill="auto"/>
        <w:tabs>
          <w:tab w:pos="1578" w:val="left"/>
        </w:tabs>
        <w:bidi w:val="0"/>
        <w:spacing w:before="0" w:after="260" w:line="315" w:lineRule="exact"/>
        <w:ind w:left="0" w:right="0" w:firstLine="440"/>
        <w:jc w:val="both"/>
      </w:pPr>
      <w:bookmarkStart w:id="616" w:name="bookmark616"/>
      <w:bookmarkStart w:id="617" w:name="bookmark617"/>
      <w:bookmarkStart w:id="618" w:name="bookmark618"/>
      <w:r>
        <w:rPr>
          <w:color w:val="000000"/>
          <w:spacing w:val="0"/>
          <w:w w:val="100"/>
          <w:position w:val="0"/>
        </w:rPr>
        <w:t>（十九）</w:t>
        <w:tab/>
        <w:t>商誉</w:t>
      </w:r>
      <w:bookmarkEnd w:id="616"/>
      <w:bookmarkEnd w:id="617"/>
      <w:bookmarkEnd w:id="618"/>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商誉为股权投资成本或非同一控制下企业合并成本超过应享有的或企业合并中取得的被投资单位或 被购买方可辨认净资产于取得日或购买日的公允价值份额的差额。因购买子公司少数股东股权成本大于按 照新增持股比例计算应享有自购买日（合并日）开始持续计算的应享有子公司可辨认净资产公允价值份额 之间的差额，不确认商誉。</w:t>
      </w:r>
    </w:p>
    <w:p>
      <w:pPr>
        <w:pStyle w:val="Style35"/>
        <w:keepNext w:val="0"/>
        <w:keepLines w:val="0"/>
        <w:widowControl w:val="0"/>
        <w:shd w:val="clear" w:color="auto" w:fill="auto"/>
        <w:bidi w:val="0"/>
        <w:spacing w:before="0" w:after="260" w:line="322" w:lineRule="exact"/>
        <w:ind w:left="0" w:right="0" w:firstLine="440"/>
        <w:jc w:val="both"/>
        <w:rPr>
          <w:sz w:val="20"/>
          <w:szCs w:val="20"/>
        </w:rPr>
      </w:pPr>
      <w:r>
        <w:rPr>
          <w:color w:val="000000"/>
          <w:spacing w:val="0"/>
          <w:w w:val="100"/>
          <w:position w:val="0"/>
          <w:sz w:val="20"/>
          <w:szCs w:val="20"/>
        </w:rPr>
        <w:t>与子公司有关的商誉在合并财务报表上以成本减累计减值准备单独列示，与联营企业和合营企业有关 的商誉，包含在长期股权投资的账面价值中。</w:t>
      </w:r>
    </w:p>
    <w:p>
      <w:pPr>
        <w:pStyle w:val="Style35"/>
        <w:keepNext w:val="0"/>
        <w:keepLines w:val="0"/>
        <w:widowControl w:val="0"/>
        <w:shd w:val="clear" w:color="auto" w:fill="auto"/>
        <w:bidi w:val="0"/>
        <w:spacing w:before="0" w:after="260" w:line="317" w:lineRule="exact"/>
        <w:ind w:left="0" w:right="0" w:firstLine="440"/>
        <w:jc w:val="both"/>
        <w:rPr>
          <w:sz w:val="20"/>
          <w:szCs w:val="20"/>
        </w:rPr>
      </w:pPr>
      <w:r>
        <w:rPr>
          <w:color w:val="000000"/>
          <w:spacing w:val="0"/>
          <w:w w:val="100"/>
          <w:position w:val="0"/>
          <w:sz w:val="20"/>
          <w:szCs w:val="20"/>
        </w:rPr>
        <w:t>在财务报表中单独列示的商誉至少每年进行减值测试。减值测试时，商誉的账面价值根据企业合并的 协同效应分摊至受益的资产组或资产组组合。</w:t>
      </w:r>
    </w:p>
    <w:p>
      <w:pPr>
        <w:pStyle w:val="Style44"/>
        <w:keepNext/>
        <w:keepLines/>
        <w:widowControl w:val="0"/>
        <w:shd w:val="clear" w:color="auto" w:fill="auto"/>
        <w:tabs>
          <w:tab w:pos="1578" w:val="left"/>
        </w:tabs>
        <w:bidi w:val="0"/>
        <w:spacing w:before="0" w:after="260" w:line="315" w:lineRule="exact"/>
        <w:ind w:left="0" w:right="0" w:firstLine="440"/>
        <w:jc w:val="both"/>
      </w:pPr>
      <w:bookmarkStart w:id="619" w:name="bookmark619"/>
      <w:bookmarkStart w:id="620" w:name="bookmark620"/>
      <w:bookmarkStart w:id="621" w:name="bookmark621"/>
      <w:r>
        <w:rPr>
          <w:color w:val="000000"/>
          <w:spacing w:val="0"/>
          <w:w w:val="100"/>
          <w:position w:val="0"/>
        </w:rPr>
        <w:t>（二十）</w:t>
        <w:tab/>
        <w:t>借款费用</w:t>
      </w:r>
      <w:bookmarkEnd w:id="619"/>
      <w:bookmarkEnd w:id="620"/>
      <w:bookmarkEnd w:id="621"/>
    </w:p>
    <w:p>
      <w:pPr>
        <w:pStyle w:val="Style35"/>
        <w:keepNext w:val="0"/>
        <w:keepLines w:val="0"/>
        <w:widowControl w:val="0"/>
        <w:shd w:val="clear" w:color="auto" w:fill="auto"/>
        <w:tabs>
          <w:tab w:pos="790" w:val="left"/>
        </w:tabs>
        <w:bidi w:val="0"/>
        <w:spacing w:before="0" w:after="260" w:line="314" w:lineRule="exact"/>
        <w:ind w:left="0" w:right="0" w:firstLine="440"/>
        <w:jc w:val="both"/>
        <w:rPr>
          <w:sz w:val="20"/>
          <w:szCs w:val="20"/>
        </w:rPr>
      </w:pPr>
      <w:bookmarkStart w:id="622" w:name="bookmark622"/>
      <w:r>
        <w:rPr>
          <w:rFonts w:ascii="Times New Roman" w:eastAsia="Times New Roman" w:hAnsi="Times New Roman" w:cs="Times New Roman"/>
          <w:color w:val="000000"/>
          <w:spacing w:val="0"/>
          <w:w w:val="100"/>
          <w:position w:val="0"/>
          <w:sz w:val="20"/>
          <w:szCs w:val="20"/>
        </w:rPr>
        <w:t>1</w:t>
      </w:r>
      <w:bookmarkEnd w:id="622"/>
      <w:r>
        <w:rPr>
          <w:color w:val="000000"/>
          <w:spacing w:val="0"/>
          <w:w w:val="100"/>
          <w:position w:val="0"/>
          <w:sz w:val="20"/>
          <w:szCs w:val="20"/>
        </w:rPr>
        <w:t>、</w:t>
        <w:tab/>
        <w:t>借款费用资本化的确认原则：借款费用包括因借款而发生的利息、折价或溢价的摊销和辅助费用， 以及因外币借款而发生的汇兑差额等。本公司发生的借款费用，可直接归属于符合资本化条件的资产的购 建或者生产的，予以资本化，计入相关资产的成本；其他借款费用，在发生时根据其发生额确认为费用， 计入当期损益。</w:t>
      </w:r>
    </w:p>
    <w:p>
      <w:pPr>
        <w:pStyle w:val="Style35"/>
        <w:keepNext w:val="0"/>
        <w:keepLines w:val="0"/>
        <w:widowControl w:val="0"/>
        <w:shd w:val="clear" w:color="auto" w:fill="auto"/>
        <w:tabs>
          <w:tab w:pos="813" w:val="left"/>
        </w:tabs>
        <w:bidi w:val="0"/>
        <w:spacing w:before="0" w:after="260" w:line="315" w:lineRule="exact"/>
        <w:ind w:left="0" w:right="0" w:firstLine="440"/>
        <w:jc w:val="both"/>
        <w:rPr>
          <w:sz w:val="20"/>
          <w:szCs w:val="20"/>
        </w:rPr>
      </w:pPr>
      <w:bookmarkStart w:id="623" w:name="bookmark623"/>
      <w:r>
        <w:rPr>
          <w:rFonts w:ascii="Times New Roman" w:eastAsia="Times New Roman" w:hAnsi="Times New Roman" w:cs="Times New Roman"/>
          <w:color w:val="000000"/>
          <w:spacing w:val="0"/>
          <w:w w:val="100"/>
          <w:position w:val="0"/>
          <w:sz w:val="20"/>
          <w:szCs w:val="20"/>
        </w:rPr>
        <w:t>2</w:t>
      </w:r>
      <w:bookmarkEnd w:id="623"/>
      <w:r>
        <w:rPr>
          <w:color w:val="000000"/>
          <w:spacing w:val="0"/>
          <w:w w:val="100"/>
          <w:position w:val="0"/>
          <w:sz w:val="20"/>
          <w:szCs w:val="20"/>
        </w:rPr>
        <w:t>、</w:t>
        <w:tab/>
        <w:t>借款费用资本化的开始：本公司对同时满足以下三个条件的借款费用，开始资本化：</w:t>
      </w:r>
    </w:p>
    <w:p>
      <w:pPr>
        <w:pStyle w:val="Style35"/>
        <w:keepNext w:val="0"/>
        <w:keepLines w:val="0"/>
        <w:widowControl w:val="0"/>
        <w:shd w:val="clear" w:color="auto" w:fill="auto"/>
        <w:tabs>
          <w:tab w:pos="1016" w:val="left"/>
        </w:tabs>
        <w:bidi w:val="0"/>
        <w:spacing w:before="0" w:after="260" w:line="307" w:lineRule="exact"/>
        <w:ind w:left="0" w:right="0" w:firstLine="440"/>
        <w:jc w:val="both"/>
        <w:rPr>
          <w:sz w:val="20"/>
          <w:szCs w:val="20"/>
        </w:rPr>
      </w:pPr>
      <w:bookmarkStart w:id="624" w:name="bookmark624"/>
      <w:r>
        <w:rPr>
          <w:color w:val="000000"/>
          <w:spacing w:val="0"/>
          <w:w w:val="100"/>
          <w:position w:val="0"/>
          <w:sz w:val="20"/>
          <w:szCs w:val="20"/>
        </w:rPr>
        <w:t>（</w:t>
      </w:r>
      <w:bookmarkEnd w:id="6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资产支出（资产支出包括为购建固定资产或者生产符合资本化条件的资产而以支付现金、转移 非现金资产或者承担带息债务形式发生的支出）已经发生；</w:t>
      </w:r>
    </w:p>
    <w:p>
      <w:pPr>
        <w:pStyle w:val="Style35"/>
        <w:keepNext w:val="0"/>
        <w:keepLines w:val="0"/>
        <w:widowControl w:val="0"/>
        <w:shd w:val="clear" w:color="auto" w:fill="auto"/>
        <w:tabs>
          <w:tab w:pos="928" w:val="left"/>
        </w:tabs>
        <w:bidi w:val="0"/>
        <w:spacing w:before="0" w:after="260" w:line="315" w:lineRule="exact"/>
        <w:ind w:left="0" w:right="0" w:firstLine="440"/>
        <w:jc w:val="both"/>
        <w:rPr>
          <w:sz w:val="20"/>
          <w:szCs w:val="20"/>
        </w:rPr>
      </w:pPr>
      <w:bookmarkStart w:id="625" w:name="bookmark625"/>
      <w:r>
        <w:rPr>
          <w:color w:val="000000"/>
          <w:spacing w:val="0"/>
          <w:w w:val="100"/>
          <w:position w:val="0"/>
          <w:sz w:val="20"/>
          <w:szCs w:val="20"/>
        </w:rPr>
        <w:t>（</w:t>
      </w:r>
      <w:bookmarkEnd w:id="6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5"/>
        <w:keepNext w:val="0"/>
        <w:keepLines w:val="0"/>
        <w:widowControl w:val="0"/>
        <w:shd w:val="clear" w:color="auto" w:fill="auto"/>
        <w:tabs>
          <w:tab w:pos="928" w:val="left"/>
        </w:tabs>
        <w:bidi w:val="0"/>
        <w:spacing w:before="0" w:after="260" w:line="315" w:lineRule="exact"/>
        <w:ind w:left="0" w:right="0" w:firstLine="440"/>
        <w:jc w:val="left"/>
        <w:rPr>
          <w:sz w:val="20"/>
          <w:szCs w:val="20"/>
        </w:rPr>
      </w:pPr>
      <w:bookmarkStart w:id="626" w:name="bookmark626"/>
      <w:r>
        <w:rPr>
          <w:color w:val="000000"/>
          <w:spacing w:val="0"/>
          <w:w w:val="100"/>
          <w:position w:val="0"/>
          <w:sz w:val="20"/>
          <w:szCs w:val="20"/>
        </w:rPr>
        <w:t>（</w:t>
      </w:r>
      <w:bookmarkEnd w:id="62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为使资产达到预定可使用状态或者可销售状态所必要的购建活动或者生产活动已经开始。</w:t>
      </w:r>
    </w:p>
    <w:p>
      <w:pPr>
        <w:pStyle w:val="Style35"/>
        <w:keepNext w:val="0"/>
        <w:keepLines w:val="0"/>
        <w:widowControl w:val="0"/>
        <w:shd w:val="clear" w:color="auto" w:fill="auto"/>
        <w:tabs>
          <w:tab w:pos="786" w:val="left"/>
        </w:tabs>
        <w:bidi w:val="0"/>
        <w:spacing w:before="0" w:after="260" w:line="317" w:lineRule="exact"/>
        <w:ind w:left="0" w:right="0" w:firstLine="440"/>
        <w:jc w:val="left"/>
        <w:rPr>
          <w:sz w:val="20"/>
          <w:szCs w:val="20"/>
        </w:rPr>
      </w:pPr>
      <w:bookmarkStart w:id="627" w:name="bookmark627"/>
      <w:r>
        <w:rPr>
          <w:rFonts w:ascii="Times New Roman" w:eastAsia="Times New Roman" w:hAnsi="Times New Roman" w:cs="Times New Roman"/>
          <w:color w:val="000000"/>
          <w:spacing w:val="0"/>
          <w:w w:val="100"/>
          <w:position w:val="0"/>
          <w:sz w:val="20"/>
          <w:szCs w:val="20"/>
        </w:rPr>
        <w:t>3</w:t>
      </w:r>
      <w:bookmarkEnd w:id="627"/>
      <w:r>
        <w:rPr>
          <w:color w:val="000000"/>
          <w:spacing w:val="0"/>
          <w:w w:val="100"/>
          <w:position w:val="0"/>
          <w:sz w:val="20"/>
          <w:szCs w:val="20"/>
        </w:rPr>
        <w:t>、</w:t>
        <w:tab/>
        <w:t>资本化期间：是指从借款费用开始资本化时点到停止资本化时点的期间，借款费用暂停资本化的 期间不包括在内。</w:t>
      </w:r>
    </w:p>
    <w:p>
      <w:pPr>
        <w:pStyle w:val="Style35"/>
        <w:keepNext w:val="0"/>
        <w:keepLines w:val="0"/>
        <w:widowControl w:val="0"/>
        <w:shd w:val="clear" w:color="auto" w:fill="auto"/>
        <w:tabs>
          <w:tab w:pos="786" w:val="left"/>
        </w:tabs>
        <w:bidi w:val="0"/>
        <w:spacing w:before="0" w:after="260" w:line="315" w:lineRule="exact"/>
        <w:ind w:left="0" w:right="0" w:firstLine="440"/>
        <w:jc w:val="left"/>
        <w:rPr>
          <w:sz w:val="20"/>
          <w:szCs w:val="20"/>
        </w:rPr>
      </w:pPr>
      <w:bookmarkStart w:id="628" w:name="bookmark628"/>
      <w:r>
        <w:rPr>
          <w:rFonts w:ascii="Times New Roman" w:eastAsia="Times New Roman" w:hAnsi="Times New Roman" w:cs="Times New Roman"/>
          <w:color w:val="000000"/>
          <w:spacing w:val="0"/>
          <w:w w:val="100"/>
          <w:position w:val="0"/>
          <w:sz w:val="20"/>
          <w:szCs w:val="20"/>
        </w:rPr>
        <w:t>4</w:t>
      </w:r>
      <w:bookmarkEnd w:id="628"/>
      <w:r>
        <w:rPr>
          <w:color w:val="000000"/>
          <w:spacing w:val="0"/>
          <w:w w:val="100"/>
          <w:position w:val="0"/>
          <w:sz w:val="20"/>
          <w:szCs w:val="20"/>
        </w:rPr>
        <w:t>、</w:t>
        <w:tab/>
        <w:t>借款费用资本化的暂停和停止：本公司对符合资本化条件的资产在购建或者生产过程中发生非正 常中断，并且中断时间连续超过三个月，暂停借款费用的资本化。在中断期间发生的借款费用确认为费用， 计入当期损益，直至资产的购建或者生产活动重新开始。如果中断是使所购建或者生产的符合资本化条件 的资产达到预定可使用或者可销售状态所必要的程序，则借款费用的资本化继续进行。</w:t>
      </w:r>
    </w:p>
    <w:p>
      <w:pPr>
        <w:pStyle w:val="Style35"/>
        <w:keepNext w:val="0"/>
        <w:keepLines w:val="0"/>
        <w:widowControl w:val="0"/>
        <w:shd w:val="clear" w:color="auto" w:fill="auto"/>
        <w:bidi w:val="0"/>
        <w:spacing w:before="0" w:after="260" w:line="326" w:lineRule="exact"/>
        <w:ind w:left="0" w:right="0" w:firstLine="440"/>
        <w:jc w:val="left"/>
        <w:rPr>
          <w:sz w:val="20"/>
          <w:szCs w:val="20"/>
        </w:rPr>
      </w:pPr>
      <w:r>
        <w:rPr>
          <w:color w:val="000000"/>
          <w:spacing w:val="0"/>
          <w:w w:val="100"/>
          <w:position w:val="0"/>
          <w:sz w:val="20"/>
          <w:szCs w:val="20"/>
        </w:rPr>
        <w:t>当购建或者生产符合资本化条件的资产达到预定可使用或者可销售状态时，停止借款费用的资本化， 以后发生的费用于发生当期确认为费用。</w:t>
      </w:r>
    </w:p>
    <w:p>
      <w:pPr>
        <w:pStyle w:val="Style35"/>
        <w:keepNext w:val="0"/>
        <w:keepLines w:val="0"/>
        <w:widowControl w:val="0"/>
        <w:shd w:val="clear" w:color="auto" w:fill="auto"/>
        <w:tabs>
          <w:tab w:pos="813" w:val="left"/>
        </w:tabs>
        <w:bidi w:val="0"/>
        <w:spacing w:before="0" w:after="260" w:line="315" w:lineRule="exact"/>
        <w:ind w:left="0" w:right="0" w:firstLine="440"/>
        <w:jc w:val="left"/>
        <w:rPr>
          <w:sz w:val="20"/>
          <w:szCs w:val="20"/>
        </w:rPr>
      </w:pPr>
      <w:bookmarkStart w:id="629" w:name="bookmark629"/>
      <w:r>
        <w:rPr>
          <w:rFonts w:ascii="Times New Roman" w:eastAsia="Times New Roman" w:hAnsi="Times New Roman" w:cs="Times New Roman"/>
          <w:color w:val="000000"/>
          <w:spacing w:val="0"/>
          <w:w w:val="100"/>
          <w:position w:val="0"/>
          <w:sz w:val="20"/>
          <w:szCs w:val="20"/>
        </w:rPr>
        <w:t>5</w:t>
      </w:r>
      <w:bookmarkEnd w:id="629"/>
      <w:r>
        <w:rPr>
          <w:color w:val="000000"/>
          <w:spacing w:val="0"/>
          <w:w w:val="100"/>
          <w:position w:val="0"/>
          <w:sz w:val="20"/>
          <w:szCs w:val="20"/>
        </w:rPr>
        <w:t>、</w:t>
        <w:tab/>
        <w:t>借款费用资本化金额的计算方法</w:t>
      </w:r>
    </w:p>
    <w:p>
      <w:pPr>
        <w:pStyle w:val="Style35"/>
        <w:keepNext w:val="0"/>
        <w:keepLines w:val="0"/>
        <w:widowControl w:val="0"/>
        <w:shd w:val="clear" w:color="auto" w:fill="auto"/>
        <w:bidi w:val="0"/>
        <w:spacing w:before="0" w:after="260" w:line="315" w:lineRule="exact"/>
        <w:ind w:left="0" w:right="0" w:firstLine="440"/>
        <w:jc w:val="left"/>
        <w:rPr>
          <w:sz w:val="20"/>
          <w:szCs w:val="20"/>
        </w:rPr>
      </w:pPr>
      <w:r>
        <w:rPr>
          <w:color w:val="000000"/>
          <w:spacing w:val="0"/>
          <w:w w:val="100"/>
          <w:position w:val="0"/>
          <w:sz w:val="20"/>
          <w:szCs w:val="20"/>
        </w:rPr>
        <w:t>在资本化期间内，本公司对每一会计期间的利息资本化金额，按照下列方法确定：</w:t>
      </w:r>
    </w:p>
    <w:p>
      <w:pPr>
        <w:pStyle w:val="Style35"/>
        <w:keepNext w:val="0"/>
        <w:keepLines w:val="0"/>
        <w:widowControl w:val="0"/>
        <w:shd w:val="clear" w:color="auto" w:fill="auto"/>
        <w:bidi w:val="0"/>
        <w:spacing w:before="0" w:after="260" w:line="317" w:lineRule="exact"/>
        <w:ind w:left="0" w:right="0" w:firstLine="440"/>
        <w:jc w:val="left"/>
        <w:rPr>
          <w:sz w:val="20"/>
          <w:szCs w:val="20"/>
        </w:rPr>
      </w:pPr>
      <w:bookmarkStart w:id="630" w:name="bookmark630"/>
      <w:r>
        <w:rPr>
          <w:color w:val="000000"/>
          <w:spacing w:val="0"/>
          <w:w w:val="100"/>
          <w:position w:val="0"/>
          <w:sz w:val="20"/>
          <w:szCs w:val="20"/>
        </w:rPr>
        <w:t>（</w:t>
      </w:r>
      <w:bookmarkEnd w:id="6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）为购建或者生产符合资本化条件的资产而借入专门借款的，以专门借款当期实际发生的利息费 用，减去将尚未动用的借款资金存入银行取得的利息收入或进行暂时性投资取得的投资收益后的金额确 </w:t>
      </w:r>
      <w:r>
        <w:rPr>
          <w:color w:val="000000"/>
          <w:spacing w:val="0"/>
          <w:w w:val="100"/>
          <w:position w:val="0"/>
          <w:sz w:val="20"/>
          <w:szCs w:val="20"/>
        </w:rPr>
        <w:t>定；</w:t>
      </w:r>
    </w:p>
    <w:p>
      <w:pPr>
        <w:pStyle w:val="Style35"/>
        <w:keepNext w:val="0"/>
        <w:keepLines w:val="0"/>
        <w:widowControl w:val="0"/>
        <w:shd w:val="clear" w:color="auto" w:fill="auto"/>
        <w:bidi w:val="0"/>
        <w:spacing w:before="0" w:after="260" w:line="317" w:lineRule="exact"/>
        <w:ind w:left="0" w:right="0" w:firstLine="420"/>
        <w:jc w:val="both"/>
        <w:rPr>
          <w:sz w:val="20"/>
          <w:szCs w:val="20"/>
        </w:rPr>
      </w:pPr>
      <w:bookmarkStart w:id="631" w:name="bookmark631"/>
      <w:r>
        <w:rPr>
          <w:color w:val="000000"/>
          <w:spacing w:val="0"/>
          <w:w w:val="100"/>
          <w:position w:val="0"/>
          <w:sz w:val="20"/>
          <w:szCs w:val="20"/>
        </w:rPr>
        <w:t>（</w:t>
      </w:r>
      <w:bookmarkEnd w:id="63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）为购建或者生产符合资本化条件的资产而占用了一般借款的，根据累计资产支出超过专门借款 部分的资产支出加权平均数乘以所占用一般借款的资本化率，计算确定一般借款应予资本化的利息金额。 资本化率根据一般借款加权平均利率计算确定。</w:t>
      </w:r>
    </w:p>
    <w:p>
      <w:pPr>
        <w:pStyle w:val="Style44"/>
        <w:keepNext/>
        <w:keepLines/>
        <w:widowControl w:val="0"/>
        <w:shd w:val="clear" w:color="auto" w:fill="auto"/>
        <w:bidi w:val="0"/>
        <w:spacing w:before="0" w:after="260" w:line="314" w:lineRule="exact"/>
        <w:ind w:left="0" w:right="0" w:firstLine="420"/>
        <w:jc w:val="both"/>
      </w:pPr>
      <w:bookmarkStart w:id="632" w:name="bookmark632"/>
      <w:bookmarkStart w:id="633" w:name="bookmark633"/>
      <w:bookmarkStart w:id="634" w:name="bookmark634"/>
      <w:r>
        <w:rPr>
          <w:color w:val="000000"/>
          <w:spacing w:val="0"/>
          <w:w w:val="100"/>
          <w:position w:val="0"/>
        </w:rPr>
        <w:t>（二十一）职工薪酬</w:t>
      </w:r>
      <w:bookmarkEnd w:id="632"/>
      <w:bookmarkEnd w:id="633"/>
      <w:bookmarkEnd w:id="634"/>
    </w:p>
    <w:p>
      <w:pPr>
        <w:pStyle w:val="Style35"/>
        <w:keepNext w:val="0"/>
        <w:keepLines w:val="0"/>
        <w:widowControl w:val="0"/>
        <w:shd w:val="clear" w:color="auto" w:fill="auto"/>
        <w:bidi w:val="0"/>
        <w:spacing w:before="0" w:after="260" w:line="314" w:lineRule="exact"/>
        <w:ind w:left="0" w:right="0" w:firstLine="420"/>
        <w:jc w:val="both"/>
        <w:rPr>
          <w:sz w:val="20"/>
          <w:szCs w:val="20"/>
        </w:rPr>
      </w:pPr>
      <w:r>
        <w:rPr>
          <w:color w:val="000000"/>
          <w:spacing w:val="0"/>
          <w:w w:val="100"/>
          <w:position w:val="0"/>
          <w:sz w:val="20"/>
          <w:szCs w:val="20"/>
        </w:rPr>
        <w:t>公司的职工薪酬是指公司为获得职工提供的服务而给予各种形式的报酬以及其他相关支出。包括：职 工工资、奖金、津贴和补贴，职工福利费，医疗保险费、养老保险费、失业保险费、工伤保险费和生育保 险费等社会保险费，住房公积金，工会经费和职工教育经费，非货币性福利，解除劳动关系给予的补偿以 及其他与获得职工提供服务相关的支出等。</w:t>
      </w:r>
    </w:p>
    <w:p>
      <w:pPr>
        <w:pStyle w:val="Style35"/>
        <w:keepNext w:val="0"/>
        <w:keepLines w:val="0"/>
        <w:widowControl w:val="0"/>
        <w:shd w:val="clear" w:color="auto" w:fill="auto"/>
        <w:bidi w:val="0"/>
        <w:spacing w:before="0" w:after="260" w:line="317" w:lineRule="exact"/>
        <w:ind w:left="0" w:right="0" w:firstLine="420"/>
        <w:jc w:val="both"/>
        <w:rPr>
          <w:sz w:val="20"/>
          <w:szCs w:val="20"/>
        </w:rPr>
      </w:pPr>
      <w:r>
        <w:rPr>
          <w:color w:val="000000"/>
          <w:spacing w:val="0"/>
          <w:w w:val="100"/>
          <w:position w:val="0"/>
          <w:sz w:val="20"/>
          <w:szCs w:val="20"/>
        </w:rPr>
        <w:t>公司在职工为其提供服务的会计期间，将应付的职工薪酬确认为负债，除因解除劳动关系外，根据职 工提供服务的收益对象，计入相关费用或资产。</w:t>
      </w:r>
    </w:p>
    <w:p>
      <w:pPr>
        <w:pStyle w:val="Style35"/>
        <w:keepNext w:val="0"/>
        <w:keepLines w:val="0"/>
        <w:widowControl w:val="0"/>
        <w:shd w:val="clear" w:color="auto" w:fill="auto"/>
        <w:bidi w:val="0"/>
        <w:spacing w:before="0" w:after="260" w:line="317" w:lineRule="exact"/>
        <w:ind w:left="0" w:right="0" w:firstLine="420"/>
        <w:jc w:val="both"/>
        <w:rPr>
          <w:sz w:val="20"/>
          <w:szCs w:val="20"/>
        </w:rPr>
      </w:pPr>
      <w:r>
        <w:rPr>
          <w:color w:val="000000"/>
          <w:spacing w:val="0"/>
          <w:w w:val="100"/>
          <w:position w:val="0"/>
          <w:sz w:val="20"/>
          <w:szCs w:val="20"/>
        </w:rPr>
        <w:t>公司按照当地政府规定参加由政府机构设立的职工社会保障体系，一般包括养老保险、医疗保险、住 房公积金及其他的社会保障。</w:t>
      </w:r>
    </w:p>
    <w:p>
      <w:pPr>
        <w:pStyle w:val="Style44"/>
        <w:keepNext/>
        <w:keepLines/>
        <w:widowControl w:val="0"/>
        <w:shd w:val="clear" w:color="auto" w:fill="auto"/>
        <w:bidi w:val="0"/>
        <w:spacing w:before="0" w:after="260" w:line="314" w:lineRule="exact"/>
        <w:ind w:left="0" w:right="0" w:firstLine="420"/>
        <w:jc w:val="both"/>
      </w:pPr>
      <w:bookmarkStart w:id="635" w:name="bookmark635"/>
      <w:bookmarkStart w:id="636" w:name="bookmark636"/>
      <w:bookmarkStart w:id="637" w:name="bookmark637"/>
      <w:r>
        <w:rPr>
          <w:color w:val="000000"/>
          <w:spacing w:val="0"/>
          <w:w w:val="100"/>
          <w:position w:val="0"/>
        </w:rPr>
        <w:t>（二十二）预计负债</w:t>
      </w:r>
      <w:bookmarkEnd w:id="635"/>
      <w:bookmarkEnd w:id="636"/>
      <w:bookmarkEnd w:id="637"/>
    </w:p>
    <w:p>
      <w:pPr>
        <w:pStyle w:val="Style35"/>
        <w:keepNext w:val="0"/>
        <w:keepLines w:val="0"/>
        <w:widowControl w:val="0"/>
        <w:shd w:val="clear" w:color="auto" w:fill="auto"/>
        <w:bidi w:val="0"/>
        <w:spacing w:before="0" w:after="260" w:line="298" w:lineRule="exact"/>
        <w:ind w:left="0" w:right="0" w:firstLine="420"/>
        <w:jc w:val="both"/>
        <w:rPr>
          <w:sz w:val="20"/>
          <w:szCs w:val="20"/>
        </w:rPr>
      </w:pPr>
      <w:r>
        <w:rPr>
          <w:color w:val="000000"/>
          <w:spacing w:val="0"/>
          <w:w w:val="100"/>
          <w:position w:val="0"/>
          <w:sz w:val="20"/>
          <w:szCs w:val="20"/>
        </w:rPr>
        <w:t>公司发生对外提供担保、未决仲裁、未决诉讼等形成的或有事项同时符合以下条件时，将其确认为预 计负债：</w:t>
      </w:r>
    </w:p>
    <w:p>
      <w:pPr>
        <w:pStyle w:val="Style35"/>
        <w:keepNext w:val="0"/>
        <w:keepLines w:val="0"/>
        <w:widowControl w:val="0"/>
        <w:shd w:val="clear" w:color="auto" w:fill="auto"/>
        <w:tabs>
          <w:tab w:pos="850" w:val="left"/>
        </w:tabs>
        <w:bidi w:val="0"/>
        <w:spacing w:before="0" w:after="260" w:line="314" w:lineRule="exact"/>
        <w:ind w:left="0" w:right="0" w:firstLine="420"/>
        <w:jc w:val="both"/>
        <w:rPr>
          <w:sz w:val="20"/>
          <w:szCs w:val="20"/>
        </w:rPr>
      </w:pPr>
      <w:bookmarkStart w:id="638" w:name="bookmark638"/>
      <w:r>
        <w:rPr>
          <w:rFonts w:ascii="Times New Roman" w:eastAsia="Times New Roman" w:hAnsi="Times New Roman" w:cs="Times New Roman"/>
          <w:color w:val="000000"/>
          <w:spacing w:val="0"/>
          <w:w w:val="100"/>
          <w:position w:val="0"/>
          <w:sz w:val="20"/>
          <w:szCs w:val="20"/>
        </w:rPr>
        <w:t>（</w:t>
      </w:r>
      <w:bookmarkEnd w:id="638"/>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该义务是公司承担的现时义务；</w:t>
      </w:r>
    </w:p>
    <w:p>
      <w:pPr>
        <w:pStyle w:val="Style35"/>
        <w:keepNext w:val="0"/>
        <w:keepLines w:val="0"/>
        <w:widowControl w:val="0"/>
        <w:shd w:val="clear" w:color="auto" w:fill="auto"/>
        <w:tabs>
          <w:tab w:pos="850" w:val="left"/>
        </w:tabs>
        <w:bidi w:val="0"/>
        <w:spacing w:before="0" w:after="260" w:line="314" w:lineRule="exact"/>
        <w:ind w:left="0" w:right="0" w:firstLine="420"/>
        <w:jc w:val="both"/>
        <w:rPr>
          <w:sz w:val="20"/>
          <w:szCs w:val="20"/>
        </w:rPr>
      </w:pPr>
      <w:bookmarkStart w:id="639" w:name="bookmark639"/>
      <w:r>
        <w:rPr>
          <w:rFonts w:ascii="Times New Roman" w:eastAsia="Times New Roman" w:hAnsi="Times New Roman" w:cs="Times New Roman"/>
          <w:color w:val="000000"/>
          <w:spacing w:val="0"/>
          <w:w w:val="100"/>
          <w:position w:val="0"/>
          <w:sz w:val="20"/>
          <w:szCs w:val="20"/>
        </w:rPr>
        <w:t>（</w:t>
      </w:r>
      <w:bookmarkEnd w:id="639"/>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该义务的执行很可能导致经济利益流出本公司；</w:t>
      </w:r>
    </w:p>
    <w:p>
      <w:pPr>
        <w:pStyle w:val="Style35"/>
        <w:keepNext w:val="0"/>
        <w:keepLines w:val="0"/>
        <w:widowControl w:val="0"/>
        <w:shd w:val="clear" w:color="auto" w:fill="auto"/>
        <w:tabs>
          <w:tab w:pos="850" w:val="left"/>
        </w:tabs>
        <w:bidi w:val="0"/>
        <w:spacing w:before="0" w:after="260" w:line="314" w:lineRule="exact"/>
        <w:ind w:left="0" w:right="0" w:firstLine="420"/>
        <w:jc w:val="both"/>
        <w:rPr>
          <w:sz w:val="20"/>
          <w:szCs w:val="20"/>
        </w:rPr>
      </w:pPr>
      <w:bookmarkStart w:id="640" w:name="bookmark640"/>
      <w:r>
        <w:rPr>
          <w:rFonts w:ascii="Times New Roman" w:eastAsia="Times New Roman" w:hAnsi="Times New Roman" w:cs="Times New Roman"/>
          <w:color w:val="000000"/>
          <w:spacing w:val="0"/>
          <w:w w:val="100"/>
          <w:position w:val="0"/>
          <w:sz w:val="20"/>
          <w:szCs w:val="20"/>
        </w:rPr>
        <w:t>（</w:t>
      </w:r>
      <w:bookmarkEnd w:id="64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该义务的金额能够可靠计量。</w:t>
      </w:r>
    </w:p>
    <w:p>
      <w:pPr>
        <w:pStyle w:val="Style35"/>
        <w:keepNext w:val="0"/>
        <w:keepLines w:val="0"/>
        <w:widowControl w:val="0"/>
        <w:shd w:val="clear" w:color="auto" w:fill="auto"/>
        <w:bidi w:val="0"/>
        <w:spacing w:before="0" w:after="260" w:line="310" w:lineRule="exact"/>
        <w:ind w:left="0" w:right="0" w:firstLine="42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确定最佳估计数。资产负债表日对预计负债的账面价值进行复核，如有改变则对账面价值进行调整以反映 当前最佳估计数。</w:t>
      </w:r>
    </w:p>
    <w:p>
      <w:pPr>
        <w:pStyle w:val="Style35"/>
        <w:keepNext w:val="0"/>
        <w:keepLines w:val="0"/>
        <w:widowControl w:val="0"/>
        <w:shd w:val="clear" w:color="auto" w:fill="auto"/>
        <w:bidi w:val="0"/>
        <w:spacing w:before="0" w:after="260" w:line="312" w:lineRule="exact"/>
        <w:ind w:left="0" w:right="0" w:firstLine="420"/>
        <w:jc w:val="both"/>
        <w:rPr>
          <w:sz w:val="20"/>
          <w:szCs w:val="20"/>
        </w:rPr>
      </w:pPr>
      <w:r>
        <w:rPr>
          <w:color w:val="000000"/>
          <w:spacing w:val="0"/>
          <w:w w:val="100"/>
          <w:position w:val="0"/>
          <w:sz w:val="20"/>
          <w:szCs w:val="20"/>
        </w:rPr>
        <w:t>对过去的交易或事项形成的潜在义务，其存在需通过未来不确定事项的发生或不发生予以证实；或过 去的交易或者事项形成的现时义务，履行该义务不是很可能导致经济利益流出本公司或该义务的金额不能 可靠计量，则本公司会将该潜在义务或现时义务披露为或有负债。</w:t>
      </w:r>
    </w:p>
    <w:p>
      <w:pPr>
        <w:pStyle w:val="Style44"/>
        <w:keepNext/>
        <w:keepLines/>
        <w:widowControl w:val="0"/>
        <w:shd w:val="clear" w:color="auto" w:fill="auto"/>
        <w:bidi w:val="0"/>
        <w:spacing w:before="0" w:after="260" w:line="314" w:lineRule="exact"/>
        <w:ind w:left="0" w:right="0" w:firstLine="420"/>
        <w:jc w:val="both"/>
      </w:pPr>
      <w:bookmarkStart w:id="641" w:name="bookmark641"/>
      <w:bookmarkStart w:id="642" w:name="bookmark642"/>
      <w:bookmarkStart w:id="643" w:name="bookmark643"/>
      <w:r>
        <w:rPr>
          <w:color w:val="000000"/>
          <w:spacing w:val="0"/>
          <w:w w:val="100"/>
          <w:position w:val="0"/>
        </w:rPr>
        <w:t>（二十三）收入</w:t>
      </w:r>
      <w:bookmarkEnd w:id="641"/>
      <w:bookmarkEnd w:id="642"/>
      <w:bookmarkEnd w:id="643"/>
    </w:p>
    <w:p>
      <w:pPr>
        <w:pStyle w:val="Style35"/>
        <w:keepNext w:val="0"/>
        <w:keepLines w:val="0"/>
        <w:widowControl w:val="0"/>
        <w:shd w:val="clear" w:color="auto" w:fill="auto"/>
        <w:bidi w:val="0"/>
        <w:spacing w:before="0" w:after="260" w:line="314" w:lineRule="exact"/>
        <w:ind w:left="0" w:right="0" w:firstLine="420"/>
        <w:jc w:val="left"/>
        <w:rPr>
          <w:sz w:val="20"/>
          <w:szCs w:val="20"/>
        </w:rPr>
      </w:pPr>
      <w:bookmarkStart w:id="644" w:name="bookmark644"/>
      <w:r>
        <w:rPr>
          <w:rFonts w:ascii="Times New Roman" w:eastAsia="Times New Roman" w:hAnsi="Times New Roman" w:cs="Times New Roman"/>
          <w:color w:val="000000"/>
          <w:spacing w:val="0"/>
          <w:w w:val="100"/>
          <w:position w:val="0"/>
          <w:sz w:val="20"/>
          <w:szCs w:val="20"/>
        </w:rPr>
        <w:t>1</w:t>
      </w:r>
      <w:bookmarkEnd w:id="644"/>
      <w:r>
        <w:rPr>
          <w:color w:val="000000"/>
          <w:spacing w:val="0"/>
          <w:w w:val="100"/>
          <w:position w:val="0"/>
          <w:sz w:val="20"/>
          <w:szCs w:val="20"/>
        </w:rPr>
        <w:t>、本公司在同时满足下列条件时，确认商品销售收入：</w:t>
      </w:r>
    </w:p>
    <w:p>
      <w:pPr>
        <w:pStyle w:val="Style35"/>
        <w:keepNext w:val="0"/>
        <w:keepLines w:val="0"/>
        <w:widowControl w:val="0"/>
        <w:shd w:val="clear" w:color="auto" w:fill="auto"/>
        <w:tabs>
          <w:tab w:pos="908" w:val="left"/>
        </w:tabs>
        <w:bidi w:val="0"/>
        <w:spacing w:before="0" w:after="260" w:line="314" w:lineRule="exact"/>
        <w:ind w:left="0" w:right="0" w:firstLine="420"/>
        <w:jc w:val="left"/>
        <w:rPr>
          <w:sz w:val="20"/>
          <w:szCs w:val="20"/>
        </w:rPr>
      </w:pPr>
      <w:bookmarkStart w:id="645" w:name="bookmark645"/>
      <w:r>
        <w:rPr>
          <w:color w:val="000000"/>
          <w:spacing w:val="0"/>
          <w:w w:val="100"/>
          <w:position w:val="0"/>
          <w:sz w:val="20"/>
          <w:szCs w:val="20"/>
        </w:rPr>
        <w:t>（</w:t>
      </w:r>
      <w:bookmarkEnd w:id="64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公司已将商品所有权上的主要风险和报酬转移给购买方；</w:t>
      </w:r>
    </w:p>
    <w:p>
      <w:pPr>
        <w:pStyle w:val="Style35"/>
        <w:keepNext w:val="0"/>
        <w:keepLines w:val="0"/>
        <w:widowControl w:val="0"/>
        <w:shd w:val="clear" w:color="auto" w:fill="auto"/>
        <w:tabs>
          <w:tab w:pos="908" w:val="left"/>
        </w:tabs>
        <w:bidi w:val="0"/>
        <w:spacing w:before="0" w:after="260" w:line="314" w:lineRule="exact"/>
        <w:ind w:left="0" w:right="0" w:firstLine="420"/>
        <w:jc w:val="left"/>
        <w:rPr>
          <w:sz w:val="20"/>
          <w:szCs w:val="20"/>
        </w:rPr>
      </w:pPr>
      <w:bookmarkStart w:id="646" w:name="bookmark646"/>
      <w:r>
        <w:rPr>
          <w:color w:val="000000"/>
          <w:spacing w:val="0"/>
          <w:w w:val="100"/>
          <w:position w:val="0"/>
          <w:sz w:val="20"/>
          <w:szCs w:val="20"/>
        </w:rPr>
        <w:t>（</w:t>
      </w:r>
      <w:bookmarkEnd w:id="64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不再保留通常与商品所有权相联系的继续管理权，也没有对已售出的商品实施有效控制；</w:t>
      </w:r>
    </w:p>
    <w:p>
      <w:pPr>
        <w:pStyle w:val="Style35"/>
        <w:keepNext w:val="0"/>
        <w:keepLines w:val="0"/>
        <w:widowControl w:val="0"/>
        <w:shd w:val="clear" w:color="auto" w:fill="auto"/>
        <w:tabs>
          <w:tab w:pos="928" w:val="left"/>
        </w:tabs>
        <w:bidi w:val="0"/>
        <w:spacing w:before="0" w:after="260" w:line="314" w:lineRule="exact"/>
        <w:ind w:left="0" w:right="0" w:firstLine="440"/>
        <w:jc w:val="left"/>
        <w:rPr>
          <w:sz w:val="20"/>
          <w:szCs w:val="20"/>
        </w:rPr>
      </w:pPr>
      <w:bookmarkStart w:id="647" w:name="bookmark647"/>
      <w:r>
        <w:rPr>
          <w:color w:val="000000"/>
          <w:spacing w:val="0"/>
          <w:w w:val="100"/>
          <w:position w:val="0"/>
          <w:sz w:val="20"/>
          <w:szCs w:val="20"/>
        </w:rPr>
        <w:t>（</w:t>
      </w:r>
      <w:bookmarkEnd w:id="64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收入的金额能够可靠地计量；</w:t>
      </w:r>
    </w:p>
    <w:p>
      <w:pPr>
        <w:pStyle w:val="Style35"/>
        <w:keepNext w:val="0"/>
        <w:keepLines w:val="0"/>
        <w:widowControl w:val="0"/>
        <w:shd w:val="clear" w:color="auto" w:fill="auto"/>
        <w:tabs>
          <w:tab w:pos="928" w:val="left"/>
        </w:tabs>
        <w:bidi w:val="0"/>
        <w:spacing w:before="0" w:after="260" w:line="314" w:lineRule="exact"/>
        <w:ind w:left="0" w:right="0" w:firstLine="440"/>
        <w:jc w:val="left"/>
        <w:rPr>
          <w:sz w:val="20"/>
          <w:szCs w:val="20"/>
        </w:rPr>
      </w:pPr>
      <w:bookmarkStart w:id="648" w:name="bookmark648"/>
      <w:r>
        <w:rPr>
          <w:color w:val="000000"/>
          <w:spacing w:val="0"/>
          <w:w w:val="100"/>
          <w:position w:val="0"/>
          <w:sz w:val="20"/>
          <w:szCs w:val="20"/>
        </w:rPr>
        <w:t>（</w:t>
      </w:r>
      <w:bookmarkEnd w:id="64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相关的经济利益很可能流入本公司；</w:t>
      </w:r>
    </w:p>
    <w:p>
      <w:pPr>
        <w:pStyle w:val="Style35"/>
        <w:keepNext w:val="0"/>
        <w:keepLines w:val="0"/>
        <w:widowControl w:val="0"/>
        <w:shd w:val="clear" w:color="auto" w:fill="auto"/>
        <w:tabs>
          <w:tab w:pos="928" w:val="left"/>
        </w:tabs>
        <w:bidi w:val="0"/>
        <w:spacing w:before="0" w:after="260" w:line="314" w:lineRule="exact"/>
        <w:ind w:left="0" w:right="0" w:firstLine="440"/>
        <w:jc w:val="left"/>
        <w:rPr>
          <w:sz w:val="20"/>
          <w:szCs w:val="20"/>
        </w:rPr>
      </w:pPr>
      <w:bookmarkStart w:id="649" w:name="bookmark649"/>
      <w:r>
        <w:rPr>
          <w:color w:val="000000"/>
          <w:spacing w:val="0"/>
          <w:w w:val="100"/>
          <w:position w:val="0"/>
          <w:sz w:val="20"/>
          <w:szCs w:val="20"/>
        </w:rPr>
        <w:t>（</w:t>
      </w:r>
      <w:bookmarkEnd w:id="649"/>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相关的已发生或将发生的成本能够可靠地计量。</w:t>
      </w:r>
    </w:p>
    <w:p>
      <w:pPr>
        <w:pStyle w:val="Style35"/>
        <w:keepNext w:val="0"/>
        <w:keepLines w:val="0"/>
        <w:widowControl w:val="0"/>
        <w:shd w:val="clear" w:color="auto" w:fill="auto"/>
        <w:tabs>
          <w:tab w:pos="868" w:val="left"/>
        </w:tabs>
        <w:bidi w:val="0"/>
        <w:spacing w:before="0" w:after="260" w:line="314" w:lineRule="exact"/>
        <w:ind w:left="0" w:right="0" w:firstLine="440"/>
        <w:jc w:val="left"/>
        <w:rPr>
          <w:sz w:val="20"/>
          <w:szCs w:val="20"/>
        </w:rPr>
      </w:pPr>
      <w:bookmarkStart w:id="650" w:name="bookmark650"/>
      <w:r>
        <w:rPr>
          <w:rFonts w:ascii="Times New Roman" w:eastAsia="Times New Roman" w:hAnsi="Times New Roman" w:cs="Times New Roman"/>
          <w:color w:val="000000"/>
          <w:spacing w:val="0"/>
          <w:w w:val="100"/>
          <w:position w:val="0"/>
          <w:sz w:val="20"/>
          <w:szCs w:val="20"/>
        </w:rPr>
        <w:t>2</w:t>
      </w:r>
      <w:bookmarkEnd w:id="650"/>
      <w:r>
        <w:rPr>
          <w:color w:val="000000"/>
          <w:spacing w:val="0"/>
          <w:w w:val="100"/>
          <w:position w:val="0"/>
          <w:sz w:val="20"/>
          <w:szCs w:val="20"/>
        </w:rPr>
        <w:t>、</w:t>
        <w:tab/>
        <w:t>本公司对外提供劳务时，按以下方法确定收入：</w:t>
      </w:r>
    </w:p>
    <w:p>
      <w:pPr>
        <w:pStyle w:val="Style35"/>
        <w:keepNext w:val="0"/>
        <w:keepLines w:val="0"/>
        <w:widowControl w:val="0"/>
        <w:shd w:val="clear" w:color="auto" w:fill="auto"/>
        <w:tabs>
          <w:tab w:pos="1011" w:val="left"/>
        </w:tabs>
        <w:bidi w:val="0"/>
        <w:spacing w:before="0" w:after="260" w:line="298" w:lineRule="exact"/>
        <w:ind w:left="0" w:right="0" w:firstLine="440"/>
        <w:jc w:val="both"/>
        <w:rPr>
          <w:sz w:val="20"/>
          <w:szCs w:val="20"/>
        </w:rPr>
      </w:pPr>
      <w:bookmarkStart w:id="651" w:name="bookmark651"/>
      <w:r>
        <w:rPr>
          <w:color w:val="000000"/>
          <w:spacing w:val="0"/>
          <w:w w:val="100"/>
          <w:position w:val="0"/>
          <w:sz w:val="20"/>
          <w:szCs w:val="20"/>
        </w:rPr>
        <w:t>（</w:t>
      </w:r>
      <w:bookmarkEnd w:id="65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在提供劳务交易的结果能够可靠估计的情况下，于资产负债表日按完工百分比法确认相关的劳 务收入；</w:t>
      </w:r>
    </w:p>
    <w:p>
      <w:pPr>
        <w:pStyle w:val="Style35"/>
        <w:keepNext w:val="0"/>
        <w:keepLines w:val="0"/>
        <w:widowControl w:val="0"/>
        <w:shd w:val="clear" w:color="auto" w:fill="auto"/>
        <w:tabs>
          <w:tab w:pos="1016" w:val="left"/>
        </w:tabs>
        <w:bidi w:val="0"/>
        <w:spacing w:before="0" w:after="260" w:line="331" w:lineRule="exact"/>
        <w:ind w:left="0" w:right="0" w:firstLine="440"/>
        <w:jc w:val="both"/>
        <w:rPr>
          <w:sz w:val="20"/>
          <w:szCs w:val="20"/>
        </w:rPr>
      </w:pPr>
      <w:bookmarkStart w:id="652" w:name="bookmark652"/>
      <w:r>
        <w:rPr>
          <w:color w:val="000000"/>
          <w:spacing w:val="0"/>
          <w:w w:val="100"/>
          <w:position w:val="0"/>
          <w:sz w:val="20"/>
          <w:szCs w:val="20"/>
        </w:rPr>
        <w:t>（</w:t>
      </w:r>
      <w:bookmarkEnd w:id="65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在提供劳务交易的结果不能可靠估计的情况下，于资产负债表日按已经发生并预计能够补偿的 劳务成本金额确认收入，并按相同金额结转成本；</w:t>
      </w:r>
    </w:p>
    <w:p>
      <w:pPr>
        <w:pStyle w:val="Style35"/>
        <w:keepNext w:val="0"/>
        <w:keepLines w:val="0"/>
        <w:widowControl w:val="0"/>
        <w:shd w:val="clear" w:color="auto" w:fill="auto"/>
        <w:bidi w:val="0"/>
        <w:spacing w:before="0" w:after="260" w:line="322" w:lineRule="exact"/>
        <w:ind w:left="0" w:right="0" w:firstLine="440"/>
        <w:jc w:val="both"/>
        <w:rPr>
          <w:sz w:val="20"/>
          <w:szCs w:val="20"/>
        </w:rPr>
      </w:pPr>
      <w:r>
        <w:rPr>
          <w:color w:val="000000"/>
          <w:spacing w:val="0"/>
          <w:w w:val="100"/>
          <w:position w:val="0"/>
          <w:sz w:val="20"/>
          <w:szCs w:val="20"/>
        </w:rPr>
        <w:t>如预计已经发生的劳务成本不能得到补偿，则将已经发生的劳务成本计入当期损益，不确认提供劳务 收入。</w:t>
      </w:r>
    </w:p>
    <w:p>
      <w:pPr>
        <w:pStyle w:val="Style35"/>
        <w:keepNext w:val="0"/>
        <w:keepLines w:val="0"/>
        <w:widowControl w:val="0"/>
        <w:shd w:val="clear" w:color="auto" w:fill="auto"/>
        <w:tabs>
          <w:tab w:pos="868" w:val="left"/>
        </w:tabs>
        <w:bidi w:val="0"/>
        <w:spacing w:before="0" w:after="260" w:line="322" w:lineRule="exact"/>
        <w:ind w:left="0" w:right="0" w:firstLine="440"/>
        <w:jc w:val="both"/>
        <w:rPr>
          <w:sz w:val="20"/>
          <w:szCs w:val="20"/>
        </w:rPr>
      </w:pPr>
      <w:bookmarkStart w:id="653" w:name="bookmark653"/>
      <w:r>
        <w:rPr>
          <w:rFonts w:ascii="Times New Roman" w:eastAsia="Times New Roman" w:hAnsi="Times New Roman" w:cs="Times New Roman"/>
          <w:color w:val="000000"/>
          <w:spacing w:val="0"/>
          <w:w w:val="100"/>
          <w:position w:val="0"/>
          <w:sz w:val="20"/>
          <w:szCs w:val="20"/>
        </w:rPr>
        <w:t>3</w:t>
      </w:r>
      <w:bookmarkEnd w:id="653"/>
      <w:r>
        <w:rPr>
          <w:color w:val="000000"/>
          <w:spacing w:val="0"/>
          <w:w w:val="100"/>
          <w:position w:val="0"/>
          <w:sz w:val="20"/>
          <w:szCs w:val="20"/>
        </w:rPr>
        <w:t>、</w:t>
        <w:tab/>
        <w:t>让渡资产使用权：公司预计相关的经济利益很可能流入本公司、收入的金额能够可靠地计量时， 按有关合同或协议规定的收费时间和方法计算确定。</w:t>
      </w:r>
    </w:p>
    <w:p>
      <w:pPr>
        <w:pStyle w:val="Style44"/>
        <w:keepNext/>
        <w:keepLines/>
        <w:widowControl w:val="0"/>
        <w:shd w:val="clear" w:color="auto" w:fill="auto"/>
        <w:bidi w:val="0"/>
        <w:spacing w:before="0" w:after="260" w:line="314" w:lineRule="exact"/>
        <w:ind w:left="0" w:right="0" w:firstLine="440"/>
        <w:jc w:val="both"/>
      </w:pPr>
      <w:bookmarkStart w:id="654" w:name="bookmark654"/>
      <w:bookmarkStart w:id="655" w:name="bookmark655"/>
      <w:bookmarkStart w:id="656" w:name="bookmark656"/>
      <w:r>
        <w:rPr>
          <w:color w:val="000000"/>
          <w:spacing w:val="0"/>
          <w:w w:val="100"/>
          <w:position w:val="0"/>
        </w:rPr>
        <w:t>（二十四）政府补助</w:t>
      </w:r>
      <w:bookmarkEnd w:id="654"/>
      <w:bookmarkEnd w:id="655"/>
      <w:bookmarkEnd w:id="656"/>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本公司从政府有关部门无偿取得的货币性资产或非货币性资产，于本公司能够满足政府补助所附条 件，且能够收到政府补助时予以确认。</w:t>
      </w:r>
    </w:p>
    <w:p>
      <w:pPr>
        <w:pStyle w:val="Style35"/>
        <w:keepNext w:val="0"/>
        <w:keepLines w:val="0"/>
        <w:widowControl w:val="0"/>
        <w:shd w:val="clear" w:color="auto" w:fill="auto"/>
        <w:bidi w:val="0"/>
        <w:spacing w:before="0" w:after="260" w:line="317" w:lineRule="exact"/>
        <w:ind w:left="0" w:right="0" w:firstLine="440"/>
        <w:jc w:val="both"/>
        <w:rPr>
          <w:sz w:val="20"/>
          <w:szCs w:val="20"/>
        </w:rPr>
      </w:pPr>
      <w:r>
        <w:rPr>
          <w:color w:val="000000"/>
          <w:spacing w:val="0"/>
          <w:w w:val="100"/>
          <w:position w:val="0"/>
          <w:sz w:val="20"/>
          <w:szCs w:val="20"/>
        </w:rPr>
        <w:t>政府补助为货币性资产的，按照收到或应收的金额计量；政府补助为非货币性资产的，按照公允价值 计量；公允价值不能可靠取得的，按照名义金额计量。</w:t>
      </w:r>
    </w:p>
    <w:p>
      <w:pPr>
        <w:pStyle w:val="Style35"/>
        <w:keepNext w:val="0"/>
        <w:keepLines w:val="0"/>
        <w:widowControl w:val="0"/>
        <w:shd w:val="clear" w:color="auto" w:fill="auto"/>
        <w:tabs>
          <w:tab w:pos="1016" w:val="left"/>
        </w:tabs>
        <w:bidi w:val="0"/>
        <w:spacing w:before="0" w:after="260" w:line="312" w:lineRule="exact"/>
        <w:ind w:left="0" w:right="0" w:firstLine="440"/>
        <w:jc w:val="both"/>
        <w:rPr>
          <w:sz w:val="20"/>
          <w:szCs w:val="20"/>
        </w:rPr>
      </w:pPr>
      <w:bookmarkStart w:id="657" w:name="bookmark657"/>
      <w:r>
        <w:rPr>
          <w:color w:val="000000"/>
          <w:spacing w:val="0"/>
          <w:w w:val="100"/>
          <w:position w:val="0"/>
          <w:sz w:val="20"/>
          <w:szCs w:val="20"/>
        </w:rPr>
        <w:t>（</w:t>
      </w:r>
      <w:bookmarkEnd w:id="65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与资产相关的政府补助，确认为递延收益，并在相关资产使用寿命内平均分配，计入当期损益。 但是，按照名义金额计量的政府补助，直接计入当期损益；</w:t>
      </w:r>
    </w:p>
    <w:p>
      <w:pPr>
        <w:pStyle w:val="Style35"/>
        <w:keepNext w:val="0"/>
        <w:keepLines w:val="0"/>
        <w:widowControl w:val="0"/>
        <w:shd w:val="clear" w:color="auto" w:fill="auto"/>
        <w:tabs>
          <w:tab w:pos="1021" w:val="left"/>
        </w:tabs>
        <w:bidi w:val="0"/>
        <w:spacing w:before="0" w:after="260" w:line="322" w:lineRule="exact"/>
        <w:ind w:left="0" w:right="0" w:firstLine="440"/>
        <w:jc w:val="both"/>
        <w:rPr>
          <w:sz w:val="20"/>
          <w:szCs w:val="20"/>
        </w:rPr>
      </w:pPr>
      <w:bookmarkStart w:id="658" w:name="bookmark658"/>
      <w:r>
        <w:rPr>
          <w:color w:val="000000"/>
          <w:spacing w:val="0"/>
          <w:w w:val="100"/>
          <w:position w:val="0"/>
          <w:sz w:val="20"/>
          <w:szCs w:val="20"/>
        </w:rPr>
        <w:t>（</w:t>
      </w:r>
      <w:bookmarkEnd w:id="6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与收益相关的政府补助，分别下列情况处理：用于补偿公司以后期间的相关费用或损失的，确 认为递延收益，并在确认相关费用的期间计入当期损益；用于补偿公司已发生的相关费用或损失的，直接 计入当期损益。</w:t>
      </w:r>
    </w:p>
    <w:p>
      <w:pPr>
        <w:pStyle w:val="Style35"/>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如果已确认的政府补助需要返还的，存在相关递延收益的，冲减相关递延收益账面余额，超出部分计 入当期损益；不存在相关递延收益的，直接计入当期损益。</w:t>
      </w:r>
    </w:p>
    <w:p>
      <w:pPr>
        <w:pStyle w:val="Style44"/>
        <w:keepNext/>
        <w:keepLines/>
        <w:widowControl w:val="0"/>
        <w:shd w:val="clear" w:color="auto" w:fill="auto"/>
        <w:bidi w:val="0"/>
        <w:spacing w:before="0" w:after="260" w:line="314" w:lineRule="exact"/>
        <w:ind w:left="0" w:right="0" w:firstLine="440"/>
        <w:jc w:val="both"/>
      </w:pPr>
      <w:bookmarkStart w:id="659" w:name="bookmark659"/>
      <w:bookmarkStart w:id="660" w:name="bookmark660"/>
      <w:bookmarkStart w:id="661" w:name="bookmark661"/>
      <w:r>
        <w:rPr>
          <w:color w:val="000000"/>
          <w:spacing w:val="0"/>
          <w:w w:val="100"/>
          <w:position w:val="0"/>
        </w:rPr>
        <w:t>（二十五）递延所得税资产和递延所得税负债</w:t>
      </w:r>
      <w:bookmarkEnd w:id="659"/>
      <w:bookmarkEnd w:id="660"/>
      <w:bookmarkEnd w:id="661"/>
    </w:p>
    <w:p>
      <w:pPr>
        <w:pStyle w:val="Style35"/>
        <w:keepNext w:val="0"/>
        <w:keepLines w:val="0"/>
        <w:widowControl w:val="0"/>
        <w:shd w:val="clear" w:color="auto" w:fill="auto"/>
        <w:bidi w:val="0"/>
        <w:spacing w:before="0" w:after="260" w:line="314" w:lineRule="exact"/>
        <w:ind w:left="0" w:right="0" w:firstLine="440"/>
        <w:jc w:val="both"/>
        <w:rPr>
          <w:sz w:val="20"/>
          <w:szCs w:val="20"/>
        </w:rPr>
      </w:pPr>
      <w:r>
        <w:rPr>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暂时性差异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 确认。对于按照税法规定能够于以后年度抵减应纳税所得额的可抵扣亏损，视同暂时性差异确认相应的递 延所得税资产。</w:t>
      </w:r>
    </w:p>
    <w:p>
      <w:pPr>
        <w:pStyle w:val="Style35"/>
        <w:keepNext w:val="0"/>
        <w:keepLines w:val="0"/>
        <w:widowControl w:val="0"/>
        <w:shd w:val="clear" w:color="auto" w:fill="auto"/>
        <w:bidi w:val="0"/>
        <w:spacing w:before="0" w:after="260" w:line="312" w:lineRule="exact"/>
        <w:ind w:left="0" w:right="0" w:firstLine="440"/>
        <w:jc w:val="both"/>
        <w:rPr>
          <w:sz w:val="20"/>
          <w:szCs w:val="20"/>
        </w:rPr>
        <w:sectPr>
          <w:headerReference w:type="default" r:id="rId165"/>
          <w:footerReference w:type="default" r:id="rId166"/>
          <w:headerReference w:type="even" r:id="rId167"/>
          <w:footerReference w:type="even" r:id="rId168"/>
          <w:footnotePr>
            <w:pos w:val="pageBottom"/>
            <w:numFmt w:val="decimal"/>
            <w:numRestart w:val="continuous"/>
          </w:footnotePr>
          <w:type w:val="continuous"/>
          <w:pgSz w:w="11900" w:h="16840"/>
          <w:pgMar w:top="1192" w:right="959" w:bottom="1690" w:left="1001" w:header="0" w:footer="3" w:gutter="0"/>
          <w:cols w:space="720"/>
          <w:noEndnote/>
          <w:rtlGutter w:val="0"/>
          <w:docGrid w:linePitch="360"/>
        </w:sectPr>
      </w:pPr>
      <w:r>
        <w:rPr>
          <w:color w:val="000000"/>
          <w:spacing w:val="0"/>
          <w:w w:val="100"/>
          <w:position w:val="0"/>
          <w:sz w:val="20"/>
          <w:szCs w:val="20"/>
        </w:rPr>
        <w:t>对于商誉的初始确认产生的暂时性差异，不确认相应的递延所得税负债。对于既不影响会计利润也不 影响应纳税所得额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或可抵扣亏损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的非企业合并的交易中产生的资产或负债的初始确认形成的暂时性差 </w:t>
      </w:r>
    </w:p>
    <w:p>
      <w:pPr>
        <w:pStyle w:val="Style35"/>
        <w:keepNext w:val="0"/>
        <w:keepLines w:val="0"/>
        <w:widowControl w:val="0"/>
        <w:shd w:val="clear" w:color="auto" w:fill="auto"/>
        <w:bidi w:val="0"/>
        <w:spacing w:before="0" w:after="260" w:line="312" w:lineRule="exact"/>
        <w:ind w:left="0" w:right="0" w:firstLine="0"/>
        <w:jc w:val="both"/>
        <w:rPr>
          <w:sz w:val="20"/>
          <w:szCs w:val="20"/>
        </w:rPr>
      </w:pPr>
      <w:r>
        <w:rPr>
          <w:color w:val="000000"/>
          <w:spacing w:val="0"/>
          <w:w w:val="100"/>
          <w:position w:val="0"/>
          <w:sz w:val="20"/>
          <w:szCs w:val="20"/>
        </w:rPr>
        <w:t>异，不确认相应的递延所得税资产和递延所得税负债。在资产负债表日，递延所得税资产和递延所得税负 债按照预期收回该资产或清偿该负债期间的适用税率计量。</w:t>
      </w:r>
    </w:p>
    <w:p>
      <w:pPr>
        <w:pStyle w:val="Style35"/>
        <w:keepNext w:val="0"/>
        <w:keepLines w:val="0"/>
        <w:widowControl w:val="0"/>
        <w:shd w:val="clear" w:color="auto" w:fill="auto"/>
        <w:bidi w:val="0"/>
        <w:spacing w:before="0" w:after="260" w:line="312" w:lineRule="exact"/>
        <w:ind w:left="140" w:right="0" w:firstLine="420"/>
        <w:jc w:val="both"/>
        <w:rPr>
          <w:sz w:val="20"/>
          <w:szCs w:val="20"/>
        </w:rPr>
      </w:pPr>
      <w:r>
        <w:rPr>
          <w:color w:val="000000"/>
          <w:spacing w:val="0"/>
          <w:w w:val="100"/>
          <w:position w:val="0"/>
          <w:sz w:val="20"/>
          <w:szCs w:val="20"/>
        </w:rPr>
        <w:t>递延所得税资产的确认以公司很可能取得用来抵扣可抵扣暂时性差异、可抵扣亏损和税款抵减的应纳 税所得额为限。对与子公司、联营企业、合营企业的投资相关的可抵扣暂时性差异，同时满足下列条件的, 确认相关的递延所得税资产：一是暂时性差异在可预见的未来很可能转回；二是未来很可能获得用来抵扣 可抵扣暂时性差异的应纳税所得额。与子公司、联营企业、合营企业投资等相关的应纳税暂时性差异，一 般确认相关的递延所得税负债，但同时满足以下两个条件的除外：一是本公司能够控制暂时性差异转回的 时间；二是该暂时性差异在可预见的未来很可能不会转回。</w:t>
      </w:r>
    </w:p>
    <w:p>
      <w:pPr>
        <w:pStyle w:val="Style44"/>
        <w:keepNext/>
        <w:keepLines/>
        <w:widowControl w:val="0"/>
        <w:shd w:val="clear" w:color="auto" w:fill="auto"/>
        <w:tabs>
          <w:tab w:pos="1693" w:val="left"/>
        </w:tabs>
        <w:bidi w:val="0"/>
        <w:spacing w:before="0" w:after="260" w:line="312" w:lineRule="exact"/>
        <w:ind w:left="0" w:right="0" w:firstLine="560"/>
        <w:jc w:val="both"/>
      </w:pPr>
      <w:bookmarkStart w:id="662" w:name="bookmark662"/>
      <w:bookmarkStart w:id="663" w:name="bookmark663"/>
      <w:bookmarkStart w:id="664" w:name="bookmark664"/>
      <w:r>
        <w:rPr>
          <w:color w:val="000000"/>
          <w:spacing w:val="0"/>
          <w:w w:val="100"/>
          <w:position w:val="0"/>
        </w:rPr>
        <w:t>（二十六）</w:t>
        <w:tab/>
        <w:t>所得税会计核算</w:t>
      </w:r>
      <w:bookmarkEnd w:id="662"/>
      <w:bookmarkEnd w:id="663"/>
      <w:bookmarkEnd w:id="664"/>
    </w:p>
    <w:p>
      <w:pPr>
        <w:pStyle w:val="Style35"/>
        <w:keepNext w:val="0"/>
        <w:keepLines w:val="0"/>
        <w:widowControl w:val="0"/>
        <w:shd w:val="clear" w:color="auto" w:fill="auto"/>
        <w:bidi w:val="0"/>
        <w:spacing w:before="0" w:after="260" w:line="310" w:lineRule="exact"/>
        <w:ind w:left="140" w:right="0" w:firstLine="420"/>
        <w:jc w:val="both"/>
        <w:rPr>
          <w:sz w:val="20"/>
          <w:szCs w:val="20"/>
        </w:rPr>
      </w:pPr>
      <w:r>
        <w:rPr>
          <w:color w:val="000000"/>
          <w:spacing w:val="0"/>
          <w:w w:val="100"/>
          <w:position w:val="0"/>
          <w:sz w:val="20"/>
          <w:szCs w:val="20"/>
        </w:rPr>
        <w:t>本公司所得税的会计核算采用资产负债表债务法。所得税费用包括当期所得税和递延所得税。将与直 接计入股东权益的交易和事项相关的当期所得税和递延所得税计入股东权益，以及企业合并产生的递延所 得税调整商誉的账面价值外，其余的当期所得税和递延所得税费用或收益计入当期损益。</w:t>
      </w:r>
    </w:p>
    <w:p>
      <w:pPr>
        <w:pStyle w:val="Style35"/>
        <w:keepNext w:val="0"/>
        <w:keepLines w:val="0"/>
        <w:widowControl w:val="0"/>
        <w:shd w:val="clear" w:color="auto" w:fill="auto"/>
        <w:bidi w:val="0"/>
        <w:spacing w:before="0" w:after="260" w:line="310" w:lineRule="exact"/>
        <w:ind w:left="140" w:right="0" w:firstLine="420"/>
        <w:jc w:val="both"/>
        <w:rPr>
          <w:sz w:val="20"/>
          <w:szCs w:val="20"/>
        </w:rPr>
      </w:pPr>
      <w:r>
        <w:rPr>
          <w:color w:val="000000"/>
          <w:spacing w:val="0"/>
          <w:w w:val="100"/>
          <w:position w:val="0"/>
          <w:sz w:val="20"/>
          <w:szCs w:val="20"/>
        </w:rPr>
        <w:t>当期所得税费用是指企业按照税务规定计算确定的针对当期发生的交易和事项，应缴纳给税务部门的 金额，即应交所得税；递延所得税是指按照资产负债表债务法应予确认的递延所得税资产和递延所得税负 债在期末应有的金额相对于原已确认金额之间的差额。</w:t>
      </w:r>
    </w:p>
    <w:p>
      <w:pPr>
        <w:pStyle w:val="Style44"/>
        <w:keepNext/>
        <w:keepLines/>
        <w:widowControl w:val="0"/>
        <w:shd w:val="clear" w:color="auto" w:fill="auto"/>
        <w:bidi w:val="0"/>
        <w:spacing w:before="0" w:after="360" w:line="312" w:lineRule="exact"/>
        <w:ind w:left="0" w:right="0" w:firstLine="560"/>
        <w:jc w:val="both"/>
      </w:pPr>
      <w:bookmarkStart w:id="665" w:name="bookmark665"/>
      <w:bookmarkStart w:id="666" w:name="bookmark666"/>
      <w:bookmarkStart w:id="667" w:name="bookmark667"/>
      <w:r>
        <w:rPr>
          <w:color w:val="000000"/>
          <w:spacing w:val="0"/>
          <w:w w:val="100"/>
          <w:position w:val="0"/>
        </w:rPr>
        <w:t>（二十七）主要会计政策和会计估计变更</w:t>
      </w:r>
      <w:bookmarkEnd w:id="665"/>
      <w:bookmarkEnd w:id="666"/>
      <w:bookmarkEnd w:id="667"/>
    </w:p>
    <w:p>
      <w:pPr>
        <w:pStyle w:val="Style35"/>
        <w:keepNext w:val="0"/>
        <w:keepLines w:val="0"/>
        <w:widowControl w:val="0"/>
        <w:shd w:val="clear" w:color="auto" w:fill="auto"/>
        <w:tabs>
          <w:tab w:pos="872" w:val="left"/>
        </w:tabs>
        <w:bidi w:val="0"/>
        <w:spacing w:before="0" w:after="180" w:line="326" w:lineRule="auto"/>
        <w:ind w:left="0" w:right="0" w:firstLine="560"/>
        <w:jc w:val="both"/>
        <w:rPr>
          <w:sz w:val="20"/>
          <w:szCs w:val="20"/>
        </w:rPr>
      </w:pPr>
      <w:bookmarkStart w:id="668" w:name="bookmark668"/>
      <w:r>
        <w:rPr>
          <w:rFonts w:ascii="Times New Roman" w:eastAsia="Times New Roman" w:hAnsi="Times New Roman" w:cs="Times New Roman"/>
          <w:color w:val="000000"/>
          <w:spacing w:val="0"/>
          <w:w w:val="100"/>
          <w:position w:val="0"/>
          <w:sz w:val="20"/>
          <w:szCs w:val="20"/>
        </w:rPr>
        <w:t>1</w:t>
      </w:r>
      <w:bookmarkEnd w:id="668"/>
      <w:r>
        <w:rPr>
          <w:color w:val="000000"/>
          <w:spacing w:val="0"/>
          <w:w w:val="100"/>
          <w:position w:val="0"/>
          <w:sz w:val="20"/>
          <w:szCs w:val="20"/>
        </w:rPr>
        <w:t>、</w:t>
        <w:tab/>
        <w:t>会计政策变更</w:t>
      </w:r>
    </w:p>
    <w:p>
      <w:pPr>
        <w:pStyle w:val="Style35"/>
        <w:keepNext w:val="0"/>
        <w:keepLines w:val="0"/>
        <w:widowControl w:val="0"/>
        <w:shd w:val="clear" w:color="auto" w:fill="auto"/>
        <w:bidi w:val="0"/>
        <w:spacing w:before="0" w:after="360" w:line="312" w:lineRule="exact"/>
        <w:ind w:left="0" w:right="0" w:firstLine="560"/>
        <w:jc w:val="both"/>
        <w:rPr>
          <w:sz w:val="20"/>
          <w:szCs w:val="20"/>
        </w:rPr>
      </w:pPr>
      <w:r>
        <w:rPr>
          <w:color w:val="000000"/>
          <w:spacing w:val="0"/>
          <w:w w:val="100"/>
          <w:position w:val="0"/>
          <w:sz w:val="20"/>
          <w:szCs w:val="20"/>
        </w:rPr>
        <w:t>本公司报告期内无会计政策变更事项发生。</w:t>
      </w:r>
    </w:p>
    <w:p>
      <w:pPr>
        <w:pStyle w:val="Style35"/>
        <w:keepNext w:val="0"/>
        <w:keepLines w:val="0"/>
        <w:widowControl w:val="0"/>
        <w:shd w:val="clear" w:color="auto" w:fill="auto"/>
        <w:tabs>
          <w:tab w:pos="887" w:val="left"/>
        </w:tabs>
        <w:bidi w:val="0"/>
        <w:spacing w:before="0" w:after="180" w:line="326" w:lineRule="auto"/>
        <w:ind w:left="0" w:right="0" w:firstLine="560"/>
        <w:jc w:val="both"/>
        <w:rPr>
          <w:sz w:val="20"/>
          <w:szCs w:val="20"/>
        </w:rPr>
      </w:pPr>
      <w:bookmarkStart w:id="669" w:name="bookmark669"/>
      <w:r>
        <w:rPr>
          <w:rFonts w:ascii="Times New Roman" w:eastAsia="Times New Roman" w:hAnsi="Times New Roman" w:cs="Times New Roman"/>
          <w:color w:val="000000"/>
          <w:spacing w:val="0"/>
          <w:w w:val="100"/>
          <w:position w:val="0"/>
          <w:sz w:val="20"/>
          <w:szCs w:val="20"/>
        </w:rPr>
        <w:t>2</w:t>
      </w:r>
      <w:bookmarkEnd w:id="669"/>
      <w:r>
        <w:rPr>
          <w:color w:val="000000"/>
          <w:spacing w:val="0"/>
          <w:w w:val="100"/>
          <w:position w:val="0"/>
          <w:sz w:val="20"/>
          <w:szCs w:val="20"/>
        </w:rPr>
        <w:t>、</w:t>
        <w:tab/>
        <w:t>会计估计变更</w:t>
      </w:r>
    </w:p>
    <w:p>
      <w:pPr>
        <w:pStyle w:val="Style35"/>
        <w:keepNext w:val="0"/>
        <w:keepLines w:val="0"/>
        <w:widowControl w:val="0"/>
        <w:shd w:val="clear" w:color="auto" w:fill="auto"/>
        <w:bidi w:val="0"/>
        <w:spacing w:before="0" w:after="360" w:line="312" w:lineRule="exact"/>
        <w:ind w:left="140" w:right="0" w:firstLine="420"/>
        <w:jc w:val="both"/>
        <w:rPr>
          <w:sz w:val="20"/>
          <w:szCs w:val="20"/>
        </w:rPr>
      </w:pPr>
      <w:r>
        <w:rPr>
          <w:color w:val="000000"/>
          <w:spacing w:val="0"/>
          <w:w w:val="100"/>
          <w:position w:val="0"/>
          <w:sz w:val="20"/>
          <w:szCs w:val="20"/>
        </w:rPr>
        <w:t>公司资产重组完成后，公司母公司及下属子公司同方微电子、国微电子按账龄组合计提坏账准备的应 收款项采用了不同的计提比例，不便于公司的统一管理，且原计提比例已不能真实、准确地反映公司的实 际业务情况。为提供更可靠、准确的会计信息，客观公正地反映公司的财务状况和经营成果，公司结合各 业务单元以前年度应收款项的实际管理情况，对按账龄组合的应收款项的坏账准备计提比例进行统一变 更，变更日确定为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日，已经公司第四届董事会第三十次会议审议通过。变更前后的计提比 例及对本期净利润的影响如下：</w:t>
      </w:r>
    </w:p>
    <w:p>
      <w:pPr>
        <w:pStyle w:val="Style30"/>
        <w:keepNext w:val="0"/>
        <w:keepLines w:val="0"/>
        <w:widowControl w:val="0"/>
        <w:shd w:val="clear" w:color="auto" w:fill="auto"/>
        <w:bidi w:val="0"/>
        <w:spacing w:before="0" w:after="0" w:line="240" w:lineRule="auto"/>
        <w:ind w:left="667" w:right="0" w:firstLine="0"/>
        <w:jc w:val="left"/>
        <w:rPr>
          <w:sz w:val="20"/>
          <w:szCs w:val="20"/>
        </w:rPr>
      </w:pP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）变更前计提比例</w:t>
      </w:r>
    </w:p>
    <w:tbl>
      <w:tblPr>
        <w:tblOverlap w:val="never"/>
        <w:jc w:val="left"/>
        <w:tblLayout w:type="fixed"/>
      </w:tblPr>
      <w:tblGrid>
        <w:gridCol w:w="821"/>
        <w:gridCol w:w="1085"/>
        <w:gridCol w:w="2434"/>
        <w:gridCol w:w="2160"/>
        <w:gridCol w:w="2213"/>
      </w:tblGrid>
      <w:tr>
        <w:trPr>
          <w:trHeight w:val="130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420" w:line="240" w:lineRule="auto"/>
              <w:ind w:left="0" w:right="0" w:firstLine="560"/>
              <w:jc w:val="left"/>
            </w:pPr>
            <w:r>
              <w:rPr>
                <w:b/>
                <w:bCs/>
                <w:color w:val="000000"/>
                <w:spacing w:val="0"/>
                <w:w w:val="100"/>
                <w:position w:val="0"/>
              </w:rPr>
              <w:t>母公司及其他子公司</w:t>
            </w:r>
          </w:p>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应收款项计提比例（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420" w:line="240" w:lineRule="auto"/>
              <w:ind w:left="0" w:right="0" w:firstLine="0"/>
              <w:jc w:val="center"/>
            </w:pPr>
            <w:r>
              <w:rPr>
                <w:b/>
                <w:bCs/>
                <w:color w:val="000000"/>
                <w:spacing w:val="0"/>
                <w:w w:val="100"/>
                <w:position w:val="0"/>
              </w:rPr>
              <w:t>同方微电子</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应收款项计提比例（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420" w:line="240" w:lineRule="auto"/>
              <w:ind w:left="0" w:right="0" w:firstLine="0"/>
              <w:jc w:val="center"/>
            </w:pPr>
            <w:r>
              <w:rPr>
                <w:b/>
                <w:bCs/>
                <w:color w:val="000000"/>
                <w:spacing w:val="0"/>
                <w:w w:val="100"/>
                <w:position w:val="0"/>
              </w:rPr>
              <w:t>国微电子</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应收款项计提比例（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787"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type w:val="continuous"/>
          <w:pgSz w:w="11900" w:h="16840"/>
          <w:pgMar w:top="1192" w:right="959" w:bottom="1690" w:left="1001" w:header="0" w:footer="3" w:gutter="0"/>
          <w:cols w:space="720"/>
          <w:noEndnote/>
          <w:rtlGutter w:val="0"/>
          <w:docGrid w:linePitch="360"/>
        </w:sectPr>
      </w:pPr>
    </w:p>
    <w:tbl>
      <w:tblPr>
        <w:tblOverlap w:val="never"/>
        <w:jc w:val="left"/>
        <w:tblLayout w:type="fixed"/>
      </w:tblPr>
      <w:tblGrid>
        <w:gridCol w:w="1848"/>
        <w:gridCol w:w="2395"/>
        <w:gridCol w:w="2160"/>
        <w:gridCol w:w="1234"/>
      </w:tblGrid>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659" w:line="1" w:lineRule="exact"/>
      </w:pPr>
    </w:p>
    <w:p>
      <w:pPr>
        <w:pStyle w:val="Style30"/>
        <w:keepNext w:val="0"/>
        <w:keepLines w:val="0"/>
        <w:widowControl w:val="0"/>
        <w:shd w:val="clear" w:color="auto" w:fill="auto"/>
        <w:bidi w:val="0"/>
        <w:spacing w:before="0" w:after="0" w:line="240" w:lineRule="auto"/>
        <w:ind w:left="667"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）变更后计提比例</w:t>
      </w:r>
    </w:p>
    <w:tbl>
      <w:tblPr>
        <w:tblOverlap w:val="never"/>
        <w:jc w:val="left"/>
        <w:tblLayout w:type="fixed"/>
      </w:tblPr>
      <w:tblGrid>
        <w:gridCol w:w="2520"/>
        <w:gridCol w:w="3187"/>
        <w:gridCol w:w="3005"/>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1300" w:right="0" w:firstLine="0"/>
              <w:jc w:val="left"/>
            </w:pPr>
            <w:r>
              <w:rPr>
                <w:b/>
                <w:bCs/>
                <w:color w:val="000000"/>
                <w:spacing w:val="0"/>
                <w:w w:val="100"/>
                <w:position w:val="0"/>
              </w:rPr>
              <w:t>账龄</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应收账款计提比例（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其他应收款计提比例（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787"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59" w:line="1" w:lineRule="exact"/>
      </w:pPr>
    </w:p>
    <w:p>
      <w:pPr>
        <w:pStyle w:val="Style35"/>
        <w:keepNext w:val="0"/>
        <w:keepLines w:val="0"/>
        <w:widowControl w:val="0"/>
        <w:shd w:val="clear" w:color="auto" w:fill="auto"/>
        <w:bidi w:val="0"/>
        <w:spacing w:before="0" w:after="260" w:line="322" w:lineRule="exact"/>
        <w:ind w:left="0" w:right="0" w:firstLine="560"/>
        <w:jc w:val="both"/>
        <w:rPr>
          <w:sz w:val="20"/>
          <w:szCs w:val="20"/>
        </w:rPr>
      </w:pPr>
      <w:bookmarkStart w:id="670" w:name="bookmark670"/>
      <w:r>
        <w:rPr>
          <w:color w:val="000000"/>
          <w:spacing w:val="0"/>
          <w:w w:val="100"/>
          <w:position w:val="0"/>
          <w:sz w:val="20"/>
          <w:szCs w:val="20"/>
        </w:rPr>
        <w:t>（</w:t>
      </w:r>
      <w:bookmarkEnd w:id="67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）本次会计估计变更对净利润的影响</w:t>
      </w:r>
    </w:p>
    <w:p>
      <w:pPr>
        <w:pStyle w:val="Style35"/>
        <w:keepNext w:val="0"/>
        <w:keepLines w:val="0"/>
        <w:widowControl w:val="0"/>
        <w:shd w:val="clear" w:color="auto" w:fill="auto"/>
        <w:bidi w:val="0"/>
        <w:spacing w:before="0" w:after="260" w:line="326" w:lineRule="exact"/>
        <w:ind w:left="0" w:right="0" w:firstLine="560"/>
        <w:jc w:val="both"/>
        <w:rPr>
          <w:sz w:val="20"/>
          <w:szCs w:val="20"/>
        </w:rPr>
      </w:pPr>
      <w:r>
        <w:rPr>
          <w:color w:val="000000"/>
          <w:spacing w:val="0"/>
          <w:w w:val="100"/>
          <w:position w:val="0"/>
          <w:sz w:val="20"/>
          <w:szCs w:val="20"/>
        </w:rPr>
        <w:t>根据《企业会计准则第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会计政策、会计估计变更和差错更正》有关规定，对上述会计估计的 变更采用未来适用法，此项会计估计变更导致增加本报告期净利润</w:t>
      </w:r>
      <w:r>
        <w:rPr>
          <w:rFonts w:ascii="Times New Roman" w:eastAsia="Times New Roman" w:hAnsi="Times New Roman" w:cs="Times New Roman"/>
          <w:color w:val="000000"/>
          <w:spacing w:val="0"/>
          <w:w w:val="100"/>
          <w:position w:val="0"/>
          <w:sz w:val="20"/>
          <w:szCs w:val="20"/>
        </w:rPr>
        <w:t>6,751,029.33</w:t>
      </w:r>
      <w:r>
        <w:rPr>
          <w:color w:val="000000"/>
          <w:spacing w:val="0"/>
          <w:w w:val="100"/>
          <w:position w:val="0"/>
          <w:sz w:val="20"/>
          <w:szCs w:val="20"/>
        </w:rPr>
        <w:t>元。</w:t>
      </w:r>
    </w:p>
    <w:p>
      <w:pPr>
        <w:pStyle w:val="Style44"/>
        <w:keepNext/>
        <w:keepLines/>
        <w:widowControl w:val="0"/>
        <w:shd w:val="clear" w:color="auto" w:fill="auto"/>
        <w:bidi w:val="0"/>
        <w:spacing w:before="0" w:after="260" w:line="322" w:lineRule="exact"/>
        <w:ind w:left="0" w:right="0" w:firstLine="560"/>
        <w:jc w:val="both"/>
      </w:pPr>
      <w:bookmarkStart w:id="671" w:name="bookmark671"/>
      <w:bookmarkStart w:id="672" w:name="bookmark672"/>
      <w:bookmarkStart w:id="673" w:name="bookmark673"/>
      <w:r>
        <w:rPr>
          <w:color w:val="000000"/>
          <w:spacing w:val="0"/>
          <w:w w:val="100"/>
          <w:position w:val="0"/>
        </w:rPr>
        <w:t>（二十八）前期会计差错更正</w:t>
      </w:r>
      <w:bookmarkEnd w:id="671"/>
      <w:bookmarkEnd w:id="672"/>
      <w:bookmarkEnd w:id="673"/>
    </w:p>
    <w:p>
      <w:pPr>
        <w:pStyle w:val="Style35"/>
        <w:keepNext w:val="0"/>
        <w:keepLines w:val="0"/>
        <w:widowControl w:val="0"/>
        <w:shd w:val="clear" w:color="auto" w:fill="auto"/>
        <w:bidi w:val="0"/>
        <w:spacing w:before="0" w:after="360" w:line="322" w:lineRule="exact"/>
        <w:ind w:left="0" w:right="0" w:firstLine="560"/>
        <w:jc w:val="both"/>
        <w:rPr>
          <w:sz w:val="20"/>
          <w:szCs w:val="20"/>
        </w:rPr>
      </w:pPr>
      <w:r>
        <w:rPr>
          <w:color w:val="000000"/>
          <w:spacing w:val="0"/>
          <w:w w:val="100"/>
          <w:position w:val="0"/>
          <w:sz w:val="20"/>
          <w:szCs w:val="20"/>
        </w:rPr>
        <w:t>本公司报告期内无会计差错更正事项发生。</w:t>
      </w:r>
    </w:p>
    <w:p>
      <w:pPr>
        <w:pStyle w:val="Style23"/>
        <w:keepNext/>
        <w:keepLines/>
        <w:widowControl w:val="0"/>
        <w:shd w:val="clear" w:color="auto" w:fill="auto"/>
        <w:bidi w:val="0"/>
        <w:spacing w:before="0" w:after="26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rPr>
        <w:t>五</w:t>
      </w:r>
      <w:bookmarkEnd w:id="676"/>
      <w:r>
        <w:rPr>
          <w:color w:val="000000"/>
          <w:spacing w:val="0"/>
          <w:w w:val="100"/>
          <w:position w:val="0"/>
        </w:rPr>
        <w:t>、税项</w:t>
      </w:r>
      <w:bookmarkEnd w:id="674"/>
      <w:bookmarkEnd w:id="675"/>
      <w:bookmarkEnd w:id="677"/>
    </w:p>
    <w:p>
      <w:pPr>
        <w:pStyle w:val="Style35"/>
        <w:keepNext w:val="0"/>
        <w:keepLines w:val="0"/>
        <w:widowControl w:val="0"/>
        <w:shd w:val="clear" w:color="auto" w:fill="auto"/>
        <w:bidi w:val="0"/>
        <w:spacing w:before="0" w:after="260" w:line="317" w:lineRule="exact"/>
        <w:ind w:left="0" w:right="0" w:firstLine="560"/>
        <w:jc w:val="both"/>
        <w:rPr>
          <w:sz w:val="20"/>
          <w:szCs w:val="20"/>
        </w:rPr>
      </w:pPr>
      <w:bookmarkStart w:id="678" w:name="bookmark678"/>
      <w:r>
        <w:rPr>
          <w:rFonts w:ascii="Times New Roman" w:eastAsia="Times New Roman" w:hAnsi="Times New Roman" w:cs="Times New Roman"/>
          <w:color w:val="000000"/>
          <w:spacing w:val="0"/>
          <w:w w:val="100"/>
          <w:position w:val="0"/>
          <w:sz w:val="20"/>
          <w:szCs w:val="20"/>
        </w:rPr>
        <w:t>1</w:t>
      </w:r>
      <w:bookmarkEnd w:id="678"/>
      <w:r>
        <w:rPr>
          <w:color w:val="000000"/>
          <w:spacing w:val="0"/>
          <w:w w:val="100"/>
          <w:position w:val="0"/>
          <w:sz w:val="20"/>
          <w:szCs w:val="20"/>
        </w:rPr>
        <w:t>、 增值税：本公司及其他所属公司销项税按应税销售收入的</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计缴；出口货物增值税采用免、抵、 退的计算办法，其中，石英晶体出口货物退税率为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,蓝宝石衬底退税率为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,配套材料退税率为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 集成电路产品退税率为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p>
      <w:pPr>
        <w:pStyle w:val="Style35"/>
        <w:keepNext w:val="0"/>
        <w:keepLines w:val="0"/>
        <w:widowControl w:val="0"/>
        <w:shd w:val="clear" w:color="auto" w:fill="auto"/>
        <w:tabs>
          <w:tab w:pos="933" w:val="left"/>
        </w:tabs>
        <w:bidi w:val="0"/>
        <w:spacing w:before="0" w:after="800" w:line="322" w:lineRule="exact"/>
        <w:ind w:left="0" w:right="0" w:firstLine="560"/>
        <w:jc w:val="both"/>
        <w:rPr>
          <w:sz w:val="20"/>
          <w:szCs w:val="20"/>
        </w:rPr>
      </w:pPr>
      <w:bookmarkStart w:id="679" w:name="bookmark679"/>
      <w:r>
        <w:rPr>
          <w:rFonts w:ascii="Times New Roman" w:eastAsia="Times New Roman" w:hAnsi="Times New Roman" w:cs="Times New Roman"/>
          <w:color w:val="000000"/>
          <w:spacing w:val="0"/>
          <w:w w:val="100"/>
          <w:position w:val="0"/>
          <w:sz w:val="20"/>
          <w:szCs w:val="20"/>
        </w:rPr>
        <w:t>2</w:t>
      </w:r>
      <w:bookmarkEnd w:id="679"/>
      <w:r>
        <w:rPr>
          <w:color w:val="000000"/>
          <w:spacing w:val="0"/>
          <w:w w:val="100"/>
          <w:position w:val="0"/>
          <w:sz w:val="20"/>
          <w:szCs w:val="20"/>
        </w:rPr>
        <w:t>、</w:t>
        <w:tab/>
        <w:t>营业税：房屋租赁收入按应税收入的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计缴。</w:t>
      </w:r>
    </w:p>
    <w:p>
      <w:pPr>
        <w:widowControl w:val="0"/>
        <w:jc w:val="center"/>
        <w:rPr>
          <w:sz w:val="2"/>
          <w:szCs w:val="2"/>
        </w:rPr>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556" w:right="956" w:bottom="125" w:left="975" w:header="0" w:footer="3" w:gutter="0"/>
          <w:cols w:space="720"/>
          <w:noEndnote/>
          <w:rtlGutter w:val="0"/>
          <w:docGrid w:linePitch="360"/>
        </w:sectPr>
      </w:pPr>
      <w:r>
        <w:drawing>
          <wp:inline>
            <wp:extent cx="1718945" cy="981710"/>
            <wp:docPr id="554" name="Picutre 554"/>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77"/>
                    <a:stretch/>
                  </pic:blipFill>
                  <pic:spPr>
                    <a:xfrm>
                      <a:ext cx="1718945" cy="981710"/>
                    </a:xfrm>
                    <a:prstGeom prst="rect"/>
                  </pic:spPr>
                </pic:pic>
              </a:graphicData>
            </a:graphic>
          </wp:inline>
        </w:drawing>
      </w:r>
    </w:p>
    <w:p>
      <w:pPr>
        <w:pStyle w:val="Style35"/>
        <w:keepNext w:val="0"/>
        <w:keepLines w:val="0"/>
        <w:widowControl w:val="0"/>
        <w:shd w:val="clear" w:color="auto" w:fill="auto"/>
        <w:tabs>
          <w:tab w:pos="5978" w:val="left"/>
        </w:tabs>
        <w:bidi w:val="0"/>
        <w:spacing w:before="240" w:after="0" w:line="310" w:lineRule="exact"/>
        <w:ind w:left="460" w:right="0" w:firstLine="420"/>
        <w:jc w:val="both"/>
        <w:rPr>
          <w:sz w:val="20"/>
          <w:szCs w:val="20"/>
        </w:rPr>
      </w:pPr>
      <w:r>
        <w:rPr>
          <w:color w:val="000000"/>
          <w:spacing w:val="0"/>
          <w:w w:val="100"/>
          <w:position w:val="0"/>
          <w:sz w:val="20"/>
          <w:szCs w:val="20"/>
        </w:rPr>
        <w:t xml:space="preserve">本公司全资子公司深圳市国微电子有限公司科研项目开发收入，根据财政部、国家税务总局【财税字 </w:t>
      </w:r>
      <w:r>
        <w:rPr>
          <w:rFonts w:ascii="Times New Roman" w:eastAsia="Times New Roman" w:hAnsi="Times New Roman" w:cs="Times New Roman"/>
          <w:color w:val="000000"/>
          <w:spacing w:val="0"/>
          <w:w w:val="100"/>
          <w:position w:val="0"/>
          <w:sz w:val="20"/>
          <w:szCs w:val="20"/>
        </w:rPr>
        <w:t>[1999]273</w:t>
      </w:r>
      <w:r>
        <w:rPr>
          <w:color w:val="000000"/>
          <w:spacing w:val="0"/>
          <w:w w:val="100"/>
          <w:position w:val="0"/>
          <w:sz w:val="20"/>
          <w:szCs w:val="20"/>
        </w:rPr>
        <w:t>号】“关于贯彻落实《中共中央、国务院关于加强技术创新，发展高科技，实现产业化的决定》 有关税收问题的通知”规定，免征营业税。根据</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日深圳市国家税务局关于深圳市营业税改征 增值税试点纳税人办理税收业务的通告（深国税告〔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号）的规定，以及增值税、消费税税收优惠</w:t>
      </w:r>
    </w:p>
    <w:p>
      <w:pPr>
        <w:pStyle w:val="Style35"/>
        <w:keepNext w:val="0"/>
        <w:keepLines w:val="0"/>
        <w:widowControl w:val="0"/>
        <w:shd w:val="clear" w:color="auto" w:fill="auto"/>
        <w:bidi w:val="0"/>
        <w:spacing w:before="0" w:after="360" w:line="310" w:lineRule="exact"/>
        <w:ind w:left="0" w:right="0" w:firstLine="460"/>
        <w:jc w:val="both"/>
        <w:rPr>
          <w:sz w:val="20"/>
          <w:szCs w:val="20"/>
        </w:rPr>
      </w:pPr>
      <w:r>
        <w:rPr>
          <w:color w:val="000000"/>
          <w:spacing w:val="0"/>
          <w:w w:val="100"/>
          <w:position w:val="0"/>
          <w:sz w:val="20"/>
          <w:szCs w:val="20"/>
        </w:rPr>
        <w:t>备案通知书（深国税南减免备案</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0949</w:t>
      </w:r>
      <w:r>
        <w:rPr>
          <w:color w:val="000000"/>
          <w:spacing w:val="0"/>
          <w:w w:val="100"/>
          <w:position w:val="0"/>
          <w:sz w:val="20"/>
          <w:szCs w:val="20"/>
        </w:rPr>
        <w:t>号文）的规定，营业税改征增值税，继续享受原免征政策。</w:t>
      </w:r>
    </w:p>
    <w:p>
      <w:pPr>
        <w:pStyle w:val="Style35"/>
        <w:keepNext w:val="0"/>
        <w:keepLines w:val="0"/>
        <w:widowControl w:val="0"/>
        <w:shd w:val="clear" w:color="auto" w:fill="auto"/>
        <w:tabs>
          <w:tab w:pos="1253" w:val="left"/>
        </w:tabs>
        <w:bidi w:val="0"/>
        <w:spacing w:before="0" w:after="280" w:line="326" w:lineRule="auto"/>
        <w:ind w:left="0" w:right="0" w:firstLine="880"/>
        <w:jc w:val="left"/>
        <w:rPr>
          <w:sz w:val="20"/>
          <w:szCs w:val="20"/>
        </w:rPr>
      </w:pPr>
      <w:bookmarkStart w:id="686" w:name="bookmark686"/>
      <w:r>
        <w:rPr>
          <w:rFonts w:ascii="Times New Roman" w:eastAsia="Times New Roman" w:hAnsi="Times New Roman" w:cs="Times New Roman"/>
          <w:color w:val="000000"/>
          <w:spacing w:val="0"/>
          <w:w w:val="100"/>
          <w:position w:val="0"/>
          <w:sz w:val="20"/>
          <w:szCs w:val="20"/>
        </w:rPr>
        <w:t>3</w:t>
      </w:r>
      <w:bookmarkEnd w:id="686"/>
      <w:r>
        <w:rPr>
          <w:color w:val="000000"/>
          <w:spacing w:val="0"/>
          <w:w w:val="100"/>
          <w:position w:val="0"/>
          <w:sz w:val="20"/>
          <w:szCs w:val="20"/>
        </w:rPr>
        <w:t>、</w:t>
        <w:tab/>
        <w:t>城市维护建设税：本公司及其他所属公司按流转税额的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计缴。</w:t>
      </w:r>
    </w:p>
    <w:p>
      <w:pPr>
        <w:pStyle w:val="Style35"/>
        <w:keepNext w:val="0"/>
        <w:keepLines w:val="0"/>
        <w:widowControl w:val="0"/>
        <w:shd w:val="clear" w:color="auto" w:fill="auto"/>
        <w:tabs>
          <w:tab w:pos="1253" w:val="left"/>
        </w:tabs>
        <w:bidi w:val="0"/>
        <w:spacing w:before="0" w:after="280" w:line="326" w:lineRule="auto"/>
        <w:ind w:left="0" w:right="0" w:firstLine="880"/>
        <w:jc w:val="left"/>
        <w:rPr>
          <w:sz w:val="20"/>
          <w:szCs w:val="20"/>
        </w:rPr>
      </w:pPr>
      <w:bookmarkStart w:id="687" w:name="bookmark687"/>
      <w:r>
        <w:rPr>
          <w:rFonts w:ascii="Times New Roman" w:eastAsia="Times New Roman" w:hAnsi="Times New Roman" w:cs="Times New Roman"/>
          <w:color w:val="000000"/>
          <w:spacing w:val="0"/>
          <w:w w:val="100"/>
          <w:position w:val="0"/>
          <w:sz w:val="20"/>
          <w:szCs w:val="20"/>
        </w:rPr>
        <w:t>4</w:t>
      </w:r>
      <w:bookmarkEnd w:id="687"/>
      <w:r>
        <w:rPr>
          <w:color w:val="000000"/>
          <w:spacing w:val="0"/>
          <w:w w:val="100"/>
          <w:position w:val="0"/>
          <w:sz w:val="20"/>
          <w:szCs w:val="20"/>
        </w:rPr>
        <w:t>、</w:t>
        <w:tab/>
        <w:t>教育费附加：按流转税额的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计缴。</w:t>
      </w:r>
    </w:p>
    <w:p>
      <w:pPr>
        <w:pStyle w:val="Style35"/>
        <w:keepNext w:val="0"/>
        <w:keepLines w:val="0"/>
        <w:widowControl w:val="0"/>
        <w:shd w:val="clear" w:color="auto" w:fill="auto"/>
        <w:tabs>
          <w:tab w:pos="1253" w:val="left"/>
        </w:tabs>
        <w:bidi w:val="0"/>
        <w:spacing w:before="0" w:after="280" w:line="326" w:lineRule="auto"/>
        <w:ind w:left="0" w:right="0" w:firstLine="880"/>
        <w:jc w:val="left"/>
        <w:rPr>
          <w:sz w:val="20"/>
          <w:szCs w:val="20"/>
        </w:rPr>
      </w:pPr>
      <w:bookmarkStart w:id="688" w:name="bookmark688"/>
      <w:r>
        <w:rPr>
          <w:rFonts w:ascii="Times New Roman" w:eastAsia="Times New Roman" w:hAnsi="Times New Roman" w:cs="Times New Roman"/>
          <w:color w:val="000000"/>
          <w:spacing w:val="0"/>
          <w:w w:val="100"/>
          <w:position w:val="0"/>
          <w:sz w:val="20"/>
          <w:szCs w:val="20"/>
        </w:rPr>
        <w:t>5</w:t>
      </w:r>
      <w:bookmarkEnd w:id="688"/>
      <w:r>
        <w:rPr>
          <w:color w:val="000000"/>
          <w:spacing w:val="0"/>
          <w:w w:val="100"/>
          <w:position w:val="0"/>
          <w:sz w:val="20"/>
          <w:szCs w:val="20"/>
        </w:rPr>
        <w:t>、</w:t>
        <w:tab/>
        <w:t>地方教育费附加：按流转税额的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计缴。</w:t>
      </w:r>
    </w:p>
    <w:p>
      <w:pPr>
        <w:pStyle w:val="Style35"/>
        <w:keepNext w:val="0"/>
        <w:keepLines w:val="0"/>
        <w:widowControl w:val="0"/>
        <w:shd w:val="clear" w:color="auto" w:fill="auto"/>
        <w:tabs>
          <w:tab w:pos="1253" w:val="left"/>
        </w:tabs>
        <w:bidi w:val="0"/>
        <w:spacing w:before="0" w:after="200" w:line="326" w:lineRule="auto"/>
        <w:ind w:left="0" w:right="0" w:firstLine="880"/>
        <w:jc w:val="left"/>
        <w:rPr>
          <w:sz w:val="20"/>
          <w:szCs w:val="20"/>
        </w:rPr>
      </w:pPr>
      <w:bookmarkStart w:id="689" w:name="bookmark689"/>
      <w:r>
        <w:rPr>
          <w:rFonts w:ascii="Times New Roman" w:eastAsia="Times New Roman" w:hAnsi="Times New Roman" w:cs="Times New Roman"/>
          <w:color w:val="000000"/>
          <w:spacing w:val="0"/>
          <w:w w:val="100"/>
          <w:position w:val="0"/>
          <w:sz w:val="20"/>
          <w:szCs w:val="20"/>
        </w:rPr>
        <w:t>6</w:t>
      </w:r>
      <w:bookmarkEnd w:id="689"/>
      <w:r>
        <w:rPr>
          <w:color w:val="000000"/>
          <w:spacing w:val="0"/>
          <w:w w:val="100"/>
          <w:position w:val="0"/>
          <w:sz w:val="20"/>
          <w:szCs w:val="20"/>
        </w:rPr>
        <w:t>、</w:t>
        <w:tab/>
        <w:t>企业所得税：</w:t>
      </w:r>
    </w:p>
    <w:p>
      <w:pPr>
        <w:pStyle w:val="Style35"/>
        <w:keepNext w:val="0"/>
        <w:keepLines w:val="0"/>
        <w:widowControl w:val="0"/>
        <w:shd w:val="clear" w:color="auto" w:fill="auto"/>
        <w:tabs>
          <w:tab w:pos="1366" w:val="left"/>
        </w:tabs>
        <w:bidi w:val="0"/>
        <w:spacing w:before="0" w:after="280" w:line="312" w:lineRule="exact"/>
        <w:ind w:left="460" w:right="0" w:firstLine="320"/>
        <w:jc w:val="both"/>
        <w:rPr>
          <w:sz w:val="20"/>
          <w:szCs w:val="20"/>
        </w:rPr>
      </w:pPr>
      <w:bookmarkStart w:id="690" w:name="bookmark690"/>
      <w:r>
        <w:rPr>
          <w:color w:val="000000"/>
          <w:spacing w:val="0"/>
          <w:w w:val="100"/>
          <w:position w:val="0"/>
          <w:sz w:val="20"/>
          <w:szCs w:val="20"/>
        </w:rPr>
        <w:t>（</w:t>
      </w:r>
      <w:bookmarkEnd w:id="6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本公司为高新技术企业（证书编号：</w:t>
      </w:r>
      <w:r>
        <w:rPr>
          <w:rFonts w:ascii="Times New Roman" w:eastAsia="Times New Roman" w:hAnsi="Times New Roman" w:cs="Times New Roman"/>
          <w:color w:val="000000"/>
          <w:spacing w:val="0"/>
          <w:w w:val="100"/>
          <w:position w:val="0"/>
          <w:sz w:val="20"/>
          <w:szCs w:val="20"/>
        </w:rPr>
        <w:t>GF201113000096</w:t>
      </w:r>
      <w:r>
        <w:rPr>
          <w:color w:val="000000"/>
          <w:spacing w:val="0"/>
          <w:w w:val="100"/>
          <w:position w:val="0"/>
          <w:sz w:val="20"/>
          <w:szCs w:val="20"/>
        </w:rPr>
        <w:t>,</w:t>
      </w:r>
      <w:r>
        <w:rPr>
          <w:color w:val="000000"/>
          <w:spacing w:val="0"/>
          <w:w w:val="100"/>
          <w:position w:val="0"/>
          <w:sz w:val="20"/>
          <w:szCs w:val="20"/>
        </w:rPr>
        <w:t>有效期三年，自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日），按应纳税所得额的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%计缴。</w:t>
      </w:r>
    </w:p>
    <w:p>
      <w:pPr>
        <w:pStyle w:val="Style35"/>
        <w:keepNext w:val="0"/>
        <w:keepLines w:val="0"/>
        <w:widowControl w:val="0"/>
        <w:shd w:val="clear" w:color="auto" w:fill="auto"/>
        <w:tabs>
          <w:tab w:pos="1228" w:val="left"/>
        </w:tabs>
        <w:bidi w:val="0"/>
        <w:spacing w:before="0" w:after="280" w:line="312" w:lineRule="exact"/>
        <w:ind w:left="0" w:right="0" w:firstLine="740"/>
        <w:jc w:val="left"/>
        <w:rPr>
          <w:sz w:val="20"/>
          <w:szCs w:val="20"/>
        </w:rPr>
      </w:pPr>
      <w:bookmarkStart w:id="691" w:name="bookmark691"/>
      <w:r>
        <w:rPr>
          <w:color w:val="000000"/>
          <w:spacing w:val="0"/>
          <w:w w:val="100"/>
          <w:position w:val="0"/>
          <w:sz w:val="20"/>
          <w:szCs w:val="20"/>
        </w:rPr>
        <w:t>（</w:t>
      </w:r>
      <w:bookmarkEnd w:id="69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唐山晶源电子有限公司、北京晶源裕丰光学电子器件有限公司按应纳税所得额的</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%计缴。</w:t>
      </w:r>
    </w:p>
    <w:p>
      <w:pPr>
        <w:pStyle w:val="Style35"/>
        <w:keepNext w:val="0"/>
        <w:keepLines w:val="0"/>
        <w:widowControl w:val="0"/>
        <w:shd w:val="clear" w:color="auto" w:fill="auto"/>
        <w:bidi w:val="0"/>
        <w:spacing w:before="0" w:after="280" w:line="312" w:lineRule="exact"/>
        <w:ind w:left="460" w:right="0" w:firstLine="320"/>
        <w:jc w:val="both"/>
        <w:rPr>
          <w:sz w:val="20"/>
          <w:szCs w:val="20"/>
        </w:rPr>
      </w:pPr>
      <w:bookmarkStart w:id="692" w:name="bookmark692"/>
      <w:r>
        <w:rPr>
          <w:color w:val="000000"/>
          <w:spacing w:val="0"/>
          <w:w w:val="100"/>
          <w:position w:val="0"/>
          <w:sz w:val="20"/>
          <w:szCs w:val="20"/>
        </w:rPr>
        <w:t>（</w:t>
      </w:r>
      <w:bookmarkEnd w:id="69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北京同方微电子有限公司为高新技术企业（证书编号：</w:t>
      </w:r>
      <w:r>
        <w:rPr>
          <w:rFonts w:ascii="Times New Roman" w:eastAsia="Times New Roman" w:hAnsi="Times New Roman" w:cs="Times New Roman"/>
          <w:color w:val="000000"/>
          <w:spacing w:val="0"/>
          <w:w w:val="100"/>
          <w:position w:val="0"/>
          <w:sz w:val="20"/>
          <w:szCs w:val="20"/>
        </w:rPr>
        <w:t>CF201111001574</w:t>
      </w:r>
      <w:r>
        <w:rPr>
          <w:color w:val="000000"/>
          <w:spacing w:val="0"/>
          <w:w w:val="100"/>
          <w:position w:val="0"/>
          <w:sz w:val="20"/>
          <w:szCs w:val="20"/>
        </w:rPr>
        <w:t>,</w:t>
      </w:r>
      <w:r>
        <w:rPr>
          <w:color w:val="000000"/>
          <w:spacing w:val="0"/>
          <w:w w:val="100"/>
          <w:position w:val="0"/>
          <w:sz w:val="20"/>
          <w:szCs w:val="20"/>
        </w:rPr>
        <w:t>有效期三年，自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日），按应纳税所得额的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%计缴。</w:t>
      </w:r>
    </w:p>
    <w:p>
      <w:pPr>
        <w:pStyle w:val="Style35"/>
        <w:keepNext w:val="0"/>
        <w:keepLines w:val="0"/>
        <w:widowControl w:val="0"/>
        <w:shd w:val="clear" w:color="auto" w:fill="auto"/>
        <w:tabs>
          <w:tab w:pos="1342" w:val="left"/>
        </w:tabs>
        <w:bidi w:val="0"/>
        <w:spacing w:before="0" w:after="280" w:line="312" w:lineRule="exact"/>
        <w:ind w:left="460" w:right="0" w:firstLine="320"/>
        <w:jc w:val="both"/>
        <w:rPr>
          <w:sz w:val="20"/>
          <w:szCs w:val="20"/>
        </w:rPr>
      </w:pPr>
      <w:bookmarkStart w:id="693" w:name="bookmark693"/>
      <w:r>
        <w:rPr>
          <w:color w:val="000000"/>
          <w:spacing w:val="0"/>
          <w:w w:val="100"/>
          <w:position w:val="0"/>
          <w:sz w:val="20"/>
          <w:szCs w:val="20"/>
        </w:rPr>
        <w:t>（</w:t>
      </w:r>
      <w:bookmarkEnd w:id="69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深圳市国微电子有限公司为高新技术企业（证书编号：</w:t>
      </w:r>
      <w:r>
        <w:rPr>
          <w:rFonts w:ascii="Times New Roman" w:eastAsia="Times New Roman" w:hAnsi="Times New Roman" w:cs="Times New Roman"/>
          <w:color w:val="000000"/>
          <w:spacing w:val="0"/>
          <w:w w:val="100"/>
          <w:position w:val="0"/>
          <w:sz w:val="20"/>
          <w:szCs w:val="20"/>
        </w:rPr>
        <w:t>GR201144200240</w:t>
      </w:r>
      <w:r>
        <w:rPr>
          <w:color w:val="000000"/>
          <w:spacing w:val="0"/>
          <w:w w:val="100"/>
          <w:position w:val="0"/>
          <w:sz w:val="20"/>
          <w:szCs w:val="20"/>
        </w:rPr>
        <w:t>,</w:t>
      </w:r>
      <w:r>
        <w:rPr>
          <w:color w:val="000000"/>
          <w:spacing w:val="0"/>
          <w:w w:val="100"/>
          <w:position w:val="0"/>
          <w:sz w:val="20"/>
          <w:szCs w:val="20"/>
        </w:rPr>
        <w:t>有效期限：</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Arial" w:eastAsia="Arial" w:hAnsi="Arial" w:cs="Arial"/>
          <w:color w:val="000000"/>
          <w:spacing w:val="0"/>
          <w:w w:val="100"/>
          <w:position w:val="0"/>
          <w:sz w:val="17"/>
          <w:szCs w:val="17"/>
        </w:rPr>
        <w:t xml:space="preserve">0 </w:t>
      </w:r>
      <w:r>
        <w:rPr>
          <w:color w:val="000000"/>
          <w:spacing w:val="0"/>
          <w:w w:val="100"/>
          <w:position w:val="0"/>
          <w:sz w:val="20"/>
          <w:szCs w:val="20"/>
        </w:rPr>
        <w:t>），按应纳税所得额的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计缴。</w:t>
      </w:r>
    </w:p>
    <w:p>
      <w:pPr>
        <w:pStyle w:val="Style35"/>
        <w:keepNext w:val="0"/>
        <w:keepLines w:val="0"/>
        <w:widowControl w:val="0"/>
        <w:shd w:val="clear" w:color="auto" w:fill="auto"/>
        <w:tabs>
          <w:tab w:pos="1375" w:val="left"/>
        </w:tabs>
        <w:bidi w:val="0"/>
        <w:spacing w:before="0" w:after="360" w:line="312" w:lineRule="exact"/>
        <w:ind w:left="460" w:right="0" w:firstLine="320"/>
        <w:jc w:val="both"/>
        <w:rPr>
          <w:sz w:val="20"/>
          <w:szCs w:val="20"/>
        </w:rPr>
      </w:pPr>
      <w:bookmarkStart w:id="694" w:name="bookmark694"/>
      <w:r>
        <w:rPr>
          <w:color w:val="000000"/>
          <w:spacing w:val="0"/>
          <w:w w:val="100"/>
          <w:position w:val="0"/>
          <w:sz w:val="20"/>
          <w:szCs w:val="20"/>
        </w:rPr>
        <w:t>（</w:t>
      </w:r>
      <w:bookmarkEnd w:id="69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根据国家发展和改革委员会、工业和信息化部、财政部、商务部、国家税务总局《关于印发</w:t>
      </w:r>
      <w:r>
        <w:rPr>
          <w:rFonts w:ascii="Times New Roman" w:eastAsia="Times New Roman" w:hAnsi="Times New Roman" w:cs="Times New Roman"/>
          <w:color w:val="000000"/>
          <w:spacing w:val="0"/>
          <w:w w:val="100"/>
          <w:position w:val="0"/>
          <w:sz w:val="20"/>
          <w:szCs w:val="20"/>
        </w:rPr>
        <w:t xml:space="preserve">2013-2014 </w:t>
      </w:r>
      <w:r>
        <w:rPr>
          <w:color w:val="000000"/>
          <w:spacing w:val="0"/>
          <w:w w:val="100"/>
          <w:position w:val="0"/>
          <w:sz w:val="20"/>
          <w:szCs w:val="20"/>
        </w:rPr>
        <w:t>年度国家规划布局内重点软件企业和集成电路设计企业名单的通知》（发改高技</w:t>
      </w:r>
      <w:r>
        <w:rPr>
          <w:rFonts w:ascii="Times New Roman" w:eastAsia="Times New Roman" w:hAnsi="Times New Roman" w:cs="Times New Roman"/>
          <w:color w:val="000000"/>
          <w:spacing w:val="0"/>
          <w:w w:val="100"/>
          <w:position w:val="0"/>
          <w:sz w:val="20"/>
          <w:szCs w:val="20"/>
        </w:rPr>
        <w:t>[2013]2458</w:t>
      </w:r>
      <w:r>
        <w:rPr>
          <w:color w:val="000000"/>
          <w:spacing w:val="0"/>
          <w:w w:val="100"/>
          <w:position w:val="0"/>
          <w:sz w:val="20"/>
          <w:szCs w:val="20"/>
        </w:rPr>
        <w:t>号），本公司的 控股子公司同方微电子和国微电子被认定为“</w:t>
      </w:r>
      <w:r>
        <w:rPr>
          <w:rFonts w:ascii="Times New Roman" w:eastAsia="Times New Roman" w:hAnsi="Times New Roman" w:cs="Times New Roman"/>
          <w:color w:val="000000"/>
          <w:spacing w:val="0"/>
          <w:w w:val="100"/>
          <w:position w:val="0"/>
          <w:sz w:val="20"/>
          <w:szCs w:val="20"/>
        </w:rPr>
        <w:t xml:space="preserve">2013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年度国家规划布局内重点企业”。根据《关于进 一步鼓励软件产业和集成电路产业发展企业所得税政策的通知》（财税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sz w:val="20"/>
          <w:szCs w:val="20"/>
        </w:rPr>
        <w:t>号）关于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国家规划布局内 的重点软件企业和集成电路设计企业，如当年未享受免税优惠的，可减按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的税率征收企业所得税''的规 定，同方微电子和国微电子</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年度和</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年企业所得税费按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的税率缴纳。</w:t>
      </w:r>
    </w:p>
    <w:p>
      <w:pPr>
        <w:pStyle w:val="Style35"/>
        <w:keepNext w:val="0"/>
        <w:keepLines w:val="0"/>
        <w:widowControl w:val="0"/>
        <w:shd w:val="clear" w:color="auto" w:fill="auto"/>
        <w:tabs>
          <w:tab w:pos="1253" w:val="left"/>
        </w:tabs>
        <w:bidi w:val="0"/>
        <w:spacing w:before="0" w:after="280" w:line="326" w:lineRule="auto"/>
        <w:ind w:left="0" w:right="0" w:firstLine="880"/>
        <w:jc w:val="left"/>
        <w:rPr>
          <w:sz w:val="20"/>
          <w:szCs w:val="20"/>
        </w:rPr>
      </w:pPr>
      <w:bookmarkStart w:id="695" w:name="bookmark695"/>
      <w:r>
        <w:rPr>
          <w:rFonts w:ascii="Times New Roman" w:eastAsia="Times New Roman" w:hAnsi="Times New Roman" w:cs="Times New Roman"/>
          <w:color w:val="000000"/>
          <w:spacing w:val="0"/>
          <w:w w:val="100"/>
          <w:position w:val="0"/>
          <w:sz w:val="20"/>
          <w:szCs w:val="20"/>
        </w:rPr>
        <w:t>7</w:t>
      </w:r>
      <w:bookmarkEnd w:id="695"/>
      <w:r>
        <w:rPr>
          <w:color w:val="000000"/>
          <w:spacing w:val="0"/>
          <w:w w:val="100"/>
          <w:position w:val="0"/>
          <w:sz w:val="20"/>
          <w:szCs w:val="20"/>
        </w:rPr>
        <w:t>、</w:t>
        <w:tab/>
        <w:t>房产税：公司房产以房产原值的</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为计税依据，按</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的税率计缴房产税。</w:t>
      </w:r>
    </w:p>
    <w:p>
      <w:pPr>
        <w:pStyle w:val="Style35"/>
        <w:keepNext w:val="0"/>
        <w:keepLines w:val="0"/>
        <w:widowControl w:val="0"/>
        <w:shd w:val="clear" w:color="auto" w:fill="auto"/>
        <w:tabs>
          <w:tab w:pos="1253" w:val="left"/>
        </w:tabs>
        <w:bidi w:val="0"/>
        <w:spacing w:before="0" w:after="280" w:line="326" w:lineRule="auto"/>
        <w:ind w:left="0" w:right="0" w:firstLine="880"/>
        <w:jc w:val="left"/>
        <w:rPr>
          <w:sz w:val="20"/>
          <w:szCs w:val="20"/>
        </w:rPr>
      </w:pPr>
      <w:bookmarkStart w:id="696" w:name="bookmark696"/>
      <w:r>
        <w:rPr>
          <w:rFonts w:ascii="Times New Roman" w:eastAsia="Times New Roman" w:hAnsi="Times New Roman" w:cs="Times New Roman"/>
          <w:color w:val="000000"/>
          <w:spacing w:val="0"/>
          <w:w w:val="100"/>
          <w:position w:val="0"/>
          <w:sz w:val="20"/>
          <w:szCs w:val="20"/>
        </w:rPr>
        <w:t>8</w:t>
      </w:r>
      <w:bookmarkEnd w:id="696"/>
      <w:r>
        <w:rPr>
          <w:color w:val="000000"/>
          <w:spacing w:val="0"/>
          <w:w w:val="100"/>
          <w:position w:val="0"/>
          <w:sz w:val="20"/>
          <w:szCs w:val="20"/>
        </w:rPr>
        <w:t>、</w:t>
        <w:tab/>
        <w:t>其他税项：公司的其他税项按国家有关规定计算缴纳。</w:t>
      </w:r>
    </w:p>
    <w:p>
      <w:pPr>
        <w:pStyle w:val="Style23"/>
        <w:keepNext/>
        <w:keepLines/>
        <w:widowControl w:val="0"/>
        <w:shd w:val="clear" w:color="auto" w:fill="auto"/>
        <w:bidi w:val="0"/>
        <w:spacing w:before="0" w:after="360" w:line="240" w:lineRule="auto"/>
        <w:ind w:left="0" w:right="0" w:firstLine="460"/>
        <w:jc w:val="left"/>
      </w:pPr>
      <w:bookmarkStart w:id="697" w:name="bookmark697"/>
      <w:bookmarkStart w:id="698" w:name="bookmark698"/>
      <w:bookmarkStart w:id="699" w:name="bookmark699"/>
      <w:bookmarkStart w:id="700" w:name="bookmark700"/>
      <w:r>
        <w:rPr>
          <w:color w:val="000000"/>
          <w:spacing w:val="0"/>
          <w:w w:val="100"/>
          <w:position w:val="0"/>
        </w:rPr>
        <w:t>六</w:t>
      </w:r>
      <w:bookmarkEnd w:id="699"/>
      <w:r>
        <w:rPr>
          <w:color w:val="000000"/>
          <w:spacing w:val="0"/>
          <w:w w:val="100"/>
          <w:position w:val="0"/>
        </w:rPr>
        <w:t>、企业合并及合并财务报表的合并范围</w:t>
      </w:r>
      <w:bookmarkEnd w:id="697"/>
      <w:bookmarkEnd w:id="698"/>
      <w:bookmarkEnd w:id="700"/>
    </w:p>
    <w:p>
      <w:pPr>
        <w:pStyle w:val="Style44"/>
        <w:keepNext/>
        <w:keepLines/>
        <w:widowControl w:val="0"/>
        <w:shd w:val="clear" w:color="auto" w:fill="auto"/>
        <w:bidi w:val="0"/>
        <w:spacing w:before="0" w:after="200" w:line="240" w:lineRule="auto"/>
        <w:ind w:left="0" w:right="0" w:firstLine="74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w:t>
      </w:r>
      <w:bookmarkEnd w:id="703"/>
      <w:r>
        <w:rPr>
          <w:color w:val="000000"/>
          <w:spacing w:val="0"/>
          <w:w w:val="100"/>
          <w:position w:val="0"/>
        </w:rPr>
        <w:t>一</w:t>
      </w:r>
      <w:r>
        <w:rPr>
          <w:color w:val="000000"/>
          <w:spacing w:val="0"/>
          <w:w w:val="100"/>
          <w:position w:val="0"/>
        </w:rPr>
        <w:t>）</w:t>
      </w:r>
      <w:r>
        <w:rPr>
          <w:color w:val="000000"/>
          <w:spacing w:val="0"/>
          <w:w w:val="100"/>
          <w:position w:val="0"/>
        </w:rPr>
        <w:t>子公司情况</w:t>
      </w:r>
      <w:bookmarkEnd w:id="701"/>
      <w:bookmarkEnd w:id="702"/>
      <w:bookmarkEnd w:id="704"/>
    </w:p>
    <w:p>
      <w:pPr>
        <w:pStyle w:val="Style35"/>
        <w:keepNext w:val="0"/>
        <w:keepLines w:val="0"/>
        <w:widowControl w:val="0"/>
        <w:shd w:val="clear" w:color="auto" w:fill="auto"/>
        <w:bidi w:val="0"/>
        <w:spacing w:before="0" w:after="36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、通过设立或投资等方式取得的子公司：</w:t>
      </w:r>
    </w:p>
    <w:tbl>
      <w:tblPr>
        <w:tblOverlap w:val="never"/>
        <w:jc w:val="center"/>
        <w:tblLayout w:type="fixed"/>
      </w:tblPr>
      <w:tblGrid>
        <w:gridCol w:w="6571"/>
        <w:gridCol w:w="3398"/>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tabs>
                <w:tab w:pos="2198" w:val="left"/>
                <w:tab w:pos="3418" w:val="left"/>
                <w:tab w:pos="4661" w:val="left"/>
              </w:tabs>
              <w:bidi w:val="0"/>
              <w:spacing w:before="0" w:after="0" w:line="240" w:lineRule="auto"/>
              <w:ind w:left="0" w:right="0" w:firstLine="600"/>
              <w:jc w:val="left"/>
            </w:pPr>
            <w:r>
              <w:rPr>
                <w:b/>
                <w:bCs/>
                <w:color w:val="000000"/>
                <w:spacing w:val="0"/>
                <w:w w:val="100"/>
                <w:position w:val="0"/>
              </w:rPr>
              <w:t>子公司全称</w:t>
              <w:tab/>
              <w:t>子公司简称</w:t>
              <w:tab/>
              <w:t>子公司类型</w:t>
              <w:tab/>
              <w:t>注册地址业务性质</w:t>
            </w:r>
          </w:p>
        </w:tc>
        <w:tc>
          <w:tcPr>
            <w:tcBorders>
              <w:top w:val="single" w:sz="4"/>
            </w:tcBorders>
            <w:shd w:val="clear" w:color="auto" w:fill="FFFFFF"/>
            <w:vAlign w:val="top"/>
          </w:tcPr>
          <w:p>
            <w:pPr>
              <w:pStyle w:val="Style2"/>
              <w:keepNext w:val="0"/>
              <w:keepLines w:val="0"/>
              <w:widowControl w:val="0"/>
              <w:shd w:val="clear" w:color="auto" w:fill="auto"/>
              <w:tabs>
                <w:tab w:pos="1670" w:val="left"/>
              </w:tabs>
              <w:bidi w:val="0"/>
              <w:spacing w:before="0" w:after="0" w:line="240" w:lineRule="auto"/>
              <w:ind w:left="0" w:right="0" w:firstLine="0"/>
              <w:jc w:val="left"/>
            </w:pPr>
            <w:r>
              <w:rPr>
                <w:b/>
                <w:bCs/>
                <w:color w:val="000000"/>
                <w:spacing w:val="0"/>
                <w:w w:val="100"/>
                <w:position w:val="0"/>
              </w:rPr>
              <w:t>注册资本</w:t>
              <w:tab/>
              <w:t>经营范围</w:t>
            </w:r>
          </w:p>
          <w:p>
            <w:pPr>
              <w:pStyle w:val="Style2"/>
              <w:keepNext w:val="0"/>
              <w:keepLines w:val="0"/>
              <w:widowControl w:val="0"/>
              <w:shd w:val="clear" w:color="auto" w:fill="auto"/>
              <w:tabs>
                <w:tab w:pos="1570" w:val="left"/>
              </w:tabs>
              <w:bidi w:val="0"/>
              <w:spacing w:before="0" w:after="0" w:line="240" w:lineRule="auto"/>
              <w:ind w:left="0" w:right="0" w:firstLine="0"/>
              <w:jc w:val="left"/>
            </w:pPr>
            <w:r>
              <w:rPr>
                <w:b/>
                <w:bCs/>
                <w:color w:val="000000"/>
                <w:spacing w:val="0"/>
                <w:w w:val="100"/>
                <w:position w:val="0"/>
              </w:rPr>
              <w:t>（万元）</w:t>
              <w:tab/>
              <w:t>经营范围</w:t>
            </w:r>
          </w:p>
        </w:tc>
      </w:tr>
      <w:tr>
        <w:trPr>
          <w:trHeight w:val="538" w:hRule="exact"/>
        </w:trPr>
        <w:tc>
          <w:tcPr>
            <w:tcBorders>
              <w:top w:val="single" w:sz="4"/>
            </w:tcBorders>
            <w:shd w:val="clear" w:color="auto" w:fill="FFFFFF"/>
            <w:vAlign w:val="bottom"/>
          </w:tcPr>
          <w:p>
            <w:pPr>
              <w:pStyle w:val="Style2"/>
              <w:keepNext w:val="0"/>
              <w:keepLines w:val="0"/>
              <w:widowControl w:val="0"/>
              <w:shd w:val="clear" w:color="auto" w:fill="auto"/>
              <w:tabs>
                <w:tab w:pos="4802" w:val="left"/>
              </w:tabs>
              <w:bidi w:val="0"/>
              <w:spacing w:before="0" w:after="0" w:line="240" w:lineRule="auto"/>
              <w:ind w:left="3520" w:right="0" w:firstLine="0"/>
              <w:jc w:val="left"/>
            </w:pPr>
            <w:r>
              <w:rPr>
                <w:color w:val="000000"/>
                <w:spacing w:val="0"/>
                <w:w w:val="100"/>
                <w:position w:val="0"/>
              </w:rPr>
              <w:t>有限责任</w:t>
              <w:tab/>
              <w:t>河北省</w:t>
            </w:r>
          </w:p>
          <w:p>
            <w:pPr>
              <w:pStyle w:val="Style2"/>
              <w:keepNext w:val="0"/>
              <w:keepLines w:val="0"/>
              <w:widowControl w:val="0"/>
              <w:shd w:val="clear" w:color="auto" w:fill="auto"/>
              <w:tabs>
                <w:tab w:pos="2286" w:val="left"/>
                <w:tab w:pos="3423" w:val="left"/>
                <w:tab w:pos="4806" w:val="left"/>
                <w:tab w:pos="5660" w:val="left"/>
              </w:tabs>
              <w:bidi w:val="0"/>
              <w:spacing w:before="0" w:after="0" w:line="240" w:lineRule="auto"/>
              <w:ind w:left="0" w:right="0" w:firstLine="140"/>
              <w:jc w:val="left"/>
            </w:pPr>
            <w:r>
              <w:rPr>
                <w:color w:val="000000"/>
                <w:spacing w:val="0"/>
                <w:w w:val="100"/>
                <w:position w:val="0"/>
              </w:rPr>
              <w:t>唐山日日源电子有</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艮公司</w:t>
              <w:tab/>
              <w:t>日日源电子</w:t>
              <w:tab/>
              <w:t>（法人独咨）</w:t>
              <w:tab/>
              <w:t>王田县</w:t>
              <w:tab/>
              <w:t>^生产*?销^售</w:t>
            </w:r>
          </w:p>
        </w:tc>
        <w:tc>
          <w:tcPr>
            <w:tcBorders>
              <w:top w:val="single" w:sz="4"/>
            </w:tcBorders>
            <w:shd w:val="clear" w:color="auto" w:fill="FFFFFF"/>
            <w:vAlign w:val="bottom"/>
          </w:tcPr>
          <w:p>
            <w:pPr>
              <w:pStyle w:val="Style2"/>
              <w:keepNext w:val="0"/>
              <w:keepLines w:val="0"/>
              <w:widowControl w:val="0"/>
              <w:shd w:val="clear" w:color="auto" w:fill="auto"/>
              <w:tabs>
                <w:tab w:pos="898" w:val="left"/>
              </w:tabs>
              <w:bidi w:val="0"/>
              <w:spacing w:before="0" w:after="0" w:line="240" w:lineRule="auto"/>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 m</w:t>
              <w:tab/>
            </w:r>
            <w:r>
              <w:rPr>
                <w:color w:val="000000"/>
                <w:spacing w:val="0"/>
                <w:w w:val="100"/>
                <w:position w:val="0"/>
              </w:rPr>
              <w:t>生产石英晶体元器件，销售本</w:t>
            </w:r>
          </w:p>
          <w:p>
            <w:pPr>
              <w:pStyle w:val="Style2"/>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sz w:val="18"/>
                <w:szCs w:val="18"/>
              </w:rPr>
              <w:t>2’268.00</w:t>
            </w:r>
            <w:r>
              <w:rPr>
                <w:color w:val="000000"/>
                <w:spacing w:val="0"/>
                <w:w w:val="100"/>
                <w:position w:val="0"/>
              </w:rPr>
              <w:t>公司产品。</w:t>
            </w:r>
          </w:p>
        </w:tc>
      </w:tr>
    </w:tbl>
    <w:p>
      <w:pPr>
        <w:sectPr>
          <w:footnotePr>
            <w:pos w:val="pageBottom"/>
            <w:numFmt w:val="decimal"/>
            <w:numRestart w:val="continuous"/>
          </w:footnotePr>
          <w:pgSz w:w="11900" w:h="16840"/>
          <w:pgMar w:top="1106" w:right="763" w:bottom="1541" w:left="706" w:header="0" w:footer="3" w:gutter="0"/>
          <w:cols w:space="720"/>
          <w:noEndnote/>
          <w:rtlGutter w:val="0"/>
          <w:docGrid w:linePitch="360"/>
        </w:sectPr>
      </w:pPr>
    </w:p>
    <w:p>
      <w:pPr>
        <w:pStyle w:val="Style72"/>
        <w:keepNext w:val="0"/>
        <w:keepLines w:val="0"/>
        <w:widowControl w:val="0"/>
        <w:shd w:val="clear" w:color="auto" w:fill="auto"/>
        <w:tabs>
          <w:tab w:pos="3814" w:val="left"/>
          <w:tab w:pos="7938" w:val="left"/>
        </w:tabs>
        <w:bidi w:val="0"/>
        <w:spacing w:before="0" w:after="0" w:line="235" w:lineRule="exact"/>
        <w:ind w:left="440" w:right="0" w:firstLine="7540"/>
        <w:jc w:val="left"/>
      </w:pPr>
      <w:r>
        <w:rPr>
          <w:b w:val="0"/>
          <w:bCs w:val="0"/>
          <w:color w:val="000000"/>
          <w:spacing w:val="0"/>
          <w:w w:val="100"/>
          <w:position w:val="0"/>
        </w:rPr>
        <w:t>委托加工；自营进出口业务； 销售仪器仪表、机械设备、电 北京晶源裕丰光学电子廿市曰源</w:t>
        <w:tab/>
        <w:t>有限责任</w:t>
        <w:tab/>
        <w:t>器设备；经营本企业自产产品</w:t>
      </w:r>
    </w:p>
    <w:p>
      <w:pPr>
        <w:pStyle w:val="Style72"/>
        <w:keepNext w:val="0"/>
        <w:keepLines w:val="0"/>
        <w:widowControl w:val="0"/>
        <w:shd w:val="clear" w:color="auto" w:fill="auto"/>
        <w:tabs>
          <w:tab w:pos="2600" w:val="left"/>
          <w:tab w:pos="5960" w:val="left"/>
          <w:tab w:pos="7122" w:val="left"/>
        </w:tabs>
        <w:bidi w:val="0"/>
        <w:spacing w:before="0" w:after="0" w:line="235" w:lineRule="exact"/>
        <w:ind w:left="0" w:right="0" w:firstLine="440"/>
        <w:jc w:val="left"/>
      </w:pPr>
      <w:r>
        <w:rPr>
          <w:b w:val="0"/>
          <w:bCs w:val="0"/>
          <w:color w:val="000000"/>
          <w:spacing w:val="0"/>
          <w:w w:val="100"/>
          <w:position w:val="0"/>
        </w:rPr>
        <w:t>器件有限公司</w:t>
        <w:tab/>
        <w:t>北京晶源（法人独资）北京市</w:t>
        <w:tab/>
        <w:t>生产销售</w:t>
        <w:tab/>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及技术的出口业务和本企业所</w:t>
      </w:r>
    </w:p>
    <w:p>
      <w:pPr>
        <w:pStyle w:val="Style72"/>
        <w:keepNext w:val="0"/>
        <w:keepLines w:val="0"/>
        <w:widowControl w:val="0"/>
        <w:pBdr>
          <w:bottom w:val="single" w:sz="4" w:space="0" w:color="auto"/>
        </w:pBdr>
        <w:shd w:val="clear" w:color="auto" w:fill="auto"/>
        <w:bidi w:val="0"/>
        <w:spacing w:before="0" w:after="360" w:line="235" w:lineRule="exact"/>
        <w:ind w:left="7980" w:right="0" w:firstLine="0"/>
        <w:jc w:val="left"/>
      </w:pPr>
      <w:r>
        <w:rPr>
          <w:b w:val="0"/>
          <w:bCs w:val="0"/>
          <w:color w:val="000000"/>
          <w:spacing w:val="0"/>
          <w:w w:val="100"/>
          <w:position w:val="0"/>
        </w:rPr>
        <w:t>需的机械设备、零配件、原辅 材料及技术的进口业务。</w:t>
      </w:r>
    </w:p>
    <w:p>
      <w:pPr>
        <w:pStyle w:val="Style55"/>
        <w:keepNext/>
        <w:keepLines/>
        <w:widowControl w:val="0"/>
        <w:pBdr>
          <w:bottom w:val="single" w:sz="4" w:space="0" w:color="auto"/>
        </w:pBdr>
        <w:shd w:val="clear" w:color="auto" w:fill="auto"/>
        <w:bidi w:val="0"/>
        <w:spacing w:before="0" w:after="60" w:line="240" w:lineRule="auto"/>
        <w:ind w:left="0" w:right="0" w:firstLine="580"/>
        <w:jc w:val="both"/>
      </w:pPr>
      <w:bookmarkStart w:id="705" w:name="bookmark705"/>
      <w:bookmarkStart w:id="706" w:name="bookmark706"/>
      <w:bookmarkStart w:id="707" w:name="bookmark707"/>
      <w:r>
        <w:rPr>
          <w:color w:val="000000"/>
          <w:spacing w:val="0"/>
          <w:w w:val="100"/>
          <w:position w:val="0"/>
        </w:rPr>
        <w:t>（续表一）</w:t>
      </w:r>
      <w:bookmarkEnd w:id="705"/>
      <w:bookmarkEnd w:id="706"/>
      <w:bookmarkEnd w:id="707"/>
    </w:p>
    <w:tbl>
      <w:tblPr>
        <w:tblOverlap w:val="never"/>
        <w:jc w:val="center"/>
        <w:tblLayout w:type="fixed"/>
      </w:tblPr>
      <w:tblGrid>
        <w:gridCol w:w="2088"/>
        <w:gridCol w:w="1229"/>
        <w:gridCol w:w="1387"/>
        <w:gridCol w:w="1186"/>
        <w:gridCol w:w="1699"/>
        <w:gridCol w:w="888"/>
        <w:gridCol w:w="797"/>
        <w:gridCol w:w="595"/>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子公司全称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组织机构代码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期末实际出 资额（万元）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实质上构成对子公 司净投资的其他项 目余额（万元）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持股比 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表决权</w:t>
            </w:r>
          </w:p>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right"/>
            </w:pPr>
            <w:r>
              <w:rPr>
                <w:b/>
                <w:bCs/>
                <w:color w:val="000000"/>
                <w:spacing w:val="0"/>
                <w:w w:val="100"/>
                <w:position w:val="0"/>
              </w:rPr>
              <w:t>是否 合并 报表</w:t>
            </w:r>
          </w:p>
        </w:tc>
      </w:tr>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唐山晶源电子有限公司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晶源电子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73435743-9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60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北京晶源裕丰光学电子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北京晶源</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75960844-1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bl>
    <w:p>
      <w:pPr>
        <w:widowControl w:val="0"/>
        <w:spacing w:after="199" w:line="1" w:lineRule="exact"/>
      </w:pPr>
    </w:p>
    <w:p>
      <w:pPr>
        <w:pStyle w:val="Style72"/>
        <w:keepNext w:val="0"/>
        <w:keepLines w:val="0"/>
        <w:widowControl w:val="0"/>
        <w:pBdr>
          <w:top w:val="single" w:sz="4" w:space="0" w:color="auto"/>
        </w:pBdr>
        <w:shd w:val="clear" w:color="auto" w:fill="auto"/>
        <w:bidi w:val="0"/>
        <w:spacing w:before="0" w:after="360" w:line="240" w:lineRule="auto"/>
        <w:ind w:left="0" w:right="0" w:firstLine="820"/>
        <w:jc w:val="left"/>
      </w:pPr>
      <w:r>
        <w:rPr>
          <w:b w:val="0"/>
          <w:bCs w:val="0"/>
          <w:color w:val="000000"/>
          <w:spacing w:val="0"/>
          <w:w w:val="100"/>
          <w:position w:val="0"/>
        </w:rPr>
        <w:t>注：唐山晶源旭丰电子有限公司更名为唐山晶源电子有限公司，已于</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日完成了工商变更登记手续。</w:t>
      </w:r>
    </w:p>
    <w:p>
      <w:pPr>
        <w:pStyle w:val="Style55"/>
        <w:keepNext/>
        <w:keepLines/>
        <w:widowControl w:val="0"/>
        <w:shd w:val="clear" w:color="auto" w:fill="auto"/>
        <w:bidi w:val="0"/>
        <w:spacing w:before="0" w:after="320" w:line="240" w:lineRule="auto"/>
        <w:ind w:left="0" w:right="0" w:firstLine="82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708"/>
      <w:bookmarkEnd w:id="709"/>
      <w:bookmarkEnd w:id="710"/>
    </w:p>
    <w:tbl>
      <w:tblPr>
        <w:tblOverlap w:val="never"/>
        <w:jc w:val="center"/>
        <w:tblLayout w:type="fixed"/>
      </w:tblPr>
      <w:tblGrid>
        <w:gridCol w:w="2472"/>
        <w:gridCol w:w="1142"/>
        <w:gridCol w:w="835"/>
        <w:gridCol w:w="1224"/>
        <w:gridCol w:w="1646"/>
        <w:gridCol w:w="725"/>
        <w:gridCol w:w="2386"/>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tabs>
                <w:tab w:pos="1450" w:val="left"/>
              </w:tabs>
              <w:bidi w:val="0"/>
              <w:spacing w:before="0" w:after="0" w:line="240" w:lineRule="auto"/>
              <w:ind w:left="0" w:right="0" w:firstLine="240"/>
              <w:jc w:val="left"/>
            </w:pPr>
            <w:r>
              <w:rPr>
                <w:b/>
                <w:bCs/>
                <w:color w:val="000000"/>
                <w:spacing w:val="0"/>
                <w:w w:val="100"/>
                <w:position w:val="0"/>
              </w:rPr>
              <w:t>子公司全称</w:t>
              <w:tab/>
              <w:t>子公司简称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子公司 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注册地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业务性质</w:t>
            </w:r>
          </w:p>
        </w:tc>
        <w:tc>
          <w:tcPr>
            <w:gridSpan w:val="2"/>
            <w:tcBorders>
              <w:top w:val="single" w:sz="4"/>
            </w:tcBorders>
            <w:shd w:val="clear" w:color="auto" w:fill="FFFFFF"/>
            <w:vAlign w:val="center"/>
          </w:tcPr>
          <w:p>
            <w:pPr>
              <w:pStyle w:val="Style2"/>
              <w:keepNext w:val="0"/>
              <w:keepLines w:val="0"/>
              <w:widowControl w:val="0"/>
              <w:shd w:val="clear" w:color="auto" w:fill="auto"/>
              <w:tabs>
                <w:tab w:pos="1348" w:val="left"/>
              </w:tabs>
              <w:bidi w:val="0"/>
              <w:spacing w:before="0" w:after="0" w:line="240" w:lineRule="auto"/>
              <w:ind w:left="0" w:right="0" w:firstLine="220"/>
              <w:jc w:val="left"/>
            </w:pPr>
            <w:r>
              <w:rPr>
                <w:b/>
                <w:bCs/>
                <w:color w:val="000000"/>
                <w:spacing w:val="0"/>
                <w:w w:val="100"/>
                <w:position w:val="0"/>
              </w:rPr>
              <w:t>注册资本</w:t>
              <w:tab/>
              <w:t>实收资本</w:t>
            </w:r>
          </w:p>
          <w:p>
            <w:pPr>
              <w:pStyle w:val="Style2"/>
              <w:keepNext w:val="0"/>
              <w:keepLines w:val="0"/>
              <w:widowControl w:val="0"/>
              <w:shd w:val="clear" w:color="auto" w:fill="auto"/>
              <w:tabs>
                <w:tab w:pos="1353" w:val="left"/>
              </w:tabs>
              <w:bidi w:val="0"/>
              <w:spacing w:before="0" w:after="0" w:line="240" w:lineRule="auto"/>
              <w:ind w:left="0" w:right="0" w:firstLine="220"/>
              <w:jc w:val="left"/>
            </w:pPr>
            <w:r>
              <w:rPr>
                <w:b/>
                <w:bCs/>
                <w:color w:val="000000"/>
                <w:spacing w:val="0"/>
                <w:w w:val="100"/>
                <w:position w:val="0"/>
              </w:rPr>
              <w:t>（万元）</w:t>
              <w:tab/>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经营范围</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tabs>
                <w:tab w:pos="1306" w:val="left"/>
              </w:tabs>
              <w:bidi w:val="0"/>
              <w:spacing w:before="0" w:after="0" w:line="211" w:lineRule="exact"/>
              <w:ind w:left="0" w:right="0" w:firstLine="0"/>
              <w:jc w:val="center"/>
            </w:pPr>
            <w:r>
              <w:rPr>
                <w:color w:val="000000"/>
                <w:spacing w:val="0"/>
                <w:w w:val="100"/>
                <w:position w:val="0"/>
              </w:rPr>
              <w:t>北京同方微电同方微电子 子有限公司</w:t>
              <w:tab/>
              <w:t>同力微电子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有限责任</w:t>
            </w:r>
          </w:p>
          <w:p>
            <w:pPr>
              <w:pStyle w:val="Style2"/>
              <w:keepNext w:val="0"/>
              <w:keepLines w:val="0"/>
              <w:widowControl w:val="0"/>
              <w:shd w:val="clear" w:color="auto" w:fill="auto"/>
              <w:bidi w:val="0"/>
              <w:spacing w:before="0" w:after="0" w:line="226" w:lineRule="exact"/>
              <w:ind w:left="0" w:right="0" w:firstLine="200"/>
              <w:jc w:val="left"/>
            </w:pPr>
            <w:r>
              <w:rPr>
                <w:color w:val="000000"/>
                <w:spacing w:val="0"/>
                <w:w w:val="100"/>
                <w:position w:val="0"/>
              </w:rPr>
              <w:t>（法人独 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240" w:right="0" w:firstLine="0"/>
              <w:jc w:val="left"/>
            </w:pPr>
            <w:r>
              <w:rPr>
                <w:color w:val="000000"/>
                <w:spacing w:val="0"/>
                <w:w w:val="100"/>
                <w:position w:val="0"/>
              </w:rPr>
              <w:t>设计、开发 和销售</w:t>
            </w:r>
          </w:p>
        </w:tc>
        <w:tc>
          <w:tcPr>
            <w:gridSpan w:val="2"/>
            <w:tcBorders>
              <w:top w:val="single" w:sz="4"/>
            </w:tcBorders>
            <w:shd w:val="clear" w:color="auto" w:fill="FFFFFF"/>
            <w:vAlign w:val="center"/>
          </w:tcPr>
          <w:p>
            <w:pPr>
              <w:pStyle w:val="Style2"/>
              <w:keepNext w:val="0"/>
              <w:keepLines w:val="0"/>
              <w:widowControl w:val="0"/>
              <w:shd w:val="clear" w:color="auto" w:fill="auto"/>
              <w:tabs>
                <w:tab w:pos="113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tab/>
              <w:t>10,000.00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技术开发、技术转让、技 术咨询、技术服务；货物 进出口、技术进出口、代 理进出口</w:t>
            </w:r>
          </w:p>
        </w:tc>
      </w:tr>
      <w:tr>
        <w:trPr>
          <w:trHeight w:val="66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（续表一）</w:t>
            </w:r>
          </w:p>
        </w:tc>
      </w:tr>
      <w:tr>
        <w:trPr>
          <w:trHeight w:val="739"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1868" w:val="left"/>
                <w:tab w:pos="3159" w:val="left"/>
              </w:tabs>
              <w:bidi w:val="0"/>
              <w:spacing w:before="0" w:after="0" w:line="240" w:lineRule="auto"/>
              <w:ind w:left="0" w:right="0" w:firstLine="380"/>
              <w:jc w:val="left"/>
            </w:pPr>
            <w:r>
              <w:rPr>
                <w:b/>
                <w:bCs/>
                <w:color w:val="000000"/>
                <w:spacing w:val="0"/>
                <w:w w:val="100"/>
                <w:position w:val="0"/>
              </w:rPr>
              <w:t>子公司全称</w:t>
              <w:tab/>
              <w:t>子公司简称</w:t>
              <w:tab/>
              <w:t>组织机构代码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期末实际出 资额（万元）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实质上构成对子公 司净投资的其他项 目余额（万元）</w:t>
            </w:r>
          </w:p>
        </w:tc>
        <w:tc>
          <w:tcPr>
            <w:gridSpan w:val="2"/>
            <w:tcBorders>
              <w:top w:val="single" w:sz="4"/>
            </w:tcBorders>
            <w:shd w:val="clear" w:color="auto" w:fill="FFFFFF"/>
            <w:vAlign w:val="center"/>
          </w:tcPr>
          <w:p>
            <w:pPr>
              <w:pStyle w:val="Style2"/>
              <w:keepNext w:val="0"/>
              <w:keepLines w:val="0"/>
              <w:widowControl w:val="0"/>
              <w:shd w:val="clear" w:color="auto" w:fill="auto"/>
              <w:tabs>
                <w:tab w:pos="1154" w:val="left"/>
                <w:tab w:pos="2162" w:val="left"/>
              </w:tabs>
              <w:bidi w:val="0"/>
              <w:spacing w:before="0" w:after="0" w:line="240" w:lineRule="auto"/>
              <w:ind w:left="0" w:right="0" w:firstLine="160"/>
              <w:jc w:val="left"/>
            </w:pPr>
            <w:r>
              <w:rPr>
                <w:b/>
                <w:bCs/>
                <w:color w:val="000000"/>
                <w:spacing w:val="0"/>
                <w:w w:val="100"/>
                <w:position w:val="0"/>
              </w:rPr>
              <w:t>持股比例</w:t>
              <w:tab/>
              <w:t>表决权比</w:t>
              <w:tab/>
              <w:t>是否合并</w:t>
            </w:r>
          </w:p>
          <w:p>
            <w:pPr>
              <w:pStyle w:val="Style2"/>
              <w:keepNext w:val="0"/>
              <w:keepLines w:val="0"/>
              <w:widowControl w:val="0"/>
              <w:shd w:val="clear" w:color="auto" w:fill="auto"/>
              <w:tabs>
                <w:tab w:pos="1066" w:val="left"/>
                <w:tab w:pos="2271" w:val="left"/>
              </w:tabs>
              <w:bidi w:val="0"/>
              <w:spacing w:before="0" w:after="0" w:line="240" w:lineRule="auto"/>
              <w:ind w:left="0" w:right="0" w:firstLine="260"/>
              <w:jc w:val="left"/>
            </w:pPr>
            <w:r>
              <w:rPr>
                <w:b/>
                <w:bCs/>
                <w:color w:val="000000"/>
                <w:spacing w:val="0"/>
                <w:w w:val="100"/>
                <w:position w:val="0"/>
              </w:rPr>
              <w:t>（%）</w:t>
              <w:tab/>
              <w:t>例（%）</w:t>
              <w:tab/>
              <w:t>报表</w:t>
            </w:r>
          </w:p>
        </w:tc>
      </w:tr>
      <w:tr>
        <w:trPr>
          <w:trHeight w:val="634"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tabs>
                <w:tab w:pos="1724" w:val="left"/>
                <w:tab w:pos="3106" w:val="left"/>
              </w:tabs>
              <w:bidi w:val="0"/>
              <w:spacing w:before="0" w:after="0" w:line="240" w:lineRule="auto"/>
              <w:ind w:left="0" w:right="0" w:firstLine="140"/>
              <w:jc w:val="left"/>
              <w:rPr>
                <w:sz w:val="18"/>
                <w:szCs w:val="18"/>
              </w:rPr>
            </w:pPr>
            <w:r>
              <w:rPr>
                <w:color w:val="000000"/>
                <w:spacing w:val="0"/>
                <w:w w:val="100"/>
                <w:position w:val="0"/>
                <w:sz w:val="17"/>
                <w:szCs w:val="17"/>
              </w:rPr>
              <w:t>北京同方微电子</w:t>
              <w:tab/>
              <w:t>同方微电子</w:t>
              <w:tab/>
            </w:r>
            <w:r>
              <w:rPr>
                <w:rFonts w:ascii="Times New Roman" w:eastAsia="Times New Roman" w:hAnsi="Times New Roman" w:cs="Times New Roman"/>
                <w:color w:val="000000"/>
                <w:spacing w:val="0"/>
                <w:w w:val="100"/>
                <w:position w:val="0"/>
                <w:sz w:val="18"/>
                <w:szCs w:val="18"/>
              </w:rPr>
              <w:t>73345887-9</w:t>
            </w:r>
          </w:p>
          <w:p>
            <w:pPr>
              <w:pStyle w:val="Style2"/>
              <w:keepNext w:val="0"/>
              <w:keepLines w:val="0"/>
              <w:widowControl w:val="0"/>
              <w:shd w:val="clear" w:color="auto" w:fill="auto"/>
              <w:tabs>
                <w:tab w:pos="1729" w:val="left"/>
                <w:tab w:pos="3140" w:val="left"/>
              </w:tabs>
              <w:bidi w:val="0"/>
              <w:spacing w:before="0" w:after="0" w:line="240" w:lineRule="auto"/>
              <w:ind w:left="0" w:right="0" w:firstLine="140"/>
              <w:jc w:val="left"/>
              <w:rPr>
                <w:sz w:val="18"/>
                <w:szCs w:val="18"/>
              </w:rPr>
            </w:pPr>
            <w:r>
              <w:rPr>
                <w:color w:val="000000"/>
                <w:spacing w:val="0"/>
                <w:w w:val="100"/>
                <w:position w:val="0"/>
                <w:sz w:val="17"/>
                <w:szCs w:val="17"/>
              </w:rPr>
              <w:t>有限公司</w:t>
              <w:tab/>
              <w:t>同方微电子</w:t>
              <w:tab/>
            </w:r>
            <w:r>
              <w:rPr>
                <w:rFonts w:ascii="Times New Roman" w:eastAsia="Times New Roman" w:hAnsi="Times New Roman" w:cs="Times New Roman"/>
                <w:color w:val="000000"/>
                <w:spacing w:val="0"/>
                <w:w w:val="100"/>
                <w:position w:val="0"/>
                <w:sz w:val="18"/>
                <w:szCs w:val="18"/>
                <w:vertAlign w:val="superscript"/>
              </w:rPr>
              <w:t>7334588</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vertAlign w:val="superscript"/>
              </w:rPr>
              <w:t>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59,245.91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390" w:val="left"/>
              </w:tabs>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100</w:t>
              <w:tab/>
            </w:r>
            <w:r>
              <w:rPr>
                <w:color w:val="000000"/>
                <w:spacing w:val="0"/>
                <w:w w:val="100"/>
                <w:position w:val="0"/>
              </w:rPr>
              <w:t>是</w:t>
            </w:r>
          </w:p>
        </w:tc>
      </w:tr>
    </w:tbl>
    <w:p>
      <w:pPr>
        <w:widowControl w:val="0"/>
        <w:spacing w:after="319" w:line="1" w:lineRule="exact"/>
      </w:pPr>
    </w:p>
    <w:p>
      <w:pPr>
        <w:pStyle w:val="Style55"/>
        <w:keepNext/>
        <w:keepLines/>
        <w:widowControl w:val="0"/>
        <w:shd w:val="clear" w:color="auto" w:fill="auto"/>
        <w:bidi w:val="0"/>
        <w:spacing w:before="0" w:after="320" w:line="240" w:lineRule="auto"/>
        <w:ind w:left="0" w:right="0" w:firstLine="82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、非同一控制下的企业合并取得的子公司</w:t>
      </w:r>
      <w:bookmarkEnd w:id="711"/>
      <w:bookmarkEnd w:id="712"/>
      <w:bookmarkEnd w:id="714"/>
    </w:p>
    <w:tbl>
      <w:tblPr>
        <w:tblOverlap w:val="never"/>
        <w:jc w:val="center"/>
        <w:tblLayout w:type="fixed"/>
      </w:tblPr>
      <w:tblGrid>
        <w:gridCol w:w="1670"/>
        <w:gridCol w:w="1368"/>
        <w:gridCol w:w="1464"/>
        <w:gridCol w:w="1310"/>
        <w:gridCol w:w="1723"/>
        <w:gridCol w:w="1262"/>
        <w:gridCol w:w="1498"/>
      </w:tblGrid>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子公司全称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子公司简称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子公司类型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业务性质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注册资本</w:t>
            </w:r>
          </w:p>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420"/>
              <w:jc w:val="left"/>
            </w:pPr>
            <w:r>
              <w:rPr>
                <w:b/>
                <w:bCs/>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（万元）</w:t>
            </w:r>
          </w:p>
        </w:tc>
      </w:tr>
      <w:tr>
        <w:trPr>
          <w:trHeight w:val="65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深圳市国微电子</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国微电子</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有限责任</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（法人独资）</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广东省</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深圳市</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设计、开发和销售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47" w:right="0" w:firstLine="0"/>
        <w:jc w:val="left"/>
        <w:rPr>
          <w:sz w:val="17"/>
          <w:szCs w:val="17"/>
        </w:rPr>
      </w:pPr>
      <w:r>
        <w:rPr>
          <w:b w:val="0"/>
          <w:bCs w:val="0"/>
          <w:color w:val="000000"/>
          <w:spacing w:val="0"/>
          <w:w w:val="100"/>
          <w:position w:val="0"/>
          <w:sz w:val="17"/>
          <w:szCs w:val="17"/>
        </w:rPr>
        <w:t>（续表一）</w:t>
      </w:r>
    </w:p>
    <w:tbl>
      <w:tblPr>
        <w:tblOverlap w:val="never"/>
        <w:jc w:val="center"/>
        <w:tblLayout w:type="fixed"/>
      </w:tblPr>
      <w:tblGrid>
        <w:gridCol w:w="2189"/>
        <w:gridCol w:w="1397"/>
        <w:gridCol w:w="1541"/>
        <w:gridCol w:w="1392"/>
        <w:gridCol w:w="1349"/>
        <w:gridCol w:w="922"/>
        <w:gridCol w:w="888"/>
        <w:gridCol w:w="754"/>
      </w:tblGrid>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组织机构代码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期末实际出资 额（万元）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7" w:lineRule="exact"/>
              <w:ind w:left="0" w:right="0" w:firstLine="0"/>
              <w:jc w:val="center"/>
            </w:pPr>
            <w:r>
              <w:rPr>
                <w:b/>
                <w:bCs/>
                <w:color w:val="000000"/>
                <w:spacing w:val="0"/>
                <w:w w:val="100"/>
                <w:position w:val="0"/>
              </w:rPr>
              <w:t>实质上构成对 子公司净投资 的其他项目余 额（万元）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持股比 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表决权</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是否 合并 报表</w:t>
            </w:r>
          </w:p>
        </w:tc>
      </w:tr>
      <w:tr>
        <w:trPr>
          <w:trHeight w:val="66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深圳市国微电子有限公 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国微电子</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671879941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98,829.40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r>
    </w:tbl>
    <w:p>
      <w:pPr>
        <w:widowControl w:val="0"/>
        <w:spacing w:after="319" w:line="1" w:lineRule="exact"/>
      </w:pPr>
    </w:p>
    <w:p>
      <w:pPr>
        <w:pStyle w:val="Style55"/>
        <w:keepNext/>
        <w:keepLines/>
        <w:widowControl w:val="0"/>
        <w:shd w:val="clear" w:color="auto" w:fill="auto"/>
        <w:bidi w:val="0"/>
        <w:spacing w:before="0" w:after="320" w:line="240" w:lineRule="auto"/>
        <w:ind w:left="0" w:right="0" w:firstLine="74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w:t>
      </w:r>
      <w:bookmarkEnd w:id="717"/>
      <w:r>
        <w:rPr>
          <w:color w:val="000000"/>
          <w:spacing w:val="0"/>
          <w:w w:val="100"/>
          <w:position w:val="0"/>
        </w:rPr>
        <w:t>二</w:t>
      </w:r>
      <w:r>
        <w:rPr>
          <w:color w:val="000000"/>
          <w:spacing w:val="0"/>
          <w:w w:val="100"/>
          <w:position w:val="0"/>
        </w:rPr>
        <w:t>）</w:t>
      </w:r>
      <w:r>
        <w:rPr>
          <w:color w:val="000000"/>
          <w:spacing w:val="0"/>
          <w:w w:val="100"/>
          <w:position w:val="0"/>
        </w:rPr>
        <w:t>纳入合并范围的孙公司</w:t>
      </w:r>
      <w:bookmarkEnd w:id="715"/>
      <w:bookmarkEnd w:id="716"/>
      <w:bookmarkEnd w:id="718"/>
      <w:r>
        <w:br w:type="page"/>
      </w:r>
    </w:p>
    <w:tbl>
      <w:tblPr>
        <w:tblOverlap w:val="never"/>
        <w:jc w:val="center"/>
        <w:tblLayout w:type="fixed"/>
      </w:tblPr>
      <w:tblGrid>
        <w:gridCol w:w="2069"/>
        <w:gridCol w:w="2419"/>
        <w:gridCol w:w="974"/>
        <w:gridCol w:w="1402"/>
        <w:gridCol w:w="936"/>
        <w:gridCol w:w="1066"/>
        <w:gridCol w:w="1258"/>
      </w:tblGrid>
      <w:tr>
        <w:trPr>
          <w:trHeight w:val="941"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、通过设立或投资等方式取得的孙公司：</w:t>
            </w:r>
          </w:p>
        </w:tc>
      </w:tr>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孙公司全称</w:t>
            </w:r>
          </w:p>
        </w:tc>
        <w:tc>
          <w:tcPr>
            <w:tcBorders>
              <w:top w:val="single" w:sz="4"/>
            </w:tcBorders>
            <w:shd w:val="clear" w:color="auto" w:fill="FFFFFF"/>
            <w:vAlign w:val="center"/>
          </w:tcPr>
          <w:p>
            <w:pPr>
              <w:pStyle w:val="Style2"/>
              <w:keepNext w:val="0"/>
              <w:keepLines w:val="0"/>
              <w:widowControl w:val="0"/>
              <w:shd w:val="clear" w:color="auto" w:fill="auto"/>
              <w:tabs>
                <w:tab w:pos="1296" w:val="left"/>
              </w:tabs>
              <w:bidi w:val="0"/>
              <w:spacing w:before="0" w:after="0" w:line="240" w:lineRule="auto"/>
              <w:ind w:left="0" w:right="0" w:firstLine="0"/>
              <w:jc w:val="left"/>
            </w:pPr>
            <w:r>
              <w:rPr>
                <w:b/>
                <w:bCs/>
                <w:color w:val="000000"/>
                <w:spacing w:val="0"/>
                <w:w w:val="100"/>
                <w:position w:val="0"/>
              </w:rPr>
              <w:t>孙公司简称</w:t>
              <w:tab/>
              <w:t>孙公司类型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注册地址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业务性质注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b/>
                <w:bCs/>
                <w:color w:val="000000"/>
                <w:spacing w:val="0"/>
                <w:w w:val="100"/>
                <w:position w:val="0"/>
              </w:rPr>
              <w:t>主册资本 （万元）</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经营范围</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深圳市同创国芯电子</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tcBorders>
            <w:shd w:val="clear" w:color="auto" w:fill="FFFFFF"/>
            <w:vAlign w:val="center"/>
          </w:tcPr>
          <w:p>
            <w:pPr>
              <w:pStyle w:val="Style2"/>
              <w:keepNext w:val="0"/>
              <w:keepLines w:val="0"/>
              <w:widowControl w:val="0"/>
              <w:shd w:val="clear" w:color="auto" w:fill="auto"/>
              <w:tabs>
                <w:tab w:pos="1282" w:val="left"/>
              </w:tabs>
              <w:bidi w:val="0"/>
              <w:spacing w:before="0" w:after="0" w:line="240" w:lineRule="auto"/>
              <w:ind w:left="0" w:right="0" w:firstLine="0"/>
              <w:jc w:val="left"/>
            </w:pPr>
            <w:r>
              <w:rPr>
                <w:color w:val="000000"/>
                <w:spacing w:val="0"/>
                <w:w w:val="100"/>
                <w:position w:val="0"/>
              </w:rPr>
              <w:t>同创国芯</w:t>
              <w:tab/>
              <w:t>有限责任</w:t>
            </w:r>
          </w:p>
          <w:p>
            <w:pPr>
              <w:pStyle w:val="Style2"/>
              <w:keepNext w:val="0"/>
              <w:keepLines w:val="0"/>
              <w:widowControl w:val="0"/>
              <w:shd w:val="clear" w:color="auto" w:fill="auto"/>
              <w:tabs>
                <w:tab w:pos="1186" w:val="left"/>
              </w:tabs>
              <w:bidi w:val="0"/>
              <w:spacing w:before="0" w:after="0" w:line="240" w:lineRule="auto"/>
              <w:ind w:left="0" w:right="0" w:firstLine="0"/>
              <w:jc w:val="left"/>
            </w:pPr>
            <w:r>
              <w:rPr>
                <w:color w:val="000000"/>
                <w:spacing w:val="0"/>
                <w:w w:val="100"/>
                <w:position w:val="0"/>
              </w:rPr>
              <w:t>同创国芯</w:t>
              <w:tab/>
              <w:t>（法人独资）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广东省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设计、开发</w:t>
            </w:r>
            <w:r>
              <w:rPr>
                <w:rFonts w:ascii="Times New Roman" w:eastAsia="Times New Roman" w:hAnsi="Times New Roman" w:cs="Times New Roman"/>
                <w:color w:val="000000"/>
                <w:spacing w:val="0"/>
                <w:w w:val="100"/>
                <w:position w:val="0"/>
                <w:sz w:val="18"/>
                <w:szCs w:val="18"/>
              </w:rPr>
              <w:t>15000 00</w:t>
            </w:r>
          </w:p>
          <w:p>
            <w:pPr>
              <w:pStyle w:val="Style2"/>
              <w:keepNext w:val="0"/>
              <w:keepLines w:val="0"/>
              <w:widowControl w:val="0"/>
              <w:shd w:val="clear" w:color="auto" w:fill="auto"/>
              <w:tabs>
                <w:tab w:pos="1018" w:val="left"/>
              </w:tabs>
              <w:bidi w:val="0"/>
              <w:spacing w:before="0" w:after="0" w:line="240" w:lineRule="auto"/>
              <w:ind w:left="0" w:right="0" w:firstLine="0"/>
              <w:jc w:val="center"/>
              <w:rPr>
                <w:sz w:val="18"/>
                <w:szCs w:val="18"/>
              </w:rPr>
            </w:pPr>
            <w:r>
              <w:rPr>
                <w:color w:val="000000"/>
                <w:spacing w:val="0"/>
                <w:w w:val="100"/>
                <w:position w:val="0"/>
                <w:sz w:val="17"/>
                <w:szCs w:val="17"/>
              </w:rPr>
              <w:t>和销售</w:t>
              <w:tab/>
            </w:r>
            <w:r>
              <w:rPr>
                <w:rFonts w:ascii="Times New Roman" w:eastAsia="Times New Roman" w:hAnsi="Times New Roman" w:cs="Times New Roman"/>
                <w:color w:val="000000"/>
                <w:spacing w:val="0"/>
                <w:w w:val="100"/>
                <w:position w:val="0"/>
                <w:sz w:val="18"/>
                <w:szCs w:val="18"/>
                <w:vertAlign w:val="superscript"/>
              </w:rPr>
              <w:t>15,000.00</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信息安全类集成电路及工 具软件研发、生产及销售； 电子信息产品及技术服务 等方面业务。</w:t>
            </w:r>
          </w:p>
        </w:tc>
      </w:tr>
      <w:tr>
        <w:trPr>
          <w:trHeight w:val="66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（续表一）</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孙公司全称</w:t>
            </w:r>
          </w:p>
        </w:tc>
        <w:tc>
          <w:tcPr>
            <w:gridSpan w:val="2"/>
            <w:tcBorders>
              <w:top w:val="single" w:sz="4"/>
            </w:tcBorders>
            <w:shd w:val="clear" w:color="auto" w:fill="FFFFFF"/>
            <w:vAlign w:val="center"/>
          </w:tcPr>
          <w:p>
            <w:pPr>
              <w:pStyle w:val="Style2"/>
              <w:keepNext w:val="0"/>
              <w:keepLines w:val="0"/>
              <w:widowControl w:val="0"/>
              <w:shd w:val="clear" w:color="auto" w:fill="auto"/>
              <w:tabs>
                <w:tab w:pos="1957" w:val="left"/>
              </w:tabs>
              <w:bidi w:val="0"/>
              <w:spacing w:before="0" w:after="0" w:line="240" w:lineRule="auto"/>
              <w:ind w:left="0" w:right="0" w:firstLine="440"/>
              <w:jc w:val="left"/>
            </w:pPr>
            <w:r>
              <w:rPr>
                <w:b/>
                <w:bCs/>
                <w:color w:val="000000"/>
                <w:spacing w:val="0"/>
                <w:w w:val="100"/>
                <w:position w:val="0"/>
              </w:rPr>
              <w:t>孙公司简称</w:t>
              <w:tab/>
              <w:t>组织机构代码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实质上构成对孙 公司净投资的其 他项目余额（万 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rFonts w:ascii="Times New Roman" w:eastAsia="Times New Roman" w:hAnsi="Times New Roman" w:cs="Times New Roman"/>
                <w:color w:val="000000"/>
                <w:spacing w:val="0"/>
                <w:w w:val="100"/>
                <w:position w:val="0"/>
                <w:sz w:val="18"/>
                <w:szCs w:val="18"/>
              </w:rPr>
              <w:t>1</w:t>
            </w:r>
            <w:r>
              <w:rPr>
                <w:b/>
                <w:bCs/>
                <w:color w:val="000000"/>
                <w:spacing w:val="0"/>
                <w:w w:val="100"/>
                <w:position w:val="0"/>
              </w:rPr>
              <w:t>表决权比 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是否合并 报表</w:t>
            </w:r>
          </w:p>
        </w:tc>
      </w:tr>
      <w:tr>
        <w:trPr>
          <w:trHeight w:val="6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深圳市同创国芯电子有</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限公司</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tabs>
                <w:tab w:pos="2071" w:val="left"/>
              </w:tabs>
              <w:bidi w:val="0"/>
              <w:spacing w:before="0" w:after="0" w:line="240" w:lineRule="auto"/>
              <w:ind w:left="0" w:right="0" w:firstLine="540"/>
              <w:jc w:val="left"/>
              <w:rPr>
                <w:sz w:val="18"/>
                <w:szCs w:val="18"/>
              </w:rPr>
            </w:pPr>
            <w:r>
              <w:rPr>
                <w:color w:val="000000"/>
                <w:spacing w:val="0"/>
                <w:w w:val="100"/>
                <w:position w:val="0"/>
                <w:sz w:val="17"/>
                <w:szCs w:val="17"/>
              </w:rPr>
              <w:t>同创国芯</w:t>
              <w:tab/>
            </w:r>
            <w:r>
              <w:rPr>
                <w:rFonts w:ascii="Times New Roman" w:eastAsia="Times New Roman" w:hAnsi="Times New Roman" w:cs="Times New Roman"/>
                <w:color w:val="000000"/>
                <w:spacing w:val="0"/>
                <w:w w:val="100"/>
                <w:position w:val="0"/>
                <w:sz w:val="18"/>
                <w:szCs w:val="18"/>
              </w:rPr>
              <w:t>08597327-3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72"/>
        <w:keepNext w:val="0"/>
        <w:keepLines w:val="0"/>
        <w:widowControl w:val="0"/>
        <w:shd w:val="clear" w:color="auto" w:fill="auto"/>
        <w:bidi w:val="0"/>
        <w:spacing w:before="0" w:after="360" w:line="314" w:lineRule="exact"/>
        <w:ind w:left="240" w:right="0" w:firstLine="36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日，本公司全资子公司国微电子</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年度第六次董事会决议同意以</w:t>
      </w:r>
      <w:r>
        <w:rPr>
          <w:rFonts w:ascii="Times New Roman" w:eastAsia="Times New Roman" w:hAnsi="Times New Roman" w:cs="Times New Roman"/>
          <w:b w:val="0"/>
          <w:bCs w:val="0"/>
          <w:color w:val="000000"/>
          <w:spacing w:val="0"/>
          <w:w w:val="100"/>
          <w:position w:val="0"/>
          <w:sz w:val="18"/>
          <w:szCs w:val="18"/>
        </w:rPr>
        <w:t>15,000.00</w:t>
      </w:r>
      <w:r>
        <w:rPr>
          <w:b w:val="0"/>
          <w:bCs w:val="0"/>
          <w:color w:val="000000"/>
          <w:spacing w:val="0"/>
          <w:w w:val="100"/>
          <w:position w:val="0"/>
        </w:rPr>
        <w:t>万元出资成立全资 子公司深圳市同创国芯电子有限公司，并于</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20</w:t>
      </w:r>
      <w:r>
        <w:rPr>
          <w:b w:val="0"/>
          <w:bCs w:val="0"/>
          <w:color w:val="000000"/>
          <w:spacing w:val="0"/>
          <w:w w:val="100"/>
          <w:position w:val="0"/>
        </w:rPr>
        <w:t>日领取了注册号为</w:t>
      </w:r>
      <w:r>
        <w:rPr>
          <w:rFonts w:ascii="Times New Roman" w:eastAsia="Times New Roman" w:hAnsi="Times New Roman" w:cs="Times New Roman"/>
          <w:b w:val="0"/>
          <w:bCs w:val="0"/>
          <w:color w:val="000000"/>
          <w:spacing w:val="0"/>
          <w:w w:val="100"/>
          <w:position w:val="0"/>
          <w:sz w:val="18"/>
          <w:szCs w:val="18"/>
        </w:rPr>
        <w:t>440301108542116</w:t>
      </w:r>
      <w:r>
        <w:rPr>
          <w:b w:val="0"/>
          <w:bCs w:val="0"/>
          <w:color w:val="000000"/>
          <w:spacing w:val="0"/>
          <w:w w:val="100"/>
          <w:position w:val="0"/>
        </w:rPr>
        <w:t>的《企业法人营业执照》。 深圳市同创国芯电子有限公司于</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月起纳入合并范围。</w:t>
      </w:r>
    </w:p>
    <w:p>
      <w:pPr>
        <w:pStyle w:val="Style55"/>
        <w:keepNext/>
        <w:keepLines/>
        <w:widowControl w:val="0"/>
        <w:shd w:val="clear" w:color="auto" w:fill="auto"/>
        <w:bidi w:val="0"/>
        <w:spacing w:before="0" w:after="280" w:line="240" w:lineRule="auto"/>
        <w:ind w:left="0" w:right="0" w:firstLine="660"/>
        <w:jc w:val="left"/>
      </w:pPr>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、非同一控制下的企业合并取得的孙公司</w:t>
      </w:r>
      <w:bookmarkEnd w:id="719"/>
      <w:bookmarkEnd w:id="720"/>
      <w:bookmarkEnd w:id="721"/>
    </w:p>
    <w:tbl>
      <w:tblPr>
        <w:tblOverlap w:val="never"/>
        <w:jc w:val="center"/>
        <w:tblLayout w:type="fixed"/>
      </w:tblPr>
      <w:tblGrid>
        <w:gridCol w:w="1608"/>
        <w:gridCol w:w="1354"/>
        <w:gridCol w:w="1330"/>
        <w:gridCol w:w="610"/>
        <w:gridCol w:w="1258"/>
        <w:gridCol w:w="1282"/>
        <w:gridCol w:w="970"/>
        <w:gridCol w:w="936"/>
        <w:gridCol w:w="725"/>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孙公司全称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孙公司简称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孙公司类型</w:t>
            </w:r>
          </w:p>
        </w:tc>
        <w:tc>
          <w:tcPr>
            <w:gridSpan w:val="3"/>
            <w:tcBorders>
              <w:top w:val="single" w:sz="4"/>
            </w:tcBorders>
            <w:shd w:val="clear" w:color="auto" w:fill="FFFFFF"/>
            <w:vAlign w:val="center"/>
          </w:tcPr>
          <w:p>
            <w:pPr>
              <w:pStyle w:val="Style2"/>
              <w:keepNext w:val="0"/>
              <w:keepLines w:val="0"/>
              <w:widowControl w:val="0"/>
              <w:shd w:val="clear" w:color="auto" w:fill="auto"/>
              <w:tabs>
                <w:tab w:pos="1703" w:val="left"/>
              </w:tabs>
              <w:bidi w:val="0"/>
              <w:spacing w:before="0" w:after="0" w:line="240" w:lineRule="auto"/>
              <w:ind w:left="0" w:right="0" w:firstLine="340"/>
              <w:jc w:val="left"/>
            </w:pPr>
            <w:r>
              <w:rPr>
                <w:b/>
                <w:bCs/>
                <w:color w:val="000000"/>
                <w:spacing w:val="0"/>
                <w:w w:val="100"/>
                <w:position w:val="0"/>
              </w:rPr>
              <w:t>注册地</w:t>
              <w:tab/>
              <w:t>业务性质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注册资本</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500"/>
              <w:jc w:val="left"/>
            </w:pPr>
            <w:r>
              <w:rPr>
                <w:b/>
                <w:bCs/>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（万元）</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140" w:right="0" w:firstLine="0"/>
              <w:jc w:val="left"/>
            </w:pPr>
            <w:r>
              <w:rPr>
                <w:color w:val="000000"/>
                <w:spacing w:val="0"/>
                <w:w w:val="100"/>
                <w:position w:val="0"/>
              </w:rPr>
              <w:t>成都国微电子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有限责任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（法人独资）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四川省 成都市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w:t>
            </w:r>
          </w:p>
        </w:tc>
        <w:tc>
          <w:tcPr>
            <w:gridSpan w:val="2"/>
            <w:tcBorders>
              <w:top w:val="single" w:sz="4"/>
            </w:tcBorders>
            <w:shd w:val="clear" w:color="auto" w:fill="FFFFFF"/>
            <w:vAlign w:val="center"/>
          </w:tcPr>
          <w:p>
            <w:pPr>
              <w:pStyle w:val="Style2"/>
              <w:keepNext w:val="0"/>
              <w:keepLines w:val="0"/>
              <w:widowControl w:val="0"/>
              <w:shd w:val="clear" w:color="auto" w:fill="auto"/>
              <w:tabs>
                <w:tab w:pos="1080" w:val="left"/>
              </w:tabs>
              <w:bidi w:val="0"/>
              <w:spacing w:before="0" w:after="0" w:line="240" w:lineRule="auto"/>
              <w:ind w:left="0" w:right="0" w:firstLine="0"/>
              <w:jc w:val="left"/>
              <w:rPr>
                <w:sz w:val="18"/>
                <w:szCs w:val="18"/>
              </w:rPr>
            </w:pPr>
            <w:r>
              <w:rPr>
                <w:color w:val="000000"/>
                <w:spacing w:val="0"/>
                <w:w w:val="100"/>
                <w:position w:val="0"/>
                <w:sz w:val="17"/>
                <w:szCs w:val="17"/>
              </w:rPr>
              <w:t>设计、生产</w:t>
              <w:tab/>
            </w:r>
            <w:r>
              <w:rPr>
                <w:rFonts w:ascii="Times New Roman" w:eastAsia="Times New Roman" w:hAnsi="Times New Roman" w:cs="Times New Roman"/>
                <w:color w:val="000000"/>
                <w:spacing w:val="0"/>
                <w:w w:val="100"/>
                <w:position w:val="0"/>
                <w:sz w:val="18"/>
                <w:szCs w:val="18"/>
              </w:rPr>
              <w:t>1,000.00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tcBorders>
            <w:shd w:val="clear" w:color="auto" w:fill="FFFFFF"/>
            <w:vAlign w:val="top"/>
          </w:tcPr>
          <w:p>
            <w:pPr>
              <w:widowControl w:val="0"/>
              <w:rPr>
                <w:sz w:val="10"/>
                <w:szCs w:val="10"/>
              </w:rPr>
            </w:pPr>
          </w:p>
        </w:tc>
      </w:tr>
      <w:tr>
        <w:trPr>
          <w:trHeight w:val="379"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（续表一）</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孙公司全称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孙公司简称</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组织机构代码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期末实际出资 额（万元）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实质上构成对 孙公司净投资 的其他项目余 额（万元）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持股比 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表决权 比例 （%）</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2" w:lineRule="exact"/>
              <w:ind w:left="140" w:right="0" w:firstLine="0"/>
              <w:jc w:val="left"/>
            </w:pPr>
            <w:r>
              <w:rPr>
                <w:b/>
                <w:bCs/>
                <w:color w:val="000000"/>
                <w:spacing w:val="0"/>
                <w:w w:val="100"/>
                <w:position w:val="0"/>
              </w:rPr>
              <w:t>是否 合并 报表</w:t>
            </w:r>
          </w:p>
        </w:tc>
      </w:tr>
      <w:tr>
        <w:trPr>
          <w:trHeight w:val="6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成都国微电子有限</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成都国微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69885629-9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817.33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55"/>
        <w:keepNext/>
        <w:keepLines/>
        <w:widowControl w:val="0"/>
        <w:shd w:val="clear" w:color="auto" w:fill="auto"/>
        <w:bidi w:val="0"/>
        <w:spacing w:before="0" w:after="280" w:line="302" w:lineRule="exact"/>
        <w:ind w:left="0" w:right="0" w:firstLine="52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w:t>
      </w:r>
      <w:bookmarkEnd w:id="724"/>
      <w:r>
        <w:rPr>
          <w:color w:val="000000"/>
          <w:spacing w:val="0"/>
          <w:w w:val="100"/>
          <w:position w:val="0"/>
        </w:rPr>
        <w:t>三</w:t>
      </w:r>
      <w:r>
        <w:rPr>
          <w:color w:val="000000"/>
          <w:spacing w:val="0"/>
          <w:w w:val="100"/>
          <w:position w:val="0"/>
        </w:rPr>
        <w:t>）</w:t>
      </w:r>
      <w:r>
        <w:rPr>
          <w:color w:val="000000"/>
          <w:spacing w:val="0"/>
          <w:w w:val="100"/>
          <w:position w:val="0"/>
        </w:rPr>
        <w:t>本期新纳入合并范围的主体和本期不再纳入合并范围的主体</w:t>
      </w:r>
      <w:bookmarkEnd w:id="722"/>
      <w:bookmarkEnd w:id="723"/>
      <w:bookmarkEnd w:id="725"/>
    </w:p>
    <w:p>
      <w:pPr>
        <w:pStyle w:val="Style55"/>
        <w:keepNext/>
        <w:keepLines/>
        <w:widowControl w:val="0"/>
        <w:shd w:val="clear" w:color="auto" w:fill="auto"/>
        <w:bidi w:val="0"/>
        <w:spacing w:before="0" w:after="80" w:line="302" w:lineRule="exact"/>
        <w:ind w:left="0" w:right="0" w:firstLine="740"/>
        <w:jc w:val="left"/>
      </w:pP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r>
        <w:rPr>
          <w:color w:val="000000"/>
          <w:spacing w:val="0"/>
          <w:w w:val="100"/>
          <w:position w:val="0"/>
        </w:rPr>
        <w:t>、本报告期增加纳入合并范围的子公司情况</w:t>
      </w:r>
      <w:bookmarkEnd w:id="726"/>
      <w:bookmarkEnd w:id="727"/>
      <w:bookmarkEnd w:id="728"/>
    </w:p>
    <w:p>
      <w:pPr>
        <w:pStyle w:val="Style55"/>
        <w:keepNext/>
        <w:keepLines/>
        <w:widowControl w:val="0"/>
        <w:shd w:val="clear" w:color="auto" w:fill="auto"/>
        <w:bidi w:val="0"/>
        <w:spacing w:before="0" w:after="360" w:line="302" w:lineRule="exact"/>
        <w:ind w:left="240" w:right="0" w:firstLine="440"/>
        <w:jc w:val="left"/>
      </w:pPr>
      <w:bookmarkStart w:id="729" w:name="bookmark729"/>
      <w:bookmarkStart w:id="730" w:name="bookmark730"/>
      <w:bookmarkStart w:id="731" w:name="bookmark731"/>
      <w:r>
        <w:rPr>
          <w:color w:val="000000"/>
          <w:spacing w:val="0"/>
          <w:w w:val="100"/>
          <w:position w:val="0"/>
        </w:rPr>
        <w:t>本报告期增加纳入合并范围的子公司为深圳市同创国芯电子有限公司，该公司为国微电子的全资子公 司。</w:t>
      </w:r>
      <w:bookmarkEnd w:id="729"/>
      <w:bookmarkEnd w:id="730"/>
      <w:bookmarkEnd w:id="731"/>
    </w:p>
    <w:p>
      <w:pPr>
        <w:pStyle w:val="Style55"/>
        <w:keepNext/>
        <w:keepLines/>
        <w:widowControl w:val="0"/>
        <w:shd w:val="clear" w:color="auto" w:fill="auto"/>
        <w:bidi w:val="0"/>
        <w:spacing w:before="0" w:after="80" w:line="240" w:lineRule="auto"/>
        <w:ind w:left="0" w:right="0" w:firstLine="740"/>
        <w:jc w:val="left"/>
      </w:pPr>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r>
        <w:rPr>
          <w:color w:val="000000"/>
          <w:spacing w:val="0"/>
          <w:w w:val="100"/>
          <w:position w:val="0"/>
        </w:rPr>
        <w:t>、本报告期不再纳入合并范围的子公司情况</w:t>
      </w:r>
      <w:bookmarkEnd w:id="732"/>
      <w:bookmarkEnd w:id="733"/>
      <w:bookmarkEnd w:id="734"/>
    </w:p>
    <w:tbl>
      <w:tblPr>
        <w:tblOverlap w:val="never"/>
        <w:jc w:val="center"/>
        <w:tblLayout w:type="fixed"/>
      </w:tblPr>
      <w:tblGrid>
        <w:gridCol w:w="3149"/>
        <w:gridCol w:w="2914"/>
        <w:gridCol w:w="2650"/>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处置日净资产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期初至处置日净利润</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深圳市晶源健三电子有限公司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12,227,788.68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319,320.34</w:t>
            </w:r>
          </w:p>
        </w:tc>
      </w:tr>
    </w:tbl>
    <w:p>
      <w:pPr>
        <w:widowControl w:val="0"/>
        <w:spacing w:after="79" w:line="1" w:lineRule="exact"/>
      </w:pPr>
    </w:p>
    <w:p>
      <w:pPr>
        <w:pStyle w:val="Style72"/>
        <w:keepNext w:val="0"/>
        <w:keepLines w:val="0"/>
        <w:widowControl w:val="0"/>
        <w:shd w:val="clear" w:color="auto" w:fill="auto"/>
        <w:bidi w:val="0"/>
        <w:spacing w:before="0" w:after="80" w:line="240" w:lineRule="auto"/>
        <w:ind w:left="0" w:right="0" w:firstLine="600"/>
        <w:jc w:val="left"/>
      </w:pPr>
      <w:r>
        <w:rPr>
          <w:b w:val="0"/>
          <w:bCs w:val="0"/>
          <w:color w:val="000000"/>
          <w:spacing w:val="0"/>
          <w:w w:val="100"/>
          <w:position w:val="0"/>
        </w:rPr>
        <w:t>注：公司于</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28</w:t>
      </w:r>
      <w:r>
        <w:rPr>
          <w:b w:val="0"/>
          <w:bCs w:val="0"/>
          <w:color w:val="000000"/>
          <w:spacing w:val="0"/>
          <w:w w:val="100"/>
          <w:position w:val="0"/>
        </w:rPr>
        <w:t>日与深圳市晶源健三电子有限公司（以下简称“晶源健三”）的其他股东深圳市健三实业有</w:t>
      </w:r>
    </w:p>
    <w:p>
      <w:pPr>
        <w:pStyle w:val="Style72"/>
        <w:keepNext w:val="0"/>
        <w:keepLines w:val="0"/>
        <w:widowControl w:val="0"/>
        <w:shd w:val="clear" w:color="auto" w:fill="auto"/>
        <w:bidi w:val="0"/>
        <w:spacing w:before="0" w:after="380" w:line="240" w:lineRule="auto"/>
        <w:ind w:left="0" w:right="0" w:firstLine="240"/>
        <w:jc w:val="both"/>
      </w:pPr>
      <w:r>
        <w:rPr>
          <w:b w:val="0"/>
          <w:bCs w:val="0"/>
          <w:color w:val="000000"/>
          <w:spacing w:val="0"/>
          <w:w w:val="100"/>
          <w:position w:val="0"/>
        </w:rPr>
        <w:t>限公司和朱美玲女士共同签署了股权转让协议。协议约定，公司将所持有的晶源健三</w:t>
      </w:r>
      <w:r>
        <w:rPr>
          <w:rFonts w:ascii="Times New Roman" w:eastAsia="Times New Roman" w:hAnsi="Times New Roman" w:cs="Times New Roman"/>
          <w:b w:val="0"/>
          <w:bCs w:val="0"/>
          <w:color w:val="000000"/>
          <w:spacing w:val="0"/>
          <w:w w:val="100"/>
          <w:position w:val="0"/>
          <w:sz w:val="18"/>
          <w:szCs w:val="18"/>
        </w:rPr>
        <w:t>50%</w:t>
      </w:r>
      <w:r>
        <w:rPr>
          <w:b w:val="0"/>
          <w:bCs w:val="0"/>
          <w:color w:val="000000"/>
          <w:spacing w:val="0"/>
          <w:w w:val="100"/>
          <w:position w:val="0"/>
        </w:rPr>
        <w:t>股权出售给深圳市健三实业有限</w:t>
        <w:br w:type="page"/>
      </w:r>
      <w:r>
        <w:rPr>
          <w:b w:val="0"/>
          <w:bCs w:val="0"/>
          <w:color w:val="000000"/>
          <w:spacing w:val="0"/>
          <w:w w:val="100"/>
          <w:position w:val="0"/>
        </w:rPr>
        <w:t>公司，朱美玲女士放弃优先受让权；转让价以晶源健三经审计的</w:t>
      </w:r>
      <w:r>
        <w:rPr>
          <w:rFonts w:ascii="Times New Roman" w:eastAsia="Times New Roman" w:hAnsi="Times New Roman" w:cs="Times New Roman"/>
          <w:b w:val="0"/>
          <w:bCs w:val="0"/>
          <w:color w:val="000000"/>
          <w:spacing w:val="0"/>
          <w:w w:val="100"/>
          <w:position w:val="0"/>
          <w:sz w:val="18"/>
          <w:szCs w:val="18"/>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rPr>
        <w:t>日净资产值为依据，确定为</w:t>
      </w:r>
      <w:r>
        <w:rPr>
          <w:rFonts w:ascii="Times New Roman" w:eastAsia="Times New Roman" w:hAnsi="Times New Roman" w:cs="Times New Roman"/>
          <w:b w:val="0"/>
          <w:bCs w:val="0"/>
          <w:color w:val="000000"/>
          <w:spacing w:val="0"/>
          <w:w w:val="100"/>
          <w:position w:val="0"/>
          <w:sz w:val="18"/>
          <w:szCs w:val="18"/>
        </w:rPr>
        <w:t xml:space="preserve">5,954,234.17 </w:t>
      </w:r>
      <w:r>
        <w:rPr>
          <w:b w:val="0"/>
          <w:bCs w:val="0"/>
          <w:color w:val="000000"/>
          <w:spacing w:val="0"/>
          <w:w w:val="100"/>
          <w:position w:val="0"/>
        </w:rPr>
        <w:t>元。截止本报告期末，上述股权转让事项已完毕，因此，本报告期末，晶源健三不再做为子公司纳入公司合并范围。</w:t>
      </w:r>
    </w:p>
    <w:p>
      <w:pPr>
        <w:pStyle w:val="Style55"/>
        <w:keepNext/>
        <w:keepLines/>
        <w:widowControl w:val="0"/>
        <w:pBdr>
          <w:bottom w:val="single" w:sz="4" w:space="0" w:color="auto"/>
        </w:pBdr>
        <w:shd w:val="clear" w:color="auto" w:fill="auto"/>
        <w:bidi w:val="0"/>
        <w:spacing w:before="0" w:after="280" w:line="240" w:lineRule="auto"/>
        <w:ind w:left="0" w:right="0" w:firstLine="52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w:t>
      </w:r>
      <w:bookmarkEnd w:id="737"/>
      <w:r>
        <w:rPr>
          <w:color w:val="000000"/>
          <w:spacing w:val="0"/>
          <w:w w:val="100"/>
          <w:position w:val="0"/>
        </w:rPr>
        <w:t>四</w:t>
      </w:r>
      <w:r>
        <w:rPr>
          <w:color w:val="000000"/>
          <w:spacing w:val="0"/>
          <w:w w:val="100"/>
          <w:position w:val="0"/>
        </w:rPr>
        <w:t>）</w:t>
      </w:r>
      <w:r>
        <w:rPr>
          <w:color w:val="000000"/>
          <w:spacing w:val="0"/>
          <w:w w:val="100"/>
          <w:position w:val="0"/>
        </w:rPr>
        <w:t>少数股东权益和少数股东损益</w:t>
      </w:r>
      <w:bookmarkEnd w:id="735"/>
      <w:bookmarkEnd w:id="736"/>
      <w:bookmarkEnd w:id="738"/>
    </w:p>
    <w:tbl>
      <w:tblPr>
        <w:tblOverlap w:val="never"/>
        <w:jc w:val="center"/>
        <w:tblLayout w:type="fixed"/>
      </w:tblPr>
      <w:tblGrid>
        <w:gridCol w:w="2587"/>
        <w:gridCol w:w="1469"/>
        <w:gridCol w:w="1416"/>
        <w:gridCol w:w="1411"/>
        <w:gridCol w:w="1550"/>
        <w:gridCol w:w="1219"/>
      </w:tblGrid>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公司全称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少数股东权益 期初金额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本期少数股东 损益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本期少数股东 其他增减</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少数股东权益 期末金额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备注</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深圳市晶源健三电子有限公司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5,954,234.17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159,660.17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-6,113,894.34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42,178,176.10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930,603.02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-43,108,779.12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48,132,410.27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1,090,263.19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-49,222,673.46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99" w:line="1" w:lineRule="exact"/>
      </w:pPr>
    </w:p>
    <w:p>
      <w:pPr>
        <w:pStyle w:val="Style72"/>
        <w:keepNext w:val="0"/>
        <w:keepLines w:val="0"/>
        <w:widowControl w:val="0"/>
        <w:shd w:val="clear" w:color="auto" w:fill="auto"/>
        <w:bidi w:val="0"/>
        <w:spacing w:before="0" w:after="380" w:line="312" w:lineRule="exact"/>
        <w:ind w:left="240" w:right="0" w:firstLine="360"/>
        <w:jc w:val="left"/>
      </w:pPr>
      <w:r>
        <w:rPr>
          <w:b w:val="0"/>
          <w:bCs w:val="0"/>
          <w:color w:val="000000"/>
          <w:spacing w:val="0"/>
          <w:w w:val="100"/>
          <w:position w:val="0"/>
        </w:rPr>
        <w:t>注：公司于</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日与李祥等</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名自然人签订了《股权转让协议书》，协议约定：李祥等</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名自然人将其持有 的国微电子</w:t>
      </w:r>
      <w:r>
        <w:rPr>
          <w:rFonts w:ascii="Times New Roman" w:eastAsia="Times New Roman" w:hAnsi="Times New Roman" w:cs="Times New Roman"/>
          <w:b w:val="0"/>
          <w:bCs w:val="0"/>
          <w:color w:val="000000"/>
          <w:spacing w:val="0"/>
          <w:w w:val="100"/>
          <w:position w:val="0"/>
          <w:sz w:val="18"/>
          <w:szCs w:val="18"/>
        </w:rPr>
        <w:t>3.5122%</w:t>
      </w:r>
      <w:r>
        <w:rPr>
          <w:b w:val="0"/>
          <w:bCs w:val="0"/>
          <w:color w:val="000000"/>
          <w:spacing w:val="0"/>
          <w:w w:val="100"/>
          <w:position w:val="0"/>
        </w:rPr>
        <w:t>股权以人民币</w:t>
      </w:r>
      <w:r>
        <w:rPr>
          <w:rFonts w:ascii="Times New Roman" w:eastAsia="Times New Roman" w:hAnsi="Times New Roman" w:cs="Times New Roman"/>
          <w:b w:val="0"/>
          <w:bCs w:val="0"/>
          <w:color w:val="000000"/>
          <w:spacing w:val="0"/>
          <w:w w:val="100"/>
          <w:position w:val="0"/>
          <w:sz w:val="18"/>
          <w:szCs w:val="18"/>
        </w:rPr>
        <w:t>4,214.6208</w:t>
      </w:r>
      <w:r>
        <w:rPr>
          <w:b w:val="0"/>
          <w:bCs w:val="0"/>
          <w:color w:val="000000"/>
          <w:spacing w:val="0"/>
          <w:w w:val="100"/>
          <w:position w:val="0"/>
        </w:rPr>
        <w:t>万元转让给本公司。该股权转让事项已经过公司第四届董事会第二十五次会议 审议通过。</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25</w:t>
      </w:r>
      <w:r>
        <w:rPr>
          <w:b w:val="0"/>
          <w:bCs w:val="0"/>
          <w:color w:val="000000"/>
          <w:spacing w:val="0"/>
          <w:w w:val="100"/>
          <w:position w:val="0"/>
        </w:rPr>
        <w:t>日，国微电子完成了工商变更登记事项，成为公司的全资子公司。</w:t>
      </w:r>
    </w:p>
    <w:p>
      <w:pPr>
        <w:pStyle w:val="Style23"/>
        <w:keepNext/>
        <w:keepLines/>
        <w:widowControl w:val="0"/>
        <w:shd w:val="clear" w:color="auto" w:fill="auto"/>
        <w:bidi w:val="0"/>
        <w:spacing w:before="0" w:after="280" w:line="240" w:lineRule="auto"/>
        <w:ind w:left="0" w:right="0" w:firstLine="240"/>
        <w:jc w:val="left"/>
      </w:pPr>
      <w:bookmarkStart w:id="739" w:name="bookmark739"/>
      <w:bookmarkStart w:id="740" w:name="bookmark740"/>
      <w:bookmarkStart w:id="741" w:name="bookmark741"/>
      <w:bookmarkStart w:id="742" w:name="bookmark742"/>
      <w:r>
        <w:rPr>
          <w:color w:val="000000"/>
          <w:spacing w:val="0"/>
          <w:w w:val="100"/>
          <w:position w:val="0"/>
        </w:rPr>
        <w:t>七</w:t>
      </w:r>
      <w:bookmarkEnd w:id="741"/>
      <w:r>
        <w:rPr>
          <w:color w:val="000000"/>
          <w:spacing w:val="0"/>
          <w:w w:val="100"/>
          <w:position w:val="0"/>
        </w:rPr>
        <w:t>、合并财务报表主要项目注释</w:t>
      </w:r>
      <w:bookmarkEnd w:id="739"/>
      <w:bookmarkEnd w:id="740"/>
      <w:bookmarkEnd w:id="742"/>
    </w:p>
    <w:p>
      <w:pPr>
        <w:pStyle w:val="Style44"/>
        <w:keepNext/>
        <w:keepLines/>
        <w:widowControl w:val="0"/>
        <w:shd w:val="clear" w:color="auto" w:fill="auto"/>
        <w:bidi w:val="0"/>
        <w:spacing w:before="0" w:after="280" w:line="307" w:lineRule="exact"/>
        <w:ind w:left="240" w:right="0" w:firstLine="420"/>
        <w:jc w:val="left"/>
      </w:pPr>
      <w:bookmarkStart w:id="743" w:name="bookmark743"/>
      <w:bookmarkStart w:id="744" w:name="bookmark744"/>
      <w:bookmarkStart w:id="745" w:name="bookmark745"/>
      <w:r>
        <w:rPr>
          <w:color w:val="000000"/>
          <w:spacing w:val="0"/>
          <w:w w:val="100"/>
          <w:position w:val="0"/>
        </w:rPr>
        <w:t>（以下附注未经特别注明，期末余额指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日账面余额，期初余额指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日账面余额，本期金额指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月，上期金额指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月，金额单位为人民币元）</w:t>
      </w:r>
      <w:bookmarkEnd w:id="743"/>
      <w:bookmarkEnd w:id="744"/>
      <w:bookmarkEnd w:id="745"/>
    </w:p>
    <w:p>
      <w:pPr>
        <w:pStyle w:val="Style44"/>
        <w:keepNext/>
        <w:keepLines/>
        <w:widowControl w:val="0"/>
        <w:shd w:val="clear" w:color="auto" w:fill="auto"/>
        <w:bidi w:val="0"/>
        <w:spacing w:before="0" w:after="280" w:line="307" w:lineRule="exact"/>
        <w:ind w:left="0" w:right="0" w:firstLine="66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46"/>
      <w:bookmarkEnd w:id="747"/>
      <w:bookmarkEnd w:id="748"/>
    </w:p>
    <w:tbl>
      <w:tblPr>
        <w:tblOverlap w:val="never"/>
        <w:jc w:val="center"/>
        <w:tblLayout w:type="fixed"/>
      </w:tblPr>
      <w:tblGrid>
        <w:gridCol w:w="1560"/>
        <w:gridCol w:w="1397"/>
        <w:gridCol w:w="1085"/>
        <w:gridCol w:w="1526"/>
        <w:gridCol w:w="1267"/>
        <w:gridCol w:w="1090"/>
        <w:gridCol w:w="1440"/>
      </w:tblGrid>
      <w:tr>
        <w:trPr>
          <w:trHeight w:val="42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外币金额</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期末余额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期初余额</w:t>
            </w:r>
          </w:p>
        </w:tc>
      </w:tr>
      <w:tr>
        <w:trPr>
          <w:trHeight w:val="432"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人民币金额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人民币金额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139,018.11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611,684.20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12,081.00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73,656.65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1,780.07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11,188.63</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157.24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863,797,948.73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862,040,436.87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6,990,866.49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42,622,613.90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1,203,963.13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7,567,510.25</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0.073049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港元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178,280.00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140,163.74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414,965.99</w:t>
            </w:r>
          </w:p>
        </w:tc>
      </w:tr>
      <w:tr>
        <w:trPr>
          <w:trHeight w:val="40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906,856,558.49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870,645,948.25</w:t>
            </w:r>
          </w:p>
        </w:tc>
      </w:tr>
    </w:tbl>
    <w:p>
      <w:pPr>
        <w:pStyle w:val="Style30"/>
        <w:keepNext w:val="0"/>
        <w:keepLines w:val="0"/>
        <w:widowControl w:val="0"/>
        <w:shd w:val="clear" w:color="auto" w:fill="auto"/>
        <w:bidi w:val="0"/>
        <w:spacing w:before="0" w:after="40" w:line="240" w:lineRule="auto"/>
        <w:ind w:left="202" w:right="0" w:firstLine="0"/>
        <w:jc w:val="left"/>
        <w:rPr>
          <w:sz w:val="17"/>
          <w:szCs w:val="17"/>
        </w:rPr>
      </w:pP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7"/>
          <w:szCs w:val="17"/>
        </w:rPr>
        <w:t>）：本公司无抵押、冻结、存放在境外、有潜在回收风险的货币资金。</w:t>
      </w:r>
    </w:p>
    <w:p>
      <w:pPr>
        <w:pStyle w:val="Style30"/>
        <w:keepNext w:val="0"/>
        <w:keepLines w:val="0"/>
        <w:widowControl w:val="0"/>
        <w:shd w:val="clear" w:color="auto" w:fill="auto"/>
        <w:bidi w:val="0"/>
        <w:spacing w:before="0" w:after="0" w:line="240" w:lineRule="auto"/>
        <w:ind w:left="202" w:right="0" w:firstLine="0"/>
        <w:jc w:val="left"/>
        <w:rPr>
          <w:sz w:val="17"/>
          <w:szCs w:val="17"/>
        </w:rPr>
      </w:pP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）：期末其他货币资金余额为信用证保证金；年初其他货币资金中</w:t>
      </w:r>
      <w:r>
        <w:rPr>
          <w:rFonts w:ascii="Times New Roman" w:eastAsia="Times New Roman" w:hAnsi="Times New Roman" w:cs="Times New Roman"/>
          <w:b w:val="0"/>
          <w:bCs w:val="0"/>
          <w:color w:val="000000"/>
          <w:spacing w:val="0"/>
          <w:w w:val="100"/>
          <w:position w:val="0"/>
          <w:sz w:val="18"/>
          <w:szCs w:val="18"/>
        </w:rPr>
        <w:t>370,000.00</w:t>
      </w:r>
      <w:r>
        <w:rPr>
          <w:b w:val="0"/>
          <w:bCs w:val="0"/>
          <w:color w:val="000000"/>
          <w:spacing w:val="0"/>
          <w:w w:val="100"/>
          <w:position w:val="0"/>
          <w:sz w:val="17"/>
          <w:szCs w:val="17"/>
        </w:rPr>
        <w:t>元为信用证保证金。</w:t>
      </w:r>
    </w:p>
    <w:p>
      <w:pPr>
        <w:widowControl w:val="0"/>
        <w:spacing w:line="1" w:lineRule="exac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106" w:right="763" w:bottom="1541" w:left="706" w:header="0" w:footer="3" w:gutter="0"/>
          <w:cols w:space="720"/>
          <w:noEndnote/>
          <w:rtlGutter w:val="0"/>
          <w:docGrid w:linePitch="360"/>
        </w:sectPr>
      </w:pPr>
    </w:p>
    <w:tbl>
      <w:tblPr>
        <w:tblOverlap w:val="never"/>
        <w:jc w:val="center"/>
        <w:tblLayout w:type="fixed"/>
      </w:tblPr>
      <w:tblGrid>
        <w:gridCol w:w="3470"/>
        <w:gridCol w:w="3211"/>
        <w:gridCol w:w="3082"/>
      </w:tblGrid>
      <w:tr>
        <w:trPr>
          <w:trHeight w:val="153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、应收票据</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）应收票据分类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49,754,742.41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6,506,339.50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32,004,183.00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11,031,710.70</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81,758,925.41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17,538,050.20</w:t>
            </w:r>
          </w:p>
        </w:tc>
      </w:tr>
    </w:tbl>
    <w:p>
      <w:pPr>
        <w:widowControl w:val="0"/>
        <w:spacing w:after="39" w:line="1" w:lineRule="exact"/>
      </w:pPr>
    </w:p>
    <w:p>
      <w:pPr>
        <w:pStyle w:val="Style72"/>
        <w:keepNext w:val="0"/>
        <w:keepLines w:val="0"/>
        <w:widowControl w:val="0"/>
        <w:shd w:val="clear" w:color="auto" w:fill="auto"/>
        <w:bidi w:val="0"/>
        <w:spacing w:before="0" w:after="40" w:line="389" w:lineRule="exact"/>
        <w:ind w:left="240" w:right="0" w:firstLine="56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）：期末余额中，应收本公司关联方单位同方锐安科技有限公司余额为</w:t>
      </w:r>
      <w:r>
        <w:rPr>
          <w:rFonts w:ascii="Times New Roman" w:eastAsia="Times New Roman" w:hAnsi="Times New Roman" w:cs="Times New Roman"/>
          <w:b w:val="0"/>
          <w:bCs w:val="0"/>
          <w:color w:val="000000"/>
          <w:spacing w:val="0"/>
          <w:w w:val="100"/>
          <w:position w:val="0"/>
          <w:sz w:val="18"/>
          <w:szCs w:val="18"/>
        </w:rPr>
        <w:t>200,000.00</w:t>
      </w:r>
      <w:r>
        <w:rPr>
          <w:b w:val="0"/>
          <w:bCs w:val="0"/>
          <w:color w:val="000000"/>
          <w:spacing w:val="0"/>
          <w:w w:val="100"/>
          <w:position w:val="0"/>
        </w:rPr>
        <w:t>元、应收山东同方鲁颖电子 有限公司余额为</w:t>
      </w:r>
      <w:r>
        <w:rPr>
          <w:rFonts w:ascii="Times New Roman" w:eastAsia="Times New Roman" w:hAnsi="Times New Roman" w:cs="Times New Roman"/>
          <w:b w:val="0"/>
          <w:bCs w:val="0"/>
          <w:color w:val="000000"/>
          <w:spacing w:val="0"/>
          <w:w w:val="100"/>
          <w:position w:val="0"/>
          <w:sz w:val="18"/>
          <w:szCs w:val="18"/>
        </w:rPr>
        <w:t>155,892.01</w:t>
      </w:r>
      <w:r>
        <w:rPr>
          <w:b w:val="0"/>
          <w:bCs w:val="0"/>
          <w:color w:val="000000"/>
          <w:spacing w:val="0"/>
          <w:w w:val="100"/>
          <w:position w:val="0"/>
        </w:rPr>
        <w:t>元。</w:t>
      </w:r>
    </w:p>
    <w:p>
      <w:pPr>
        <w:pStyle w:val="Style72"/>
        <w:keepNext w:val="0"/>
        <w:keepLines w:val="0"/>
        <w:widowControl w:val="0"/>
        <w:shd w:val="clear" w:color="auto" w:fill="auto"/>
        <w:bidi w:val="0"/>
        <w:spacing w:before="0" w:after="40" w:line="389" w:lineRule="exact"/>
        <w:ind w:left="0" w:right="0" w:firstLine="80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）：期末余额中无持本公司</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以上股份的股东单位票据。</w:t>
      </w:r>
    </w:p>
    <w:p>
      <w:pPr>
        <w:pStyle w:val="Style72"/>
        <w:keepNext w:val="0"/>
        <w:keepLines w:val="0"/>
        <w:widowControl w:val="0"/>
        <w:shd w:val="clear" w:color="auto" w:fill="auto"/>
        <w:bidi w:val="0"/>
        <w:spacing w:before="0" w:after="200" w:line="389" w:lineRule="exact"/>
        <w:ind w:left="0" w:right="0" w:firstLine="80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）：期末公司无已质押、已贴现尚未到期的应收票据。</w:t>
      </w:r>
    </w:p>
    <w:p>
      <w:pPr>
        <w:pStyle w:val="Style55"/>
        <w:keepNext/>
        <w:keepLines/>
        <w:widowControl w:val="0"/>
        <w:shd w:val="clear" w:color="auto" w:fill="auto"/>
        <w:bidi w:val="0"/>
        <w:spacing w:before="0" w:after="200" w:line="240" w:lineRule="auto"/>
        <w:ind w:left="0" w:right="0" w:firstLine="660"/>
        <w:jc w:val="left"/>
      </w:pPr>
      <w:bookmarkStart w:id="749" w:name="bookmark749"/>
      <w:bookmarkStart w:id="750" w:name="bookmark750"/>
      <w:bookmarkStart w:id="751" w:name="bookmark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）期末公司已经背书给他方但尚未到期的票据金额为</w:t>
      </w:r>
      <w:r>
        <w:rPr>
          <w:rFonts w:ascii="Times New Roman" w:eastAsia="Times New Roman" w:hAnsi="Times New Roman" w:cs="Times New Roman"/>
          <w:color w:val="000000"/>
          <w:spacing w:val="0"/>
          <w:w w:val="100"/>
          <w:position w:val="0"/>
        </w:rPr>
        <w:t>3,757,968.00</w:t>
      </w:r>
      <w:r>
        <w:rPr>
          <w:color w:val="000000"/>
          <w:spacing w:val="0"/>
          <w:w w:val="100"/>
          <w:position w:val="0"/>
        </w:rPr>
        <w:t>元，前五名情况如下：</w:t>
      </w:r>
      <w:bookmarkEnd w:id="749"/>
      <w:bookmarkEnd w:id="750"/>
      <w:bookmarkEnd w:id="751"/>
    </w:p>
    <w:tbl>
      <w:tblPr>
        <w:tblOverlap w:val="never"/>
        <w:jc w:val="center"/>
        <w:tblLayout w:type="fixed"/>
      </w:tblPr>
      <w:tblGrid>
        <w:gridCol w:w="2117"/>
        <w:gridCol w:w="2323"/>
        <w:gridCol w:w="2530"/>
        <w:gridCol w:w="2621"/>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2013-10-18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2014-04-18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2013-10-16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2014-01-16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858,430.00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2013-10-14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2014-04-14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2013-07-03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2014-01-03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2013-09-18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2014-03-18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2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b/>
                <w:bCs/>
                <w:color w:val="000000"/>
                <w:spacing w:val="0"/>
                <w:w w:val="100"/>
                <w:position w:val="0"/>
                <w:sz w:val="18"/>
                <w:szCs w:val="18"/>
              </w:rPr>
              <w:t>2,958,430.00</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66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、应收账款</w:t>
      </w:r>
      <w:bookmarkEnd w:id="752"/>
      <w:bookmarkEnd w:id="753"/>
      <w:bookmarkEnd w:id="755"/>
    </w:p>
    <w:p>
      <w:pPr>
        <w:pStyle w:val="Style55"/>
        <w:keepNext/>
        <w:keepLines/>
        <w:widowControl w:val="0"/>
        <w:shd w:val="clear" w:color="auto" w:fill="auto"/>
        <w:bidi w:val="0"/>
        <w:spacing w:before="0" w:after="320" w:line="240" w:lineRule="auto"/>
        <w:ind w:left="0" w:right="0" w:firstLine="66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56"/>
      <w:bookmarkEnd w:id="757"/>
      <w:bookmarkEnd w:id="759"/>
    </w:p>
    <w:tbl>
      <w:tblPr>
        <w:tblOverlap w:val="never"/>
        <w:jc w:val="center"/>
        <w:tblLayout w:type="fixed"/>
      </w:tblPr>
      <w:tblGrid>
        <w:gridCol w:w="1690"/>
        <w:gridCol w:w="1517"/>
        <w:gridCol w:w="754"/>
        <w:gridCol w:w="1363"/>
        <w:gridCol w:w="686"/>
        <w:gridCol w:w="1483"/>
        <w:gridCol w:w="691"/>
        <w:gridCol w:w="1382"/>
        <w:gridCol w:w="552"/>
      </w:tblGrid>
      <w:tr>
        <w:trPr>
          <w:trHeight w:val="24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种类</w:t>
            </w:r>
          </w:p>
        </w:tc>
        <w:tc>
          <w:tcPr>
            <w:gridSpan w:val="4"/>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660"/>
              <w:jc w:val="left"/>
            </w:pPr>
            <w:r>
              <w:rPr>
                <w:b/>
                <w:bCs/>
                <w:color w:val="000000"/>
                <w:spacing w:val="0"/>
                <w:w w:val="100"/>
                <w:position w:val="0"/>
              </w:rPr>
              <w:t>账面余额</w:t>
            </w:r>
          </w:p>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金额</w:t>
            </w: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期初余额</w:t>
            </w:r>
          </w:p>
        </w:tc>
      </w:tr>
      <w:tr>
        <w:trPr>
          <w:trHeight w:val="259" w:hRule="exact"/>
        </w:trPr>
        <w:tc>
          <w:tcPr>
            <w:vMerge/>
            <w:tcBorders/>
            <w:shd w:val="clear" w:color="auto" w:fill="FFFFFF"/>
            <w:vAlign w:val="center"/>
          </w:tcPr>
          <w:p>
            <w:pP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vMerge w:val="restart"/>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坏账准备</w:t>
            </w:r>
          </w:p>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金额</w:t>
            </w:r>
          </w:p>
        </w:tc>
        <w:tc>
          <w:tcPr>
            <w:vMerge w:val="restart"/>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vMerge/>
            <w:tcBorders/>
            <w:shd w:val="clear" w:color="auto" w:fill="FFFFFF"/>
            <w:vAlign w:val="center"/>
          </w:tcPr>
          <w:p>
            <w:pPr/>
          </w:p>
        </w:tc>
        <w:tc>
          <w:tcPr>
            <w:vMerge w:val="restart"/>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456"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金额</w:t>
            </w: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80" w:firstLine="0"/>
              <w:jc w:val="right"/>
            </w:pPr>
            <w:r>
              <w:rPr>
                <w:b/>
                <w:bCs/>
                <w:color w:val="000000"/>
                <w:spacing w:val="0"/>
                <w:w w:val="100"/>
                <w:position w:val="0"/>
              </w:rPr>
              <w:t>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7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pPr>
            <w:r>
              <w:rPr>
                <w:b/>
                <w:bCs/>
                <w:color w:val="000000"/>
                <w:spacing w:val="0"/>
                <w:w w:val="100"/>
                <w:position w:val="0"/>
              </w:rPr>
              <w:t>单项金额重大并单 项计提坏账准备的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3,233,254.20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06" w:hRule="exact"/>
        </w:trPr>
        <w:tc>
          <w:tcPr>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应收账款</w:t>
            </w:r>
          </w:p>
          <w:p>
            <w:pPr>
              <w:pStyle w:val="Style2"/>
              <w:keepNext w:val="0"/>
              <w:keepLines w:val="0"/>
              <w:widowControl w:val="0"/>
              <w:shd w:val="clear" w:color="auto" w:fill="auto"/>
              <w:bidi w:val="0"/>
              <w:spacing w:before="0" w:after="0" w:line="226" w:lineRule="exact"/>
              <w:ind w:left="0" w:right="0" w:firstLine="0"/>
              <w:jc w:val="left"/>
            </w:pPr>
            <w:r>
              <w:rPr>
                <w:b/>
                <w:bCs/>
                <w:color w:val="000000"/>
                <w:spacing w:val="0"/>
                <w:w w:val="100"/>
                <w:position w:val="0"/>
              </w:rPr>
              <w:t>按组合计提坏账准 备的应收账款账龄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418,326,417.75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5,994,219.42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328,133,301.58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10,174,751.99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032" w:hRule="exact"/>
        </w:trPr>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b/>
                <w:bCs/>
                <w:color w:val="000000"/>
                <w:spacing w:val="0"/>
                <w:w w:val="100"/>
                <w:position w:val="0"/>
              </w:rPr>
              <w:t>组合</w:t>
            </w:r>
          </w:p>
          <w:p>
            <w:pPr>
              <w:pStyle w:val="Style2"/>
              <w:keepNext w:val="0"/>
              <w:keepLines w:val="0"/>
              <w:widowControl w:val="0"/>
              <w:shd w:val="clear" w:color="auto" w:fill="auto"/>
              <w:bidi w:val="0"/>
              <w:spacing w:before="0" w:after="0" w:line="230" w:lineRule="exact"/>
              <w:ind w:left="0" w:right="0" w:firstLine="0"/>
              <w:jc w:val="left"/>
            </w:pPr>
            <w:r>
              <w:rPr>
                <w:b/>
                <w:bCs/>
                <w:color w:val="000000"/>
                <w:spacing w:val="0"/>
                <w:w w:val="100"/>
                <w:position w:val="0"/>
              </w:rPr>
              <w:t>单项金额虽不重大 但单项计提坏账准 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915,254.25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915,254.25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419,241,672.00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6,909,473.67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331,371,855.78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10,174,751.99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widowControl w:val="0"/>
        <w:spacing w:after="359" w:line="1" w:lineRule="exact"/>
      </w:pPr>
    </w:p>
    <w:p>
      <w:pPr>
        <w:pStyle w:val="Style72"/>
        <w:keepNext w:val="0"/>
        <w:keepLines w:val="0"/>
        <w:widowControl w:val="0"/>
        <w:shd w:val="clear" w:color="auto" w:fill="auto"/>
        <w:bidi w:val="0"/>
        <w:spacing w:before="0" w:after="260" w:line="240" w:lineRule="auto"/>
        <w:ind w:left="0" w:right="0" w:firstLine="600"/>
        <w:jc w:val="left"/>
      </w:pPr>
      <w:r>
        <w:rPr>
          <w:b w:val="0"/>
          <w:bCs w:val="0"/>
          <w:color w:val="000000"/>
          <w:spacing w:val="0"/>
          <w:w w:val="100"/>
          <w:position w:val="0"/>
        </w:rPr>
        <w:t>注：应收账款分类确认标准见四、主要会计政策、会计估计和前期会计差错（十一）应收款项。</w:t>
      </w:r>
      <w:r>
        <w:br w:type="page"/>
      </w:r>
    </w:p>
    <w:p>
      <w:pPr>
        <w:pStyle w:val="Style55"/>
        <w:keepNext/>
        <w:keepLines/>
        <w:widowControl w:val="0"/>
        <w:numPr>
          <w:ilvl w:val="0"/>
          <w:numId w:val="15"/>
        </w:numPr>
        <w:shd w:val="clear" w:color="auto" w:fill="auto"/>
        <w:bidi w:val="0"/>
        <w:spacing w:before="0" w:after="80" w:line="240" w:lineRule="auto"/>
        <w:ind w:left="0" w:right="0" w:firstLine="780"/>
        <w:jc w:val="left"/>
      </w:pPr>
      <w:bookmarkStart w:id="760" w:name="bookmark760"/>
      <w:bookmarkStart w:id="761" w:name="bookmark761"/>
      <w:bookmarkStart w:id="762" w:name="bookmark762"/>
      <w:bookmarkStart w:id="763" w:name="bookmark763"/>
      <w:bookmarkEnd w:id="762"/>
      <w:r>
        <w:rPr>
          <w:color w:val="000000"/>
          <w:spacing w:val="0"/>
          <w:w w:val="100"/>
          <w:position w:val="0"/>
        </w:rPr>
        <w:t>组合中，按账龄分析法计提坏账准备的应收账款</w:t>
      </w:r>
      <w:bookmarkEnd w:id="760"/>
      <w:bookmarkEnd w:id="761"/>
      <w:bookmarkEnd w:id="763"/>
    </w:p>
    <w:tbl>
      <w:tblPr>
        <w:tblOverlap w:val="never"/>
        <w:jc w:val="center"/>
        <w:tblLayout w:type="fixed"/>
      </w:tblPr>
      <w:tblGrid>
        <w:gridCol w:w="1301"/>
        <w:gridCol w:w="1675"/>
        <w:gridCol w:w="1104"/>
        <w:gridCol w:w="1397"/>
        <w:gridCol w:w="1421"/>
        <w:gridCol w:w="1176"/>
        <w:gridCol w:w="1272"/>
      </w:tblGrid>
      <w:tr>
        <w:trPr>
          <w:trHeight w:val="288"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560" w:right="0" w:firstLine="400"/>
              <w:jc w:val="left"/>
            </w:pPr>
            <w:r>
              <w:rPr>
                <w:b/>
                <w:bCs/>
                <w:color w:val="000000"/>
                <w:spacing w:val="0"/>
                <w:w w:val="100"/>
                <w:position w:val="0"/>
              </w:rPr>
              <w:t>账面余额 金额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509" w:hRule="exact"/>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坏账准备</w:t>
            </w: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账面余</w:t>
            </w:r>
          </w:p>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金额</w:t>
            </w:r>
          </w:p>
        </w:tc>
        <w:tc>
          <w:tcPr>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额</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376,533,864.45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3,765,338.65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310,637,750.01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9,073,055.57</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一至二年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41,030,016.32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2,051,500.82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16,890,689.81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969,731.81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二至三年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578,960.00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86,844.00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467,901.52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89,220.17</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三至四年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46,616.74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13,985.02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120,818.63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34,996.47</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四至五年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120,818.63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60,409.32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7,747.97</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五年以上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418,326,417.75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5,994,219.42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328,133,301.58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10,174,751.99</w:t>
            </w:r>
          </w:p>
        </w:tc>
      </w:tr>
    </w:tbl>
    <w:p>
      <w:pPr>
        <w:widowControl w:val="0"/>
        <w:spacing w:after="239" w:line="1" w:lineRule="exact"/>
      </w:pPr>
    </w:p>
    <w:p>
      <w:pPr>
        <w:pStyle w:val="Style55"/>
        <w:keepNext/>
        <w:keepLines/>
        <w:widowControl w:val="0"/>
        <w:numPr>
          <w:ilvl w:val="0"/>
          <w:numId w:val="15"/>
        </w:numPr>
        <w:shd w:val="clear" w:color="auto" w:fill="auto"/>
        <w:bidi w:val="0"/>
        <w:spacing w:before="0" w:after="80" w:line="240" w:lineRule="auto"/>
        <w:ind w:left="0" w:right="0" w:firstLine="780"/>
        <w:jc w:val="left"/>
      </w:pPr>
      <w:bookmarkStart w:id="764" w:name="bookmark764"/>
      <w:bookmarkStart w:id="765" w:name="bookmark765"/>
      <w:bookmarkStart w:id="766" w:name="bookmark766"/>
      <w:bookmarkStart w:id="767" w:name="bookmark767"/>
      <w:bookmarkEnd w:id="766"/>
      <w:r>
        <w:rPr>
          <w:color w:val="000000"/>
          <w:spacing w:val="0"/>
          <w:w w:val="100"/>
          <w:position w:val="0"/>
        </w:rPr>
        <w:t>单项金额虽不重大但单项计提坏账准备的应收账款</w:t>
      </w:r>
      <w:bookmarkEnd w:id="764"/>
      <w:bookmarkEnd w:id="765"/>
      <w:bookmarkEnd w:id="767"/>
    </w:p>
    <w:tbl>
      <w:tblPr>
        <w:tblOverlap w:val="never"/>
        <w:jc w:val="center"/>
        <w:tblLayout w:type="fixed"/>
      </w:tblPr>
      <w:tblGrid>
        <w:gridCol w:w="2731"/>
        <w:gridCol w:w="1718"/>
        <w:gridCol w:w="1795"/>
        <w:gridCol w:w="1488"/>
        <w:gridCol w:w="169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应收账款内容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b/>
                <w:bCs/>
                <w:color w:val="000000"/>
                <w:spacing w:val="0"/>
                <w:w w:val="100"/>
                <w:position w:val="0"/>
              </w:rPr>
              <w:t>计提比例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NuTune Singapore Pte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915,254.25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915,254.25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企业破产清算</w:t>
            </w:r>
          </w:p>
        </w:tc>
      </w:tr>
      <w:tr>
        <w:trPr>
          <w:trHeight w:val="45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915,254.25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915,254.25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55"/>
        <w:keepNext/>
        <w:keepLines/>
        <w:widowControl w:val="0"/>
        <w:numPr>
          <w:ilvl w:val="0"/>
          <w:numId w:val="15"/>
        </w:numPr>
        <w:shd w:val="clear" w:color="auto" w:fill="auto"/>
        <w:tabs>
          <w:tab w:pos="1328" w:val="left"/>
        </w:tabs>
        <w:bidi w:val="0"/>
        <w:spacing w:before="0" w:after="320" w:line="240" w:lineRule="auto"/>
        <w:ind w:left="0" w:right="0" w:firstLine="840"/>
        <w:jc w:val="left"/>
      </w:pPr>
      <w:bookmarkStart w:id="768" w:name="bookmark768"/>
      <w:bookmarkStart w:id="769" w:name="bookmark769"/>
      <w:bookmarkStart w:id="770" w:name="bookmark770"/>
      <w:bookmarkStart w:id="771" w:name="bookmark771"/>
      <w:bookmarkEnd w:id="770"/>
      <w:r>
        <w:rPr>
          <w:color w:val="000000"/>
          <w:spacing w:val="0"/>
          <w:w w:val="100"/>
          <w:position w:val="0"/>
        </w:rPr>
        <w:t>本报告期，无实际核销的应收账款。</w:t>
      </w:r>
      <w:bookmarkEnd w:id="768"/>
      <w:bookmarkEnd w:id="769"/>
      <w:bookmarkEnd w:id="771"/>
    </w:p>
    <w:p>
      <w:pPr>
        <w:pStyle w:val="Style55"/>
        <w:keepNext/>
        <w:keepLines/>
        <w:widowControl w:val="0"/>
        <w:numPr>
          <w:ilvl w:val="0"/>
          <w:numId w:val="15"/>
        </w:numPr>
        <w:shd w:val="clear" w:color="auto" w:fill="auto"/>
        <w:tabs>
          <w:tab w:pos="1328" w:val="left"/>
        </w:tabs>
        <w:bidi w:val="0"/>
        <w:spacing w:before="0" w:after="320" w:line="240" w:lineRule="auto"/>
        <w:ind w:left="0" w:right="0" w:firstLine="840"/>
        <w:jc w:val="left"/>
      </w:pPr>
      <w:bookmarkStart w:id="768" w:name="bookmark768"/>
      <w:bookmarkStart w:id="769" w:name="bookmark769"/>
      <w:bookmarkStart w:id="772" w:name="bookmark772"/>
      <w:bookmarkStart w:id="773" w:name="bookmark773"/>
      <w:bookmarkEnd w:id="772"/>
      <w:r>
        <w:rPr>
          <w:color w:val="000000"/>
          <w:spacing w:val="0"/>
          <w:w w:val="100"/>
          <w:position w:val="0"/>
        </w:rPr>
        <w:t>应收账款金额前五名单位情况</w:t>
      </w:r>
      <w:bookmarkEnd w:id="768"/>
      <w:bookmarkEnd w:id="769"/>
      <w:bookmarkEnd w:id="773"/>
    </w:p>
    <w:tbl>
      <w:tblPr>
        <w:tblOverlap w:val="never"/>
        <w:jc w:val="center"/>
        <w:tblLayout w:type="fixed"/>
      </w:tblPr>
      <w:tblGrid>
        <w:gridCol w:w="2126"/>
        <w:gridCol w:w="2232"/>
        <w:gridCol w:w="2069"/>
        <w:gridCol w:w="1296"/>
        <w:gridCol w:w="1627"/>
      </w:tblGrid>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与本公司关系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80"/>
              <w:jc w:val="left"/>
            </w:pPr>
            <w:r>
              <w:rPr>
                <w:b/>
                <w:bCs/>
                <w:color w:val="000000"/>
                <w:spacing w:val="0"/>
                <w:w w:val="100"/>
                <w:position w:val="0"/>
              </w:rPr>
              <w:t>占应收账款总额</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7"/>
                <w:szCs w:val="17"/>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66,534,170.00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35,373,933.76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33,035,435.08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22,052,984.42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应收账款第五名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客户</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15,681,207.50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3.74</w:t>
            </w:r>
          </w:p>
        </w:tc>
      </w:tr>
    </w:tbl>
    <w:p>
      <w:pPr>
        <w:pStyle w:val="Style30"/>
        <w:keepNext w:val="0"/>
        <w:keepLines w:val="0"/>
        <w:widowControl w:val="0"/>
        <w:shd w:val="clear" w:color="auto" w:fill="auto"/>
        <w:tabs>
          <w:tab w:pos="4176" w:val="left"/>
          <w:tab w:pos="7579" w:val="left"/>
        </w:tabs>
        <w:bidi w:val="0"/>
        <w:spacing w:before="0" w:after="0" w:line="240" w:lineRule="auto"/>
        <w:ind w:left="0" w:right="0" w:firstLine="0"/>
        <w:jc w:val="center"/>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172,677,730.76</w:t>
        <w:tab/>
        <w:t>41.19</w:t>
      </w:r>
    </w:p>
    <w:p>
      <w:pPr>
        <w:widowControl w:val="0"/>
        <w:spacing w:after="379" w:line="1" w:lineRule="exact"/>
      </w:pPr>
    </w:p>
    <w:p>
      <w:pPr>
        <w:pStyle w:val="Style55"/>
        <w:keepNext/>
        <w:keepLines/>
        <w:widowControl w:val="0"/>
        <w:numPr>
          <w:ilvl w:val="0"/>
          <w:numId w:val="15"/>
        </w:numPr>
        <w:shd w:val="clear" w:color="auto" w:fill="auto"/>
        <w:bidi w:val="0"/>
        <w:spacing w:before="0" w:after="80" w:line="240" w:lineRule="auto"/>
        <w:ind w:left="0" w:right="0" w:firstLine="780"/>
        <w:jc w:val="left"/>
      </w:pPr>
      <w:bookmarkStart w:id="774" w:name="bookmark774"/>
      <w:bookmarkStart w:id="775" w:name="bookmark775"/>
      <w:bookmarkStart w:id="776" w:name="bookmark776"/>
      <w:bookmarkStart w:id="777" w:name="bookmark777"/>
      <w:bookmarkEnd w:id="776"/>
      <w:r>
        <w:rPr>
          <w:color w:val="000000"/>
          <w:spacing w:val="0"/>
          <w:w w:val="100"/>
          <w:position w:val="0"/>
        </w:rPr>
        <w:t>应收本公司关联方单位款项</w:t>
      </w:r>
      <w:bookmarkEnd w:id="774"/>
      <w:bookmarkEnd w:id="775"/>
      <w:bookmarkEnd w:id="777"/>
    </w:p>
    <w:tbl>
      <w:tblPr>
        <w:tblOverlap w:val="never"/>
        <w:jc w:val="center"/>
        <w:tblLayout w:type="fixed"/>
      </w:tblPr>
      <w:tblGrid>
        <w:gridCol w:w="2678"/>
        <w:gridCol w:w="2453"/>
        <w:gridCol w:w="1464"/>
        <w:gridCol w:w="1147"/>
        <w:gridCol w:w="1627"/>
      </w:tblGrid>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与本公司关系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占应收账款总额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山东同方鲁颖电子有限公司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9" w:lineRule="exact"/>
              <w:ind w:left="160" w:right="0" w:firstLine="0"/>
              <w:jc w:val="left"/>
              <w:rPr>
                <w:sz w:val="20"/>
                <w:szCs w:val="20"/>
              </w:rPr>
            </w:pPr>
            <w:r>
              <w:rPr>
                <w:color w:val="000000"/>
                <w:spacing w:val="0"/>
                <w:w w:val="100"/>
                <w:position w:val="0"/>
                <w:sz w:val="20"/>
                <w:szCs w:val="20"/>
              </w:rPr>
              <w:t>受同一母公司控制的 其他企业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135,612.99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母公司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1,642,982.60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同方锐安科技有限公司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受同一母公司控制的</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其他企业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2,896,328.20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两年以内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0.69</w:t>
            </w:r>
          </w:p>
        </w:tc>
      </w:tr>
    </w:tbl>
    <w:p>
      <w:pPr>
        <w:widowControl w:val="0"/>
        <w:spacing w:line="1" w:lineRule="exact"/>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106" w:right="763" w:bottom="1541" w:left="706" w:header="0" w:footer="3" w:gutter="0"/>
          <w:cols w:space="720"/>
          <w:noEndnote/>
          <w:titlePg/>
          <w:rtlGutter w:val="0"/>
          <w:docGrid w:linePitch="360"/>
        </w:sectPr>
      </w:pPr>
    </w:p>
    <w:tbl>
      <w:tblPr>
        <w:tblOverlap w:val="never"/>
        <w:jc w:val="center"/>
        <w:tblLayout w:type="fixed"/>
      </w:tblPr>
      <w:tblGrid>
        <w:gridCol w:w="1090"/>
        <w:gridCol w:w="1776"/>
        <w:gridCol w:w="1066"/>
        <w:gridCol w:w="1397"/>
        <w:gridCol w:w="1426"/>
        <w:gridCol w:w="1046"/>
        <w:gridCol w:w="1584"/>
      </w:tblGrid>
      <w:tr>
        <w:trPr>
          <w:trHeight w:val="830"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4,674,923.79</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b/>
                <w:bCs/>
                <w:color w:val="000000"/>
                <w:spacing w:val="0"/>
                <w:w w:val="100"/>
                <w:position w:val="0"/>
                <w:sz w:val="18"/>
                <w:szCs w:val="18"/>
              </w:rPr>
              <w:t>1.11</w:t>
            </w:r>
          </w:p>
        </w:tc>
      </w:tr>
      <w:tr>
        <w:trPr>
          <w:trHeight w:val="605"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)应收账款中外币金额</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人民币金额</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6,085,250.18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37,101,161.82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7,497,013.00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47,122,475.21</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港币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487,275.00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383,095.61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1,580,031.00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1,281,089.13</w:t>
            </w:r>
          </w:p>
        </w:tc>
      </w:tr>
    </w:tbl>
    <w:p>
      <w:pPr>
        <w:widowControl w:val="0"/>
        <w:spacing w:after="299" w:line="1" w:lineRule="exact"/>
      </w:pPr>
    </w:p>
    <w:p>
      <w:pPr>
        <w:pStyle w:val="Style74"/>
        <w:keepNext w:val="0"/>
        <w:keepLines w:val="0"/>
        <w:widowControl w:val="0"/>
        <w:pBdr>
          <w:bottom w:val="single" w:sz="4" w:space="0" w:color="auto"/>
        </w:pBdr>
        <w:shd w:val="clear" w:color="auto" w:fill="auto"/>
        <w:tabs>
          <w:tab w:pos="3528" w:val="left"/>
          <w:tab w:pos="7493" w:val="left"/>
        </w:tabs>
        <w:bidi w:val="0"/>
        <w:spacing w:before="0" w:after="50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37,484,257.43</w:t>
        <w:tab/>
        <w:t>48,403,564.34</w:t>
      </w:r>
    </w:p>
    <w:p>
      <w:pPr>
        <w:pStyle w:val="Style44"/>
        <w:keepNext/>
        <w:keepLines/>
        <w:widowControl w:val="0"/>
        <w:shd w:val="clear" w:color="auto" w:fill="auto"/>
        <w:bidi w:val="0"/>
        <w:spacing w:before="0" w:line="240" w:lineRule="auto"/>
        <w:ind w:left="0" w:right="0" w:firstLine="56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、预付款项</w:t>
      </w:r>
      <w:bookmarkEnd w:id="778"/>
      <w:bookmarkEnd w:id="779"/>
      <w:bookmarkEnd w:id="781"/>
    </w:p>
    <w:p>
      <w:pPr>
        <w:pStyle w:val="Style55"/>
        <w:keepNext/>
        <w:keepLines/>
        <w:widowControl w:val="0"/>
        <w:numPr>
          <w:ilvl w:val="0"/>
          <w:numId w:val="17"/>
        </w:numPr>
        <w:shd w:val="clear" w:color="auto" w:fill="auto"/>
        <w:bidi w:val="0"/>
        <w:spacing w:before="0" w:after="300" w:line="240" w:lineRule="auto"/>
        <w:ind w:left="0" w:right="0" w:firstLine="560"/>
        <w:jc w:val="left"/>
      </w:pPr>
      <w:bookmarkStart w:id="782" w:name="bookmark782"/>
      <w:bookmarkStart w:id="783" w:name="bookmark783"/>
      <w:bookmarkStart w:id="784" w:name="bookmark784"/>
      <w:bookmarkStart w:id="785" w:name="bookmark785"/>
      <w:bookmarkEnd w:id="784"/>
      <w:r>
        <w:rPr>
          <w:color w:val="000000"/>
          <w:spacing w:val="0"/>
          <w:w w:val="100"/>
          <w:position w:val="0"/>
        </w:rPr>
        <w:t>预付款项按账龄列示</w:t>
      </w:r>
      <w:bookmarkEnd w:id="782"/>
      <w:bookmarkEnd w:id="783"/>
      <w:bookmarkEnd w:id="785"/>
    </w:p>
    <w:tbl>
      <w:tblPr>
        <w:tblOverlap w:val="never"/>
        <w:jc w:val="center"/>
        <w:tblLayout w:type="fixed"/>
      </w:tblPr>
      <w:tblGrid>
        <w:gridCol w:w="1978"/>
        <w:gridCol w:w="2400"/>
        <w:gridCol w:w="1555"/>
        <w:gridCol w:w="2179"/>
        <w:gridCol w:w="1320"/>
      </w:tblGrid>
      <w:tr>
        <w:trPr>
          <w:trHeight w:val="9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1400" w:right="0" w:firstLine="0"/>
              <w:jc w:val="left"/>
            </w:pPr>
            <w:r>
              <w:rPr>
                <w:b/>
                <w:bCs/>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1300" w:right="0" w:firstLine="0"/>
              <w:jc w:val="left"/>
            </w:pPr>
            <w:r>
              <w:rPr>
                <w:b/>
                <w:bCs/>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34,268,003.20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24,251,399.82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87.67</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一至二年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3,062,140.81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1,816,286.00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二至三年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18,008.40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335,227.00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三年以上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218,867.00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1,258,310.00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5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37,567,019.41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27,661,222.82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pStyle w:val="Style30"/>
        <w:keepNext w:val="0"/>
        <w:keepLines w:val="0"/>
        <w:widowControl w:val="0"/>
        <w:shd w:val="clear" w:color="auto" w:fill="auto"/>
        <w:bidi w:val="0"/>
        <w:spacing w:before="0" w:after="0" w:line="240" w:lineRule="auto"/>
        <w:ind w:left="230" w:right="0" w:firstLine="0"/>
        <w:jc w:val="left"/>
        <w:rPr>
          <w:sz w:val="17"/>
          <w:szCs w:val="17"/>
        </w:rPr>
      </w:pPr>
      <w:r>
        <w:rPr>
          <w:b w:val="0"/>
          <w:bCs w:val="0"/>
          <w:color w:val="000000"/>
          <w:spacing w:val="0"/>
          <w:w w:val="100"/>
          <w:position w:val="0"/>
          <w:sz w:val="17"/>
          <w:szCs w:val="17"/>
        </w:rPr>
        <w:t>注：期末余额中，账龄一年以上的预付款项为预付的设备款及材料款。</w:t>
      </w:r>
    </w:p>
    <w:p>
      <w:pPr>
        <w:widowControl w:val="0"/>
        <w:spacing w:after="239" w:line="1" w:lineRule="exact"/>
      </w:pPr>
    </w:p>
    <w:p>
      <w:pPr>
        <w:pStyle w:val="Style55"/>
        <w:keepNext/>
        <w:keepLines/>
        <w:widowControl w:val="0"/>
        <w:numPr>
          <w:ilvl w:val="0"/>
          <w:numId w:val="17"/>
        </w:numPr>
        <w:shd w:val="clear" w:color="auto" w:fill="auto"/>
        <w:bidi w:val="0"/>
        <w:spacing w:before="0" w:after="100" w:line="240" w:lineRule="auto"/>
        <w:ind w:left="0" w:right="0" w:firstLine="680"/>
        <w:jc w:val="left"/>
      </w:pPr>
      <w:bookmarkStart w:id="786" w:name="bookmark786"/>
      <w:bookmarkStart w:id="787" w:name="bookmark787"/>
      <w:bookmarkStart w:id="788" w:name="bookmark788"/>
      <w:bookmarkStart w:id="789" w:name="bookmark789"/>
      <w:bookmarkEnd w:id="788"/>
      <w:r>
        <w:rPr>
          <w:color w:val="000000"/>
          <w:spacing w:val="0"/>
          <w:w w:val="100"/>
          <w:position w:val="0"/>
        </w:rPr>
        <w:t>预付款项金额前五名单位情况</w:t>
      </w:r>
      <w:bookmarkEnd w:id="786"/>
      <w:bookmarkEnd w:id="787"/>
      <w:bookmarkEnd w:id="789"/>
    </w:p>
    <w:tbl>
      <w:tblPr>
        <w:tblOverlap w:val="never"/>
        <w:jc w:val="center"/>
        <w:tblLayout w:type="fixed"/>
      </w:tblPr>
      <w:tblGrid>
        <w:gridCol w:w="2650"/>
        <w:gridCol w:w="2045"/>
        <w:gridCol w:w="1450"/>
        <w:gridCol w:w="2170"/>
        <w:gridCol w:w="1618"/>
      </w:tblGrid>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欠款金额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欠款年限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占预付款项总额比例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性质或内容</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预付账款第一名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9,155,157.00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材料款</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预付账款第二名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3,243,550.80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设备款</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预付账款第三名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2,914,149.35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设备款</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预付账款第四名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2,503,915.00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设备款</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预付账款第五名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1,979,718.50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材料款</w:t>
            </w:r>
          </w:p>
        </w:tc>
      </w:tr>
      <w:tr>
        <w:trPr>
          <w:trHeight w:val="40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19,796,490.65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52.70</w:t>
            </w:r>
          </w:p>
        </w:tc>
        <w:tc>
          <w:tcPr>
            <w:tcBorders>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55"/>
        <w:keepNext/>
        <w:keepLines/>
        <w:widowControl w:val="0"/>
        <w:numPr>
          <w:ilvl w:val="0"/>
          <w:numId w:val="17"/>
        </w:numPr>
        <w:pBdr>
          <w:bottom w:val="single" w:sz="4" w:space="0" w:color="auto"/>
        </w:pBdr>
        <w:shd w:val="clear" w:color="auto" w:fill="auto"/>
        <w:bidi w:val="0"/>
        <w:spacing w:before="0" w:after="300" w:line="240" w:lineRule="auto"/>
        <w:ind w:left="0" w:right="0" w:firstLine="680"/>
        <w:jc w:val="left"/>
      </w:pPr>
      <w:bookmarkStart w:id="790" w:name="bookmark790"/>
      <w:bookmarkStart w:id="791" w:name="bookmark791"/>
      <w:bookmarkStart w:id="792" w:name="bookmark792"/>
      <w:bookmarkStart w:id="793" w:name="bookmark793"/>
      <w:bookmarkEnd w:id="792"/>
      <w:r>
        <w:rPr>
          <w:color w:val="000000"/>
          <w:spacing w:val="0"/>
          <w:w w:val="100"/>
          <w:position w:val="0"/>
        </w:rPr>
        <w:t>期末余额中，预付本公司关联方单位款项情况</w:t>
      </w:r>
      <w:bookmarkEnd w:id="790"/>
      <w:bookmarkEnd w:id="791"/>
      <w:bookmarkEnd w:id="793"/>
    </w:p>
    <w:p>
      <w:pPr>
        <w:widowControl w:val="0"/>
        <w:spacing w:after="2587" w:line="1" w:lineRule="exact"/>
      </w:pPr>
      <w:r>
        <mc:AlternateContent>
          <mc:Choice Requires="wps">
            <w:drawing>
              <wp:anchor distT="0" distB="0" distL="0" distR="0" simplePos="0" relativeHeight="62915147" behindDoc="1" locked="0" layoutInCell="1" allowOverlap="1">
                <wp:simplePos x="0" y="0"/>
                <wp:positionH relativeFrom="page">
                  <wp:posOffset>908685</wp:posOffset>
                </wp:positionH>
                <wp:positionV relativeFrom="paragraph">
                  <wp:posOffset>149225</wp:posOffset>
                </wp:positionV>
                <wp:extent cx="490855" cy="152400"/>
                <wp:wrapNone/>
                <wp:docPr id="587" name="Shape 587"/>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613" type="#_x0000_t202" style="position:absolute;margin-left:71.549999999999997pt;margin-top:11.75pt;width:38.649999999999999pt;height:12.pt;z-index:-188743606;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anchorx="page"/>
              </v:shape>
            </w:pict>
          </mc:Fallback>
        </mc:AlternateContent>
      </w:r>
      <w:r>
        <mc:AlternateContent>
          <mc:Choice Requires="wps">
            <w:drawing>
              <wp:anchor distT="0" distB="0" distL="0" distR="0" simplePos="0" relativeHeight="62915149" behindDoc="1" locked="0" layoutInCell="1" allowOverlap="1">
                <wp:simplePos x="0" y="0"/>
                <wp:positionH relativeFrom="page">
                  <wp:posOffset>2703830</wp:posOffset>
                </wp:positionH>
                <wp:positionV relativeFrom="paragraph">
                  <wp:posOffset>149225</wp:posOffset>
                </wp:positionV>
                <wp:extent cx="713105" cy="152400"/>
                <wp:wrapNone/>
                <wp:docPr id="589" name="Shape 589"/>
                <a:graphic xmlns:a="http://schemas.openxmlformats.org/drawingml/2006/main">
                  <a:graphicData uri="http://schemas.microsoft.com/office/word/2010/wordprocessingShape">
                    <wps:wsp>
                      <wps:cNvSpPr txBox="1"/>
                      <wps:spPr>
                        <a:xfrm>
                          <a:ext cx="71310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wps:txbx>
                      <wps:bodyPr wrap="none" lIns="0" tIns="0" rIns="0" bIns="0">
                        <a:noAutoFit/>
                      </wps:bodyPr>
                    </wps:wsp>
                  </a:graphicData>
                </a:graphic>
              </wp:anchor>
            </w:drawing>
          </mc:Choice>
          <mc:Fallback>
            <w:pict>
              <v:shape id="_x0000_s1615" type="#_x0000_t202" style="position:absolute;margin-left:212.90000000000001pt;margin-top:11.75pt;width:56.149999999999999pt;height:12.pt;z-index:-188743604;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v:textbox>
                <w10:wrap anchorx="page"/>
              </v:shape>
            </w:pict>
          </mc:Fallback>
        </mc:AlternateContent>
      </w:r>
      <w:r>
        <mc:AlternateContent>
          <mc:Choice Requires="wps">
            <w:drawing>
              <wp:anchor distT="0" distB="0" distL="0" distR="0" simplePos="0" relativeHeight="62915151" behindDoc="1" locked="0" layoutInCell="1" allowOverlap="1">
                <wp:simplePos x="0" y="0"/>
                <wp:positionH relativeFrom="page">
                  <wp:posOffset>4215765</wp:posOffset>
                </wp:positionH>
                <wp:positionV relativeFrom="paragraph">
                  <wp:posOffset>149225</wp:posOffset>
                </wp:positionV>
                <wp:extent cx="262255" cy="152400"/>
                <wp:wrapNone/>
                <wp:docPr id="591" name="Shape 591"/>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617" type="#_x0000_t202" style="position:absolute;margin-left:331.94999999999999pt;margin-top:11.75pt;width:20.650000000000002pt;height:12.pt;z-index:-188743602;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v:textbox>
                <w10:wrap anchorx="page"/>
              </v:shape>
            </w:pict>
          </mc:Fallback>
        </mc:AlternateContent>
      </w:r>
      <w:r>
        <mc:AlternateContent>
          <mc:Choice Requires="wps">
            <w:drawing>
              <wp:anchor distT="0" distB="0" distL="0" distR="0" simplePos="0" relativeHeight="62915153" behindDoc="1" locked="0" layoutInCell="1" allowOverlap="1">
                <wp:simplePos x="0" y="0"/>
                <wp:positionH relativeFrom="page">
                  <wp:posOffset>5160645</wp:posOffset>
                </wp:positionH>
                <wp:positionV relativeFrom="paragraph">
                  <wp:posOffset>149225</wp:posOffset>
                </wp:positionV>
                <wp:extent cx="262255" cy="152400"/>
                <wp:wrapNone/>
                <wp:docPr id="593" name="Shape 593"/>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wps:txbx>
                      <wps:bodyPr wrap="none" lIns="0" tIns="0" rIns="0" bIns="0">
                        <a:noAutoFit/>
                      </wps:bodyPr>
                    </wps:wsp>
                  </a:graphicData>
                </a:graphic>
              </wp:anchor>
            </w:drawing>
          </mc:Choice>
          <mc:Fallback>
            <w:pict>
              <v:shape id="_x0000_s1619" type="#_x0000_t202" style="position:absolute;margin-left:406.35000000000002pt;margin-top:11.75pt;width:20.650000000000002pt;height:12.pt;z-index:-188743600;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v:textbox>
                <w10:wrap anchorx="page"/>
              </v:shape>
            </w:pict>
          </mc:Fallback>
        </mc:AlternateContent>
      </w:r>
      <w:r>
        <mc:AlternateContent>
          <mc:Choice Requires="wps">
            <w:drawing>
              <wp:anchor distT="0" distB="0" distL="0" distR="0" simplePos="0" relativeHeight="62915155" behindDoc="1" locked="0" layoutInCell="1" allowOverlap="1">
                <wp:simplePos x="0" y="0"/>
                <wp:positionH relativeFrom="page">
                  <wp:posOffset>5831205</wp:posOffset>
                </wp:positionH>
                <wp:positionV relativeFrom="paragraph">
                  <wp:posOffset>0</wp:posOffset>
                </wp:positionV>
                <wp:extent cx="789305" cy="402590"/>
                <wp:wrapNone/>
                <wp:docPr id="595" name="Shape 595"/>
                <a:graphic xmlns:a="http://schemas.openxmlformats.org/drawingml/2006/main">
                  <a:graphicData uri="http://schemas.microsoft.com/office/word/2010/wordprocessingShape">
                    <wps:wsp>
                      <wps:cNvSpPr txBox="1"/>
                      <wps:spPr>
                        <a:xfrm>
                          <a:ext cx="789305" cy="402590"/>
                        </a:xfrm>
                        <a:prstGeom prst="rect"/>
                        <a:noFill/>
                      </wps:spPr>
                      <wps:txbx>
                        <w:txbxContent>
                          <w:p>
                            <w:pPr>
                              <w:pStyle w:val="Style72"/>
                              <w:keepNext w:val="0"/>
                              <w:keepLines w:val="0"/>
                              <w:widowControl w:val="0"/>
                              <w:pBdr>
                                <w:bottom w:val="single" w:sz="4" w:space="0" w:color="auto"/>
                              </w:pBdr>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占预付款项总 额的比例</w:t>
                            </w:r>
                            <w:r>
                              <w:rPr>
                                <w:rFonts w:ascii="Times New Roman" w:eastAsia="Times New Roman" w:hAnsi="Times New Roman" w:cs="Times New Roman"/>
                                <w:color w:val="000000"/>
                                <w:spacing w:val="0"/>
                                <w:w w:val="100"/>
                                <w:position w:val="0"/>
                                <w:sz w:val="18"/>
                                <w:szCs w:val="18"/>
                              </w:rPr>
                              <w:t>(%)</w:t>
                            </w:r>
                          </w:p>
                        </w:txbxContent>
                      </wps:txbx>
                      <wps:bodyPr lIns="0" tIns="0" rIns="0" bIns="0">
                        <a:noAutoFit/>
                      </wps:bodyPr>
                    </wps:wsp>
                  </a:graphicData>
                </a:graphic>
              </wp:anchor>
            </w:drawing>
          </mc:Choice>
          <mc:Fallback>
            <w:pict>
              <v:shape id="_x0000_s1621" type="#_x0000_t202" style="position:absolute;margin-left:459.15000000000003pt;margin-top:0;width:62.149999999999999pt;height:31.699999999999999pt;z-index:-188743598;mso-wrap-distance-left:0;mso-wrap-distance-right:0;mso-position-horizontal-relative:page" wrapcoords="0 0" filled="f" stroked="f">
                <v:textbox inset="0,0,0,0">
                  <w:txbxContent>
                    <w:p>
                      <w:pPr>
                        <w:pStyle w:val="Style72"/>
                        <w:keepNext w:val="0"/>
                        <w:keepLines w:val="0"/>
                        <w:widowControl w:val="0"/>
                        <w:pBdr>
                          <w:bottom w:val="single" w:sz="4" w:space="0" w:color="auto"/>
                        </w:pBdr>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占预付款项总 额的比例</w:t>
                      </w:r>
                      <w:r>
                        <w:rPr>
                          <w:rFonts w:ascii="Times New Roman" w:eastAsia="Times New Roman" w:hAnsi="Times New Roman" w:cs="Times New Roman"/>
                          <w:color w:val="000000"/>
                          <w:spacing w:val="0"/>
                          <w:w w:val="100"/>
                          <w:position w:val="0"/>
                          <w:sz w:val="18"/>
                          <w:szCs w:val="18"/>
                        </w:rPr>
                        <w:t>(%)</w:t>
                      </w:r>
                    </w:p>
                  </w:txbxContent>
                </v:textbox>
                <w10:wrap anchorx="page"/>
              </v:shape>
            </w:pict>
          </mc:Fallback>
        </mc:AlternateContent>
      </w:r>
      <w:r>
        <mc:AlternateContent>
          <mc:Choice Requires="wps">
            <w:drawing>
              <wp:anchor distT="0" distB="0" distL="0" distR="0" simplePos="0" relativeHeight="62915157" behindDoc="1" locked="0" layoutInCell="1" allowOverlap="1">
                <wp:simplePos x="0" y="0"/>
                <wp:positionH relativeFrom="page">
                  <wp:posOffset>923925</wp:posOffset>
                </wp:positionH>
                <wp:positionV relativeFrom="paragraph">
                  <wp:posOffset>509270</wp:posOffset>
                </wp:positionV>
                <wp:extent cx="1027430" cy="164465"/>
                <wp:wrapNone/>
                <wp:docPr id="597" name="Shape 597"/>
                <a:graphic xmlns:a="http://schemas.openxmlformats.org/drawingml/2006/main">
                  <a:graphicData uri="http://schemas.microsoft.com/office/word/2010/wordprocessingShape">
                    <wps:wsp>
                      <wps:cNvSpPr txBox="1"/>
                      <wps:spPr>
                        <a:xfrm>
                          <a:ext cx="1027430" cy="164465"/>
                        </a:xfrm>
                        <a:prstGeom prst="rect"/>
                        <a:noFill/>
                      </wps:spPr>
                      <wps:txbx>
                        <w:txbxContent>
                          <w:p>
                            <w:pPr>
                              <w:pStyle w:val="Style55"/>
                              <w:keepNext/>
                              <w:keepLines/>
                              <w:widowControl w:val="0"/>
                              <w:shd w:val="clear" w:color="auto" w:fill="auto"/>
                              <w:bidi w:val="0"/>
                              <w:spacing w:before="0" w:after="0" w:line="240" w:lineRule="auto"/>
                              <w:ind w:left="0" w:right="0" w:firstLine="0"/>
                              <w:jc w:val="left"/>
                            </w:pPr>
                            <w:bookmarkStart w:id="680" w:name="bookmark680"/>
                            <w:bookmarkStart w:id="681" w:name="bookmark681"/>
                            <w:bookmarkStart w:id="682" w:name="bookmark682"/>
                            <w:r>
                              <w:rPr>
                                <w:color w:val="000000"/>
                                <w:spacing w:val="0"/>
                                <w:w w:val="100"/>
                                <w:position w:val="0"/>
                              </w:rPr>
                              <w:t>同方股份有限公司</w:t>
                            </w:r>
                            <w:bookmarkEnd w:id="680"/>
                            <w:bookmarkEnd w:id="681"/>
                            <w:bookmarkEnd w:id="682"/>
                          </w:p>
                        </w:txbxContent>
                      </wps:txbx>
                      <wps:bodyPr wrap="none" lIns="0" tIns="0" rIns="0" bIns="0">
                        <a:noAutoFit/>
                      </wps:bodyPr>
                    </wps:wsp>
                  </a:graphicData>
                </a:graphic>
              </wp:anchor>
            </w:drawing>
          </mc:Choice>
          <mc:Fallback>
            <w:pict>
              <v:shape id="_x0000_s1623" type="#_x0000_t202" style="position:absolute;margin-left:72.75pt;margin-top:40.100000000000001pt;width:80.900000000000006pt;height:12.950000000000001pt;z-index:-188743596;mso-wrap-distance-left:0;mso-wrap-distance-right:0;mso-position-horizontal-relative:page" wrapcoords="0 0" filled="f" stroked="f">
                <v:textbox inset="0,0,0,0">
                  <w:txbxContent>
                    <w:p>
                      <w:pPr>
                        <w:pStyle w:val="Style55"/>
                        <w:keepNext/>
                        <w:keepLines/>
                        <w:widowControl w:val="0"/>
                        <w:shd w:val="clear" w:color="auto" w:fill="auto"/>
                        <w:bidi w:val="0"/>
                        <w:spacing w:before="0" w:after="0" w:line="240" w:lineRule="auto"/>
                        <w:ind w:left="0" w:right="0" w:firstLine="0"/>
                        <w:jc w:val="left"/>
                      </w:pPr>
                      <w:bookmarkStart w:id="680" w:name="bookmark680"/>
                      <w:bookmarkStart w:id="681" w:name="bookmark681"/>
                      <w:bookmarkStart w:id="682" w:name="bookmark682"/>
                      <w:r>
                        <w:rPr>
                          <w:color w:val="000000"/>
                          <w:spacing w:val="0"/>
                          <w:w w:val="100"/>
                          <w:position w:val="0"/>
                        </w:rPr>
                        <w:t>同方股份有限公司</w:t>
                      </w:r>
                      <w:bookmarkEnd w:id="680"/>
                      <w:bookmarkEnd w:id="681"/>
                      <w:bookmarkEnd w:id="682"/>
                    </w:p>
                  </w:txbxContent>
                </v:textbox>
                <w10:wrap anchorx="page"/>
              </v:shape>
            </w:pict>
          </mc:Fallback>
        </mc:AlternateContent>
      </w:r>
      <w:r>
        <mc:AlternateContent>
          <mc:Choice Requires="wps">
            <w:drawing>
              <wp:anchor distT="0" distB="0" distL="0" distR="0" simplePos="0" relativeHeight="62915159" behindDoc="1" locked="0" layoutInCell="1" allowOverlap="1">
                <wp:simplePos x="0" y="0"/>
                <wp:positionH relativeFrom="page">
                  <wp:posOffset>2703830</wp:posOffset>
                </wp:positionH>
                <wp:positionV relativeFrom="paragraph">
                  <wp:posOffset>511810</wp:posOffset>
                </wp:positionV>
                <wp:extent cx="405130" cy="158750"/>
                <wp:wrapNone/>
                <wp:docPr id="599" name="Shape 599"/>
                <a:graphic xmlns:a="http://schemas.openxmlformats.org/drawingml/2006/main">
                  <a:graphicData uri="http://schemas.microsoft.com/office/word/2010/wordprocessingShape">
                    <wps:wsp>
                      <wps:cNvSpPr txBox="1"/>
                      <wps:spPr>
                        <a:xfrm>
                          <a:ext cx="405130" cy="158750"/>
                        </a:xfrm>
                        <a:prstGeom prst="rect"/>
                        <a:noFill/>
                      </wps:spPr>
                      <wps:txbx>
                        <w:txbxContent>
                          <w:p>
                            <w:pPr>
                              <w:pStyle w:val="Style55"/>
                              <w:keepNext/>
                              <w:keepLines/>
                              <w:widowControl w:val="0"/>
                              <w:shd w:val="clear" w:color="auto" w:fill="auto"/>
                              <w:bidi w:val="0"/>
                              <w:spacing w:before="0" w:after="0" w:line="240" w:lineRule="auto"/>
                              <w:ind w:left="0" w:right="0" w:firstLine="0"/>
                              <w:jc w:val="left"/>
                            </w:pPr>
                            <w:bookmarkStart w:id="683" w:name="bookmark683"/>
                            <w:bookmarkStart w:id="684" w:name="bookmark684"/>
                            <w:bookmarkStart w:id="685" w:name="bookmark685"/>
                            <w:r>
                              <w:rPr>
                                <w:color w:val="000000"/>
                                <w:spacing w:val="0"/>
                                <w:w w:val="100"/>
                                <w:position w:val="0"/>
                              </w:rPr>
                              <w:t>母公司</w:t>
                            </w:r>
                            <w:bookmarkEnd w:id="683"/>
                            <w:bookmarkEnd w:id="684"/>
                            <w:bookmarkEnd w:id="685"/>
                          </w:p>
                        </w:txbxContent>
                      </wps:txbx>
                      <wps:bodyPr wrap="none" lIns="0" tIns="0" rIns="0" bIns="0">
                        <a:noAutoFit/>
                      </wps:bodyPr>
                    </wps:wsp>
                  </a:graphicData>
                </a:graphic>
              </wp:anchor>
            </w:drawing>
          </mc:Choice>
          <mc:Fallback>
            <w:pict>
              <v:shape id="_x0000_s1625" type="#_x0000_t202" style="position:absolute;margin-left:212.90000000000001pt;margin-top:40.300000000000004pt;width:31.900000000000002pt;height:12.5pt;z-index:-188743594;mso-wrap-distance-left:0;mso-wrap-distance-right:0;mso-position-horizontal-relative:page" wrapcoords="0 0" filled="f" stroked="f">
                <v:textbox inset="0,0,0,0">
                  <w:txbxContent>
                    <w:p>
                      <w:pPr>
                        <w:pStyle w:val="Style55"/>
                        <w:keepNext/>
                        <w:keepLines/>
                        <w:widowControl w:val="0"/>
                        <w:shd w:val="clear" w:color="auto" w:fill="auto"/>
                        <w:bidi w:val="0"/>
                        <w:spacing w:before="0" w:after="0" w:line="240" w:lineRule="auto"/>
                        <w:ind w:left="0" w:right="0" w:firstLine="0"/>
                        <w:jc w:val="left"/>
                      </w:pPr>
                      <w:bookmarkStart w:id="683" w:name="bookmark683"/>
                      <w:bookmarkStart w:id="684" w:name="bookmark684"/>
                      <w:bookmarkStart w:id="685" w:name="bookmark685"/>
                      <w:r>
                        <w:rPr>
                          <w:color w:val="000000"/>
                          <w:spacing w:val="0"/>
                          <w:w w:val="100"/>
                          <w:position w:val="0"/>
                        </w:rPr>
                        <w:t>母公司</w:t>
                      </w:r>
                      <w:bookmarkEnd w:id="683"/>
                      <w:bookmarkEnd w:id="684"/>
                      <w:bookmarkEnd w:id="685"/>
                    </w:p>
                  </w:txbxContent>
                </v:textbox>
                <w10:wrap anchorx="page"/>
              </v:shape>
            </w:pict>
          </mc:Fallback>
        </mc:AlternateContent>
      </w:r>
      <w:r>
        <mc:AlternateContent>
          <mc:Choice Requires="wps">
            <w:drawing>
              <wp:anchor distT="0" distB="0" distL="0" distR="0" simplePos="0" relativeHeight="62915161" behindDoc="1" locked="0" layoutInCell="1" allowOverlap="1">
                <wp:simplePos x="0" y="0"/>
                <wp:positionH relativeFrom="page">
                  <wp:posOffset>4209415</wp:posOffset>
                </wp:positionH>
                <wp:positionV relativeFrom="paragraph">
                  <wp:posOffset>521335</wp:posOffset>
                </wp:positionV>
                <wp:extent cx="542290" cy="143510"/>
                <wp:wrapNone/>
                <wp:docPr id="601" name="Shape 601"/>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923,800.40</w:t>
                            </w:r>
                          </w:p>
                        </w:txbxContent>
                      </wps:txbx>
                      <wps:bodyPr wrap="none" lIns="0" tIns="0" rIns="0" bIns="0">
                        <a:noAutoFit/>
                      </wps:bodyPr>
                    </wps:wsp>
                  </a:graphicData>
                </a:graphic>
              </wp:anchor>
            </w:drawing>
          </mc:Choice>
          <mc:Fallback>
            <w:pict>
              <v:shape id="_x0000_s1627" type="#_x0000_t202" style="position:absolute;margin-left:331.44999999999999pt;margin-top:41.050000000000004pt;width:42.700000000000003pt;height:11.300000000000001pt;z-index:-188743592;mso-wrap-distance-left:0;mso-wrap-distance-right:0;mso-position-horizontal-relative:page" wrapcoords="0 0"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923,800.40</w:t>
                      </w:r>
                    </w:p>
                  </w:txbxContent>
                </v:textbox>
                <w10:wrap anchorx="page"/>
              </v:shape>
            </w:pict>
          </mc:Fallback>
        </mc:AlternateContent>
      </w:r>
      <w:r>
        <mc:AlternateContent>
          <mc:Choice Requires="wps">
            <w:drawing>
              <wp:anchor distT="0" distB="0" distL="0" distR="0" simplePos="0" relativeHeight="62915163" behindDoc="1" locked="0" layoutInCell="1" allowOverlap="1">
                <wp:simplePos x="0" y="0"/>
                <wp:positionH relativeFrom="page">
                  <wp:posOffset>5050790</wp:posOffset>
                </wp:positionH>
                <wp:positionV relativeFrom="paragraph">
                  <wp:posOffset>514985</wp:posOffset>
                </wp:positionV>
                <wp:extent cx="481330" cy="149225"/>
                <wp:wrapNone/>
                <wp:docPr id="603" name="Shape 60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一年以内</w:t>
                            </w:r>
                          </w:p>
                        </w:txbxContent>
                      </wps:txbx>
                      <wps:bodyPr wrap="none" lIns="0" tIns="0" rIns="0" bIns="0">
                        <a:noAutoFit/>
                      </wps:bodyPr>
                    </wps:wsp>
                  </a:graphicData>
                </a:graphic>
              </wp:anchor>
            </w:drawing>
          </mc:Choice>
          <mc:Fallback>
            <w:pict>
              <v:shape id="_x0000_s1629" type="#_x0000_t202" style="position:absolute;margin-left:397.69999999999999pt;margin-top:40.550000000000004pt;width:37.899999999999999pt;height:11.75pt;z-index:-188743590;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一年以内</w:t>
                      </w:r>
                    </w:p>
                  </w:txbxContent>
                </v:textbox>
                <w10:wrap anchorx="page"/>
              </v:shape>
            </w:pict>
          </mc:Fallback>
        </mc:AlternateContent>
      </w:r>
      <w:r>
        <w:drawing>
          <wp:anchor distT="125095" distB="0" distL="0" distR="0" simplePos="0" relativeHeight="62915165" behindDoc="1" locked="0" layoutInCell="1" allowOverlap="1">
            <wp:simplePos x="0" y="0"/>
            <wp:positionH relativeFrom="page">
              <wp:posOffset>5812790</wp:posOffset>
            </wp:positionH>
            <wp:positionV relativeFrom="paragraph">
              <wp:posOffset>646430</wp:posOffset>
            </wp:positionV>
            <wp:extent cx="1737360" cy="999490"/>
            <wp:wrapNone/>
            <wp:docPr id="605" name="Shape 605"/>
            <a:graphic xmlns:a="http://schemas.openxmlformats.org/drawingml/2006/main">
              <a:graphicData uri="http://schemas.openxmlformats.org/drawingml/2006/picture">
                <pic:pic xmlns:pic="http://schemas.openxmlformats.org/drawingml/2006/picture">
                  <pic:nvPicPr>
                    <pic:cNvPr id="606" name="Picture box 606"/>
                    <pic:cNvPicPr/>
                  </pic:nvPicPr>
                  <pic:blipFill>
                    <a:blip r:embed="rId189"/>
                    <a:stretch/>
                  </pic:blipFill>
                  <pic:spPr>
                    <a:xfrm>
                      <a:ext cx="1737360" cy="9994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6108700</wp:posOffset>
                </wp:positionH>
                <wp:positionV relativeFrom="paragraph">
                  <wp:posOffset>521335</wp:posOffset>
                </wp:positionV>
                <wp:extent cx="231775" cy="125095"/>
                <wp:wrapNone/>
                <wp:docPr id="607" name="Shape 607"/>
                <a:graphic xmlns:a="http://schemas.openxmlformats.org/drawingml/2006/main">
                  <a:graphicData uri="http://schemas.microsoft.com/office/word/2010/wordprocessingShape">
                    <wps:wsp>
                      <wps:cNvSpPr txBox="1"/>
                      <wps:spPr>
                        <a:xfrm>
                          <a:ext cx="231775" cy="12509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xbxContent>
                      </wps:txbx>
                      <wps:bodyPr lIns="0" tIns="0" rIns="0" bIns="0">
                        <a:noAutoFit/>
                      </wps:bodyPr>
                    </wps:wsp>
                  </a:graphicData>
                </a:graphic>
              </wp:anchor>
            </w:drawing>
          </mc:Choice>
          <mc:Fallback>
            <w:pict>
              <v:shape id="_x0000_s1633" type="#_x0000_t202" style="position:absolute;margin-left:481.pt;margin-top:41.050000000000004pt;width:18.25pt;height:9.8499999999999996pt;z-index:251657729;mso-wrap-distance-left:0;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xbxContent>
                </v:textbox>
                <w10:wrap anchorx="page"/>
              </v:shape>
            </w:pict>
          </mc:Fallback>
        </mc:AlternateContent>
      </w:r>
      <w:r>
        <w:br w:type="page"/>
      </w:r>
    </w:p>
    <w:tbl>
      <w:tblPr>
        <w:tblOverlap w:val="never"/>
        <w:jc w:val="center"/>
        <w:tblLayout w:type="fixed"/>
      </w:tblPr>
      <w:tblGrid>
        <w:gridCol w:w="2674"/>
        <w:gridCol w:w="2155"/>
        <w:gridCol w:w="1450"/>
        <w:gridCol w:w="1435"/>
        <w:gridCol w:w="830"/>
      </w:tblGrid>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北京同方物业管理有限公司</w:t>
            </w:r>
          </w:p>
        </w:tc>
        <w:tc>
          <w:tcPr>
            <w:tcBorders/>
            <w:shd w:val="clear" w:color="auto" w:fill="FFFFFF"/>
            <w:vAlign w:val="bottom"/>
          </w:tcPr>
          <w:p>
            <w:pPr>
              <w:pStyle w:val="Style2"/>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受同一母公司控制 的其他企业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165,883.76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北京壹人壹本信息科技有限公司</w:t>
            </w:r>
          </w:p>
        </w:tc>
        <w:tc>
          <w:tcPr>
            <w:tcBorders/>
            <w:shd w:val="clear" w:color="auto" w:fill="FFFFFF"/>
            <w:vAlign w:val="bottom"/>
          </w:tcPr>
          <w:p>
            <w:pPr>
              <w:pStyle w:val="Style2"/>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受同一母公司控制 的其他企业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一年以内</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58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同方锐安科技有限公司</w:t>
            </w:r>
          </w:p>
        </w:tc>
        <w:tc>
          <w:tcPr>
            <w:tcBorders/>
            <w:shd w:val="clear" w:color="auto" w:fill="FFFFFF"/>
            <w:vAlign w:val="bottom"/>
          </w:tcPr>
          <w:p>
            <w:pPr>
              <w:pStyle w:val="Style2"/>
              <w:keepNext w:val="0"/>
              <w:keepLines w:val="0"/>
              <w:widowControl w:val="0"/>
              <w:shd w:val="clear" w:color="auto" w:fill="auto"/>
              <w:bidi w:val="0"/>
              <w:spacing w:before="0" w:after="0" w:line="259" w:lineRule="exact"/>
              <w:ind w:left="160" w:right="0" w:firstLine="0"/>
              <w:jc w:val="left"/>
              <w:rPr>
                <w:sz w:val="20"/>
                <w:szCs w:val="20"/>
              </w:rPr>
            </w:pPr>
            <w:r>
              <w:rPr>
                <w:color w:val="000000"/>
                <w:spacing w:val="0"/>
                <w:w w:val="100"/>
                <w:position w:val="0"/>
                <w:sz w:val="20"/>
                <w:szCs w:val="20"/>
              </w:rPr>
              <w:t>受同一母公司控制 的其他企业</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1,118,984.16</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2.98</w:t>
            </w:r>
          </w:p>
        </w:tc>
      </w:tr>
    </w:tbl>
    <w:p>
      <w:pPr>
        <w:widowControl w:val="0"/>
        <w:spacing w:after="379" w:line="1" w:lineRule="exact"/>
      </w:pPr>
    </w:p>
    <w:p>
      <w:pPr>
        <w:pStyle w:val="Style55"/>
        <w:keepNext/>
        <w:keepLines/>
        <w:widowControl w:val="0"/>
        <w:numPr>
          <w:ilvl w:val="0"/>
          <w:numId w:val="17"/>
        </w:numPr>
        <w:shd w:val="clear" w:color="auto" w:fill="auto"/>
        <w:bidi w:val="0"/>
        <w:spacing w:before="0" w:after="80" w:line="240" w:lineRule="auto"/>
        <w:ind w:left="0" w:right="0" w:firstLine="680"/>
        <w:jc w:val="left"/>
      </w:pPr>
      <w:bookmarkStart w:id="794" w:name="bookmark794"/>
      <w:bookmarkStart w:id="795" w:name="bookmark795"/>
      <w:bookmarkStart w:id="796" w:name="bookmark796"/>
      <w:bookmarkStart w:id="797" w:name="bookmark797"/>
      <w:bookmarkEnd w:id="796"/>
      <w:r>
        <w:rPr>
          <w:color w:val="000000"/>
          <w:spacing w:val="0"/>
          <w:w w:val="100"/>
          <w:position w:val="0"/>
        </w:rPr>
        <w:t>预付账款中外币金额</w:t>
      </w:r>
      <w:bookmarkEnd w:id="794"/>
      <w:bookmarkEnd w:id="795"/>
      <w:bookmarkEnd w:id="797"/>
    </w:p>
    <w:tbl>
      <w:tblPr>
        <w:tblOverlap w:val="never"/>
        <w:jc w:val="center"/>
        <w:tblLayout w:type="fixed"/>
      </w:tblPr>
      <w:tblGrid>
        <w:gridCol w:w="1397"/>
        <w:gridCol w:w="1512"/>
        <w:gridCol w:w="1027"/>
        <w:gridCol w:w="1531"/>
        <w:gridCol w:w="1469"/>
        <w:gridCol w:w="1133"/>
        <w:gridCol w:w="1555"/>
      </w:tblGrid>
      <w:tr>
        <w:trPr>
          <w:trHeight w:val="42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项目</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外币金额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27"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人民币金额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600,869.24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3,663,439.67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67,991.35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427,359.63</w:t>
            </w: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3,663,439.67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427,359.63</w:t>
            </w:r>
          </w:p>
        </w:tc>
      </w:tr>
    </w:tbl>
    <w:p>
      <w:pPr>
        <w:widowControl w:val="0"/>
        <w:spacing w:after="259" w:line="1" w:lineRule="exact"/>
      </w:pPr>
    </w:p>
    <w:p>
      <w:pPr>
        <w:pStyle w:val="Style44"/>
        <w:keepNext/>
        <w:keepLines/>
        <w:widowControl w:val="0"/>
        <w:shd w:val="clear" w:color="auto" w:fill="auto"/>
        <w:bidi w:val="0"/>
        <w:spacing w:before="0" w:after="260" w:line="240" w:lineRule="auto"/>
        <w:ind w:left="0" w:right="0" w:firstLine="56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5</w:t>
      </w:r>
      <w:bookmarkEnd w:id="800"/>
      <w:r>
        <w:rPr>
          <w:color w:val="000000"/>
          <w:spacing w:val="0"/>
          <w:w w:val="100"/>
          <w:position w:val="0"/>
        </w:rPr>
        <w:t>、其他应收款</w:t>
      </w:r>
      <w:bookmarkEnd w:id="798"/>
      <w:bookmarkEnd w:id="799"/>
      <w:bookmarkEnd w:id="801"/>
    </w:p>
    <w:p>
      <w:pPr>
        <w:pStyle w:val="Style55"/>
        <w:keepNext/>
        <w:keepLines/>
        <w:widowControl w:val="0"/>
        <w:shd w:val="clear" w:color="auto" w:fill="auto"/>
        <w:bidi w:val="0"/>
        <w:spacing w:before="0" w:after="380" w:line="240" w:lineRule="auto"/>
        <w:ind w:left="0" w:right="0" w:firstLine="680"/>
        <w:jc w:val="left"/>
      </w:pPr>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2"/>
      <w:bookmarkEnd w:id="803"/>
      <w:bookmarkEnd w:id="804"/>
    </w:p>
    <w:p>
      <w:pPr>
        <w:pStyle w:val="Style30"/>
        <w:keepNext w:val="0"/>
        <w:keepLines w:val="0"/>
        <w:widowControl w:val="0"/>
        <w:shd w:val="clear" w:color="auto" w:fill="auto"/>
        <w:tabs>
          <w:tab w:pos="7392" w:val="left"/>
        </w:tabs>
        <w:bidi w:val="0"/>
        <w:spacing w:before="0" w:after="0" w:line="240" w:lineRule="auto"/>
        <w:ind w:left="3250" w:right="0" w:firstLine="0"/>
        <w:jc w:val="left"/>
        <w:rPr>
          <w:sz w:val="17"/>
          <w:szCs w:val="17"/>
        </w:rPr>
      </w:pPr>
      <w:r>
        <w:rPr>
          <w:color w:val="000000"/>
          <w:spacing w:val="0"/>
          <w:w w:val="100"/>
          <w:position w:val="0"/>
          <w:sz w:val="17"/>
          <w:szCs w:val="17"/>
        </w:rPr>
        <w:t>期末余额</w:t>
        <w:tab/>
        <w:t>期初余额</w:t>
      </w:r>
    </w:p>
    <w:tbl>
      <w:tblPr>
        <w:tblOverlap w:val="never"/>
        <w:jc w:val="center"/>
        <w:tblLayout w:type="fixed"/>
      </w:tblPr>
      <w:tblGrid>
        <w:gridCol w:w="1670"/>
        <w:gridCol w:w="1382"/>
        <w:gridCol w:w="706"/>
        <w:gridCol w:w="1296"/>
        <w:gridCol w:w="715"/>
        <w:gridCol w:w="1469"/>
        <w:gridCol w:w="744"/>
        <w:gridCol w:w="1301"/>
        <w:gridCol w:w="648"/>
      </w:tblGrid>
      <w:tr>
        <w:trPr>
          <w:trHeight w:val="312" w:hRule="exact"/>
        </w:trPr>
        <w:tc>
          <w:tcPr>
            <w:vMerge w:val="restart"/>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种类</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账面余额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坏账准备</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706" w:hRule="exact"/>
        </w:trPr>
        <w:tc>
          <w:tcPr>
            <w:vMerge/>
            <w:tcBorders/>
            <w:shd w:val="clear" w:color="auto" w:fill="FFFFFF"/>
            <w:vAlign w:val="top"/>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122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4" w:lineRule="exact"/>
              <w:ind w:left="140" w:right="0" w:firstLine="0"/>
              <w:jc w:val="left"/>
            </w:pPr>
            <w:r>
              <w:rPr>
                <w:b/>
                <w:bCs/>
                <w:color w:val="000000"/>
                <w:spacing w:val="0"/>
                <w:w w:val="100"/>
                <w:position w:val="0"/>
              </w:rPr>
              <w:t>单项金额重大并 单项计提坏账准 备的其他应收款 按组合计提坏账 准备的其他应收款</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2,432,383.76</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7,139,707.40</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14,507,232.81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203,492.08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9,171,612.60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215,265.63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094" w:hRule="exact"/>
        </w:trPr>
        <w:tc>
          <w:tcPr>
            <w:tcBorders/>
            <w:shd w:val="clear" w:color="auto" w:fill="FFFFFF"/>
            <w:vAlign w:val="top"/>
          </w:tcPr>
          <w:p>
            <w:pPr>
              <w:pStyle w:val="Style2"/>
              <w:keepNext w:val="0"/>
              <w:keepLines w:val="0"/>
              <w:widowControl w:val="0"/>
              <w:shd w:val="clear" w:color="auto" w:fill="auto"/>
              <w:bidi w:val="0"/>
              <w:spacing w:before="0" w:after="0" w:line="234" w:lineRule="exact"/>
              <w:ind w:left="140" w:right="0" w:firstLine="0"/>
              <w:jc w:val="left"/>
            </w:pPr>
            <w:r>
              <w:rPr>
                <w:b/>
                <w:bCs/>
                <w:color w:val="000000"/>
                <w:spacing w:val="0"/>
                <w:w w:val="100"/>
                <w:position w:val="0"/>
              </w:rPr>
              <w:t>单项金额虽不重 大但单项计提坏 账准备的其他应 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16,939,616.57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203,492.08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b/>
                <w:bCs/>
                <w:color w:val="000000"/>
                <w:spacing w:val="0"/>
                <w:w w:val="100"/>
                <w:position w:val="0"/>
                <w:sz w:val="18"/>
                <w:szCs w:val="18"/>
              </w:rPr>
              <w:t>16,311,320.00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215,265.63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100.00</w:t>
            </w:r>
          </w:p>
        </w:tc>
      </w:tr>
    </w:tbl>
    <w:p>
      <w:pPr>
        <w:pStyle w:val="Style30"/>
        <w:keepNext w:val="0"/>
        <w:keepLines w:val="0"/>
        <w:widowControl w:val="0"/>
        <w:shd w:val="clear" w:color="auto" w:fill="auto"/>
        <w:bidi w:val="0"/>
        <w:spacing w:before="0" w:after="0" w:line="240" w:lineRule="auto"/>
        <w:ind w:left="490" w:right="0" w:firstLine="0"/>
        <w:jc w:val="left"/>
        <w:rPr>
          <w:sz w:val="17"/>
          <w:szCs w:val="17"/>
        </w:rPr>
      </w:pPr>
      <w:r>
        <w:rPr>
          <w:b w:val="0"/>
          <w:bCs w:val="0"/>
          <w:color w:val="000000"/>
          <w:spacing w:val="0"/>
          <w:w w:val="100"/>
          <w:position w:val="0"/>
          <w:sz w:val="17"/>
          <w:szCs w:val="17"/>
        </w:rPr>
        <w:t>注：其他应收款分类确认标准见四、主要会计政策和会计估计和前期会计差错(十一)应收款项。</w:t>
      </w:r>
    </w:p>
    <w:p>
      <w:pPr>
        <w:widowControl w:val="0"/>
        <w:spacing w:after="259" w:line="1" w:lineRule="exact"/>
      </w:pPr>
    </w:p>
    <w:p>
      <w:pPr>
        <w:pStyle w:val="Style55"/>
        <w:keepNext/>
        <w:keepLines/>
        <w:widowControl w:val="0"/>
        <w:shd w:val="clear" w:color="auto" w:fill="auto"/>
        <w:bidi w:val="0"/>
        <w:spacing w:before="0" w:after="80" w:line="240" w:lineRule="auto"/>
        <w:ind w:left="0" w:right="0" w:firstLine="68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r>
        <w:rPr>
          <w:color w:val="000000"/>
          <w:spacing w:val="0"/>
          <w:w w:val="100"/>
          <w:position w:val="0"/>
        </w:rPr>
        <w:t>)单项金额重大并单项计提坏账准备的其他应收款</w:t>
      </w:r>
      <w:bookmarkEnd w:id="805"/>
      <w:bookmarkEnd w:id="806"/>
      <w:bookmarkEnd w:id="807"/>
    </w:p>
    <w:tbl>
      <w:tblPr>
        <w:tblOverlap w:val="never"/>
        <w:jc w:val="center"/>
        <w:tblLayout w:type="fixed"/>
      </w:tblPr>
      <w:tblGrid>
        <w:gridCol w:w="2314"/>
        <w:gridCol w:w="1906"/>
        <w:gridCol w:w="1642"/>
        <w:gridCol w:w="1435"/>
        <w:gridCol w:w="1853"/>
      </w:tblGrid>
      <w:tr>
        <w:trPr>
          <w:trHeight w:val="66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其他应收款内容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计提比例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计提理由</w:t>
            </w: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应收补贴款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2,432,383.76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应收出口退税款， 预计不存在损失。</w:t>
            </w: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2,432,383.76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55"/>
        <w:keepNext/>
        <w:keepLines/>
        <w:widowControl w:val="0"/>
        <w:numPr>
          <w:ilvl w:val="0"/>
          <w:numId w:val="19"/>
        </w:numPr>
        <w:shd w:val="clear" w:color="auto" w:fill="auto"/>
        <w:bidi w:val="0"/>
        <w:spacing w:before="0" w:after="260" w:line="240" w:lineRule="auto"/>
        <w:ind w:left="0" w:right="0" w:firstLine="68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106" w:right="763" w:bottom="1541" w:left="706" w:header="0" w:footer="3" w:gutter="0"/>
          <w:cols w:space="720"/>
          <w:noEndnote/>
          <w:rtlGutter w:val="0"/>
          <w:docGrid w:linePitch="360"/>
        </w:sectPr>
      </w:pPr>
      <w:bookmarkStart w:id="808" w:name="bookmark808"/>
      <w:bookmarkStart w:id="809" w:name="bookmark809"/>
      <w:bookmarkStart w:id="810" w:name="bookmark810"/>
      <w:bookmarkStart w:id="811" w:name="bookmark811"/>
      <w:bookmarkEnd w:id="810"/>
      <w:r>
        <w:rPr>
          <w:color w:val="000000"/>
          <w:spacing w:val="0"/>
          <w:w w:val="100"/>
          <w:position w:val="0"/>
        </w:rPr>
        <w:t>组合中，按账龄分析法计提坏账准备的其他应收款</w:t>
      </w:r>
      <w:bookmarkEnd w:id="808"/>
      <w:bookmarkEnd w:id="809"/>
      <w:bookmarkEnd w:id="811"/>
    </w:p>
    <w:tbl>
      <w:tblPr>
        <w:tblOverlap w:val="never"/>
        <w:jc w:val="center"/>
        <w:tblLayout w:type="fixed"/>
      </w:tblPr>
      <w:tblGrid>
        <w:gridCol w:w="701"/>
        <w:gridCol w:w="922"/>
        <w:gridCol w:w="2050"/>
        <w:gridCol w:w="1286"/>
        <w:gridCol w:w="854"/>
        <w:gridCol w:w="1882"/>
        <w:gridCol w:w="1042"/>
      </w:tblGrid>
      <w:tr>
        <w:trPr>
          <w:trHeight w:val="312"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720" w:hRule="exact"/>
        </w:trPr>
        <w:tc>
          <w:tcPr>
            <w:tcBorders>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账龄</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240"/>
              <w:jc w:val="left"/>
            </w:pPr>
            <w:r>
              <w:rPr>
                <w:b/>
                <w:bCs/>
                <w:color w:val="000000"/>
                <w:spacing w:val="0"/>
                <w:w w:val="100"/>
                <w:position w:val="0"/>
              </w:rPr>
              <w:t>账面余额</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220"/>
              <w:jc w:val="left"/>
            </w:pPr>
            <w:r>
              <w:rPr>
                <w:b/>
                <w:bCs/>
                <w:color w:val="000000"/>
                <w:spacing w:val="0"/>
                <w:w w:val="100"/>
                <w:position w:val="0"/>
              </w:rPr>
              <w:t>账面余额</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bl>
    <w:p>
      <w:pPr>
        <w:widowControl w:val="0"/>
        <w:spacing w:after="59" w:line="1" w:lineRule="exact"/>
      </w:pPr>
    </w:p>
    <w:p>
      <w:pPr>
        <w:widowControl w:val="0"/>
        <w:spacing w:line="1" w:lineRule="exact"/>
      </w:pPr>
    </w:p>
    <w:tbl>
      <w:tblPr>
        <w:tblOverlap w:val="never"/>
        <w:jc w:val="center"/>
        <w:tblLayout w:type="fixed"/>
      </w:tblPr>
      <w:tblGrid>
        <w:gridCol w:w="1416"/>
        <w:gridCol w:w="1723"/>
        <w:gridCol w:w="1229"/>
        <w:gridCol w:w="1402"/>
        <w:gridCol w:w="1546"/>
        <w:gridCol w:w="1061"/>
        <w:gridCol w:w="1171"/>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13,679,776.60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136,797.77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8,537,385.37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146,924.78</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一至二年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725,375.01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36,268.75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320,512.34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16,467.61</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二至三年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307,358.89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49,275.80</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三至四年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94,725.20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28,417.56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1,597.44</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四至五年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五年以上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4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14,507,232.81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203,492.08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9,171,612.60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215,265.63</w:t>
            </w:r>
          </w:p>
        </w:tc>
      </w:tr>
    </w:tbl>
    <w:p>
      <w:pPr>
        <w:widowControl w:val="0"/>
        <w:spacing w:after="279" w:line="1" w:lineRule="exact"/>
      </w:pPr>
    </w:p>
    <w:p>
      <w:pPr>
        <w:pStyle w:val="Style55"/>
        <w:keepNext/>
        <w:keepLines/>
        <w:widowControl w:val="0"/>
        <w:numPr>
          <w:ilvl w:val="0"/>
          <w:numId w:val="19"/>
        </w:numPr>
        <w:shd w:val="clear" w:color="auto" w:fill="auto"/>
        <w:tabs>
          <w:tab w:pos="1006" w:val="left"/>
        </w:tabs>
        <w:bidi w:val="0"/>
        <w:spacing w:before="0" w:after="280" w:line="326" w:lineRule="exact"/>
        <w:ind w:left="0" w:right="0" w:firstLine="480"/>
        <w:jc w:val="both"/>
      </w:pPr>
      <w:bookmarkStart w:id="812" w:name="bookmark812"/>
      <w:bookmarkStart w:id="813" w:name="bookmark813"/>
      <w:bookmarkStart w:id="814" w:name="bookmark814"/>
      <w:bookmarkStart w:id="815" w:name="bookmark815"/>
      <w:bookmarkEnd w:id="814"/>
      <w:r>
        <w:rPr>
          <w:color w:val="000000"/>
          <w:spacing w:val="0"/>
          <w:w w:val="100"/>
          <w:position w:val="0"/>
        </w:rPr>
        <w:t>本报告期，无以前已全额计提坏账准备或计提坏账准备的比例较大，但在本期又全额收回或转 回，或在本期收回或转回比例较大，或通过重组等其他方式收回的其他应收款。</w:t>
      </w:r>
      <w:bookmarkEnd w:id="812"/>
      <w:bookmarkEnd w:id="813"/>
      <w:bookmarkEnd w:id="815"/>
    </w:p>
    <w:p>
      <w:pPr>
        <w:pStyle w:val="Style55"/>
        <w:keepNext/>
        <w:keepLines/>
        <w:widowControl w:val="0"/>
        <w:numPr>
          <w:ilvl w:val="0"/>
          <w:numId w:val="19"/>
        </w:numPr>
        <w:shd w:val="clear" w:color="auto" w:fill="auto"/>
        <w:tabs>
          <w:tab w:pos="968" w:val="left"/>
        </w:tabs>
        <w:bidi w:val="0"/>
        <w:spacing w:before="0" w:line="326" w:lineRule="exact"/>
        <w:ind w:left="0" w:right="0" w:firstLine="480"/>
        <w:jc w:val="both"/>
      </w:pPr>
      <w:bookmarkStart w:id="816" w:name="bookmark816"/>
      <w:bookmarkStart w:id="817" w:name="bookmark817"/>
      <w:bookmarkStart w:id="818" w:name="bookmark818"/>
      <w:bookmarkStart w:id="819" w:name="bookmark819"/>
      <w:bookmarkEnd w:id="818"/>
      <w:r>
        <w:rPr>
          <w:color w:val="000000"/>
          <w:spacing w:val="0"/>
          <w:w w:val="100"/>
          <w:position w:val="0"/>
        </w:rPr>
        <w:t>本报告期，无实际核销的其他应收款。</w:t>
      </w:r>
      <w:bookmarkEnd w:id="816"/>
      <w:bookmarkEnd w:id="817"/>
      <w:bookmarkEnd w:id="819"/>
    </w:p>
    <w:p>
      <w:pPr>
        <w:pStyle w:val="Style55"/>
        <w:keepNext/>
        <w:keepLines/>
        <w:widowControl w:val="0"/>
        <w:numPr>
          <w:ilvl w:val="0"/>
          <w:numId w:val="19"/>
        </w:numPr>
        <w:shd w:val="clear" w:color="auto" w:fill="auto"/>
        <w:bidi w:val="0"/>
        <w:spacing w:before="0" w:after="280" w:line="240" w:lineRule="auto"/>
        <w:ind w:left="0" w:right="0" w:firstLine="600"/>
        <w:jc w:val="left"/>
      </w:pPr>
      <w:bookmarkStart w:id="816" w:name="bookmark816"/>
      <w:bookmarkStart w:id="817" w:name="bookmark817"/>
      <w:bookmarkStart w:id="820" w:name="bookmark820"/>
      <w:bookmarkStart w:id="821" w:name="bookmark821"/>
      <w:bookmarkEnd w:id="820"/>
      <w:r>
        <w:rPr>
          <w:color w:val="000000"/>
          <w:spacing w:val="0"/>
          <w:w w:val="100"/>
          <w:position w:val="0"/>
        </w:rPr>
        <w:t>其他应收款金额前五名单位情况</w:t>
      </w:r>
      <w:bookmarkEnd w:id="816"/>
      <w:bookmarkEnd w:id="817"/>
      <w:bookmarkEnd w:id="821"/>
    </w:p>
    <w:tbl>
      <w:tblPr>
        <w:tblOverlap w:val="never"/>
        <w:jc w:val="center"/>
        <w:tblLayout w:type="fixed"/>
      </w:tblPr>
      <w:tblGrid>
        <w:gridCol w:w="2832"/>
        <w:gridCol w:w="2155"/>
        <w:gridCol w:w="1594"/>
        <w:gridCol w:w="1190"/>
        <w:gridCol w:w="1714"/>
      </w:tblGrid>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rPr>
              <w:t>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款项性质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7"/>
                <w:szCs w:val="17"/>
              </w:rPr>
              <w:t>占其他应收款总 额的比例</w:t>
            </w:r>
            <w:r>
              <w:rPr>
                <w:rFonts w:ascii="Times New Roman" w:eastAsia="Times New Roman" w:hAnsi="Times New Roman" w:cs="Times New Roman"/>
                <w:b/>
                <w:bCs/>
                <w:color w:val="000000"/>
                <w:spacing w:val="0"/>
                <w:w w:val="100"/>
                <w:position w:val="0"/>
                <w:sz w:val="18"/>
                <w:szCs w:val="18"/>
              </w:rPr>
              <w:t>(%)</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应收利息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7,230,666.67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应收股权转让款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4,954,234.17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29.25</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应收出口退税款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2,432,383.76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14.36</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质量保证金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其他应收款第五名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质量保证金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15,457,284.60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91.25</w:t>
            </w:r>
          </w:p>
        </w:tc>
      </w:tr>
    </w:tbl>
    <w:p>
      <w:pPr>
        <w:widowControl w:val="0"/>
        <w:spacing w:after="339" w:line="1" w:lineRule="exact"/>
      </w:pPr>
    </w:p>
    <w:p>
      <w:pPr>
        <w:pStyle w:val="Style55"/>
        <w:keepNext/>
        <w:keepLines/>
        <w:widowControl w:val="0"/>
        <w:numPr>
          <w:ilvl w:val="0"/>
          <w:numId w:val="19"/>
        </w:numPr>
        <w:pBdr>
          <w:top w:val="single" w:sz="4" w:space="0" w:color="auto"/>
        </w:pBdr>
        <w:shd w:val="clear" w:color="auto" w:fill="auto"/>
        <w:bidi w:val="0"/>
        <w:spacing w:before="0" w:line="240" w:lineRule="auto"/>
        <w:ind w:left="0" w:right="0" w:firstLine="600"/>
        <w:jc w:val="left"/>
      </w:pPr>
      <w:bookmarkStart w:id="822" w:name="bookmark822"/>
      <w:bookmarkStart w:id="823" w:name="bookmark823"/>
      <w:bookmarkStart w:id="824" w:name="bookmark824"/>
      <w:bookmarkStart w:id="825" w:name="bookmark825"/>
      <w:bookmarkEnd w:id="824"/>
      <w:r>
        <w:rPr>
          <w:color w:val="000000"/>
          <w:spacing w:val="0"/>
          <w:w w:val="100"/>
          <w:position w:val="0"/>
        </w:rPr>
        <w:t>期末余额中无应收本公司关联方单位款项。</w:t>
      </w:r>
      <w:bookmarkEnd w:id="822"/>
      <w:bookmarkEnd w:id="823"/>
      <w:bookmarkEnd w:id="825"/>
    </w:p>
    <w:p>
      <w:pPr>
        <w:pStyle w:val="Style44"/>
        <w:keepNext/>
        <w:keepLines/>
        <w:widowControl w:val="0"/>
        <w:shd w:val="clear" w:color="auto" w:fill="auto"/>
        <w:bidi w:val="0"/>
        <w:spacing w:before="0" w:line="240" w:lineRule="auto"/>
        <w:ind w:left="0" w:right="0" w:firstLine="48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6</w:t>
      </w:r>
      <w:bookmarkEnd w:id="828"/>
      <w:r>
        <w:rPr>
          <w:color w:val="000000"/>
          <w:spacing w:val="0"/>
          <w:w w:val="100"/>
          <w:position w:val="0"/>
        </w:rPr>
        <w:t>、存货</w:t>
      </w:r>
      <w:bookmarkEnd w:id="826"/>
      <w:bookmarkEnd w:id="827"/>
      <w:bookmarkEnd w:id="829"/>
    </w:p>
    <w:p>
      <w:pPr>
        <w:pStyle w:val="Style55"/>
        <w:keepNext/>
        <w:keepLines/>
        <w:widowControl w:val="0"/>
        <w:shd w:val="clear" w:color="auto" w:fill="auto"/>
        <w:bidi w:val="0"/>
        <w:spacing w:before="0" w:after="280" w:line="240" w:lineRule="auto"/>
        <w:ind w:left="0" w:right="0" w:firstLine="480"/>
        <w:jc w:val="both"/>
      </w:pPr>
      <w:bookmarkStart w:id="830" w:name="bookmark830"/>
      <w:bookmarkStart w:id="831" w:name="bookmark831"/>
      <w:bookmarkStart w:id="832" w:name="bookmark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30"/>
      <w:bookmarkEnd w:id="831"/>
      <w:bookmarkEnd w:id="832"/>
    </w:p>
    <w:tbl>
      <w:tblPr>
        <w:tblOverlap w:val="never"/>
        <w:jc w:val="center"/>
        <w:tblLayout w:type="fixed"/>
      </w:tblPr>
      <w:tblGrid>
        <w:gridCol w:w="1704"/>
        <w:gridCol w:w="1685"/>
        <w:gridCol w:w="1051"/>
        <w:gridCol w:w="1450"/>
        <w:gridCol w:w="1358"/>
        <w:gridCol w:w="1147"/>
        <w:gridCol w:w="1382"/>
      </w:tblGrid>
      <w:tr>
        <w:trPr>
          <w:trHeight w:val="326" w:hRule="exact"/>
        </w:trPr>
        <w:tc>
          <w:tcPr>
            <w:gridSpan w:val="2"/>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项目</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期末数</w:t>
            </w:r>
          </w:p>
        </w:tc>
        <w:tc>
          <w:tcPr>
            <w:gridSpan w:val="3"/>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192" w:hRule="exact"/>
        </w:trPr>
        <w:tc>
          <w:tcPr>
            <w:gridSpan w:val="2"/>
            <w:vMerge/>
            <w:tcBorders/>
            <w:shd w:val="clear" w:color="auto" w:fill="FFFFFF"/>
            <w:vAlign w:val="bottom"/>
          </w:tcPr>
          <w:p>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账面价值</w:t>
            </w:r>
          </w:p>
        </w:tc>
        <w:tc>
          <w:tcPr>
            <w:gridSpan w:val="3"/>
            <w:vMerge/>
            <w:tcBorders/>
            <w:shd w:val="clear" w:color="auto" w:fill="FFFFFF"/>
            <w:vAlign w:val="center"/>
          </w:tcPr>
          <w:p>
            <w:pP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账面余额</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账面价值</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41,299,825.74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41,299,825.74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35,197,990.55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35,197,990.55</w:t>
            </w:r>
          </w:p>
        </w:tc>
      </w:tr>
      <w:tr>
        <w:trPr>
          <w:trHeight w:val="4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1,870,271.89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1,870,271.89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2,031,087.98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2,031,087.98</w:t>
            </w: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106" w:right="763" w:bottom="1541" w:left="706" w:header="0" w:footer="3" w:gutter="0"/>
          <w:cols w:space="720"/>
          <w:noEndnote/>
          <w:rtlGutter w:val="0"/>
          <w:docGrid w:linePitch="360"/>
        </w:sectPr>
      </w:pPr>
    </w:p>
    <w:tbl>
      <w:tblPr>
        <w:tblOverlap w:val="never"/>
        <w:jc w:val="center"/>
        <w:tblLayout w:type="fixed"/>
      </w:tblPr>
      <w:tblGrid>
        <w:gridCol w:w="1646"/>
        <w:gridCol w:w="1762"/>
        <w:gridCol w:w="2429"/>
        <w:gridCol w:w="1426"/>
        <w:gridCol w:w="1181"/>
        <w:gridCol w:w="1243"/>
      </w:tblGrid>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11,451,798.30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11,451,798.30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6,755,425.49</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6,755,425.49</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84,799,495.92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84,799,495.92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94,219,719.44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536,490.00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93,683,229.44</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57,072,728.94</w:t>
            </w:r>
          </w:p>
        </w:tc>
        <w:tc>
          <w:tcPr>
            <w:tcBorders/>
            <w:shd w:val="clear" w:color="auto" w:fill="FFFFFF"/>
            <w:vAlign w:val="bottom"/>
          </w:tcPr>
          <w:p>
            <w:pPr>
              <w:pStyle w:val="Style2"/>
              <w:keepNext w:val="0"/>
              <w:keepLines w:val="0"/>
              <w:widowControl w:val="0"/>
              <w:shd w:val="clear" w:color="auto" w:fill="auto"/>
              <w:tabs>
                <w:tab w:pos="104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55,134.69</w:t>
              <w:tab/>
              <w:t>57,017,594.25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48,574,880.19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168,587.31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48,406,292.88</w:t>
            </w:r>
          </w:p>
        </w:tc>
      </w:tr>
    </w:tbl>
    <w:p>
      <w:pPr>
        <w:widowControl w:val="0"/>
        <w:spacing w:after="199" w:line="1" w:lineRule="exact"/>
      </w:pPr>
    </w:p>
    <w:tbl>
      <w:tblPr>
        <w:tblOverlap w:val="never"/>
        <w:jc w:val="center"/>
        <w:tblLayout w:type="fixed"/>
      </w:tblPr>
      <w:tblGrid>
        <w:gridCol w:w="1968"/>
        <w:gridCol w:w="1435"/>
        <w:gridCol w:w="2386"/>
        <w:gridCol w:w="1469"/>
        <w:gridCol w:w="2424"/>
      </w:tblGrid>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18,614,021.55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18,614,021.55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17,441,318.82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17,441,318.82</w:t>
            </w:r>
          </w:p>
        </w:tc>
      </w:tr>
      <w:tr>
        <w:trPr>
          <w:trHeight w:val="658" w:hRule="exact"/>
        </w:trPr>
        <w:tc>
          <w:tcPr>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未验收设计服务的项目 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536,730.60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536,730.60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3,907,515.64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3,907,515.64</w:t>
            </w:r>
          </w:p>
        </w:tc>
      </w:tr>
      <w:tr>
        <w:trPr>
          <w:trHeight w:val="50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835,249.32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835,249.32</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3,462,935.79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3,462,935.79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219,107,808.73</w:t>
            </w:r>
          </w:p>
        </w:tc>
        <w:tc>
          <w:tcPr>
            <w:tcBorders/>
            <w:shd w:val="clear" w:color="auto" w:fill="FFFFFF"/>
            <w:vAlign w:val="bottom"/>
          </w:tcPr>
          <w:p>
            <w:pPr>
              <w:pStyle w:val="Style2"/>
              <w:keepNext w:val="0"/>
              <w:keepLines w:val="0"/>
              <w:widowControl w:val="0"/>
              <w:shd w:val="clear" w:color="auto" w:fill="auto"/>
              <w:tabs>
                <w:tab w:pos="946" w:val="left"/>
              </w:tabs>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55,134.69</w:t>
              <w:tab/>
              <w:t>219,052,674.04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b/>
                <w:bCs/>
                <w:color w:val="000000"/>
                <w:spacing w:val="0"/>
                <w:w w:val="100"/>
                <w:position w:val="0"/>
                <w:sz w:val="18"/>
                <w:szCs w:val="18"/>
              </w:rPr>
              <w:t>208,963,187.43</w:t>
            </w:r>
          </w:p>
        </w:tc>
        <w:tc>
          <w:tcPr>
            <w:tcBorders/>
            <w:shd w:val="clear" w:color="auto" w:fill="FFFFFF"/>
            <w:vAlign w:val="bottom"/>
          </w:tcPr>
          <w:p>
            <w:pPr>
              <w:pStyle w:val="Style2"/>
              <w:keepNext w:val="0"/>
              <w:keepLines w:val="0"/>
              <w:widowControl w:val="0"/>
              <w:shd w:val="clear" w:color="auto" w:fill="auto"/>
              <w:tabs>
                <w:tab w:pos="1085" w:val="left"/>
              </w:tabs>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705,077.31</w:t>
              <w:tab/>
              <w:t>208,258,110.12</w:t>
            </w:r>
          </w:p>
        </w:tc>
      </w:tr>
    </w:tbl>
    <w:p>
      <w:pPr>
        <w:widowControl w:val="0"/>
        <w:spacing w:after="419" w:line="1" w:lineRule="exact"/>
      </w:pPr>
    </w:p>
    <w:tbl>
      <w:tblPr>
        <w:tblOverlap w:val="never"/>
        <w:jc w:val="center"/>
        <w:tblLayout w:type="fixed"/>
      </w:tblPr>
      <w:tblGrid>
        <w:gridCol w:w="1224"/>
        <w:gridCol w:w="8707"/>
      </w:tblGrid>
      <w:tr>
        <w:trPr>
          <w:trHeight w:val="57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存货种类</w:t>
            </w:r>
          </w:p>
        </w:tc>
        <w:tc>
          <w:tcPr>
            <w:tcBorders>
              <w:top w:val="single" w:sz="4"/>
            </w:tcBorders>
            <w:shd w:val="clear" w:color="auto" w:fill="FFFFFF"/>
            <w:vAlign w:val="center"/>
          </w:tcPr>
          <w:p>
            <w:pPr>
              <w:pStyle w:val="Style2"/>
              <w:keepNext w:val="0"/>
              <w:keepLines w:val="0"/>
              <w:widowControl w:val="0"/>
              <w:shd w:val="clear" w:color="auto" w:fill="auto"/>
              <w:tabs>
                <w:tab w:pos="2040" w:val="left"/>
              </w:tabs>
              <w:bidi w:val="0"/>
              <w:spacing w:before="0" w:after="0" w:line="240" w:lineRule="auto"/>
              <w:ind w:left="0" w:right="0" w:firstLine="0"/>
              <w:jc w:val="center"/>
            </w:pPr>
            <w:r>
              <w:rPr>
                <w:b/>
                <w:bCs/>
                <w:color w:val="000000"/>
                <w:spacing w:val="0"/>
                <w:w w:val="100"/>
                <w:position w:val="0"/>
              </w:rPr>
              <w:t>其中：本期计</w:t>
              <w:tab/>
              <w:t>本期减少</w:t>
            </w:r>
          </w:p>
          <w:p>
            <w:pPr>
              <w:pStyle w:val="Style2"/>
              <w:keepNext w:val="0"/>
              <w:keepLines w:val="0"/>
              <w:widowControl w:val="0"/>
              <w:shd w:val="clear" w:color="auto" w:fill="auto"/>
              <w:tabs>
                <w:tab w:pos="2018" w:val="left"/>
                <w:tab w:pos="7236" w:val="left"/>
              </w:tabs>
              <w:bidi w:val="0"/>
              <w:spacing w:before="0" w:after="0" w:line="240" w:lineRule="auto"/>
              <w:ind w:left="0" w:right="0" w:firstLine="540"/>
              <w:jc w:val="left"/>
            </w:pPr>
            <w:r>
              <w:rPr>
                <w:b/>
                <w:bCs/>
                <w:color w:val="000000"/>
                <w:spacing w:val="0"/>
                <w:w w:val="100"/>
                <w:position w:val="0"/>
              </w:rPr>
              <w:t>年初账面余额</w:t>
              <w:tab/>
              <w:t>本期增加额</w:t>
              <w:tab/>
              <w:t>期末账面余额</w:t>
            </w:r>
          </w:p>
          <w:p>
            <w:pPr>
              <w:pStyle w:val="Style2"/>
              <w:keepNext w:val="0"/>
              <w:keepLines w:val="0"/>
              <w:widowControl w:val="0"/>
              <w:shd w:val="clear" w:color="auto" w:fill="auto"/>
              <w:tabs>
                <w:tab w:pos="4885" w:val="left"/>
                <w:tab w:pos="6142" w:val="left"/>
              </w:tabs>
              <w:bidi w:val="0"/>
              <w:spacing w:before="0" w:after="0" w:line="240" w:lineRule="auto"/>
              <w:ind w:left="3560" w:right="0" w:firstLine="0"/>
              <w:jc w:val="left"/>
            </w:pPr>
            <w:r>
              <w:rPr>
                <w:b/>
                <w:bCs/>
                <w:color w:val="000000"/>
                <w:spacing w:val="0"/>
                <w:w w:val="100"/>
                <w:position w:val="0"/>
              </w:rPr>
              <w:t>提额</w:t>
              <w:tab/>
              <w:t>转回</w:t>
              <w:tab/>
              <w:t>转销</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在产品</w:t>
            </w:r>
          </w:p>
        </w:tc>
        <w:tc>
          <w:tcPr>
            <w:tcBorders>
              <w:top w:val="single" w:sz="4"/>
            </w:tcBorders>
            <w:shd w:val="clear" w:color="auto" w:fill="FFFFFF"/>
            <w:vAlign w:val="center"/>
          </w:tcPr>
          <w:p>
            <w:pPr>
              <w:pStyle w:val="Style2"/>
              <w:keepNext w:val="0"/>
              <w:keepLines w:val="0"/>
              <w:widowControl w:val="0"/>
              <w:shd w:val="clear" w:color="auto" w:fill="auto"/>
              <w:tabs>
                <w:tab w:pos="5986" w:val="left"/>
              </w:tabs>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536,490.00</w:t>
              <w:tab/>
              <w:t>536,490.00</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产成品</w:t>
            </w:r>
          </w:p>
        </w:tc>
        <w:tc>
          <w:tcPr>
            <w:tcBorders/>
            <w:shd w:val="clear" w:color="auto" w:fill="FFFFFF"/>
            <w:vAlign w:val="center"/>
          </w:tcPr>
          <w:p>
            <w:pPr>
              <w:pStyle w:val="Style2"/>
              <w:keepNext w:val="0"/>
              <w:keepLines w:val="0"/>
              <w:widowControl w:val="0"/>
              <w:shd w:val="clear" w:color="auto" w:fill="auto"/>
              <w:tabs>
                <w:tab w:pos="5995" w:val="left"/>
                <w:tab w:pos="7834" w:val="left"/>
              </w:tabs>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168,587.31</w:t>
              <w:tab/>
              <w:t>113,452.62</w:t>
              <w:tab/>
              <w:t>55,134.69</w:t>
            </w:r>
          </w:p>
        </w:tc>
      </w:tr>
      <w:tr>
        <w:trPr>
          <w:trHeight w:val="437"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tabs>
                <w:tab w:pos="5986" w:val="left"/>
                <w:tab w:pos="7843" w:val="left"/>
              </w:tabs>
              <w:bidi w:val="0"/>
              <w:spacing w:before="0" w:after="0" w:line="240" w:lineRule="auto"/>
              <w:ind w:left="0" w:right="0" w:firstLine="960"/>
              <w:jc w:val="left"/>
              <w:rPr>
                <w:sz w:val="18"/>
                <w:szCs w:val="18"/>
              </w:rPr>
            </w:pPr>
            <w:r>
              <w:rPr>
                <w:rFonts w:ascii="Times New Roman" w:eastAsia="Times New Roman" w:hAnsi="Times New Roman" w:cs="Times New Roman"/>
                <w:b/>
                <w:bCs/>
                <w:color w:val="000000"/>
                <w:spacing w:val="0"/>
                <w:w w:val="100"/>
                <w:position w:val="0"/>
                <w:sz w:val="18"/>
                <w:szCs w:val="18"/>
              </w:rPr>
              <w:t>705,077.31</w:t>
              <w:tab/>
              <w:t>649,942.62</w:t>
              <w:tab/>
              <w:t>55,134.69</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56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7</w:t>
      </w:r>
      <w:bookmarkEnd w:id="835"/>
      <w:r>
        <w:rPr>
          <w:color w:val="000000"/>
          <w:spacing w:val="0"/>
          <w:w w:val="100"/>
          <w:position w:val="0"/>
        </w:rPr>
        <w:t>、长期股权投资</w:t>
      </w:r>
      <w:bookmarkEnd w:id="833"/>
      <w:bookmarkEnd w:id="834"/>
      <w:bookmarkEnd w:id="836"/>
    </w:p>
    <w:tbl>
      <w:tblPr>
        <w:tblOverlap w:val="never"/>
        <w:jc w:val="center"/>
        <w:tblLayout w:type="fixed"/>
      </w:tblPr>
      <w:tblGrid>
        <w:gridCol w:w="2040"/>
        <w:gridCol w:w="1502"/>
        <w:gridCol w:w="1776"/>
        <w:gridCol w:w="1454"/>
        <w:gridCol w:w="1541"/>
        <w:gridCol w:w="1618"/>
      </w:tblGrid>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被投资单位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核算方法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投资成本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 w:right="0" w:firstLine="0"/>
              <w:jc w:val="center"/>
            </w:pPr>
            <w:r>
              <w:rPr>
                <w:b/>
                <w:bCs/>
                <w:color w:val="000000"/>
                <w:spacing w:val="0"/>
                <w:w w:val="100"/>
                <w:position w:val="0"/>
              </w:rPr>
              <w:t>增减变动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21" w:lineRule="exact"/>
              <w:ind w:left="140" w:right="0" w:firstLine="0"/>
              <w:jc w:val="left"/>
            </w:pPr>
            <w:r>
              <w:rPr>
                <w:color w:val="000000"/>
                <w:spacing w:val="0"/>
                <w:w w:val="100"/>
                <w:position w:val="0"/>
              </w:rPr>
              <w:t>九江佳华压电晶体 材料有限公司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1,937,018.72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1,550,563.00</w:t>
            </w: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易程科技股份有限 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成本法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50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5,550,000.00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4,937,018.72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-386,455.72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4,550,563.00</w:t>
            </w:r>
          </w:p>
        </w:tc>
      </w:tr>
    </w:tbl>
    <w:p>
      <w:pPr>
        <w:widowControl w:val="0"/>
        <w:spacing w:after="239" w:line="1" w:lineRule="exact"/>
      </w:pPr>
    </w:p>
    <w:p>
      <w:pPr>
        <w:pStyle w:val="Style55"/>
        <w:keepNext/>
        <w:keepLines/>
        <w:widowControl w:val="0"/>
        <w:pBdr>
          <w:bottom w:val="single" w:sz="4" w:space="0" w:color="auto"/>
        </w:pBdr>
        <w:shd w:val="clear" w:color="auto" w:fill="auto"/>
        <w:bidi w:val="0"/>
        <w:spacing w:before="0" w:after="100" w:line="240" w:lineRule="auto"/>
        <w:ind w:left="0" w:right="0" w:firstLine="680"/>
        <w:jc w:val="left"/>
      </w:pPr>
      <w:bookmarkStart w:id="837" w:name="bookmark837"/>
      <w:bookmarkStart w:id="838" w:name="bookmark838"/>
      <w:bookmarkStart w:id="839" w:name="bookmark839"/>
      <w:r>
        <w:rPr>
          <w:color w:val="000000"/>
          <w:spacing w:val="0"/>
          <w:w w:val="100"/>
          <w:position w:val="0"/>
          <w:u w:val="single"/>
        </w:rPr>
        <w:t>(续上表)</w:t>
      </w:r>
      <w:bookmarkEnd w:id="837"/>
      <w:bookmarkEnd w:id="838"/>
      <w:bookmarkEnd w:id="839"/>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在被投资单位</w:t>
      </w:r>
    </w:p>
    <w:tbl>
      <w:tblPr>
        <w:tblOverlap w:val="never"/>
        <w:jc w:val="center"/>
        <w:tblLayout w:type="fixed"/>
      </w:tblPr>
      <w:tblGrid>
        <w:gridCol w:w="1882"/>
        <w:gridCol w:w="1363"/>
        <w:gridCol w:w="1574"/>
        <w:gridCol w:w="1469"/>
        <w:gridCol w:w="2400"/>
        <w:gridCol w:w="1243"/>
      </w:tblGrid>
      <w:tr>
        <w:trPr>
          <w:trHeight w:val="70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80"/>
              <w:jc w:val="left"/>
            </w:pPr>
            <w:r>
              <w:rPr>
                <w:b/>
                <w:bCs/>
                <w:color w:val="000000"/>
                <w:spacing w:val="0"/>
                <w:w w:val="100"/>
                <w:position w:val="0"/>
              </w:rPr>
              <w:t>被投资单位</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7"/>
                <w:szCs w:val="17"/>
              </w:rPr>
              <w:t>在被投资单位 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在被投资单位表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持股比例与表 决权比例不一 致的说明</w:t>
            </w:r>
          </w:p>
        </w:tc>
        <w:tc>
          <w:tcPr>
            <w:tcBorders/>
            <w:shd w:val="clear" w:color="auto" w:fill="FFFFFF"/>
            <w:vAlign w:val="top"/>
          </w:tcPr>
          <w:p>
            <w:pPr>
              <w:pStyle w:val="Style2"/>
              <w:keepNext w:val="0"/>
              <w:keepLines w:val="0"/>
              <w:widowControl w:val="0"/>
              <w:shd w:val="clear" w:color="auto" w:fill="auto"/>
              <w:tabs>
                <w:tab w:pos="1282" w:val="left"/>
              </w:tabs>
              <w:bidi w:val="0"/>
              <w:spacing w:before="0" w:after="0" w:line="230" w:lineRule="exact"/>
              <w:ind w:left="0" w:right="0" w:firstLine="0"/>
              <w:jc w:val="center"/>
            </w:pPr>
            <w:r>
              <w:rPr>
                <w:b/>
                <w:bCs/>
                <w:color w:val="000000"/>
                <w:spacing w:val="0"/>
                <w:w w:val="100"/>
                <w:position w:val="0"/>
              </w:rPr>
              <w:t>本期计提减 减值准备</w:t>
              <w:tab/>
              <w:t>值准备</w:t>
            </w:r>
          </w:p>
        </w:tc>
        <w:tc>
          <w:tcPr>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本期现金红 利</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140" w:right="0" w:firstLine="0"/>
              <w:jc w:val="left"/>
            </w:pPr>
            <w:r>
              <w:rPr>
                <w:color w:val="000000"/>
                <w:spacing w:val="0"/>
                <w:w w:val="100"/>
                <w:position w:val="0"/>
              </w:rPr>
              <w:t>九江佳华压电晶体 材料有限公司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140" w:right="0" w:firstLine="0"/>
              <w:jc w:val="left"/>
            </w:pPr>
            <w:r>
              <w:rPr>
                <w:color w:val="000000"/>
                <w:spacing w:val="0"/>
                <w:w w:val="100"/>
                <w:position w:val="0"/>
              </w:rPr>
              <w:t>易程科技股份有限</w:t>
            </w:r>
          </w:p>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56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8</w:t>
      </w:r>
      <w:bookmarkEnd w:id="842"/>
      <w:r>
        <w:rPr>
          <w:color w:val="000000"/>
          <w:spacing w:val="0"/>
          <w:w w:val="100"/>
          <w:position w:val="0"/>
        </w:rPr>
        <w:t>、固定资产</w:t>
      </w:r>
      <w:bookmarkEnd w:id="840"/>
      <w:bookmarkEnd w:id="841"/>
      <w:bookmarkEnd w:id="843"/>
    </w:p>
    <w:p>
      <w:pPr>
        <w:pStyle w:val="Style55"/>
        <w:keepNext/>
        <w:keepLines/>
        <w:widowControl w:val="0"/>
        <w:shd w:val="clear" w:color="auto" w:fill="auto"/>
        <w:bidi w:val="0"/>
        <w:spacing w:before="0" w:after="640" w:line="240" w:lineRule="auto"/>
        <w:ind w:left="0" w:right="0" w:firstLine="560"/>
        <w:jc w:val="left"/>
      </w:pPr>
      <w:bookmarkStart w:id="844" w:name="bookmark844"/>
      <w:bookmarkStart w:id="845" w:name="bookmark845"/>
      <w:bookmarkStart w:id="846" w:name="bookmark846"/>
      <w:r>
        <w:rPr>
          <w:color w:val="000000"/>
          <w:spacing w:val="0"/>
          <w:w w:val="100"/>
          <w:position w:val="0"/>
        </w:rPr>
        <w:t>固定资产情况</w:t>
      </w:r>
      <w:bookmarkEnd w:id="844"/>
      <w:bookmarkEnd w:id="845"/>
      <w:bookmarkEnd w:id="846"/>
    </w:p>
    <w:p>
      <w:pPr>
        <w:widowControl w:val="0"/>
        <w:jc w:val="center"/>
        <w:rPr>
          <w:sz w:val="2"/>
          <w:szCs w:val="2"/>
        </w:r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561" w:right="994" w:bottom="125" w:left="975" w:header="0" w:footer="3" w:gutter="0"/>
          <w:cols w:space="720"/>
          <w:noEndnote/>
          <w:rtlGutter w:val="0"/>
          <w:docGrid w:linePitch="360"/>
        </w:sectPr>
      </w:pPr>
      <w:r>
        <w:drawing>
          <wp:inline>
            <wp:extent cx="1718945" cy="981710"/>
            <wp:docPr id="643" name="Picutre 643"/>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03"/>
                    <a:stretch/>
                  </pic:blipFill>
                  <pic:spPr>
                    <a:xfrm>
                      <a:ext cx="1718945" cy="981710"/>
                    </a:xfrm>
                    <a:prstGeom prst="rect"/>
                  </pic:spPr>
                </pic:pic>
              </a:graphicData>
            </a:graphic>
          </wp:inline>
        </w:drawing>
      </w:r>
    </w:p>
    <w:tbl>
      <w:tblPr>
        <w:tblOverlap w:val="never"/>
        <w:jc w:val="center"/>
        <w:tblLayout w:type="fixed"/>
      </w:tblPr>
      <w:tblGrid>
        <w:gridCol w:w="2760"/>
        <w:gridCol w:w="2165"/>
        <w:gridCol w:w="1694"/>
        <w:gridCol w:w="1675"/>
        <w:gridCol w:w="1430"/>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原价合计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582,067,830.65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48,761,383.65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2,981,983.06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627,847,231.24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109,297,082.22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4,930,366.41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114,227,448.63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322,655,171.85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34,266,008.71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556,706.38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356,364,474.18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运输设备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5,578,433.51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2,797,752.00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404,730.00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7,971,455.51</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144,537,143.07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6,767,256.53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2,020,546.68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149,283,852.92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累计折旧合计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280,167,886.53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42,279,828.26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2,658,855.32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319,788,859.47</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19,782,864.17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2,948,053.37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22,730,917.54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141,149,046.01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31,434,097.86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509,529.82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172,073,614.05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运输设备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3,554,220.61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646,987.02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347,110.95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3,854,096.68</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115,681,755.74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7,250,690.01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1,802,214.55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121,130,231.20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固定资产减值准备合计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1,191,383.02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35,143.64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1,156,239.38</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85,923.00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85,923.00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595,500.77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8,669.57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586,831.20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运输设备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509,959.25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26,474.07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483,485.18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固定资产账面价值合计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300,708,561.10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306,902,132.39</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89,428,295.05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91,410,608.09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180,910,625.07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183,704,028.93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运输设备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2,024,212.90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4,117,358.83</w:t>
            </w: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电子设备</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28,345,428.08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27,670,136.54</w:t>
            </w:r>
          </w:p>
        </w:tc>
      </w:tr>
    </w:tbl>
    <w:p>
      <w:pPr>
        <w:widowControl w:val="0"/>
        <w:spacing w:after="119" w:line="1" w:lineRule="exact"/>
      </w:pPr>
    </w:p>
    <w:p>
      <w:pPr>
        <w:pStyle w:val="Style72"/>
        <w:keepNext w:val="0"/>
        <w:keepLines w:val="0"/>
        <w:widowControl w:val="0"/>
        <w:shd w:val="clear" w:color="auto" w:fill="auto"/>
        <w:bidi w:val="0"/>
        <w:spacing w:before="0" w:after="40" w:line="245" w:lineRule="exact"/>
        <w:ind w:left="0" w:right="0" w:firstLine="60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）：本期固定资产原价增加中由在建工程转入</w:t>
      </w:r>
      <w:r>
        <w:rPr>
          <w:rFonts w:ascii="Times New Roman" w:eastAsia="Times New Roman" w:hAnsi="Times New Roman" w:cs="Times New Roman"/>
          <w:b w:val="0"/>
          <w:bCs w:val="0"/>
          <w:color w:val="000000"/>
          <w:spacing w:val="0"/>
          <w:w w:val="100"/>
          <w:position w:val="0"/>
          <w:sz w:val="18"/>
          <w:szCs w:val="18"/>
        </w:rPr>
        <w:t>67,967.40</w:t>
      </w:r>
      <w:r>
        <w:rPr>
          <w:b w:val="0"/>
          <w:bCs w:val="0"/>
          <w:color w:val="000000"/>
          <w:spacing w:val="0"/>
          <w:w w:val="100"/>
          <w:position w:val="0"/>
        </w:rPr>
        <w:t>元。</w:t>
      </w:r>
    </w:p>
    <w:p>
      <w:pPr>
        <w:pStyle w:val="Style74"/>
        <w:keepNext w:val="0"/>
        <w:keepLines w:val="0"/>
        <w:widowControl w:val="0"/>
        <w:shd w:val="clear" w:color="auto" w:fill="auto"/>
        <w:bidi w:val="0"/>
        <w:spacing w:before="0" w:after="40" w:line="245" w:lineRule="exact"/>
        <w:ind w:left="0" w:right="0" w:firstLine="600"/>
        <w:jc w:val="left"/>
        <w:rPr>
          <w:sz w:val="17"/>
          <w:szCs w:val="17"/>
        </w:rPr>
      </w:pPr>
      <w:r>
        <w:rPr>
          <w:rFonts w:ascii="SimSun" w:eastAsia="SimSun" w:hAnsi="SimSun" w:cs="SimSun"/>
          <w:b w:val="0"/>
          <w:bCs w:val="0"/>
          <w:color w:val="000000"/>
          <w:spacing w:val="0"/>
          <w:w w:val="100"/>
          <w:position w:val="0"/>
          <w:sz w:val="17"/>
          <w:szCs w:val="17"/>
        </w:rPr>
        <w:t>注（</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）：本期计提折旧</w:t>
      </w:r>
      <w:r>
        <w:rPr>
          <w:b w:val="0"/>
          <w:bCs w:val="0"/>
          <w:color w:val="000000"/>
          <w:spacing w:val="0"/>
          <w:w w:val="100"/>
          <w:position w:val="0"/>
          <w:sz w:val="18"/>
          <w:szCs w:val="18"/>
        </w:rPr>
        <w:t>42,279,828.26</w:t>
      </w:r>
      <w:r>
        <w:rPr>
          <w:rFonts w:ascii="SimSun" w:eastAsia="SimSun" w:hAnsi="SimSun" w:cs="SimSun"/>
          <w:b w:val="0"/>
          <w:bCs w:val="0"/>
          <w:color w:val="000000"/>
          <w:spacing w:val="0"/>
          <w:w w:val="100"/>
          <w:position w:val="0"/>
          <w:sz w:val="17"/>
          <w:szCs w:val="17"/>
        </w:rPr>
        <w:t>元。</w:t>
      </w:r>
    </w:p>
    <w:p>
      <w:pPr>
        <w:pStyle w:val="Style72"/>
        <w:keepNext w:val="0"/>
        <w:keepLines w:val="0"/>
        <w:widowControl w:val="0"/>
        <w:shd w:val="clear" w:color="auto" w:fill="auto"/>
        <w:bidi w:val="0"/>
        <w:spacing w:before="0" w:after="300" w:line="245" w:lineRule="exact"/>
        <w:ind w:left="0" w:right="0" w:firstLine="60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）：本期减少固定资产原值</w:t>
      </w:r>
      <w:r>
        <w:rPr>
          <w:rFonts w:ascii="Times New Roman" w:eastAsia="Times New Roman" w:hAnsi="Times New Roman" w:cs="Times New Roman"/>
          <w:b w:val="0"/>
          <w:bCs w:val="0"/>
          <w:color w:val="000000"/>
          <w:spacing w:val="0"/>
          <w:w w:val="100"/>
          <w:position w:val="0"/>
          <w:sz w:val="18"/>
          <w:szCs w:val="18"/>
        </w:rPr>
        <w:t>2,981,983.06</w:t>
      </w:r>
      <w:r>
        <w:rPr>
          <w:b w:val="0"/>
          <w:bCs w:val="0"/>
          <w:color w:val="000000"/>
          <w:spacing w:val="0"/>
          <w:w w:val="100"/>
          <w:position w:val="0"/>
        </w:rPr>
        <w:t>元，累计折旧</w:t>
      </w:r>
      <w:r>
        <w:rPr>
          <w:rFonts w:ascii="Times New Roman" w:eastAsia="Times New Roman" w:hAnsi="Times New Roman" w:cs="Times New Roman"/>
          <w:b w:val="0"/>
          <w:bCs w:val="0"/>
          <w:color w:val="000000"/>
          <w:spacing w:val="0"/>
          <w:w w:val="100"/>
          <w:position w:val="0"/>
          <w:sz w:val="18"/>
          <w:szCs w:val="18"/>
        </w:rPr>
        <w:t>2,658,855.32</w:t>
      </w:r>
      <w:r>
        <w:rPr>
          <w:b w:val="0"/>
          <w:bCs w:val="0"/>
          <w:color w:val="000000"/>
          <w:spacing w:val="0"/>
          <w:w w:val="100"/>
          <w:position w:val="0"/>
        </w:rPr>
        <w:t>元，系本期固定资产报废处置及处置子公司 晶源健三所致。</w:t>
      </w:r>
    </w:p>
    <w:p>
      <w:pPr>
        <w:pStyle w:val="Style44"/>
        <w:keepNext/>
        <w:keepLines/>
        <w:widowControl w:val="0"/>
        <w:shd w:val="clear" w:color="auto" w:fill="auto"/>
        <w:bidi w:val="0"/>
        <w:spacing w:before="0" w:after="380" w:line="240" w:lineRule="auto"/>
        <w:ind w:left="0" w:right="0" w:firstLine="44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9</w:t>
      </w:r>
      <w:bookmarkEnd w:id="849"/>
      <w:r>
        <w:rPr>
          <w:color w:val="000000"/>
          <w:spacing w:val="0"/>
          <w:w w:val="100"/>
          <w:position w:val="0"/>
        </w:rPr>
        <w:t>、在建工程</w:t>
      </w:r>
      <w:bookmarkEnd w:id="847"/>
      <w:bookmarkEnd w:id="848"/>
      <w:bookmarkEnd w:id="850"/>
    </w:p>
    <w:p>
      <w:pPr>
        <w:pStyle w:val="Style55"/>
        <w:keepNext/>
        <w:keepLines/>
        <w:widowControl w:val="0"/>
        <w:pBdr>
          <w:bottom w:val="single" w:sz="4" w:space="0" w:color="auto"/>
        </w:pBdr>
        <w:shd w:val="clear" w:color="auto" w:fill="auto"/>
        <w:bidi w:val="0"/>
        <w:spacing w:before="0" w:after="300" w:line="240" w:lineRule="auto"/>
        <w:ind w:left="0" w:right="0" w:firstLine="440"/>
        <w:jc w:val="left"/>
      </w:pPr>
      <w:bookmarkStart w:id="851" w:name="bookmark851"/>
      <w:bookmarkStart w:id="852" w:name="bookmark852"/>
      <w:bookmarkStart w:id="853" w:name="bookmark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）在建工程明细</w:t>
      </w:r>
      <w:bookmarkEnd w:id="851"/>
      <w:bookmarkEnd w:id="852"/>
      <w:bookmarkEnd w:id="853"/>
    </w:p>
    <w:tbl>
      <w:tblPr>
        <w:tblOverlap w:val="never"/>
        <w:jc w:val="center"/>
        <w:tblLayout w:type="fixed"/>
      </w:tblPr>
      <w:tblGrid>
        <w:gridCol w:w="1709"/>
        <w:gridCol w:w="1382"/>
        <w:gridCol w:w="1200"/>
        <w:gridCol w:w="1541"/>
        <w:gridCol w:w="1354"/>
        <w:gridCol w:w="1162"/>
        <w:gridCol w:w="1349"/>
      </w:tblGrid>
      <w:tr>
        <w:trPr>
          <w:trHeight w:val="211"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项目</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197" w:hRule="exact"/>
        </w:trPr>
        <w:tc>
          <w:tcPr>
            <w:vMerge/>
            <w:tcBorders/>
            <w:shd w:val="clear" w:color="auto" w:fill="FFFFFF"/>
            <w:vAlign w:val="center"/>
          </w:tcPr>
          <w:p>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账面余额</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减值准备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账面净值</w:t>
            </w:r>
          </w:p>
        </w:tc>
        <w:tc>
          <w:tcPr>
            <w:gridSpan w:val="3"/>
            <w:vMerge/>
            <w:tcBorders/>
            <w:shd w:val="clear" w:color="auto" w:fill="FFFFFF"/>
            <w:vAlign w:val="top"/>
          </w:tcPr>
          <w:p>
            <w:pPr/>
          </w:p>
        </w:tc>
      </w:tr>
      <w:tr>
        <w:trPr>
          <w:trHeight w:val="29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账面净值</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振荡器扩产项目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6,224,893.50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6,224,893.50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衬底材料蓝宝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石晶片产业化一期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38,703,701.39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38,703,701.39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35,683,804.11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35,683,804.11</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44,928,594.89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44,928,594.89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35,683,804.11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35,683,804.11</w:t>
            </w:r>
          </w:p>
        </w:tc>
      </w:tr>
    </w:tbl>
    <w:p>
      <w:pPr>
        <w:sectPr>
          <w:footnotePr>
            <w:pos w:val="pageBottom"/>
            <w:numFmt w:val="decimal"/>
            <w:numRestart w:val="continuous"/>
          </w:footnotePr>
          <w:pgSz w:w="11900" w:h="16840"/>
          <w:pgMar w:top="1441" w:right="1001" w:bottom="1441" w:left="991" w:header="0" w:footer="3" w:gutter="0"/>
          <w:cols w:space="720"/>
          <w:noEndnote/>
          <w:rtlGutter w:val="0"/>
          <w:docGrid w:linePitch="360"/>
        </w:sectPr>
      </w:pPr>
    </w:p>
    <w:p>
      <w:pPr>
        <w:pStyle w:val="Style55"/>
        <w:keepNext/>
        <w:keepLines/>
        <w:widowControl w:val="0"/>
        <w:shd w:val="clear" w:color="auto" w:fill="auto"/>
        <w:bidi w:val="0"/>
        <w:spacing w:before="0" w:after="320" w:line="240" w:lineRule="auto"/>
        <w:ind w:left="0" w:right="0" w:firstLine="620"/>
        <w:jc w:val="left"/>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54"/>
      <w:bookmarkEnd w:id="855"/>
      <w:bookmarkEnd w:id="856"/>
    </w:p>
    <w:tbl>
      <w:tblPr>
        <w:tblOverlap w:val="never"/>
        <w:jc w:val="center"/>
        <w:tblLayout w:type="fixed"/>
      </w:tblPr>
      <w:tblGrid>
        <w:gridCol w:w="1771"/>
        <w:gridCol w:w="1075"/>
        <w:gridCol w:w="1570"/>
        <w:gridCol w:w="1416"/>
        <w:gridCol w:w="2578"/>
        <w:gridCol w:w="1406"/>
      </w:tblGrid>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工程名称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200"/>
              <w:jc w:val="left"/>
            </w:pPr>
            <w:r>
              <w:rPr>
                <w:b/>
                <w:bCs/>
                <w:color w:val="000000"/>
                <w:spacing w:val="0"/>
                <w:w w:val="100"/>
                <w:position w:val="0"/>
              </w:rPr>
              <w:t>预算数</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本期转入</w:t>
            </w:r>
          </w:p>
          <w:p>
            <w:pPr>
              <w:pStyle w:val="Style2"/>
              <w:keepNext w:val="0"/>
              <w:keepLines w:val="0"/>
              <w:widowControl w:val="0"/>
              <w:shd w:val="clear" w:color="auto" w:fill="auto"/>
              <w:tabs>
                <w:tab w:pos="1521" w:val="left"/>
              </w:tabs>
              <w:bidi w:val="0"/>
              <w:spacing w:before="0" w:after="0" w:line="240" w:lineRule="auto"/>
              <w:ind w:left="0" w:right="0" w:firstLine="220"/>
              <w:jc w:val="left"/>
            </w:pPr>
            <w:r>
              <w:rPr>
                <w:b/>
                <w:bCs/>
                <w:color w:val="000000"/>
                <w:spacing w:val="0"/>
                <w:w w:val="100"/>
                <w:position w:val="0"/>
              </w:rPr>
              <w:t>固定资产</w:t>
              <w:tab/>
              <w:t>其他减少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振荡器扩产项目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6,224,893.50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6,224,893.50</w:t>
            </w:r>
          </w:p>
        </w:tc>
      </w:tr>
      <w:tr>
        <w:trPr>
          <w:trHeight w:val="811" w:hRule="exact"/>
        </w:trPr>
        <w:tc>
          <w:tcPr>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衬底材料蓝宝 石晶片产业化一期 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35,683,804.11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3,087,864.68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67,967.40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38,703,701.39</w:t>
            </w:r>
          </w:p>
        </w:tc>
      </w:tr>
      <w:tr>
        <w:trPr>
          <w:trHeight w:val="39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35,683,804.11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9,312,758.18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67,967.40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44,928,594.89</w:t>
            </w:r>
          </w:p>
        </w:tc>
      </w:tr>
    </w:tbl>
    <w:p>
      <w:pPr>
        <w:widowControl w:val="0"/>
        <w:spacing w:after="319" w:line="1" w:lineRule="exact"/>
      </w:pPr>
    </w:p>
    <w:p>
      <w:pPr>
        <w:pStyle w:val="Style44"/>
        <w:keepNext/>
        <w:keepLines/>
        <w:widowControl w:val="0"/>
        <w:shd w:val="clear" w:color="auto" w:fill="auto"/>
        <w:tabs>
          <w:tab w:pos="1306" w:val="left"/>
        </w:tabs>
        <w:bidi w:val="0"/>
        <w:spacing w:before="0" w:after="320" w:line="240" w:lineRule="auto"/>
        <w:ind w:left="0" w:right="0" w:firstLine="50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0</w:t>
      </w:r>
      <w:r>
        <w:rPr>
          <w:color w:val="000000"/>
          <w:spacing w:val="0"/>
          <w:w w:val="100"/>
          <w:position w:val="0"/>
        </w:rPr>
        <w:t>、</w:t>
        <w:tab/>
        <w:t>无形资产及开发支出</w:t>
      </w:r>
      <w:bookmarkEnd w:id="857"/>
      <w:bookmarkEnd w:id="858"/>
      <w:bookmarkEnd w:id="860"/>
    </w:p>
    <w:tbl>
      <w:tblPr>
        <w:tblOverlap w:val="never"/>
        <w:jc w:val="center"/>
        <w:tblLayout w:type="fixed"/>
      </w:tblPr>
      <w:tblGrid>
        <w:gridCol w:w="2525"/>
        <w:gridCol w:w="2035"/>
        <w:gridCol w:w="1709"/>
        <w:gridCol w:w="1426"/>
        <w:gridCol w:w="1728"/>
      </w:tblGrid>
      <w:tr>
        <w:trPr>
          <w:trHeight w:val="331"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）无形资产</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原价合计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16,419,457.34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236,392,040.38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252,811,497.72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11,154,503.72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11,154,503.72</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3,556,121.62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8,864,961.14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12,421,082.76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、专利技术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108,832.00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7,525.00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116,357.00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、非专利技术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、专有技术</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227,519,554.24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227,519,554.24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累计摊销额合计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5,505,169.53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6,961,560.62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12,466,730.15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1,873,880.43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225,355.32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2,099,235.75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1,979,735.65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519,272.69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2,499,008.34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、专利技术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51,553.45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15,071.13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66,624.58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、非专利技术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、专有技术</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6,201,861.48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6,201,861.48</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无形资产减值准备合计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、专利技术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、非专利技术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、专有技术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无形资产账面价值合计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10,914,287.81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240,344,767.57</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9,280,623.29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9,055,267.97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1,576,385.97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9,922,074.42</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、专利技术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57,278.55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49,732.42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、非专利技术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、专有技术</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221,317,692.76</w:t>
            </w:r>
          </w:p>
        </w:tc>
      </w:tr>
    </w:tbl>
    <w:p>
      <w:pPr>
        <w:spacing w:lineRule="exact" w:line="1"/>
        <w:rPr>
          <w:sz w:val="2"/>
          <w:szCs w:val="2"/>
        </w:rPr>
      </w:pPr>
      <w:r>
        <w:br w:type="page"/>
      </w:r>
    </w:p>
    <w:p>
      <w:pPr>
        <w:pStyle w:val="Style72"/>
        <w:keepNext w:val="0"/>
        <w:keepLines w:val="0"/>
        <w:widowControl w:val="0"/>
        <w:shd w:val="clear" w:color="auto" w:fill="auto"/>
        <w:bidi w:val="0"/>
        <w:spacing w:before="0" w:after="180" w:line="240" w:lineRule="auto"/>
        <w:ind w:left="0" w:right="0" w:firstLine="56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）：本期无形资产原价增加中由开发支出转入</w:t>
      </w:r>
      <w:r>
        <w:rPr>
          <w:rFonts w:ascii="Times New Roman" w:eastAsia="Times New Roman" w:hAnsi="Times New Roman" w:cs="Times New Roman"/>
          <w:b w:val="0"/>
          <w:bCs w:val="0"/>
          <w:color w:val="000000"/>
          <w:spacing w:val="0"/>
          <w:w w:val="100"/>
          <w:position w:val="0"/>
          <w:sz w:val="18"/>
          <w:szCs w:val="18"/>
        </w:rPr>
        <w:t>235,451,726.08</w:t>
      </w:r>
      <w:r>
        <w:rPr>
          <w:b w:val="0"/>
          <w:bCs w:val="0"/>
          <w:color w:val="000000"/>
          <w:spacing w:val="0"/>
          <w:w w:val="100"/>
          <w:position w:val="0"/>
        </w:rPr>
        <w:t>元。</w:t>
      </w:r>
    </w:p>
    <w:p>
      <w:pPr>
        <w:pStyle w:val="Style72"/>
        <w:keepNext w:val="0"/>
        <w:keepLines w:val="0"/>
        <w:widowControl w:val="0"/>
        <w:shd w:val="clear" w:color="auto" w:fill="auto"/>
        <w:bidi w:val="0"/>
        <w:spacing w:before="0" w:after="180" w:line="240" w:lineRule="auto"/>
        <w:ind w:left="0" w:right="0" w:firstLine="56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）：本期累计摊销额</w:t>
      </w:r>
      <w:r>
        <w:rPr>
          <w:rFonts w:ascii="Times New Roman" w:eastAsia="Times New Roman" w:hAnsi="Times New Roman" w:cs="Times New Roman"/>
          <w:b w:val="0"/>
          <w:bCs w:val="0"/>
          <w:color w:val="000000"/>
          <w:spacing w:val="0"/>
          <w:w w:val="100"/>
          <w:position w:val="0"/>
          <w:sz w:val="18"/>
          <w:szCs w:val="18"/>
        </w:rPr>
        <w:t>6,961,560.62</w:t>
      </w:r>
      <w:r>
        <w:rPr>
          <w:b w:val="0"/>
          <w:bCs w:val="0"/>
          <w:color w:val="000000"/>
          <w:spacing w:val="0"/>
          <w:w w:val="100"/>
          <w:position w:val="0"/>
        </w:rPr>
        <w:t>元。</w:t>
      </w:r>
    </w:p>
    <w:p>
      <w:pPr>
        <w:pStyle w:val="Style55"/>
        <w:keepNext/>
        <w:keepLines/>
        <w:widowControl w:val="0"/>
        <w:shd w:val="clear" w:color="auto" w:fill="auto"/>
        <w:bidi w:val="0"/>
        <w:spacing w:before="0" w:after="180" w:line="240" w:lineRule="auto"/>
        <w:ind w:left="0" w:right="0" w:firstLine="640"/>
        <w:jc w:val="left"/>
      </w:pPr>
      <w:bookmarkStart w:id="861" w:name="bookmark861"/>
      <w:bookmarkStart w:id="862" w:name="bookmark862"/>
      <w:bookmarkStart w:id="863" w:name="bookmark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861"/>
      <w:bookmarkEnd w:id="862"/>
      <w:bookmarkEnd w:id="863"/>
    </w:p>
    <w:tbl>
      <w:tblPr>
        <w:tblOverlap w:val="never"/>
        <w:jc w:val="center"/>
        <w:tblLayout w:type="fixed"/>
      </w:tblPr>
      <w:tblGrid>
        <w:gridCol w:w="2318"/>
        <w:gridCol w:w="1493"/>
        <w:gridCol w:w="1392"/>
        <w:gridCol w:w="1368"/>
        <w:gridCol w:w="1723"/>
        <w:gridCol w:w="1507"/>
      </w:tblGrid>
      <w:tr>
        <w:trPr>
          <w:trHeight w:val="5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本期增加</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480" w:firstLine="0"/>
              <w:jc w:val="right"/>
            </w:pPr>
            <w:r>
              <w:rPr>
                <w:b/>
                <w:bCs/>
                <w:color w:val="000000"/>
                <w:spacing w:val="0"/>
                <w:w w:val="100"/>
                <w:position w:val="0"/>
              </w:rPr>
              <w:t>期末金额</w:t>
            </w:r>
          </w:p>
        </w:tc>
      </w:tr>
      <w:tr>
        <w:trPr>
          <w:trHeight w:val="312"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计入当期损益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0" w:right="0" w:firstLine="0"/>
              <w:jc w:val="center"/>
            </w:pPr>
            <w:r>
              <w:rPr>
                <w:b/>
                <w:bCs/>
                <w:color w:val="000000"/>
                <w:spacing w:val="0"/>
                <w:w w:val="100"/>
                <w:position w:val="0"/>
              </w:rPr>
              <w:t>确认为无形资产</w:t>
            </w:r>
          </w:p>
        </w:tc>
        <w:tc>
          <w:tcPr>
            <w:vMerge/>
            <w:tcBorders/>
            <w:shd w:val="clear" w:color="auto" w:fill="FFFFFF"/>
            <w:vAlign w:val="top"/>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电子元器件工艺改进</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17,297,535.57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17,297,535.57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工艺技术改进</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6,164,012.70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6,164,012.70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高端智能卡芯片研发项目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45,109,669.67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53,415,635.77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25,594,736.72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26,828,238.34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46,102,330.38</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特种集成电路研发项目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165,749,912.74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102,657,869.79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713,399.82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208,623,487.74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59,070,894.97</w:t>
            </w:r>
          </w:p>
        </w:tc>
      </w:tr>
      <w:tr>
        <w:trPr>
          <w:trHeight w:val="47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210,859,582.41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179,535,053.83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49,769,684.81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235,451,726.08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105,173,225.35</w:t>
            </w:r>
          </w:p>
        </w:tc>
      </w:tr>
    </w:tbl>
    <w:p>
      <w:pPr>
        <w:widowControl w:val="0"/>
        <w:spacing w:after="179" w:line="1" w:lineRule="exact"/>
      </w:pPr>
    </w:p>
    <w:p>
      <w:pPr>
        <w:pStyle w:val="Style72"/>
        <w:keepNext w:val="0"/>
        <w:keepLines w:val="0"/>
        <w:widowControl w:val="0"/>
        <w:shd w:val="clear" w:color="auto" w:fill="auto"/>
        <w:bidi w:val="0"/>
        <w:spacing w:before="0" w:after="360" w:line="240" w:lineRule="auto"/>
        <w:ind w:left="0" w:right="0" w:firstLine="560"/>
        <w:jc w:val="left"/>
      </w:pPr>
      <w:r>
        <w:rPr>
          <w:b w:val="0"/>
          <w:bCs w:val="0"/>
          <w:color w:val="000000"/>
          <w:spacing w:val="0"/>
          <w:w w:val="100"/>
          <w:position w:val="0"/>
        </w:rPr>
        <w:t>注：本期增加不含本公司之子公司国微电子</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年委托设计开发项目研发投入</w:t>
      </w:r>
      <w:r>
        <w:rPr>
          <w:rFonts w:ascii="Times New Roman" w:eastAsia="Times New Roman" w:hAnsi="Times New Roman" w:cs="Times New Roman"/>
          <w:b w:val="0"/>
          <w:bCs w:val="0"/>
          <w:color w:val="000000"/>
          <w:spacing w:val="0"/>
          <w:w w:val="100"/>
          <w:position w:val="0"/>
          <w:sz w:val="18"/>
          <w:szCs w:val="18"/>
        </w:rPr>
        <w:t>58,500,589.67</w:t>
      </w:r>
      <w:r>
        <w:rPr>
          <w:b w:val="0"/>
          <w:bCs w:val="0"/>
          <w:color w:val="000000"/>
          <w:spacing w:val="0"/>
          <w:w w:val="100"/>
          <w:position w:val="0"/>
        </w:rPr>
        <w:t>元。</w:t>
      </w:r>
    </w:p>
    <w:p>
      <w:pPr>
        <w:pStyle w:val="Style44"/>
        <w:keepNext/>
        <w:keepLines/>
        <w:widowControl w:val="0"/>
        <w:shd w:val="clear" w:color="auto" w:fill="auto"/>
        <w:tabs>
          <w:tab w:pos="1379" w:val="left"/>
        </w:tabs>
        <w:bidi w:val="0"/>
        <w:spacing w:before="0" w:after="300" w:line="240" w:lineRule="auto"/>
        <w:ind w:left="0" w:right="0" w:firstLine="56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商誉</w:t>
      </w:r>
      <w:bookmarkEnd w:id="864"/>
      <w:bookmarkEnd w:id="865"/>
      <w:bookmarkEnd w:id="867"/>
    </w:p>
    <w:tbl>
      <w:tblPr>
        <w:tblOverlap w:val="never"/>
        <w:jc w:val="center"/>
        <w:tblLayout w:type="fixed"/>
      </w:tblPr>
      <w:tblGrid>
        <w:gridCol w:w="2693"/>
        <w:gridCol w:w="2856"/>
        <w:gridCol w:w="1320"/>
        <w:gridCol w:w="2856"/>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tcBorders>
            <w:shd w:val="clear" w:color="auto" w:fill="FFFFFF"/>
            <w:vAlign w:val="center"/>
          </w:tcPr>
          <w:p>
            <w:pPr>
              <w:pStyle w:val="Style2"/>
              <w:keepNext w:val="0"/>
              <w:keepLines w:val="0"/>
              <w:widowControl w:val="0"/>
              <w:shd w:val="clear" w:color="auto" w:fill="auto"/>
              <w:tabs>
                <w:tab w:pos="1841" w:val="left"/>
              </w:tabs>
              <w:bidi w:val="0"/>
              <w:spacing w:before="0" w:after="0" w:line="240" w:lineRule="auto"/>
              <w:ind w:left="0" w:right="0" w:firstLine="420"/>
              <w:jc w:val="left"/>
            </w:pPr>
            <w:r>
              <w:rPr>
                <w:b/>
                <w:bCs/>
                <w:color w:val="000000"/>
                <w:spacing w:val="0"/>
                <w:w w:val="100"/>
                <w:position w:val="0"/>
              </w:rPr>
              <w:t>期初余额</w:t>
              <w:tab/>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tabs>
                <w:tab w:pos="1801" w:val="left"/>
              </w:tabs>
              <w:bidi w:val="0"/>
              <w:spacing w:before="0" w:after="0" w:line="240" w:lineRule="auto"/>
              <w:ind w:left="0" w:right="0" w:firstLine="380"/>
              <w:jc w:val="left"/>
            </w:pPr>
            <w:r>
              <w:rPr>
                <w:b/>
                <w:bCs/>
                <w:color w:val="000000"/>
                <w:spacing w:val="0"/>
                <w:w w:val="100"/>
                <w:position w:val="0"/>
              </w:rPr>
              <w:t>期末余额</w:t>
              <w:tab/>
              <w:t>减值准备</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深圳市国微电子有限公司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685,676,016.95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685,676,016.95</w:t>
            </w:r>
          </w:p>
        </w:tc>
      </w:tr>
      <w:tr>
        <w:trPr>
          <w:trHeight w:val="45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685,676,016.95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685,676,016.95</w:t>
            </w:r>
          </w:p>
        </w:tc>
      </w:tr>
    </w:tbl>
    <w:p>
      <w:pPr>
        <w:widowControl w:val="0"/>
        <w:spacing w:after="459" w:line="1" w:lineRule="exact"/>
      </w:pPr>
    </w:p>
    <w:p>
      <w:pPr>
        <w:pStyle w:val="Style44"/>
        <w:keepNext/>
        <w:keepLines/>
        <w:widowControl w:val="0"/>
        <w:shd w:val="clear" w:color="auto" w:fill="auto"/>
        <w:tabs>
          <w:tab w:pos="1379" w:val="left"/>
        </w:tabs>
        <w:bidi w:val="0"/>
        <w:spacing w:before="0" w:after="300" w:line="240" w:lineRule="auto"/>
        <w:ind w:left="0" w:right="0" w:firstLine="56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68"/>
      <w:bookmarkEnd w:id="869"/>
      <w:bookmarkEnd w:id="871"/>
    </w:p>
    <w:tbl>
      <w:tblPr>
        <w:tblOverlap w:val="never"/>
        <w:jc w:val="center"/>
        <w:tblLayout w:type="fixed"/>
      </w:tblPr>
      <w:tblGrid>
        <w:gridCol w:w="1666"/>
        <w:gridCol w:w="1704"/>
        <w:gridCol w:w="1296"/>
        <w:gridCol w:w="2218"/>
        <w:gridCol w:w="2894"/>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tabs>
                <w:tab w:pos="1109" w:val="left"/>
              </w:tabs>
              <w:bidi w:val="0"/>
              <w:spacing w:before="0" w:after="0" w:line="240" w:lineRule="auto"/>
              <w:ind w:left="0" w:right="0" w:firstLine="0"/>
              <w:jc w:val="left"/>
            </w:pPr>
            <w:r>
              <w:rPr>
                <w:b/>
                <w:bCs/>
                <w:color w:val="000000"/>
                <w:spacing w:val="0"/>
                <w:w w:val="100"/>
                <w:position w:val="0"/>
              </w:rPr>
              <w:t>本期摊销</w:t>
              <w:tab/>
              <w:t>其他减少</w:t>
            </w:r>
          </w:p>
        </w:tc>
        <w:tc>
          <w:tcPr>
            <w:tcBorders>
              <w:top w:val="single" w:sz="4"/>
            </w:tcBorders>
            <w:shd w:val="clear" w:color="auto" w:fill="FFFFFF"/>
            <w:vAlign w:val="center"/>
          </w:tcPr>
          <w:p>
            <w:pPr>
              <w:pStyle w:val="Style2"/>
              <w:keepNext w:val="0"/>
              <w:keepLines w:val="0"/>
              <w:widowControl w:val="0"/>
              <w:shd w:val="clear" w:color="auto" w:fill="auto"/>
              <w:tabs>
                <w:tab w:pos="1406" w:val="left"/>
              </w:tabs>
              <w:bidi w:val="0"/>
              <w:spacing w:before="0" w:after="0" w:line="240" w:lineRule="auto"/>
              <w:ind w:left="0" w:right="0" w:firstLine="240"/>
              <w:jc w:val="left"/>
            </w:pPr>
            <w:r>
              <w:rPr>
                <w:b/>
                <w:bCs/>
                <w:color w:val="000000"/>
                <w:spacing w:val="0"/>
                <w:w w:val="100"/>
                <w:position w:val="0"/>
              </w:rPr>
              <w:t>期末余额</w:t>
              <w:tab/>
              <w:t>其他减少的原因</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2,093,489.20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4,654,253.20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1,829,789.55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4,917,952.85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网络改造费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258,386.60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81,090.36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177,296.24</w:t>
            </w:r>
          </w:p>
        </w:tc>
      </w:tr>
      <w:tr>
        <w:trPr>
          <w:trHeight w:val="40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2,351,875.80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4,654,253.20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1,910,879.91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5,095,249.09</w:t>
            </w:r>
          </w:p>
        </w:tc>
      </w:tr>
    </w:tbl>
    <w:p>
      <w:pPr>
        <w:widowControl w:val="0"/>
        <w:spacing w:after="299" w:line="1" w:lineRule="exact"/>
      </w:pPr>
    </w:p>
    <w:p>
      <w:pPr>
        <w:pStyle w:val="Style44"/>
        <w:keepNext/>
        <w:keepLines/>
        <w:widowControl w:val="0"/>
        <w:shd w:val="clear" w:color="auto" w:fill="auto"/>
        <w:tabs>
          <w:tab w:pos="1379" w:val="left"/>
        </w:tabs>
        <w:bidi w:val="0"/>
        <w:spacing w:before="0" w:after="360" w:line="240" w:lineRule="auto"/>
        <w:ind w:left="0" w:right="0" w:firstLine="56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872"/>
      <w:bookmarkEnd w:id="873"/>
      <w:bookmarkEnd w:id="875"/>
    </w:p>
    <w:p>
      <w:pPr>
        <w:pStyle w:val="Style44"/>
        <w:keepNext/>
        <w:keepLines/>
        <w:widowControl w:val="0"/>
        <w:shd w:val="clear" w:color="auto" w:fill="auto"/>
        <w:bidi w:val="0"/>
        <w:spacing w:before="0" w:after="360" w:line="240" w:lineRule="auto"/>
        <w:ind w:left="0" w:right="0" w:firstLine="560"/>
        <w:jc w:val="left"/>
      </w:pPr>
      <w:bookmarkStart w:id="872" w:name="bookmark872"/>
      <w:bookmarkStart w:id="873" w:name="bookmark873"/>
      <w:bookmarkStart w:id="876" w:name="bookmark876"/>
      <w:r>
        <w:rPr>
          <w:color w:val="000000"/>
          <w:spacing w:val="0"/>
          <w:w w:val="100"/>
          <w:position w:val="0"/>
        </w:rPr>
        <w:t>（一）递延所得税资产和递延所得税负债不以抵销后的净额列示</w:t>
      </w:r>
      <w:bookmarkEnd w:id="872"/>
      <w:bookmarkEnd w:id="873"/>
      <w:bookmarkEnd w:id="876"/>
    </w:p>
    <w:p>
      <w:pPr>
        <w:pStyle w:val="Style55"/>
        <w:keepNext/>
        <w:keepLines/>
        <w:widowControl w:val="0"/>
        <w:shd w:val="clear" w:color="auto" w:fill="auto"/>
        <w:bidi w:val="0"/>
        <w:spacing w:before="0" w:after="460" w:line="240" w:lineRule="auto"/>
        <w:ind w:left="0" w:right="0" w:firstLine="560"/>
        <w:jc w:val="left"/>
      </w:pPr>
      <w:bookmarkStart w:id="877" w:name="bookmark877"/>
      <w:bookmarkStart w:id="878" w:name="bookmark878"/>
      <w:bookmarkStart w:id="879" w:name="bookmark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bookmarkEnd w:id="877"/>
      <w:bookmarkEnd w:id="878"/>
      <w:bookmarkEnd w:id="879"/>
    </w:p>
    <w:p>
      <w:pPr>
        <w:pStyle w:val="Style72"/>
        <w:keepNext w:val="0"/>
        <w:keepLines w:val="0"/>
        <w:widowControl w:val="0"/>
        <w:pBdr>
          <w:bottom w:val="single" w:sz="4" w:space="0" w:color="auto"/>
        </w:pBdr>
        <w:shd w:val="clear" w:color="auto" w:fill="auto"/>
        <w:tabs>
          <w:tab w:pos="2851" w:val="left"/>
          <w:tab w:pos="5590" w:val="left"/>
        </w:tabs>
        <w:bidi w:val="0"/>
        <w:spacing w:before="0" w:after="180" w:line="240" w:lineRule="auto"/>
        <w:ind w:left="0" w:right="0" w:firstLine="0"/>
        <w:jc w:val="center"/>
      </w:pPr>
      <w:r>
        <w:rPr>
          <w:color w:val="000000"/>
          <w:spacing w:val="0"/>
          <w:w w:val="100"/>
          <w:position w:val="0"/>
        </w:rPr>
        <w:t>项目</w:t>
        <w:tab/>
        <w:t>期末余额</w:t>
        <w:tab/>
        <w:t>期初余额</w:t>
      </w:r>
    </w:p>
    <w:p>
      <w:pPr>
        <w:pStyle w:val="Style72"/>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递延所得税资产：</w:t>
      </w:r>
    </w:p>
    <w:p>
      <w:pPr>
        <w:pStyle w:val="Style74"/>
        <w:keepNext w:val="0"/>
        <w:keepLines w:val="0"/>
        <w:widowControl w:val="0"/>
        <w:shd w:val="clear" w:color="auto" w:fill="auto"/>
        <w:tabs>
          <w:tab w:pos="5590" w:val="left"/>
          <w:tab w:pos="8366" w:val="left"/>
        </w:tabs>
        <w:bidi w:val="0"/>
        <w:spacing w:before="0" w:after="180" w:line="240" w:lineRule="auto"/>
        <w:ind w:left="0" w:right="0" w:firstLine="640"/>
        <w:jc w:val="left"/>
      </w:pPr>
      <w:r>
        <w:rPr>
          <w:rFonts w:ascii="SimSun" w:eastAsia="SimSun" w:hAnsi="SimSun" w:cs="SimSun"/>
          <w:b w:val="0"/>
          <w:bCs w:val="0"/>
          <w:color w:val="000000"/>
          <w:spacing w:val="0"/>
          <w:w w:val="100"/>
          <w:position w:val="0"/>
          <w:sz w:val="17"/>
          <w:szCs w:val="17"/>
        </w:rPr>
        <w:t>已计提未发放应付职工薪酬</w:t>
        <w:tab/>
      </w:r>
      <w:r>
        <w:rPr>
          <w:b w:val="0"/>
          <w:bCs w:val="0"/>
          <w:color w:val="000000"/>
          <w:spacing w:val="0"/>
          <w:w w:val="100"/>
          <w:position w:val="0"/>
        </w:rPr>
        <w:t>1,250,061.28</w:t>
        <w:tab/>
        <w:t>439,771.07</w:t>
      </w:r>
    </w:p>
    <w:p>
      <w:pPr>
        <w:pStyle w:val="Style74"/>
        <w:keepNext w:val="0"/>
        <w:keepLines w:val="0"/>
        <w:widowControl w:val="0"/>
        <w:shd w:val="clear" w:color="auto" w:fill="auto"/>
        <w:tabs>
          <w:tab w:pos="5590" w:val="left"/>
          <w:tab w:pos="8366" w:val="left"/>
        </w:tabs>
        <w:bidi w:val="0"/>
        <w:spacing w:before="0" w:after="300" w:line="240" w:lineRule="auto"/>
        <w:ind w:left="0" w:right="0" w:firstLine="640"/>
        <w:jc w:val="lef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441" w:right="1001" w:bottom="1441" w:left="991" w:header="0" w:footer="3" w:gutter="0"/>
          <w:cols w:space="720"/>
          <w:noEndnote/>
          <w:rtlGutter w:val="0"/>
          <w:docGrid w:linePitch="360"/>
        </w:sectPr>
      </w:pPr>
      <w:r>
        <w:rPr>
          <w:rFonts w:ascii="SimSun" w:eastAsia="SimSun" w:hAnsi="SimSun" w:cs="SimSun"/>
          <w:b w:val="0"/>
          <w:bCs w:val="0"/>
          <w:color w:val="000000"/>
          <w:spacing w:val="0"/>
          <w:w w:val="100"/>
          <w:position w:val="0"/>
          <w:sz w:val="17"/>
          <w:szCs w:val="17"/>
        </w:rPr>
        <w:t>拨付的专项应付款</w:t>
        <w:tab/>
      </w:r>
      <w:r>
        <w:rPr>
          <w:b w:val="0"/>
          <w:bCs w:val="0"/>
          <w:color w:val="000000"/>
          <w:spacing w:val="0"/>
          <w:w w:val="100"/>
          <w:position w:val="0"/>
        </w:rPr>
        <w:t>807,000.00</w:t>
        <w:tab/>
        <w:t>2,581,500.00</w:t>
      </w:r>
    </w:p>
    <w:tbl>
      <w:tblPr>
        <w:tblOverlap w:val="never"/>
        <w:jc w:val="center"/>
        <w:tblLayout w:type="fixed"/>
      </w:tblPr>
      <w:tblGrid>
        <w:gridCol w:w="3490"/>
        <w:gridCol w:w="3413"/>
        <w:gridCol w:w="2021"/>
      </w:tblGrid>
      <w:tr>
        <w:trPr>
          <w:trHeight w:val="73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6,278,938.11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6,310,408.37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受让资产评估增值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1,631,649.28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1,703,632.04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8,270.20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155,195.91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1,063,111.92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1,434,877.50</w:t>
            </w:r>
          </w:p>
        </w:tc>
      </w:tr>
      <w:tr>
        <w:trPr>
          <w:trHeight w:val="40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11,039,030.79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12,625,384.89</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680"/>
        <w:jc w:val="left"/>
      </w:pPr>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r>
        <w:rPr>
          <w:color w:val="000000"/>
          <w:spacing w:val="0"/>
          <w:w w:val="100"/>
          <w:position w:val="0"/>
        </w:rPr>
        <w:t>)应纳税差异和可抵扣差异项目明细</w:t>
      </w:r>
      <w:bookmarkEnd w:id="880"/>
      <w:bookmarkEnd w:id="881"/>
      <w:bookmarkEnd w:id="882"/>
    </w:p>
    <w:tbl>
      <w:tblPr>
        <w:tblOverlap w:val="never"/>
        <w:jc w:val="center"/>
        <w:tblLayout w:type="fixed"/>
      </w:tblPr>
      <w:tblGrid>
        <w:gridCol w:w="3346"/>
        <w:gridCol w:w="3336"/>
        <w:gridCol w:w="2294"/>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期初余额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可抵扣差异项目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已计提未发放应付职工薪酬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8,333,741.89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2,931,807.12</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拨付的专项应付款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5,380,000.00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17,210,000.00</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41,859,587.40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42,069,389.13</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受让资产评估增值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10,877,661.87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11,357,546.93</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55,134.69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705,077.31</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7,087,082.74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10,370,873.69</w:t>
            </w:r>
          </w:p>
        </w:tc>
      </w:tr>
      <w:tr>
        <w:trPr>
          <w:trHeight w:val="4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b/>
                <w:bCs/>
                <w:color w:val="000000"/>
                <w:spacing w:val="0"/>
                <w:w w:val="100"/>
                <w:position w:val="0"/>
                <w:sz w:val="18"/>
                <w:szCs w:val="18"/>
              </w:rPr>
              <w:t>73,593,208.59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84,644,694.18</w:t>
            </w:r>
          </w:p>
        </w:tc>
      </w:tr>
    </w:tbl>
    <w:p>
      <w:pPr>
        <w:widowControl w:val="0"/>
        <w:spacing w:after="479" w:line="1" w:lineRule="exact"/>
      </w:pPr>
    </w:p>
    <w:p>
      <w:pPr>
        <w:pStyle w:val="Style44"/>
        <w:keepNext/>
        <w:keepLines/>
        <w:widowControl w:val="0"/>
        <w:shd w:val="clear" w:color="auto" w:fill="auto"/>
        <w:tabs>
          <w:tab w:pos="1366" w:val="left"/>
        </w:tabs>
        <w:bidi w:val="0"/>
        <w:spacing w:before="0" w:after="420" w:line="240" w:lineRule="auto"/>
        <w:ind w:left="0" w:right="0" w:firstLine="56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4</w:t>
      </w:r>
      <w:r>
        <w:rPr>
          <w:color w:val="000000"/>
          <w:spacing w:val="0"/>
          <w:w w:val="100"/>
          <w:position w:val="0"/>
        </w:rPr>
        <w:t>、</w:t>
        <w:tab/>
        <w:t>资产减值准备明细</w:t>
      </w:r>
      <w:bookmarkEnd w:id="883"/>
      <w:bookmarkEnd w:id="884"/>
      <w:bookmarkEnd w:id="886"/>
    </w:p>
    <w:p>
      <w:pPr>
        <w:pStyle w:val="Style30"/>
        <w:keepNext w:val="0"/>
        <w:keepLines w:val="0"/>
        <w:widowControl w:val="0"/>
        <w:shd w:val="clear" w:color="auto" w:fill="auto"/>
        <w:bidi w:val="0"/>
        <w:spacing w:before="0" w:after="0" w:line="240" w:lineRule="auto"/>
        <w:ind w:left="6610" w:right="0" w:firstLine="0"/>
        <w:jc w:val="left"/>
        <w:rPr>
          <w:sz w:val="17"/>
          <w:szCs w:val="17"/>
        </w:rPr>
      </w:pPr>
      <w:r>
        <w:rPr>
          <w:color w:val="000000"/>
          <w:spacing w:val="0"/>
          <w:w w:val="100"/>
          <w:position w:val="0"/>
          <w:sz w:val="17"/>
          <w:szCs w:val="17"/>
        </w:rPr>
        <w:t>本期减少</w:t>
      </w:r>
    </w:p>
    <w:tbl>
      <w:tblPr>
        <w:tblOverlap w:val="never"/>
        <w:jc w:val="center"/>
        <w:tblLayout w:type="fixed"/>
      </w:tblPr>
      <w:tblGrid>
        <w:gridCol w:w="2424"/>
        <w:gridCol w:w="2088"/>
        <w:gridCol w:w="1267"/>
        <w:gridCol w:w="1315"/>
        <w:gridCol w:w="1248"/>
        <w:gridCol w:w="1627"/>
      </w:tblGrid>
      <w:tr>
        <w:trPr>
          <w:trHeight w:val="50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年初账面余额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0" w:right="0" w:firstLine="0"/>
              <w:jc w:val="center"/>
            </w:pPr>
            <w:r>
              <w:rPr>
                <w:b/>
                <w:bCs/>
                <w:color w:val="000000"/>
                <w:spacing w:val="0"/>
                <w:w w:val="100"/>
                <w:position w:val="0"/>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center"/>
            </w:pPr>
            <w:r>
              <w:rPr>
                <w:b/>
                <w:bCs/>
                <w:color w:val="000000"/>
                <w:spacing w:val="0"/>
                <w:w w:val="100"/>
                <w:position w:val="0"/>
              </w:rPr>
              <w:t>转回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00" w:right="0" w:firstLine="0"/>
              <w:jc w:val="center"/>
            </w:pPr>
            <w:r>
              <w:rPr>
                <w:b/>
                <w:bCs/>
                <w:color w:val="000000"/>
                <w:spacing w:val="0"/>
                <w:w w:val="100"/>
                <w:position w:val="0"/>
              </w:rPr>
              <w:t>转销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期末账面余额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10,390,017.62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164,059.65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3,267,061.99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174,049.53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7,112,965.75</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二、存货跌价准备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705,077.31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649,942.62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55,134.69</w:t>
            </w:r>
          </w:p>
        </w:tc>
      </w:tr>
    </w:tbl>
    <w:p>
      <w:pPr>
        <w:widowControl w:val="0"/>
        <w:spacing w:after="199" w:line="1" w:lineRule="exact"/>
      </w:pPr>
    </w:p>
    <w:p>
      <w:pPr>
        <w:pStyle w:val="Style72"/>
        <w:keepNext w:val="0"/>
        <w:keepLines w:val="0"/>
        <w:widowControl w:val="0"/>
        <w:shd w:val="clear" w:color="auto" w:fill="auto"/>
        <w:tabs>
          <w:tab w:pos="735" w:val="left"/>
        </w:tabs>
        <w:bidi w:val="0"/>
        <w:spacing w:before="0" w:after="200" w:line="240" w:lineRule="auto"/>
        <w:ind w:left="0" w:right="0" w:firstLine="300"/>
        <w:jc w:val="left"/>
      </w:pPr>
      <w:bookmarkStart w:id="887" w:name="bookmark887"/>
      <w:r>
        <w:rPr>
          <w:b w:val="0"/>
          <w:bCs w:val="0"/>
          <w:color w:val="000000"/>
          <w:spacing w:val="0"/>
          <w:w w:val="100"/>
          <w:position w:val="0"/>
        </w:rPr>
        <w:t>三</w:t>
      </w:r>
      <w:bookmarkEnd w:id="887"/>
      <w:r>
        <w:rPr>
          <w:b w:val="0"/>
          <w:bCs w:val="0"/>
          <w:color w:val="000000"/>
          <w:spacing w:val="0"/>
          <w:w w:val="100"/>
          <w:position w:val="0"/>
        </w:rPr>
        <w:t>、</w:t>
        <w:tab/>
        <w:t>可供出售金融资产减值准备</w:t>
      </w:r>
    </w:p>
    <w:p>
      <w:pPr>
        <w:pStyle w:val="Style72"/>
        <w:keepNext w:val="0"/>
        <w:keepLines w:val="0"/>
        <w:widowControl w:val="0"/>
        <w:shd w:val="clear" w:color="auto" w:fill="auto"/>
        <w:tabs>
          <w:tab w:pos="735" w:val="left"/>
        </w:tabs>
        <w:bidi w:val="0"/>
        <w:spacing w:before="0" w:after="200" w:line="240" w:lineRule="auto"/>
        <w:ind w:left="0" w:right="0" w:firstLine="300"/>
        <w:jc w:val="left"/>
      </w:pPr>
      <w:bookmarkStart w:id="888" w:name="bookmark888"/>
      <w:r>
        <w:rPr>
          <w:b w:val="0"/>
          <w:bCs w:val="0"/>
          <w:color w:val="000000"/>
          <w:spacing w:val="0"/>
          <w:w w:val="100"/>
          <w:position w:val="0"/>
        </w:rPr>
        <w:t>四</w:t>
      </w:r>
      <w:bookmarkEnd w:id="888"/>
      <w:r>
        <w:rPr>
          <w:b w:val="0"/>
          <w:bCs w:val="0"/>
          <w:color w:val="000000"/>
          <w:spacing w:val="0"/>
          <w:w w:val="100"/>
          <w:position w:val="0"/>
        </w:rPr>
        <w:t>、</w:t>
        <w:tab/>
        <w:t>持有至到期投资减值准备</w:t>
      </w:r>
    </w:p>
    <w:p>
      <w:pPr>
        <w:pStyle w:val="Style72"/>
        <w:keepNext w:val="0"/>
        <w:keepLines w:val="0"/>
        <w:widowControl w:val="0"/>
        <w:shd w:val="clear" w:color="auto" w:fill="auto"/>
        <w:tabs>
          <w:tab w:pos="730" w:val="left"/>
        </w:tabs>
        <w:bidi w:val="0"/>
        <w:spacing w:before="0" w:after="200" w:line="240" w:lineRule="auto"/>
        <w:ind w:left="0" w:right="0" w:firstLine="300"/>
        <w:jc w:val="left"/>
      </w:pPr>
      <w:bookmarkStart w:id="889" w:name="bookmark889"/>
      <w:r>
        <w:rPr>
          <w:b w:val="0"/>
          <w:bCs w:val="0"/>
          <w:color w:val="000000"/>
          <w:spacing w:val="0"/>
          <w:w w:val="100"/>
          <w:position w:val="0"/>
        </w:rPr>
        <w:t>五</w:t>
      </w:r>
      <w:bookmarkEnd w:id="889"/>
      <w:r>
        <w:rPr>
          <w:b w:val="0"/>
          <w:bCs w:val="0"/>
          <w:color w:val="000000"/>
          <w:spacing w:val="0"/>
          <w:w w:val="100"/>
          <w:position w:val="0"/>
        </w:rPr>
        <w:t>、</w:t>
        <w:tab/>
        <w:t>长期股权投资减值准备</w:t>
      </w:r>
    </w:p>
    <w:p>
      <w:pPr>
        <w:pStyle w:val="Style72"/>
        <w:keepNext w:val="0"/>
        <w:keepLines w:val="0"/>
        <w:widowControl w:val="0"/>
        <w:shd w:val="clear" w:color="auto" w:fill="auto"/>
        <w:tabs>
          <w:tab w:pos="735" w:val="left"/>
        </w:tabs>
        <w:bidi w:val="0"/>
        <w:spacing w:before="0" w:after="200" w:line="240" w:lineRule="auto"/>
        <w:ind w:left="0" w:right="0" w:firstLine="300"/>
        <w:jc w:val="left"/>
      </w:pPr>
      <w:bookmarkStart w:id="890" w:name="bookmark890"/>
      <w:r>
        <w:rPr>
          <w:b w:val="0"/>
          <w:bCs w:val="0"/>
          <w:color w:val="000000"/>
          <w:spacing w:val="0"/>
          <w:w w:val="100"/>
          <w:position w:val="0"/>
        </w:rPr>
        <w:t>六</w:t>
      </w:r>
      <w:bookmarkEnd w:id="890"/>
      <w:r>
        <w:rPr>
          <w:b w:val="0"/>
          <w:bCs w:val="0"/>
          <w:color w:val="000000"/>
          <w:spacing w:val="0"/>
          <w:w w:val="100"/>
          <w:position w:val="0"/>
        </w:rPr>
        <w:t>、</w:t>
        <w:tab/>
        <w:t>投资性房地产减值准备</w:t>
      </w:r>
    </w:p>
    <w:p>
      <w:pPr>
        <w:pStyle w:val="Style74"/>
        <w:keepNext w:val="0"/>
        <w:keepLines w:val="0"/>
        <w:widowControl w:val="0"/>
        <w:shd w:val="clear" w:color="auto" w:fill="auto"/>
        <w:tabs>
          <w:tab w:pos="3319" w:val="left"/>
          <w:tab w:pos="7390" w:val="left"/>
          <w:tab w:pos="8873" w:val="left"/>
        </w:tabs>
        <w:bidi w:val="0"/>
        <w:spacing w:before="0" w:after="200" w:line="240" w:lineRule="auto"/>
        <w:ind w:left="0" w:right="0" w:firstLine="300"/>
        <w:jc w:val="left"/>
      </w:pPr>
      <w:bookmarkStart w:id="891" w:name="bookmark891"/>
      <w:r>
        <w:rPr>
          <w:rFonts w:ascii="SimSun" w:eastAsia="SimSun" w:hAnsi="SimSun" w:cs="SimSun"/>
          <w:b w:val="0"/>
          <w:bCs w:val="0"/>
          <w:color w:val="000000"/>
          <w:spacing w:val="0"/>
          <w:w w:val="100"/>
          <w:position w:val="0"/>
          <w:sz w:val="17"/>
          <w:szCs w:val="17"/>
        </w:rPr>
        <w:t>七</w:t>
      </w:r>
      <w:bookmarkEnd w:id="891"/>
      <w:r>
        <w:rPr>
          <w:rFonts w:ascii="SimSun" w:eastAsia="SimSun" w:hAnsi="SimSun" w:cs="SimSun"/>
          <w:b w:val="0"/>
          <w:bCs w:val="0"/>
          <w:color w:val="000000"/>
          <w:spacing w:val="0"/>
          <w:w w:val="100"/>
          <w:position w:val="0"/>
          <w:sz w:val="17"/>
          <w:szCs w:val="17"/>
        </w:rPr>
        <w:t>、 固定资产减值准备</w:t>
        <w:tab/>
      </w:r>
      <w:r>
        <w:rPr>
          <w:b w:val="0"/>
          <w:bCs w:val="0"/>
          <w:color w:val="000000"/>
          <w:spacing w:val="0"/>
          <w:w w:val="100"/>
          <w:position w:val="0"/>
        </w:rPr>
        <w:t>1,191,383.02</w:t>
        <w:tab/>
        <w:t>35,143.64</w:t>
        <w:tab/>
        <w:t>1,156,239.38</w:t>
      </w:r>
    </w:p>
    <w:p>
      <w:pPr>
        <w:pStyle w:val="Style72"/>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rPr>
        <w:t>八、工程物资减值准备</w:t>
      </w:r>
    </w:p>
    <w:p>
      <w:pPr>
        <w:pStyle w:val="Style72"/>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rPr>
        <w:t>九、在建工程减值准备</w:t>
      </w:r>
    </w:p>
    <w:p>
      <w:pPr>
        <w:pStyle w:val="Style72"/>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rPr>
        <w:t>十、生产性生物资产减值准备</w:t>
      </w:r>
    </w:p>
    <w:p>
      <w:pPr>
        <w:pStyle w:val="Style72"/>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rPr>
        <w:t>十^一、油气资产减值准备</w:t>
      </w:r>
    </w:p>
    <w:p>
      <w:pPr>
        <w:pStyle w:val="Style72"/>
        <w:keepNext w:val="0"/>
        <w:keepLines w:val="0"/>
        <w:widowControl w:val="0"/>
        <w:shd w:val="clear" w:color="auto" w:fill="auto"/>
        <w:bidi w:val="0"/>
        <w:spacing w:before="0" w:after="200" w:line="240" w:lineRule="auto"/>
        <w:ind w:left="0" w:right="0" w:firstLine="300"/>
        <w:jc w:val="left"/>
      </w:pPr>
      <w:r>
        <w:rPr>
          <w:b w:val="0"/>
          <w:bCs w:val="0"/>
          <w:color w:val="000000"/>
          <w:spacing w:val="0"/>
          <w:w w:val="100"/>
          <w:position w:val="0"/>
        </w:rPr>
        <w:t>十二、无形资产减值准备</w:t>
      </w:r>
    </w:p>
    <w:p>
      <w:pPr>
        <w:pStyle w:val="Style72"/>
        <w:keepNext w:val="0"/>
        <w:keepLines w:val="0"/>
        <w:widowControl w:val="0"/>
        <w:pBdr>
          <w:bottom w:val="single" w:sz="4" w:space="0" w:color="auto"/>
        </w:pBdr>
        <w:shd w:val="clear" w:color="auto" w:fill="auto"/>
        <w:bidi w:val="0"/>
        <w:spacing w:before="0" w:after="340" w:line="240" w:lineRule="auto"/>
        <w:ind w:left="0" w:right="0" w:firstLine="300"/>
        <w:jc w:val="left"/>
      </w:pPr>
      <w:r>
        <w:rPr>
          <w:b w:val="0"/>
          <w:bCs w:val="0"/>
          <w:color w:val="000000"/>
          <w:spacing w:val="0"/>
          <w:w w:val="100"/>
          <w:position w:val="0"/>
        </w:rPr>
        <w:t>十三、商誉减值准备</w:t>
      </w:r>
    </w:p>
    <w:p>
      <w:pPr>
        <w:widowControl w:val="0"/>
        <w:jc w:val="right"/>
        <w:rPr>
          <w:sz w:val="2"/>
          <w:szCs w:val="2"/>
        </w:rPr>
      </w:pPr>
      <w:r>
        <w:drawing>
          <wp:inline>
            <wp:extent cx="1078865" cy="499745"/>
            <wp:docPr id="658" name="Picutre 658"/>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209"/>
                    <a:stretch/>
                  </pic:blipFill>
                  <pic:spPr>
                    <a:xfrm>
                      <a:ext cx="1078865" cy="499745"/>
                    </a:xfrm>
                    <a:prstGeom prst="rect"/>
                  </pic:spPr>
                </pic:pic>
              </a:graphicData>
            </a:graphic>
          </wp:inline>
        </w:drawing>
      </w:r>
    </w:p>
    <w:p>
      <w:pPr>
        <w:widowControl w:val="0"/>
        <w:spacing w:after="239" w:line="1" w:lineRule="exact"/>
      </w:pPr>
    </w:p>
    <w:p>
      <w:pPr>
        <w:widowControl w:val="0"/>
        <w:jc w:val="center"/>
        <w:rPr>
          <w:sz w:val="2"/>
          <w:szCs w:val="2"/>
        </w:rPr>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105" w:right="941" w:bottom="193" w:left="989" w:header="0" w:footer="3" w:gutter="0"/>
          <w:cols w:space="720"/>
          <w:noEndnote/>
          <w:rtlGutter w:val="0"/>
          <w:docGrid w:linePitch="360"/>
        </w:sectPr>
      </w:pPr>
      <w:r>
        <w:drawing>
          <wp:inline>
            <wp:extent cx="743585" cy="146050"/>
            <wp:docPr id="669" name="Picutre 669"/>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215"/>
                    <a:stretch/>
                  </pic:blipFill>
                  <pic:spPr>
                    <a:xfrm>
                      <a:ext cx="743585" cy="146050"/>
                    </a:xfrm>
                    <a:prstGeom prst="rect"/>
                  </pic:spPr>
                </pic:pic>
              </a:graphicData>
            </a:graphic>
          </wp:inline>
        </w:drawing>
      </w:r>
    </w:p>
    <w:tbl>
      <w:tblPr>
        <w:tblOverlap w:val="never"/>
        <w:jc w:val="center"/>
        <w:tblLayout w:type="fixed"/>
      </w:tblPr>
      <w:tblGrid>
        <w:gridCol w:w="2467"/>
        <w:gridCol w:w="2117"/>
        <w:gridCol w:w="2525"/>
        <w:gridCol w:w="1411"/>
        <w:gridCol w:w="1464"/>
      </w:tblGrid>
      <w:tr>
        <w:trPr>
          <w:trHeight w:val="350" w:hRule="exact"/>
        </w:trPr>
        <w:tc>
          <w:tcPr>
            <w:gridSpan w:val="5"/>
            <w:tcBorders>
              <w:top w:val="single" w:sz="4"/>
            </w:tcBorders>
            <w:shd w:val="clear" w:color="auto" w:fill="FFFFFF"/>
            <w:vAlign w:val="top"/>
          </w:tcPr>
          <w:p>
            <w:pPr>
              <w:widowControl w:val="0"/>
              <w:rPr>
                <w:sz w:val="10"/>
                <w:szCs w:val="10"/>
              </w:rPr>
            </w:pPr>
          </w:p>
        </w:tc>
      </w:tr>
      <w:tr>
        <w:trPr>
          <w:trHeight w:val="89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十四、其他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b/>
                <w:bCs/>
                <w:color w:val="000000"/>
                <w:spacing w:val="0"/>
                <w:w w:val="100"/>
                <w:position w:val="0"/>
                <w:sz w:val="18"/>
                <w:szCs w:val="18"/>
              </w:rPr>
              <w:t>12,286,477.95</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1320" w:val="left"/>
              </w:tabs>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164,059.65</w:t>
              <w:tab/>
              <w:t>3,267,061.99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859,135.79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8,324,339.82</w:t>
            </w:r>
          </w:p>
        </w:tc>
      </w:tr>
    </w:tbl>
    <w:p>
      <w:pPr>
        <w:widowControl w:val="0"/>
        <w:spacing w:after="199" w:line="1" w:lineRule="exact"/>
      </w:pPr>
    </w:p>
    <w:p>
      <w:pPr>
        <w:pStyle w:val="Style72"/>
        <w:keepNext w:val="0"/>
        <w:keepLines w:val="0"/>
        <w:widowControl w:val="0"/>
        <w:shd w:val="clear" w:color="auto" w:fill="auto"/>
        <w:bidi w:val="0"/>
        <w:spacing w:before="0" w:after="540" w:line="240" w:lineRule="auto"/>
        <w:ind w:left="0" w:right="0" w:firstLine="500"/>
        <w:jc w:val="left"/>
      </w:pPr>
      <w:r>
        <w:rPr>
          <w:b w:val="0"/>
          <w:bCs w:val="0"/>
          <w:color w:val="000000"/>
          <w:spacing w:val="0"/>
          <w:w w:val="100"/>
          <w:position w:val="0"/>
        </w:rPr>
        <w:t>注：本期资产减值准备减少中坏账准备转销额因合并范围变化所致的资产减值准备减少</w:t>
      </w:r>
      <w:r>
        <w:rPr>
          <w:rFonts w:ascii="Times New Roman" w:eastAsia="Times New Roman" w:hAnsi="Times New Roman" w:cs="Times New Roman"/>
          <w:b w:val="0"/>
          <w:bCs w:val="0"/>
          <w:color w:val="000000"/>
          <w:spacing w:val="0"/>
          <w:w w:val="100"/>
          <w:position w:val="0"/>
          <w:sz w:val="18"/>
          <w:szCs w:val="18"/>
        </w:rPr>
        <w:t>174,049.53</w:t>
      </w:r>
      <w:r>
        <w:rPr>
          <w:b w:val="0"/>
          <w:bCs w:val="0"/>
          <w:color w:val="000000"/>
          <w:spacing w:val="0"/>
          <w:w w:val="100"/>
          <w:position w:val="0"/>
        </w:rPr>
        <w:t>元。</w:t>
      </w:r>
    </w:p>
    <w:p>
      <w:pPr>
        <w:pStyle w:val="Style44"/>
        <w:keepNext/>
        <w:keepLines/>
        <w:widowControl w:val="0"/>
        <w:shd w:val="clear" w:color="auto" w:fill="auto"/>
        <w:tabs>
          <w:tab w:pos="1314" w:val="left"/>
        </w:tabs>
        <w:bidi w:val="0"/>
        <w:spacing w:before="0" w:after="300" w:line="240" w:lineRule="auto"/>
        <w:ind w:left="0" w:right="0" w:firstLine="50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5</w:t>
      </w:r>
      <w:r>
        <w:rPr>
          <w:color w:val="000000"/>
          <w:spacing w:val="0"/>
          <w:w w:val="100"/>
          <w:position w:val="0"/>
        </w:rPr>
        <w:t>、</w:t>
        <w:tab/>
        <w:t>短期借款</w:t>
      </w:r>
      <w:bookmarkEnd w:id="892"/>
      <w:bookmarkEnd w:id="893"/>
      <w:bookmarkEnd w:id="895"/>
    </w:p>
    <w:tbl>
      <w:tblPr>
        <w:tblOverlap w:val="never"/>
        <w:jc w:val="center"/>
        <w:tblLayout w:type="fixed"/>
      </w:tblPr>
      <w:tblGrid>
        <w:gridCol w:w="2573"/>
        <w:gridCol w:w="2419"/>
        <w:gridCol w:w="2918"/>
        <w:gridCol w:w="2021"/>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借款类别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备注</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质押借款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保证借款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8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信用借款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23,750,000.00</w:t>
            </w:r>
          </w:p>
        </w:tc>
        <w:tc>
          <w:tcPr>
            <w:tcBorders/>
            <w:shd w:val="clear" w:color="auto" w:fill="FFFFFF"/>
            <w:vAlign w:val="top"/>
          </w:tcPr>
          <w:p>
            <w:pPr>
              <w:widowControl w:val="0"/>
              <w:rPr>
                <w:sz w:val="10"/>
                <w:szCs w:val="10"/>
              </w:rPr>
            </w:pP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48,750,000.00</w:t>
            </w:r>
          </w:p>
        </w:tc>
        <w:tc>
          <w:tcPr>
            <w:tcBorders>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44"/>
        <w:keepNext/>
        <w:keepLines/>
        <w:widowControl w:val="0"/>
        <w:shd w:val="clear" w:color="auto" w:fill="auto"/>
        <w:tabs>
          <w:tab w:pos="1314" w:val="left"/>
        </w:tabs>
        <w:bidi w:val="0"/>
        <w:spacing w:before="0" w:after="480" w:line="240" w:lineRule="auto"/>
        <w:ind w:left="0" w:right="0" w:firstLine="50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6</w:t>
      </w:r>
      <w:r>
        <w:rPr>
          <w:color w:val="000000"/>
          <w:spacing w:val="0"/>
          <w:w w:val="100"/>
          <w:position w:val="0"/>
        </w:rPr>
        <w:t>、</w:t>
        <w:tab/>
        <w:t>应付票据</w:t>
      </w:r>
      <w:bookmarkEnd w:id="896"/>
      <w:bookmarkEnd w:id="897"/>
      <w:bookmarkEnd w:id="899"/>
    </w:p>
    <w:tbl>
      <w:tblPr>
        <w:tblOverlap w:val="never"/>
        <w:jc w:val="center"/>
        <w:tblLayout w:type="fixed"/>
      </w:tblPr>
      <w:tblGrid>
        <w:gridCol w:w="3830"/>
        <w:gridCol w:w="3566"/>
        <w:gridCol w:w="2534"/>
      </w:tblGrid>
      <w:tr>
        <w:trPr>
          <w:trHeight w:val="3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期初余额</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105,256,200.72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102,574,354.24</w:t>
            </w:r>
          </w:p>
        </w:tc>
      </w:tr>
      <w:tr>
        <w:trPr>
          <w:trHeight w:val="437"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b/>
                <w:bCs/>
                <w:color w:val="000000"/>
                <w:spacing w:val="0"/>
                <w:w w:val="100"/>
                <w:position w:val="0"/>
                <w:sz w:val="18"/>
                <w:szCs w:val="18"/>
              </w:rPr>
              <w:t>105,256,200.72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b/>
                <w:bCs/>
                <w:color w:val="000000"/>
                <w:spacing w:val="0"/>
                <w:w w:val="100"/>
                <w:position w:val="0"/>
                <w:sz w:val="18"/>
                <w:szCs w:val="18"/>
              </w:rPr>
              <w:t>102,574,354.24</w:t>
            </w:r>
          </w:p>
        </w:tc>
      </w:tr>
    </w:tbl>
    <w:p>
      <w:pPr>
        <w:widowControl w:val="0"/>
        <w:spacing w:after="479" w:line="1" w:lineRule="exact"/>
      </w:pPr>
    </w:p>
    <w:p>
      <w:pPr>
        <w:pStyle w:val="Style44"/>
        <w:keepNext/>
        <w:keepLines/>
        <w:widowControl w:val="0"/>
        <w:shd w:val="clear" w:color="auto" w:fill="auto"/>
        <w:tabs>
          <w:tab w:pos="1314" w:val="left"/>
        </w:tabs>
        <w:bidi w:val="0"/>
        <w:spacing w:before="0" w:after="540" w:line="240" w:lineRule="auto"/>
        <w:ind w:left="0" w:right="0" w:firstLine="50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7</w:t>
      </w:r>
      <w:r>
        <w:rPr>
          <w:color w:val="000000"/>
          <w:spacing w:val="0"/>
          <w:w w:val="100"/>
          <w:position w:val="0"/>
        </w:rPr>
        <w:t>、</w:t>
        <w:tab/>
        <w:t>应付账款</w:t>
      </w:r>
      <w:bookmarkEnd w:id="900"/>
      <w:bookmarkEnd w:id="901"/>
      <w:bookmarkEnd w:id="903"/>
    </w:p>
    <w:p>
      <w:pPr>
        <w:pStyle w:val="Style55"/>
        <w:keepNext/>
        <w:keepLines/>
        <w:widowControl w:val="0"/>
        <w:shd w:val="clear" w:color="auto" w:fill="auto"/>
        <w:bidi w:val="0"/>
        <w:spacing w:before="0" w:after="80" w:line="240" w:lineRule="auto"/>
        <w:ind w:left="0" w:right="0" w:firstLine="500"/>
        <w:jc w:val="left"/>
      </w:pPr>
      <w:bookmarkStart w:id="904" w:name="bookmark904"/>
      <w:bookmarkStart w:id="905" w:name="bookmark905"/>
      <w:bookmarkStart w:id="906" w:name="bookmark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904"/>
      <w:bookmarkEnd w:id="905"/>
      <w:bookmarkEnd w:id="906"/>
    </w:p>
    <w:tbl>
      <w:tblPr>
        <w:tblOverlap w:val="never"/>
        <w:jc w:val="center"/>
        <w:tblLayout w:type="fixed"/>
      </w:tblPr>
      <w:tblGrid>
        <w:gridCol w:w="3533"/>
        <w:gridCol w:w="3710"/>
        <w:gridCol w:w="2674"/>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期初余额</w:t>
            </w:r>
          </w:p>
        </w:tc>
      </w:tr>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144,757,185.84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92,170,133.81</w:t>
            </w:r>
          </w:p>
        </w:tc>
      </w:tr>
      <w:tr>
        <w:trPr>
          <w:trHeight w:val="52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其中：一年以上</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4,506,800.88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11,648,630.82</w:t>
            </w:r>
          </w:p>
        </w:tc>
      </w:tr>
    </w:tbl>
    <w:p>
      <w:pPr>
        <w:widowControl w:val="0"/>
        <w:spacing w:after="199" w:line="1" w:lineRule="exact"/>
      </w:pPr>
    </w:p>
    <w:p>
      <w:pPr>
        <w:pStyle w:val="Style55"/>
        <w:keepNext/>
        <w:keepLines/>
        <w:widowControl w:val="0"/>
        <w:numPr>
          <w:ilvl w:val="0"/>
          <w:numId w:val="21"/>
        </w:numPr>
        <w:shd w:val="clear" w:color="auto" w:fill="auto"/>
        <w:tabs>
          <w:tab w:pos="1168" w:val="left"/>
        </w:tabs>
        <w:bidi w:val="0"/>
        <w:spacing w:before="0" w:after="300" w:line="240" w:lineRule="auto"/>
        <w:ind w:left="0" w:right="0" w:firstLine="680"/>
        <w:jc w:val="left"/>
      </w:pPr>
      <w:bookmarkStart w:id="907" w:name="bookmark907"/>
      <w:bookmarkStart w:id="908" w:name="bookmark908"/>
      <w:bookmarkStart w:id="909" w:name="bookmark909"/>
      <w:bookmarkStart w:id="910" w:name="bookmark910"/>
      <w:bookmarkEnd w:id="909"/>
      <w:r>
        <w:rPr>
          <w:color w:val="000000"/>
          <w:spacing w:val="0"/>
          <w:w w:val="100"/>
          <w:position w:val="0"/>
        </w:rPr>
        <w:t>期末余额中，无应付持有本公司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以上表决权股份的股东单位和关联方单位款项。</w:t>
      </w:r>
      <w:bookmarkEnd w:id="907"/>
      <w:bookmarkEnd w:id="908"/>
      <w:bookmarkEnd w:id="910"/>
    </w:p>
    <w:p>
      <w:pPr>
        <w:pStyle w:val="Style55"/>
        <w:keepNext/>
        <w:keepLines/>
        <w:widowControl w:val="0"/>
        <w:numPr>
          <w:ilvl w:val="0"/>
          <w:numId w:val="21"/>
        </w:numPr>
        <w:shd w:val="clear" w:color="auto" w:fill="auto"/>
        <w:tabs>
          <w:tab w:pos="1168" w:val="left"/>
        </w:tabs>
        <w:bidi w:val="0"/>
        <w:spacing w:before="0" w:after="80" w:line="240" w:lineRule="auto"/>
        <w:ind w:left="0" w:right="0" w:firstLine="680"/>
        <w:jc w:val="left"/>
      </w:pPr>
      <w:bookmarkStart w:id="907" w:name="bookmark907"/>
      <w:bookmarkStart w:id="908" w:name="bookmark908"/>
      <w:bookmarkStart w:id="911" w:name="bookmark911"/>
      <w:bookmarkStart w:id="912" w:name="bookmark912"/>
      <w:bookmarkEnd w:id="911"/>
      <w:r>
        <w:rPr>
          <w:color w:val="000000"/>
          <w:spacing w:val="0"/>
          <w:w w:val="100"/>
          <w:position w:val="0"/>
        </w:rPr>
        <w:t>应付账款中外币金额</w:t>
      </w:r>
      <w:bookmarkEnd w:id="907"/>
      <w:bookmarkEnd w:id="908"/>
      <w:bookmarkEnd w:id="912"/>
    </w:p>
    <w:tbl>
      <w:tblPr>
        <w:tblOverlap w:val="never"/>
        <w:jc w:val="center"/>
        <w:tblLayout w:type="fixed"/>
      </w:tblPr>
      <w:tblGrid>
        <w:gridCol w:w="1349"/>
        <w:gridCol w:w="1579"/>
        <w:gridCol w:w="1152"/>
        <w:gridCol w:w="1570"/>
        <w:gridCol w:w="1402"/>
        <w:gridCol w:w="1142"/>
        <w:gridCol w:w="1512"/>
      </w:tblGrid>
      <w:tr>
        <w:trPr>
          <w:trHeight w:val="42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外币金额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180"/>
              <w:jc w:val="left"/>
            </w:pPr>
            <w:r>
              <w:rPr>
                <w:b/>
                <w:bCs/>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折算率</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人民币金额</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27"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人民币金额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376,071.68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2,292,871.43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488,540.41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3,070,720.75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日元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16,677,967.55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963,502.86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7,993,079.55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0.073049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583,886.47</w:t>
            </w: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3,256,374.29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3,654,607.22</w:t>
            </w:r>
          </w:p>
        </w:tc>
      </w:tr>
    </w:tbl>
    <w:p>
      <w:pPr>
        <w:widowControl w:val="0"/>
        <w:spacing w:after="539" w:line="1" w:lineRule="exact"/>
      </w:pPr>
    </w:p>
    <w:p>
      <w:pPr>
        <w:widowControl w:val="0"/>
        <w:jc w:val="center"/>
        <w:rPr>
          <w:sz w:val="2"/>
          <w:szCs w:val="2"/>
        </w:rPr>
        <w:sectPr>
          <w:footnotePr>
            <w:pos w:val="pageBottom"/>
            <w:numFmt w:val="decimal"/>
            <w:numRestart w:val="continuous"/>
          </w:footnotePr>
          <w:pgSz w:w="11900" w:h="16840"/>
          <w:pgMar w:top="1105" w:right="941" w:bottom="125" w:left="975" w:header="0" w:footer="3" w:gutter="0"/>
          <w:cols w:space="720"/>
          <w:noEndnote/>
          <w:rtlGutter w:val="0"/>
          <w:docGrid w:linePitch="360"/>
        </w:sectPr>
      </w:pPr>
      <w:r>
        <w:drawing>
          <wp:inline>
            <wp:extent cx="1718945" cy="981710"/>
            <wp:docPr id="670" name="Picutre 670"/>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217"/>
                    <a:stretch/>
                  </pic:blipFill>
                  <pic:spPr>
                    <a:xfrm>
                      <a:ext cx="1718945" cy="981710"/>
                    </a:xfrm>
                    <a:prstGeom prst="rect"/>
                  </pic:spPr>
                </pic:pic>
              </a:graphicData>
            </a:graphic>
          </wp:inline>
        </w:drawing>
      </w:r>
    </w:p>
    <w:p>
      <w:pPr>
        <w:widowControl w:val="0"/>
        <w:spacing w:after="299" w:line="1" w:lineRule="exact"/>
      </w:pPr>
    </w:p>
    <w:tbl>
      <w:tblPr>
        <w:tblOverlap w:val="never"/>
        <w:jc w:val="center"/>
        <w:tblLayout w:type="fixed"/>
      </w:tblPr>
      <w:tblGrid>
        <w:gridCol w:w="3629"/>
        <w:gridCol w:w="3562"/>
        <w:gridCol w:w="2525"/>
      </w:tblGrid>
      <w:tr>
        <w:trPr>
          <w:trHeight w:val="922" w:hRule="exact"/>
        </w:trPr>
        <w:tc>
          <w:tcPr>
            <w:gridSpan w:val="3"/>
            <w:tcBorders/>
            <w:shd w:val="clear" w:color="auto" w:fill="FFFFFF"/>
            <w:vAlign w:val="top"/>
          </w:tcPr>
          <w:p>
            <w:pPr>
              <w:pStyle w:val="Style2"/>
              <w:keepNext w:val="0"/>
              <w:keepLines w:val="0"/>
              <w:widowControl w:val="0"/>
              <w:shd w:val="clear" w:color="auto" w:fill="auto"/>
              <w:tabs>
                <w:tab w:pos="1281" w:val="left"/>
              </w:tabs>
              <w:bidi w:val="0"/>
              <w:spacing w:before="0" w:after="22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18</w:t>
            </w:r>
            <w:r>
              <w:rPr>
                <w:b/>
                <w:bCs/>
                <w:color w:val="000000"/>
                <w:spacing w:val="0"/>
                <w:w w:val="100"/>
                <w:position w:val="0"/>
                <w:sz w:val="20"/>
                <w:szCs w:val="20"/>
              </w:rPr>
              <w:t>、</w:t>
              <w:tab/>
              <w:t>预收款项</w:t>
            </w:r>
          </w:p>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）预收款项</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期初余额</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1,350,634.99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20,981,372.94</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其中：一年以上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101,208.39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347,948.12</w:t>
            </w:r>
          </w:p>
        </w:tc>
      </w:tr>
    </w:tbl>
    <w:p>
      <w:pPr>
        <w:widowControl w:val="0"/>
        <w:spacing w:after="339" w:line="1" w:lineRule="exact"/>
      </w:pPr>
    </w:p>
    <w:p>
      <w:pPr>
        <w:pStyle w:val="Style55"/>
        <w:keepNext/>
        <w:keepLines/>
        <w:widowControl w:val="0"/>
        <w:pBdr>
          <w:top w:val="single" w:sz="4" w:space="0" w:color="auto"/>
        </w:pBdr>
        <w:shd w:val="clear" w:color="auto" w:fill="auto"/>
        <w:bidi w:val="0"/>
        <w:spacing w:before="0" w:line="240" w:lineRule="auto"/>
        <w:ind w:left="0" w:right="0" w:firstLine="580"/>
        <w:jc w:val="left"/>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r>
        <w:rPr>
          <w:color w:val="000000"/>
          <w:spacing w:val="0"/>
          <w:w w:val="100"/>
          <w:position w:val="0"/>
        </w:rPr>
        <w:t>）期末余额中，无预收持有本公司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以上表决权股份的股东单位和关联方单位款项。</w:t>
      </w:r>
      <w:bookmarkEnd w:id="913"/>
      <w:bookmarkEnd w:id="914"/>
      <w:bookmarkEnd w:id="915"/>
    </w:p>
    <w:p>
      <w:pPr>
        <w:pStyle w:val="Style55"/>
        <w:keepNext/>
        <w:keepLines/>
        <w:widowControl w:val="0"/>
        <w:shd w:val="clear" w:color="auto" w:fill="auto"/>
        <w:bidi w:val="0"/>
        <w:spacing w:before="0" w:after="400" w:line="240" w:lineRule="auto"/>
        <w:ind w:left="0" w:right="0" w:firstLine="580"/>
        <w:jc w:val="left"/>
      </w:pPr>
      <w:bookmarkStart w:id="913" w:name="bookmark913"/>
      <w:bookmarkStart w:id="914" w:name="bookmark914"/>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）预收款项中外币金额</w:t>
      </w:r>
      <w:bookmarkEnd w:id="913"/>
      <w:bookmarkEnd w:id="914"/>
      <w:bookmarkEnd w:id="917"/>
    </w:p>
    <w:tbl>
      <w:tblPr>
        <w:tblOverlap w:val="never"/>
        <w:jc w:val="center"/>
        <w:tblLayout w:type="fixed"/>
      </w:tblPr>
      <w:tblGrid>
        <w:gridCol w:w="1008"/>
        <w:gridCol w:w="1565"/>
        <w:gridCol w:w="1214"/>
        <w:gridCol w:w="1445"/>
        <w:gridCol w:w="1166"/>
        <w:gridCol w:w="1162"/>
        <w:gridCol w:w="1363"/>
      </w:tblGrid>
      <w:tr>
        <w:trPr>
          <w:trHeight w:val="317"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vMerge w:val="restart"/>
            <w:tcBorders/>
            <w:shd w:val="clear" w:color="auto" w:fill="FFFFFF"/>
            <w:vAlign w:val="top"/>
          </w:tcPr>
          <w:p>
            <w:pPr>
              <w:pStyle w:val="Style2"/>
              <w:keepNext w:val="0"/>
              <w:keepLines w:val="0"/>
              <w:widowControl w:val="0"/>
              <w:shd w:val="clear" w:color="auto" w:fill="auto"/>
              <w:bidi w:val="0"/>
              <w:spacing w:before="0" w:after="200" w:line="240" w:lineRule="auto"/>
              <w:ind w:left="0" w:right="340" w:firstLine="0"/>
              <w:jc w:val="right"/>
            </w:pPr>
            <w:r>
              <w:rPr>
                <w:b/>
                <w:bCs/>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折算率</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人民币金额</w:t>
            </w:r>
          </w:p>
        </w:tc>
      </w:tr>
      <w:tr>
        <w:trPr>
          <w:trHeight w:val="43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人民币金额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外币金额</w:t>
            </w:r>
          </w:p>
        </w:tc>
        <w:tc>
          <w:tcPr>
            <w:vMerge/>
            <w:tcBorders/>
            <w:shd w:val="clear" w:color="auto" w:fill="FFFFFF"/>
            <w:vAlign w:val="top"/>
          </w:tcPr>
          <w:p>
            <w:pPr/>
          </w:p>
        </w:tc>
        <w:tc>
          <w:tcPr>
            <w:vMerge/>
            <w:tcBorders/>
            <w:shd w:val="clear" w:color="auto" w:fill="FFFFFF"/>
            <w:vAlign w:val="bottom"/>
          </w:tcPr>
          <w:p>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71,365.98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68,633.20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5,130.74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5,291.28</w:t>
            </w:r>
          </w:p>
        </w:tc>
      </w:tr>
      <w:tr>
        <w:trPr>
          <w:trHeight w:val="317"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76,496.72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73,924.48</w:t>
            </w:r>
          </w:p>
        </w:tc>
      </w:tr>
    </w:tbl>
    <w:p>
      <w:pPr>
        <w:widowControl w:val="0"/>
        <w:spacing w:after="399" w:line="1" w:lineRule="exact"/>
      </w:pPr>
    </w:p>
    <w:p>
      <w:pPr>
        <w:pStyle w:val="Style44"/>
        <w:keepNext/>
        <w:keepLines/>
        <w:widowControl w:val="0"/>
        <w:shd w:val="clear" w:color="auto" w:fill="auto"/>
        <w:tabs>
          <w:tab w:pos="1286" w:val="left"/>
        </w:tabs>
        <w:bidi w:val="0"/>
        <w:spacing w:before="0" w:line="240" w:lineRule="auto"/>
        <w:ind w:left="0" w:right="0" w:firstLine="46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19</w:t>
      </w:r>
      <w:r>
        <w:rPr>
          <w:color w:val="000000"/>
          <w:spacing w:val="0"/>
          <w:w w:val="100"/>
          <w:position w:val="0"/>
        </w:rPr>
        <w:t>、</w:t>
        <w:tab/>
        <w:t>应付职工薪酬</w:t>
      </w:r>
      <w:bookmarkEnd w:id="918"/>
      <w:bookmarkEnd w:id="919"/>
      <w:bookmarkEnd w:id="920"/>
    </w:p>
    <w:tbl>
      <w:tblPr>
        <w:tblOverlap w:val="never"/>
        <w:jc w:val="center"/>
        <w:tblLayout w:type="fixed"/>
      </w:tblPr>
      <w:tblGrid>
        <w:gridCol w:w="3187"/>
        <w:gridCol w:w="1738"/>
        <w:gridCol w:w="1603"/>
        <w:gridCol w:w="1541"/>
        <w:gridCol w:w="1373"/>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期末余额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一、工资、奖金、津贴和补贴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19,875,705.14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104,361,948.69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96,974,686.70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27,262,967.13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二、职工福利费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316,359.62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4,346,822.77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4,663,182.39</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三、社会保险费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11,251.33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17,224,385.12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17,202,404.68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33,231.77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2,805.40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4,569,373.95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4,562,068.99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10,110.36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11,003,667.64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10,991,102.64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20,421.80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、年金缴费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280.54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759,476.82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758,694.27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479,627.50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478,858.40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853.26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224.43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412,239.21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411,680.38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783.26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四、住房公积金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4,156,941.70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4,140,182.70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20,125.00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五、工会经费和职工教育经费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3,026,042.37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1,980,320.49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1,519,923.76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3,486,439.10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六、非货币性福利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七、因解除劳动关系给予的补偿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八、其他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其中：以现金结算的股份支付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23,232,724.46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132,070,418.77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124,500,380.23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30,802,763.00</w:t>
            </w:r>
          </w:p>
        </w:tc>
      </w:tr>
    </w:tbl>
    <w:p>
      <w:pPr>
        <w:sectPr>
          <w:footnotePr>
            <w:pos w:val="pageBottom"/>
            <w:numFmt w:val="decimal"/>
            <w:numRestart w:val="continuous"/>
          </w:footnotePr>
          <w:pgSz w:w="11900" w:h="16840"/>
          <w:pgMar w:top="1145" w:right="992" w:bottom="1414" w:left="978" w:header="0" w:footer="3" w:gutter="0"/>
          <w:cols w:space="720"/>
          <w:noEndnote/>
          <w:rtlGutter w:val="0"/>
          <w:docGrid w:linePitch="360"/>
        </w:sectPr>
      </w:pPr>
    </w:p>
    <w:p>
      <w:pPr>
        <w:pStyle w:val="Style44"/>
        <w:keepNext/>
        <w:keepLines/>
        <w:widowControl w:val="0"/>
        <w:shd w:val="clear" w:color="auto" w:fill="auto"/>
        <w:tabs>
          <w:tab w:pos="1378" w:val="left"/>
        </w:tabs>
        <w:bidi w:val="0"/>
        <w:spacing w:before="0" w:after="300" w:line="240" w:lineRule="auto"/>
        <w:ind w:left="0" w:right="0" w:firstLine="56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20</w:t>
      </w:r>
      <w:r>
        <w:rPr>
          <w:color w:val="000000"/>
          <w:spacing w:val="0"/>
          <w:w w:val="100"/>
          <w:position w:val="0"/>
        </w:rPr>
        <w:t>、</w:t>
        <w:tab/>
        <w:t>应交税费</w:t>
      </w:r>
      <w:bookmarkEnd w:id="921"/>
      <w:bookmarkEnd w:id="922"/>
      <w:bookmarkEnd w:id="923"/>
    </w:p>
    <w:tbl>
      <w:tblPr>
        <w:tblOverlap w:val="never"/>
        <w:jc w:val="center"/>
        <w:tblLayout w:type="fixed"/>
      </w:tblPr>
      <w:tblGrid>
        <w:gridCol w:w="4478"/>
        <w:gridCol w:w="2438"/>
        <w:gridCol w:w="2390"/>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税种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9,204,159.99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-3,645,600.07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863,454.10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211,196.05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9,698,515.86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10,259,879.28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350,979.39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259,910.78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386,724.59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91,924.60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257,816.39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61,357.33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174,345.63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1,409,833.10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20,935,995.95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8,648,501.07</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注：应交税费期末数较期初数增幅较大的原因见十四、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2"/>
              <w:keepNext w:val="0"/>
              <w:keepLines w:val="0"/>
              <w:widowControl w:val="0"/>
              <w:shd w:val="clear" w:color="auto" w:fill="auto"/>
              <w:tabs>
                <w:tab w:pos="1110" w:val="left"/>
              </w:tabs>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w:t>
              <w:tab/>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往来款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1,108,885.79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20,304,605.61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押金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242,000.00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355,102.00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b/>
                <w:bCs/>
                <w:color w:val="000000"/>
                <w:spacing w:val="0"/>
                <w:w w:val="100"/>
                <w:position w:val="0"/>
                <w:sz w:val="18"/>
                <w:szCs w:val="18"/>
              </w:rPr>
              <w:t>1,350,885.79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20,659,707.61</w:t>
            </w: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其中：一年以上</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1,030,189.90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1,407,941.32</w:t>
            </w:r>
          </w:p>
        </w:tc>
      </w:tr>
    </w:tbl>
    <w:p>
      <w:pPr>
        <w:widowControl w:val="0"/>
        <w:spacing w:after="199" w:line="1" w:lineRule="exact"/>
      </w:pPr>
    </w:p>
    <w:p>
      <w:pPr>
        <w:pStyle w:val="Style55"/>
        <w:keepNext/>
        <w:keepLines/>
        <w:widowControl w:val="0"/>
        <w:pBdr>
          <w:top w:val="single" w:sz="4" w:space="0" w:color="auto"/>
        </w:pBdr>
        <w:shd w:val="clear" w:color="auto" w:fill="auto"/>
        <w:bidi w:val="0"/>
        <w:spacing w:before="0" w:after="200" w:line="240" w:lineRule="auto"/>
        <w:ind w:left="0" w:right="0" w:firstLine="68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r>
        <w:rPr>
          <w:color w:val="000000"/>
          <w:spacing w:val="0"/>
          <w:w w:val="100"/>
          <w:position w:val="0"/>
        </w:rPr>
        <w:t>)期末余额中，无应付持有本公司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以上表决权股份的股东单位和关联方单位款项。</w:t>
      </w:r>
      <w:bookmarkEnd w:id="924"/>
      <w:bookmarkEnd w:id="925"/>
      <w:bookmarkEnd w:id="926"/>
    </w:p>
    <w:p>
      <w:pPr>
        <w:pStyle w:val="Style44"/>
        <w:keepNext/>
        <w:keepLines/>
        <w:widowControl w:val="0"/>
        <w:shd w:val="clear" w:color="auto" w:fill="auto"/>
        <w:tabs>
          <w:tab w:pos="1378" w:val="left"/>
        </w:tabs>
        <w:bidi w:val="0"/>
        <w:spacing w:before="0" w:after="200" w:line="240" w:lineRule="auto"/>
        <w:ind w:left="0" w:right="0" w:firstLine="56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22</w:t>
      </w:r>
      <w:r>
        <w:rPr>
          <w:color w:val="000000"/>
          <w:spacing w:val="0"/>
          <w:w w:val="100"/>
          <w:position w:val="0"/>
        </w:rPr>
        <w:t>、</w:t>
        <w:tab/>
        <w:t>一年内到期的非流动负债</w:t>
      </w:r>
      <w:bookmarkEnd w:id="927"/>
      <w:bookmarkEnd w:id="928"/>
      <w:bookmarkEnd w:id="929"/>
    </w:p>
    <w:p>
      <w:pPr>
        <w:pStyle w:val="Style55"/>
        <w:keepNext/>
        <w:keepLines/>
        <w:widowControl w:val="0"/>
        <w:pBdr>
          <w:bottom w:val="single" w:sz="4" w:space="0" w:color="auto"/>
        </w:pBdr>
        <w:shd w:val="clear" w:color="auto" w:fill="auto"/>
        <w:bidi w:val="0"/>
        <w:spacing w:before="0" w:after="300" w:line="240" w:lineRule="auto"/>
        <w:ind w:left="0" w:right="0" w:firstLine="560"/>
        <w:jc w:val="left"/>
      </w:pPr>
      <w:bookmarkStart w:id="930" w:name="bookmark930"/>
      <w:bookmarkStart w:id="931" w:name="bookmark931"/>
      <w:bookmarkStart w:id="932" w:name="bookmark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)一年内到期的长期借款</w:t>
      </w:r>
      <w:bookmarkEnd w:id="930"/>
      <w:bookmarkEnd w:id="931"/>
      <w:bookmarkEnd w:id="932"/>
    </w:p>
    <w:p>
      <w:pPr>
        <w:pStyle w:val="Style72"/>
        <w:keepNext w:val="0"/>
        <w:keepLines w:val="0"/>
        <w:widowControl w:val="0"/>
        <w:pBdr>
          <w:bottom w:val="single" w:sz="4" w:space="0" w:color="auto"/>
        </w:pBdr>
        <w:shd w:val="clear" w:color="auto" w:fill="auto"/>
        <w:tabs>
          <w:tab w:pos="5521" w:val="center"/>
          <w:tab w:pos="8735" w:val="right"/>
        </w:tabs>
        <w:bidi w:val="0"/>
        <w:spacing w:before="0" w:after="200" w:line="240" w:lineRule="auto"/>
        <w:ind w:left="1960" w:right="0" w:firstLine="0"/>
        <w:jc w:val="left"/>
      </w:pPr>
      <w:r>
        <w:rPr>
          <w:color w:val="000000"/>
          <w:spacing w:val="0"/>
          <w:w w:val="100"/>
          <w:position w:val="0"/>
        </w:rPr>
        <w:t>项目</w:t>
        <w:tab/>
        <w:t>期末余额</w:t>
        <w:tab/>
        <w:t>期初余额</w:t>
      </w:r>
    </w:p>
    <w:p>
      <w:pPr>
        <w:pStyle w:val="Style74"/>
        <w:keepNext w:val="0"/>
        <w:keepLines w:val="0"/>
        <w:widowControl w:val="0"/>
        <w:shd w:val="clear" w:color="auto" w:fill="auto"/>
        <w:tabs>
          <w:tab w:pos="5521" w:val="center"/>
          <w:tab w:pos="8735" w:val="right"/>
        </w:tabs>
        <w:bidi w:val="0"/>
        <w:spacing w:before="0" w:after="200" w:line="240" w:lineRule="auto"/>
        <w:ind w:left="1780" w:right="0" w:firstLine="0"/>
        <w:jc w:val="left"/>
      </w:pPr>
      <w:r>
        <w:rPr>
          <w:rFonts w:ascii="SimSun" w:eastAsia="SimSun" w:hAnsi="SimSun" w:cs="SimSun"/>
          <w:b w:val="0"/>
          <w:bCs w:val="0"/>
          <w:color w:val="000000"/>
          <w:spacing w:val="0"/>
          <w:w w:val="100"/>
          <w:position w:val="0"/>
          <w:sz w:val="17"/>
          <w:szCs w:val="17"/>
        </w:rPr>
        <w:t>信用借款</w:t>
        <w:tab/>
      </w:r>
      <w:r>
        <w:rPr>
          <w:b w:val="0"/>
          <w:bCs w:val="0"/>
          <w:color w:val="000000"/>
          <w:spacing w:val="0"/>
          <w:w w:val="100"/>
          <w:position w:val="0"/>
        </w:rPr>
        <w:t>660,000.00</w:t>
        <w:tab/>
        <w:t>790,000.00</w:t>
      </w:r>
    </w:p>
    <w:p>
      <w:pPr>
        <w:pStyle w:val="Style74"/>
        <w:keepNext w:val="0"/>
        <w:keepLines w:val="0"/>
        <w:widowControl w:val="0"/>
        <w:pBdr>
          <w:bottom w:val="single" w:sz="4" w:space="0" w:color="auto"/>
        </w:pBdr>
        <w:shd w:val="clear" w:color="auto" w:fill="auto"/>
        <w:tabs>
          <w:tab w:pos="5521" w:val="center"/>
          <w:tab w:pos="8735" w:val="right"/>
        </w:tabs>
        <w:bidi w:val="0"/>
        <w:spacing w:before="0" w:after="200" w:line="240" w:lineRule="auto"/>
        <w:ind w:left="196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660,000.00</w:t>
        <w:tab/>
        <w:t>790,000.00</w:t>
      </w:r>
    </w:p>
    <w:p>
      <w:pPr>
        <w:pStyle w:val="Style72"/>
        <w:keepNext w:val="0"/>
        <w:keepLines w:val="0"/>
        <w:widowControl w:val="0"/>
        <w:shd w:val="clear" w:color="auto" w:fill="auto"/>
        <w:bidi w:val="0"/>
        <w:spacing w:before="0" w:after="360" w:line="240" w:lineRule="auto"/>
        <w:ind w:left="0" w:right="0" w:firstLine="960"/>
        <w:jc w:val="both"/>
      </w:pPr>
      <w:r>
        <w:rPr>
          <w:b w:val="0"/>
          <w:bCs w:val="0"/>
          <w:color w:val="000000"/>
          <w:spacing w:val="0"/>
          <w:w w:val="100"/>
          <w:position w:val="0"/>
        </w:rPr>
        <w:t>注：一年内到期的长期借款中属于逾期借款获得展期的金额</w:t>
      </w:r>
      <w:r>
        <w:rPr>
          <w:rFonts w:ascii="Times New Roman" w:eastAsia="Times New Roman" w:hAnsi="Times New Roman" w:cs="Times New Roman"/>
          <w:b w:val="0"/>
          <w:bCs w:val="0"/>
          <w:color w:val="000000"/>
          <w:spacing w:val="0"/>
          <w:w w:val="100"/>
          <w:position w:val="0"/>
          <w:sz w:val="18"/>
          <w:szCs w:val="18"/>
        </w:rPr>
        <w:t>660,000.00</w:t>
      </w:r>
      <w:r>
        <w:rPr>
          <w:b w:val="0"/>
          <w:bCs w:val="0"/>
          <w:color w:val="000000"/>
          <w:spacing w:val="0"/>
          <w:w w:val="100"/>
          <w:position w:val="0"/>
        </w:rPr>
        <w:t>元。</w:t>
      </w:r>
    </w:p>
    <w:p>
      <w:pPr>
        <w:pStyle w:val="Style55"/>
        <w:keepNext/>
        <w:keepLines/>
        <w:widowControl w:val="0"/>
        <w:shd w:val="clear" w:color="auto" w:fill="auto"/>
        <w:bidi w:val="0"/>
        <w:spacing w:before="0" w:after="60" w:line="240" w:lineRule="auto"/>
        <w:ind w:left="0" w:right="0" w:firstLine="68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一年内到期的长期借款明细</w:t>
      </w:r>
      <w:bookmarkEnd w:id="933"/>
      <w:bookmarkEnd w:id="934"/>
      <w:bookmarkEnd w:id="935"/>
    </w:p>
    <w:tbl>
      <w:tblPr>
        <w:tblOverlap w:val="never"/>
        <w:jc w:val="center"/>
        <w:tblLayout w:type="fixed"/>
      </w:tblPr>
      <w:tblGrid>
        <w:gridCol w:w="1651"/>
        <w:gridCol w:w="1258"/>
        <w:gridCol w:w="840"/>
        <w:gridCol w:w="1262"/>
        <w:gridCol w:w="1334"/>
        <w:gridCol w:w="1440"/>
        <w:gridCol w:w="1474"/>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贷款单位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本币金额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玉田县财政局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790,000.00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790,000.00</w:t>
            </w:r>
          </w:p>
        </w:tc>
      </w:tr>
    </w:tbl>
    <w:p>
      <w:pPr>
        <w:pStyle w:val="Style30"/>
        <w:keepNext w:val="0"/>
        <w:keepLines w:val="0"/>
        <w:widowControl w:val="0"/>
        <w:shd w:val="clear" w:color="auto" w:fill="auto"/>
        <w:bidi w:val="0"/>
        <w:spacing w:before="0" w:after="0" w:line="240" w:lineRule="auto"/>
        <w:ind w:left="202" w:right="0" w:firstLine="0"/>
        <w:jc w:val="left"/>
        <w:rPr>
          <w:sz w:val="17"/>
          <w:szCs w:val="17"/>
        </w:rPr>
      </w:pPr>
      <w:r>
        <w:rPr>
          <w:b w:val="0"/>
          <w:bCs w:val="0"/>
          <w:color w:val="000000"/>
          <w:spacing w:val="0"/>
          <w:w w:val="100"/>
          <w:position w:val="0"/>
          <w:sz w:val="17"/>
          <w:szCs w:val="17"/>
        </w:rPr>
        <w:t>注：该笔借款系玉田县财政局根据河北省财政厅冀财建</w:t>
      </w:r>
      <w:r>
        <w:rPr>
          <w:rFonts w:ascii="Times New Roman" w:eastAsia="Times New Roman" w:hAnsi="Times New Roman" w:cs="Times New Roman"/>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2002]202</w:t>
      </w:r>
      <w:r>
        <w:rPr>
          <w:b w:val="0"/>
          <w:bCs w:val="0"/>
          <w:color w:val="000000"/>
          <w:spacing w:val="0"/>
          <w:w w:val="100"/>
          <w:position w:val="0"/>
          <w:sz w:val="17"/>
          <w:szCs w:val="17"/>
        </w:rPr>
        <w:t>号文《关于下达</w:t>
      </w:r>
      <w:r>
        <w:rPr>
          <w:rFonts w:ascii="Times New Roman" w:eastAsia="Times New Roman" w:hAnsi="Times New Roman" w:cs="Times New Roman"/>
          <w:b w:val="0"/>
          <w:bCs w:val="0"/>
          <w:color w:val="000000"/>
          <w:spacing w:val="0"/>
          <w:w w:val="100"/>
          <w:position w:val="0"/>
          <w:sz w:val="18"/>
          <w:szCs w:val="18"/>
        </w:rPr>
        <w:t>2002</w:t>
      </w:r>
      <w:r>
        <w:rPr>
          <w:b w:val="0"/>
          <w:bCs w:val="0"/>
          <w:color w:val="000000"/>
          <w:spacing w:val="0"/>
          <w:w w:val="100"/>
          <w:position w:val="0"/>
          <w:sz w:val="17"/>
          <w:szCs w:val="17"/>
        </w:rPr>
        <w:t>年度第三、四批国债专项资金国</w:t>
      </w:r>
      <w:r>
        <w:br w:type="page"/>
      </w:r>
    </w:p>
    <w:tbl>
      <w:tblPr>
        <w:tblOverlap w:val="never"/>
        <w:jc w:val="center"/>
        <w:tblLayout w:type="fixed"/>
      </w:tblPr>
      <w:tblGrid>
        <w:gridCol w:w="3528"/>
        <w:gridCol w:w="2669"/>
        <w:gridCol w:w="2093"/>
        <w:gridCol w:w="1642"/>
      </w:tblGrid>
      <w:tr>
        <w:trPr>
          <w:trHeight w:val="1411"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家重点技术改造资金和转贷计划的通知》拨付给本公司的国债转贷资金，已展期至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
              <w:keepNext w:val="0"/>
              <w:keepLines w:val="0"/>
              <w:widowControl w:val="0"/>
              <w:shd w:val="clear" w:color="auto" w:fill="auto"/>
              <w:tabs>
                <w:tab w:pos="1410" w:val="left"/>
              </w:tabs>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w:t>
              <w:tab/>
              <w:t>专项应付款</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tcBorders>
            <w:shd w:val="clear" w:color="auto" w:fill="FFFFFF"/>
            <w:vAlign w:val="center"/>
          </w:tcPr>
          <w:p>
            <w:pPr>
              <w:pStyle w:val="Style2"/>
              <w:keepNext w:val="0"/>
              <w:keepLines w:val="0"/>
              <w:widowControl w:val="0"/>
              <w:shd w:val="clear" w:color="auto" w:fill="auto"/>
              <w:tabs>
                <w:tab w:pos="1811" w:val="left"/>
              </w:tabs>
              <w:bidi w:val="0"/>
              <w:spacing w:before="0" w:after="0" w:line="240" w:lineRule="auto"/>
              <w:ind w:left="0" w:right="0" w:firstLine="160"/>
              <w:jc w:val="left"/>
            </w:pPr>
            <w:r>
              <w:rPr>
                <w:b/>
                <w:bCs/>
                <w:color w:val="000000"/>
                <w:spacing w:val="0"/>
                <w:w w:val="100"/>
                <w:position w:val="0"/>
              </w:rPr>
              <w:t>期初余额</w:t>
              <w:tab/>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科研项目经费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机电产品研究开发清算资金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科研经费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SMD</w:t>
            </w:r>
            <w:r>
              <w:rPr>
                <w:color w:val="000000"/>
                <w:spacing w:val="0"/>
                <w:w w:val="100"/>
                <w:position w:val="0"/>
              </w:rPr>
              <w:t>石英晶体元器件及其配套产品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的开发科研经费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9,960,000.00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高端智能卡芯片研发项目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10,230,000.00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8,490,000.00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34,750,000.00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22,000,000.00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12,750,000.00</w:t>
            </w:r>
          </w:p>
        </w:tc>
      </w:tr>
      <w:tr>
        <w:trPr>
          <w:trHeight w:val="59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注：专项应付款余额为本公司收到的委托及合作开发的研发项目资金。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06" w:hRule="exact"/>
        </w:trPr>
        <w:tc>
          <w:tcPr>
            <w:tcBorders/>
            <w:shd w:val="clear" w:color="auto" w:fill="FFFFFF"/>
            <w:vAlign w:val="center"/>
          </w:tcPr>
          <w:p>
            <w:pPr>
              <w:pStyle w:val="Style2"/>
              <w:keepNext w:val="0"/>
              <w:keepLines w:val="0"/>
              <w:widowControl w:val="0"/>
              <w:shd w:val="clear" w:color="auto" w:fill="auto"/>
              <w:tabs>
                <w:tab w:pos="1390" w:val="left"/>
              </w:tabs>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w:t>
              <w:tab/>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r>
      <w:tr>
        <w:trPr>
          <w:trHeight w:val="41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万件新型片式石英晶体元器件产业化项目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3,952,480.00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4,782,484.00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进口贴息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1,220,467.27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1,416,331.27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唐山市财政局信息产业化和技术改造项目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2,949,999.84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3,449,999.88</w:t>
            </w:r>
          </w:p>
        </w:tc>
      </w:tr>
      <w:tr>
        <w:trPr>
          <w:trHeight w:val="403"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唐山市财政局小型高稳石英晶体元器件产业化项目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299,999.84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349,999.88</w:t>
            </w:r>
          </w:p>
        </w:tc>
      </w:tr>
      <w:tr>
        <w:trPr>
          <w:trHeight w:val="394"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唐山市商务局</w:t>
            </w:r>
            <w:r>
              <w:rPr>
                <w:rFonts w:ascii="Times New Roman" w:eastAsia="Times New Roman" w:hAnsi="Times New Roman" w:cs="Times New Roman"/>
                <w:color w:val="000000"/>
                <w:spacing w:val="0"/>
                <w:w w:val="100"/>
                <w:position w:val="0"/>
                <w:sz w:val="18"/>
                <w:szCs w:val="18"/>
              </w:rPr>
              <w:t>XO3225</w:t>
            </w:r>
            <w:r>
              <w:rPr>
                <w:color w:val="000000"/>
                <w:spacing w:val="0"/>
                <w:w w:val="100"/>
                <w:position w:val="0"/>
              </w:rPr>
              <w:t>型片式石英振荡器研发专项资金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260,000.14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300,000.10</w:t>
            </w:r>
          </w:p>
        </w:tc>
      </w:tr>
      <w:tr>
        <w:trPr>
          <w:trHeight w:val="403"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大尺寸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衬底用蓝宝石生长工艺合作研究项目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进口设备贴息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2,140,546.70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665,200.00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高端智能卡芯片研发项目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29,836,000.00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36,795,000.00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芯片研发项目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特种集成电路研发项目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360,118,042.60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290,853,100.00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408,377,536.39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340,612,115.13</w:t>
            </w:r>
          </w:p>
        </w:tc>
      </w:tr>
      <w:tr>
        <w:trPr>
          <w:trHeight w:val="61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注：其他非流动负债余额为本公司收到的委托及合作开发的研发项目资金。</w:t>
            </w:r>
          </w:p>
        </w:tc>
        <w:tc>
          <w:tcPr>
            <w:tcBorders>
              <w:top w:val="single" w:sz="4"/>
            </w:tcBorders>
            <w:shd w:val="clear" w:color="auto" w:fill="FFFFFF"/>
            <w:vAlign w:val="top"/>
          </w:tcPr>
          <w:p>
            <w:pPr>
              <w:widowControl w:val="0"/>
              <w:rPr>
                <w:sz w:val="10"/>
                <w:szCs w:val="10"/>
              </w:rPr>
            </w:pPr>
          </w:p>
        </w:tc>
      </w:tr>
      <w:tr>
        <w:trPr>
          <w:trHeight w:val="629" w:hRule="exact"/>
        </w:trPr>
        <w:tc>
          <w:tcPr>
            <w:tcBorders/>
            <w:shd w:val="clear" w:color="auto" w:fill="FFFFFF"/>
            <w:vAlign w:val="center"/>
          </w:tcPr>
          <w:p>
            <w:pPr>
              <w:pStyle w:val="Style2"/>
              <w:keepNext w:val="0"/>
              <w:keepLines w:val="0"/>
              <w:widowControl w:val="0"/>
              <w:shd w:val="clear" w:color="auto" w:fill="auto"/>
              <w:tabs>
                <w:tab w:pos="1395" w:val="left"/>
              </w:tabs>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25</w:t>
            </w:r>
            <w:r>
              <w:rPr>
                <w:b/>
                <w:bCs/>
                <w:color w:val="000000"/>
                <w:spacing w:val="0"/>
                <w:w w:val="100"/>
                <w:position w:val="0"/>
                <w:sz w:val="20"/>
                <w:szCs w:val="20"/>
              </w:rPr>
              <w:t>、</w:t>
              <w:tab/>
              <w:t>股本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本次变动增减(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
              <w:keepNext w:val="0"/>
              <w:keepLines w:val="0"/>
              <w:widowControl w:val="0"/>
              <w:shd w:val="clear" w:color="auto" w:fill="auto"/>
              <w:tabs>
                <w:tab w:pos="1541" w:val="left"/>
              </w:tabs>
              <w:bidi w:val="0"/>
              <w:spacing w:before="0" w:after="0" w:line="240" w:lineRule="auto"/>
              <w:ind w:left="0" w:right="0" w:firstLine="240"/>
              <w:jc w:val="left"/>
            </w:pPr>
            <w:r>
              <w:rPr>
                <w:b/>
                <w:bCs/>
                <w:color w:val="000000"/>
                <w:spacing w:val="0"/>
                <w:w w:val="100"/>
                <w:position w:val="0"/>
              </w:rPr>
              <w:t>股份类别</w:t>
              <w:tab/>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gridSpan w:val="3"/>
            <w:tcBorders>
              <w:bottom w:val="single" w:sz="4"/>
            </w:tcBorders>
            <w:shd w:val="clear" w:color="auto" w:fill="FFFFFF"/>
            <w:vAlign w:val="top"/>
          </w:tcPr>
          <w:p>
            <w:pPr>
              <w:pStyle w:val="Style2"/>
              <w:keepNext w:val="0"/>
              <w:keepLines w:val="0"/>
              <w:widowControl w:val="0"/>
              <w:shd w:val="clear" w:color="auto" w:fill="auto"/>
              <w:tabs>
                <w:tab w:pos="4263" w:val="left"/>
                <w:tab w:pos="5986" w:val="left"/>
                <w:tab w:pos="7350" w:val="left"/>
              </w:tabs>
              <w:bidi w:val="0"/>
              <w:spacing w:before="0" w:after="0" w:line="240" w:lineRule="auto"/>
              <w:ind w:left="3020" w:right="0" w:firstLine="0"/>
              <w:jc w:val="left"/>
            </w:pPr>
            <w:r>
              <w:rPr>
                <w:b/>
                <w:bCs/>
                <w:color w:val="000000"/>
                <w:spacing w:val="0"/>
                <w:w w:val="100"/>
                <w:position w:val="0"/>
              </w:rPr>
              <w:t>发行新股</w:t>
              <w:tab/>
              <w:t>-集蓝"</w:t>
              <w:tab/>
              <w:t>其他</w:t>
              <w:tab/>
              <w:t>小计</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期末余额</w:t>
            </w:r>
          </w:p>
        </w:tc>
      </w:tr>
    </w:tbl>
    <w:p>
      <w:pPr>
        <w:pStyle w:val="Style30"/>
        <w:keepNext w:val="0"/>
        <w:keepLines w:val="0"/>
        <w:widowControl w:val="0"/>
        <w:shd w:val="clear" w:color="auto" w:fill="auto"/>
        <w:tabs>
          <w:tab w:pos="2904" w:val="left"/>
          <w:tab w:pos="5525" w:val="left"/>
          <w:tab w:pos="7114" w:val="left"/>
          <w:tab w:pos="8501" w:val="left"/>
        </w:tabs>
        <w:bidi w:val="0"/>
        <w:spacing w:before="0" w:after="0" w:line="240" w:lineRule="auto"/>
        <w:ind w:left="0" w:right="0" w:firstLine="0"/>
        <w:jc w:val="center"/>
        <w:rPr>
          <w:sz w:val="18"/>
          <w:szCs w:val="18"/>
        </w:rPr>
      </w:pPr>
      <w:r>
        <w:rPr>
          <w:b w:val="0"/>
          <w:bCs w:val="0"/>
          <w:color w:val="000000"/>
          <w:spacing w:val="0"/>
          <w:w w:val="100"/>
          <w:position w:val="0"/>
          <w:sz w:val="17"/>
          <w:szCs w:val="17"/>
        </w:rPr>
        <w:t xml:space="preserve">限售流通股 </w:t>
      </w:r>
      <w:r>
        <w:rPr>
          <w:rFonts w:ascii="Times New Roman" w:eastAsia="Times New Roman" w:hAnsi="Times New Roman" w:cs="Times New Roman"/>
          <w:b w:val="0"/>
          <w:bCs w:val="0"/>
          <w:color w:val="000000"/>
          <w:spacing w:val="0"/>
          <w:w w:val="100"/>
          <w:position w:val="0"/>
          <w:sz w:val="18"/>
          <w:szCs w:val="18"/>
        </w:rPr>
        <w:t>203,973,312.0</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ab/>
        <w:t>6,467,661.0</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ab/>
        <w:t>-6,918,785.0</w:t>
      </w:r>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ab/>
      </w:r>
      <w:r>
        <w:rPr>
          <w:rFonts w:ascii="Times New Roman" w:eastAsia="Times New Roman" w:hAnsi="Times New Roman" w:cs="Times New Roman"/>
          <w:b w:val="0"/>
          <w:bCs w:val="0"/>
          <w:color w:val="000000"/>
          <w:spacing w:val="0"/>
          <w:w w:val="100"/>
          <w:position w:val="0"/>
          <w:sz w:val="18"/>
          <w:szCs w:val="18"/>
        </w:rPr>
        <w:t>-451,124.00</w:t>
        <w:tab/>
        <w:t>203,522,188.00</w:t>
      </w:r>
      <w:r>
        <w:br w:type="page"/>
      </w:r>
    </w:p>
    <w:tbl>
      <w:tblPr>
        <w:tblOverlap w:val="never"/>
        <w:jc w:val="center"/>
        <w:tblLayout w:type="fixed"/>
      </w:tblPr>
      <w:tblGrid>
        <w:gridCol w:w="2736"/>
        <w:gridCol w:w="2102"/>
        <w:gridCol w:w="1853"/>
        <w:gridCol w:w="1622"/>
        <w:gridCol w:w="1464"/>
      </w:tblGrid>
      <w:tr>
        <w:trPr>
          <w:trHeight w:val="802" w:hRule="exact"/>
        </w:trPr>
        <w:tc>
          <w:tcPr>
            <w:gridSpan w:val="2"/>
            <w:tcBorders>
              <w:top w:val="single" w:sz="4"/>
            </w:tcBorders>
            <w:shd w:val="clear" w:color="auto" w:fill="FFFFFF"/>
            <w:vAlign w:val="bottom"/>
          </w:tcPr>
          <w:p>
            <w:pPr>
              <w:pStyle w:val="Style2"/>
              <w:keepNext w:val="0"/>
              <w:keepLines w:val="0"/>
              <w:widowControl w:val="0"/>
              <w:shd w:val="clear" w:color="auto" w:fill="auto"/>
              <w:tabs>
                <w:tab w:pos="1382" w:val="left"/>
              </w:tabs>
              <w:bidi w:val="0"/>
              <w:spacing w:before="0" w:after="0" w:line="240" w:lineRule="auto"/>
              <w:ind w:left="0" w:right="0" w:firstLine="0"/>
              <w:jc w:val="left"/>
              <w:rPr>
                <w:sz w:val="18"/>
                <w:szCs w:val="18"/>
              </w:rPr>
            </w:pPr>
            <w:r>
              <w:rPr>
                <w:color w:val="000000"/>
                <w:spacing w:val="0"/>
                <w:w w:val="100"/>
                <w:position w:val="0"/>
                <w:sz w:val="17"/>
                <w:szCs w:val="17"/>
              </w:rPr>
              <w:t>流通股股份</w:t>
              <w:tab/>
            </w:r>
            <w:r>
              <w:rPr>
                <w:rFonts w:ascii="Times New Roman" w:eastAsia="Times New Roman" w:hAnsi="Times New Roman" w:cs="Times New Roman"/>
                <w:color w:val="000000"/>
                <w:spacing w:val="0"/>
                <w:w w:val="100"/>
                <w:position w:val="0"/>
                <w:sz w:val="18"/>
                <w:szCs w:val="18"/>
                <w:vertAlign w:val="superscript"/>
              </w:rPr>
              <w:t>92,968,011.00</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6,918,785.00</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6,918,785.00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6,467,661.00</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99,886,796.00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303,408,984.00</w:t>
            </w:r>
          </w:p>
        </w:tc>
      </w:tr>
      <w:tr>
        <w:trPr>
          <w:trHeight w:val="418" w:hRule="exact"/>
        </w:trPr>
        <w:tc>
          <w:tcPr>
            <w:tcBorders/>
            <w:shd w:val="clear" w:color="auto" w:fill="FFFFFF"/>
            <w:vAlign w:val="center"/>
          </w:tcPr>
          <w:p>
            <w:pPr>
              <w:pStyle w:val="Style2"/>
              <w:keepNext w:val="0"/>
              <w:keepLines w:val="0"/>
              <w:widowControl w:val="0"/>
              <w:shd w:val="clear" w:color="auto" w:fill="auto"/>
              <w:tabs>
                <w:tab w:pos="1277" w:val="left"/>
              </w:tabs>
              <w:bidi w:val="0"/>
              <w:spacing w:before="0" w:after="0" w:line="240" w:lineRule="auto"/>
              <w:ind w:left="0" w:right="0" w:firstLine="0"/>
              <w:jc w:val="left"/>
              <w:rPr>
                <w:sz w:val="18"/>
                <w:szCs w:val="18"/>
              </w:rPr>
            </w:pPr>
            <w:r>
              <w:rPr>
                <w:color w:val="000000"/>
                <w:spacing w:val="0"/>
                <w:w w:val="100"/>
                <w:position w:val="0"/>
                <w:sz w:val="17"/>
                <w:szCs w:val="17"/>
              </w:rPr>
              <w:t>股份总数</w:t>
              <w:tab/>
            </w:r>
            <w:r>
              <w:rPr>
                <w:rFonts w:ascii="Times New Roman" w:eastAsia="Times New Roman" w:hAnsi="Times New Roman" w:cs="Times New Roman"/>
                <w:b/>
                <w:bCs/>
                <w:color w:val="000000"/>
                <w:spacing w:val="0"/>
                <w:w w:val="100"/>
                <w:position w:val="0"/>
                <w:sz w:val="18"/>
                <w:szCs w:val="18"/>
              </w:rPr>
              <w:t>296,941,323.00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6,467,661.00</w:t>
            </w: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r>
      <w:tr>
        <w:trPr>
          <w:trHeight w:val="581"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注：发行新股增加股本的情况见附注一公司基本情况说明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59" w:hRule="exact"/>
        </w:trPr>
        <w:tc>
          <w:tcPr>
            <w:tcBorders/>
            <w:shd w:val="clear" w:color="auto" w:fill="FFFFFF"/>
            <w:vAlign w:val="center"/>
          </w:tcPr>
          <w:p>
            <w:pPr>
              <w:pStyle w:val="Style2"/>
              <w:keepNext w:val="0"/>
              <w:keepLines w:val="0"/>
              <w:widowControl w:val="0"/>
              <w:shd w:val="clear" w:color="auto" w:fill="auto"/>
              <w:tabs>
                <w:tab w:pos="845"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w:t>
              <w:tab/>
              <w:t>资本公积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期末余额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股本溢价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803,249,231.60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118,631,461.12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921,880,692.72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其他资本公积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4,861,231.89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4,861,231.89</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808,110,463.49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118,631,461.12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926,741,924.61</w:t>
            </w:r>
          </w:p>
        </w:tc>
      </w:tr>
    </w:tbl>
    <w:p>
      <w:pPr>
        <w:widowControl w:val="0"/>
        <w:spacing w:after="119" w:line="1" w:lineRule="exact"/>
      </w:pPr>
    </w:p>
    <w:p>
      <w:pPr>
        <w:pStyle w:val="Style72"/>
        <w:keepNext w:val="0"/>
        <w:keepLines w:val="0"/>
        <w:widowControl w:val="0"/>
        <w:shd w:val="clear" w:color="auto" w:fill="auto"/>
        <w:bidi w:val="0"/>
        <w:spacing w:before="0" w:after="260" w:line="312" w:lineRule="exact"/>
        <w:ind w:left="0" w:right="0" w:firstLine="480"/>
        <w:jc w:val="both"/>
      </w:pPr>
      <w:r>
        <w:rPr>
          <w:b w:val="0"/>
          <w:bCs w:val="0"/>
          <w:color w:val="000000"/>
          <w:spacing w:val="0"/>
          <w:w w:val="100"/>
          <w:position w:val="0"/>
        </w:rPr>
        <w:t>注：资本公积</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股本溢价本期增加</w:t>
      </w:r>
      <w:r>
        <w:rPr>
          <w:rFonts w:ascii="Times New Roman" w:eastAsia="Times New Roman" w:hAnsi="Times New Roman" w:cs="Times New Roman"/>
          <w:b w:val="0"/>
          <w:bCs w:val="0"/>
          <w:color w:val="000000"/>
          <w:spacing w:val="0"/>
          <w:w w:val="100"/>
          <w:position w:val="0"/>
          <w:sz w:val="18"/>
          <w:szCs w:val="18"/>
        </w:rPr>
        <w:t>118,631,461.12</w:t>
      </w:r>
      <w:r>
        <w:rPr>
          <w:b w:val="0"/>
          <w:bCs w:val="0"/>
          <w:color w:val="000000"/>
          <w:spacing w:val="0"/>
          <w:w w:val="100"/>
          <w:position w:val="0"/>
        </w:rPr>
        <w:t>元，具体原因如下：</w:t>
      </w:r>
    </w:p>
    <w:p>
      <w:pPr>
        <w:pStyle w:val="Style72"/>
        <w:keepNext w:val="0"/>
        <w:keepLines w:val="0"/>
        <w:widowControl w:val="0"/>
        <w:shd w:val="clear" w:color="auto" w:fill="auto"/>
        <w:bidi w:val="0"/>
        <w:spacing w:before="0" w:after="460" w:line="312" w:lineRule="exact"/>
        <w:ind w:left="0" w:right="0" w:firstLine="500"/>
        <w:jc w:val="both"/>
        <w:rPr>
          <w:sz w:val="18"/>
          <w:szCs w:val="18"/>
        </w:rPr>
      </w:pPr>
      <w:r>
        <w:rPr>
          <w:rFonts w:ascii="Times New Roman" w:eastAsia="Times New Roman" w:hAnsi="Times New Roman" w:cs="Times New Roman"/>
          <w:b w:val="0"/>
          <w:bCs w:val="0"/>
          <w:color w:val="000000"/>
          <w:spacing w:val="0"/>
          <w:w w:val="100"/>
          <w:position w:val="0"/>
          <w:sz w:val="18"/>
          <w:szCs w:val="18"/>
        </w:rPr>
        <w:t>A:</w:t>
      </w:r>
      <w:r>
        <w:rPr>
          <w:b w:val="0"/>
          <w:bCs w:val="0"/>
          <w:color w:val="000000"/>
          <w:spacing w:val="0"/>
          <w:w w:val="100"/>
          <w:position w:val="0"/>
          <w:sz w:val="17"/>
          <w:szCs w:val="17"/>
        </w:rPr>
        <w:t>本报告期，公司发行股份购买国微电子重大资产重组后续的募集配套资金实施完成，发行股份</w:t>
      </w:r>
      <w:r>
        <w:rPr>
          <w:rFonts w:ascii="Times New Roman" w:eastAsia="Times New Roman" w:hAnsi="Times New Roman" w:cs="Times New Roman"/>
          <w:b w:val="0"/>
          <w:bCs w:val="0"/>
          <w:color w:val="000000"/>
          <w:spacing w:val="0"/>
          <w:w w:val="100"/>
          <w:position w:val="0"/>
          <w:sz w:val="18"/>
          <w:szCs w:val="18"/>
        </w:rPr>
        <w:t>6,467,661</w:t>
      </w:r>
      <w:r>
        <w:rPr>
          <w:b w:val="0"/>
          <w:bCs w:val="0"/>
          <w:color w:val="000000"/>
          <w:spacing w:val="0"/>
          <w:w w:val="100"/>
          <w:position w:val="0"/>
          <w:sz w:val="17"/>
          <w:szCs w:val="17"/>
        </w:rPr>
        <w:t>股，发行 价为</w:t>
      </w:r>
      <w:r>
        <w:rPr>
          <w:rFonts w:ascii="Times New Roman" w:eastAsia="Times New Roman" w:hAnsi="Times New Roman" w:cs="Times New Roman"/>
          <w:b w:val="0"/>
          <w:bCs w:val="0"/>
          <w:color w:val="000000"/>
          <w:spacing w:val="0"/>
          <w:w w:val="100"/>
          <w:position w:val="0"/>
          <w:sz w:val="18"/>
          <w:szCs w:val="18"/>
        </w:rPr>
        <w:t>20.10</w:t>
      </w:r>
      <w:r>
        <w:rPr>
          <w:b w:val="0"/>
          <w:bCs w:val="0"/>
          <w:color w:val="000000"/>
          <w:spacing w:val="0"/>
          <w:w w:val="100"/>
          <w:position w:val="0"/>
          <w:sz w:val="17"/>
          <w:szCs w:val="17"/>
        </w:rPr>
        <w:t>元</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股，募集资金溢价扣减承销费、印花税、登记费、股票发行验资等发行费用后的差额增加股本溢价</w:t>
      </w:r>
      <w:r>
        <w:rPr>
          <w:rFonts w:ascii="Times New Roman" w:eastAsia="Times New Roman" w:hAnsi="Times New Roman" w:cs="Times New Roman"/>
          <w:b w:val="0"/>
          <w:bCs w:val="0"/>
          <w:color w:val="000000"/>
          <w:spacing w:val="0"/>
          <w:w w:val="100"/>
          <w:position w:val="0"/>
          <w:sz w:val="18"/>
          <w:szCs w:val="18"/>
        </w:rPr>
        <w:t>117,700,858.10</w:t>
      </w:r>
    </w:p>
    <w:p>
      <w:pPr>
        <w:pStyle w:val="Style72"/>
        <w:keepNext w:val="0"/>
        <w:keepLines w:val="0"/>
        <w:widowControl w:val="0"/>
        <w:shd w:val="clear" w:color="auto" w:fill="auto"/>
        <w:bidi w:val="0"/>
        <w:spacing w:before="0" w:after="360" w:line="312" w:lineRule="exact"/>
        <w:ind w:left="0" w:right="0" w:firstLine="500"/>
        <w:jc w:val="both"/>
      </w:pPr>
      <w:r>
        <w:rPr>
          <w:rFonts w:ascii="Times New Roman" w:eastAsia="Times New Roman" w:hAnsi="Times New Roman" w:cs="Times New Roman"/>
          <w:b w:val="0"/>
          <w:bCs w:val="0"/>
          <w:color w:val="000000"/>
          <w:spacing w:val="0"/>
          <w:w w:val="100"/>
          <w:position w:val="0"/>
          <w:sz w:val="18"/>
          <w:szCs w:val="18"/>
        </w:rPr>
        <w:t>B:</w:t>
      </w:r>
      <w:r>
        <w:rPr>
          <w:b w:val="0"/>
          <w:bCs w:val="0"/>
          <w:color w:val="000000"/>
          <w:spacing w:val="0"/>
          <w:w w:val="100"/>
          <w:position w:val="0"/>
        </w:rPr>
        <w:t>本报告期，公司购买国微电子剩余</w:t>
      </w:r>
      <w:r>
        <w:rPr>
          <w:rFonts w:ascii="Times New Roman" w:eastAsia="Times New Roman" w:hAnsi="Times New Roman" w:cs="Times New Roman"/>
          <w:b w:val="0"/>
          <w:bCs w:val="0"/>
          <w:color w:val="000000"/>
          <w:spacing w:val="0"/>
          <w:w w:val="100"/>
          <w:position w:val="0"/>
          <w:sz w:val="18"/>
          <w:szCs w:val="18"/>
        </w:rPr>
        <w:t>3.5122%</w:t>
      </w:r>
      <w:r>
        <w:rPr>
          <w:b w:val="0"/>
          <w:bCs w:val="0"/>
          <w:color w:val="000000"/>
          <w:spacing w:val="0"/>
          <w:w w:val="100"/>
          <w:position w:val="0"/>
        </w:rPr>
        <w:t>的少数股权，购买价款和税费合计为</w:t>
      </w:r>
      <w:r>
        <w:rPr>
          <w:rFonts w:ascii="Times New Roman" w:eastAsia="Times New Roman" w:hAnsi="Times New Roman" w:cs="Times New Roman"/>
          <w:b w:val="0"/>
          <w:bCs w:val="0"/>
          <w:color w:val="000000"/>
          <w:spacing w:val="0"/>
          <w:w w:val="100"/>
          <w:position w:val="0"/>
          <w:sz w:val="18"/>
          <w:szCs w:val="18"/>
        </w:rPr>
        <w:t>42,178,176.10</w:t>
      </w:r>
      <w:r>
        <w:rPr>
          <w:b w:val="0"/>
          <w:bCs w:val="0"/>
          <w:color w:val="000000"/>
          <w:spacing w:val="0"/>
          <w:w w:val="100"/>
          <w:position w:val="0"/>
        </w:rPr>
        <w:t>元，交易日国微电子 按照新增持股比例计算的公司应享有国微电子自购买日开始持续计算的可辨认净资产份额和少数股权对应的商誉金额合计 为</w:t>
      </w:r>
      <w:r>
        <w:rPr>
          <w:rFonts w:ascii="Times New Roman" w:eastAsia="Times New Roman" w:hAnsi="Times New Roman" w:cs="Times New Roman"/>
          <w:b w:val="0"/>
          <w:bCs w:val="0"/>
          <w:color w:val="000000"/>
          <w:spacing w:val="0"/>
          <w:w w:val="100"/>
          <w:position w:val="0"/>
          <w:sz w:val="18"/>
          <w:szCs w:val="18"/>
        </w:rPr>
        <w:t>43,108,779.12</w:t>
      </w:r>
      <w:r>
        <w:rPr>
          <w:b w:val="0"/>
          <w:bCs w:val="0"/>
          <w:color w:val="000000"/>
          <w:spacing w:val="0"/>
          <w:w w:val="100"/>
          <w:position w:val="0"/>
        </w:rPr>
        <w:t>元，两者差额增加股本溢价</w:t>
      </w:r>
      <w:r>
        <w:rPr>
          <w:rFonts w:ascii="Times New Roman" w:eastAsia="Times New Roman" w:hAnsi="Times New Roman" w:cs="Times New Roman"/>
          <w:b w:val="0"/>
          <w:bCs w:val="0"/>
          <w:color w:val="000000"/>
          <w:spacing w:val="0"/>
          <w:w w:val="100"/>
          <w:position w:val="0"/>
          <w:sz w:val="18"/>
          <w:szCs w:val="18"/>
        </w:rPr>
        <w:t>930,603.02</w:t>
      </w:r>
      <w:r>
        <w:rPr>
          <w:b w:val="0"/>
          <w:bCs w:val="0"/>
          <w:color w:val="000000"/>
          <w:spacing w:val="0"/>
          <w:w w:val="100"/>
          <w:position w:val="0"/>
        </w:rPr>
        <w:t>元。</w:t>
      </w:r>
    </w:p>
    <w:p>
      <w:pPr>
        <w:pStyle w:val="Style44"/>
        <w:keepNext/>
        <w:keepLines/>
        <w:widowControl w:val="0"/>
        <w:shd w:val="clear" w:color="auto" w:fill="auto"/>
        <w:tabs>
          <w:tab w:pos="1306" w:val="left"/>
        </w:tabs>
        <w:bidi w:val="0"/>
        <w:spacing w:before="0" w:after="320" w:line="240" w:lineRule="auto"/>
        <w:ind w:left="0" w:right="0" w:firstLine="500"/>
        <w:jc w:val="both"/>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27</w:t>
      </w:r>
      <w:r>
        <w:rPr>
          <w:color w:val="000000"/>
          <w:spacing w:val="0"/>
          <w:w w:val="100"/>
          <w:position w:val="0"/>
        </w:rPr>
        <w:t>、</w:t>
        <w:tab/>
        <w:t>盈余公积</w:t>
      </w:r>
      <w:bookmarkEnd w:id="936"/>
      <w:bookmarkEnd w:id="937"/>
      <w:bookmarkEnd w:id="938"/>
    </w:p>
    <w:tbl>
      <w:tblPr>
        <w:tblOverlap w:val="never"/>
        <w:jc w:val="center"/>
        <w:tblLayout w:type="fixed"/>
      </w:tblPr>
      <w:tblGrid>
        <w:gridCol w:w="3024"/>
        <w:gridCol w:w="1498"/>
        <w:gridCol w:w="1790"/>
        <w:gridCol w:w="2184"/>
        <w:gridCol w:w="1282"/>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33,221,324.77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6,118,856.70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39,340,181.47</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储备基金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994,451.41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994,451.41</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企业发展基金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994,451.41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994,451.41</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35,210,227.59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6,118,856.70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41,329,084.29</w:t>
            </w:r>
          </w:p>
        </w:tc>
      </w:tr>
      <w:tr>
        <w:trPr>
          <w:trHeight w:val="677"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注：本期增加系本公司按照公司章程的规定提取的法定盈余公积。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50" w:hRule="exact"/>
        </w:trPr>
        <w:tc>
          <w:tcPr>
            <w:tcBorders/>
            <w:shd w:val="clear" w:color="auto" w:fill="FFFFFF"/>
            <w:vAlign w:val="center"/>
          </w:tcPr>
          <w:p>
            <w:pPr>
              <w:pStyle w:val="Style2"/>
              <w:keepNext w:val="0"/>
              <w:keepLines w:val="0"/>
              <w:widowControl w:val="0"/>
              <w:shd w:val="clear" w:color="auto" w:fill="auto"/>
              <w:tabs>
                <w:tab w:pos="1286" w:val="left"/>
              </w:tabs>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28</w:t>
            </w:r>
            <w:r>
              <w:rPr>
                <w:b/>
                <w:bCs/>
                <w:color w:val="000000"/>
                <w:spacing w:val="0"/>
                <w:w w:val="100"/>
                <w:position w:val="0"/>
                <w:sz w:val="20"/>
                <w:szCs w:val="20"/>
              </w:rPr>
              <w:t>、</w:t>
              <w:tab/>
              <w:t>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提取或分配比例</w:t>
            </w: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年初未分配利润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843,589,687.73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加：本期归属于母公司股东的净利润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272,515,185.89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减：提取盈余公积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6,118,856.70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对股东的分配</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29,694,132.30</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w:t>
            </w:r>
          </w:p>
        </w:tc>
      </w:tr>
      <w:tr>
        <w:trPr>
          <w:trHeight w:val="42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期末未分配利润</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1,080,291,884.62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9"/>
        <w:gridCol w:w="3019"/>
        <w:gridCol w:w="2678"/>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tabs>
                <w:tab w:pos="1120" w:val="left"/>
              </w:tabs>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w:t>
              <w:tab/>
              <w:t>营业收入、营业成本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)营业收入、营业成本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上期金额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主营业务收入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916,699,813.81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581,533,493.05</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其他业务收入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3,287,782.37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3,029,297.69</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营业收入合计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919,987,596.18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584,562,790.74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主营业务成本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605,460,478.62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418,483,515.94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其他业务成本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610,800.39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248,214.25</w:t>
            </w:r>
          </w:p>
        </w:tc>
      </w:tr>
      <w:tr>
        <w:trPr>
          <w:trHeight w:val="40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营业成本合计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606,071,279.01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418,731,730.19</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54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bookmarkEnd w:id="939"/>
      <w:bookmarkEnd w:id="940"/>
      <w:bookmarkEnd w:id="941"/>
    </w:p>
    <w:tbl>
      <w:tblPr>
        <w:tblOverlap w:val="never"/>
        <w:jc w:val="center"/>
        <w:tblLayout w:type="fixed"/>
      </w:tblPr>
      <w:tblGrid>
        <w:gridCol w:w="1910"/>
        <w:gridCol w:w="1906"/>
        <w:gridCol w:w="1718"/>
        <w:gridCol w:w="1498"/>
        <w:gridCol w:w="2328"/>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产品名称</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197" w:hRule="exact"/>
        </w:trPr>
        <w:tc>
          <w:tcPr>
            <w:vMerge/>
            <w:tcBorders/>
            <w:shd w:val="clear" w:color="auto" w:fill="FFFFFF"/>
            <w:vAlign w:val="center"/>
          </w:tcPr>
          <w:p>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主营业务收入</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c>
          <w:tcPr>
            <w:gridSpan w:val="2"/>
            <w:vMerge/>
            <w:tcBorders/>
            <w:shd w:val="clear" w:color="auto" w:fill="FFFFFF"/>
            <w:vAlign w:val="center"/>
          </w:tcPr>
          <w:p>
            <w:pPr/>
          </w:p>
        </w:tc>
      </w:tr>
      <w:tr>
        <w:trPr>
          <w:trHeight w:val="30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主营业务收入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主营业务成本</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集成电路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691,303,991.98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415,047,138.02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332,313,891.66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207,485,735.51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石英晶体</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203,752,432.57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173,178,821.65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205,913,675.08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175,897,609.88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21,643,389.26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17,234,518.95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43,305,926.31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35,100,170.55</w:t>
            </w:r>
          </w:p>
        </w:tc>
      </w:tr>
      <w:tr>
        <w:trPr>
          <w:trHeight w:val="40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916,699,813.81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605,460,478.62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581,533,493.05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418,483,515.94</w:t>
            </w:r>
          </w:p>
        </w:tc>
      </w:tr>
    </w:tbl>
    <w:p>
      <w:pPr>
        <w:widowControl w:val="0"/>
        <w:spacing w:after="239" w:line="1" w:lineRule="exact"/>
      </w:pPr>
    </w:p>
    <w:p>
      <w:pPr>
        <w:pStyle w:val="Style55"/>
        <w:keepNext/>
        <w:keepLines/>
        <w:widowControl w:val="0"/>
        <w:numPr>
          <w:ilvl w:val="0"/>
          <w:numId w:val="23"/>
        </w:numPr>
        <w:shd w:val="clear" w:color="auto" w:fill="auto"/>
        <w:bidi w:val="0"/>
        <w:spacing w:before="0" w:after="100" w:line="240" w:lineRule="auto"/>
        <w:ind w:left="0" w:right="0" w:firstLine="540"/>
        <w:jc w:val="left"/>
      </w:pPr>
      <w:bookmarkStart w:id="942" w:name="bookmark942"/>
      <w:bookmarkStart w:id="943" w:name="bookmark943"/>
      <w:bookmarkStart w:id="944" w:name="bookmark944"/>
      <w:bookmarkStart w:id="945" w:name="bookmark945"/>
      <w:bookmarkEnd w:id="944"/>
      <w:r>
        <w:rPr>
          <w:color w:val="000000"/>
          <w:spacing w:val="0"/>
          <w:w w:val="100"/>
          <w:position w:val="0"/>
        </w:rPr>
        <w:t>主营业务(分地区)</w:t>
      </w:r>
      <w:bookmarkEnd w:id="942"/>
      <w:bookmarkEnd w:id="943"/>
      <w:bookmarkEnd w:id="945"/>
    </w:p>
    <w:tbl>
      <w:tblPr>
        <w:tblOverlap w:val="never"/>
        <w:jc w:val="center"/>
        <w:tblLayout w:type="fixed"/>
      </w:tblPr>
      <w:tblGrid>
        <w:gridCol w:w="2146"/>
        <w:gridCol w:w="1781"/>
        <w:gridCol w:w="1819"/>
        <w:gridCol w:w="2246"/>
        <w:gridCol w:w="1546"/>
      </w:tblGrid>
      <w:tr>
        <w:trPr>
          <w:trHeight w:val="3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地区名称</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499"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主营业务收入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761,837,530.88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466,892,886.61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430,273,960.97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290,087,544.55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175,203,072.12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159,054,780.20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186,547,439.71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163,759,416.33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减：内部交易抵销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-20,340,789.19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-20,487,188.19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-35,287,907.63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-35,363,444.94</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916,699,813.81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605,460,478.62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581,533,493.05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418,483,515.94</w:t>
            </w:r>
          </w:p>
        </w:tc>
      </w:tr>
    </w:tbl>
    <w:p>
      <w:pPr>
        <w:widowControl w:val="0"/>
        <w:spacing w:after="239" w:line="1" w:lineRule="exact"/>
      </w:pPr>
    </w:p>
    <w:p>
      <w:pPr>
        <w:pStyle w:val="Style55"/>
        <w:keepNext/>
        <w:keepLines/>
        <w:widowControl w:val="0"/>
        <w:numPr>
          <w:ilvl w:val="0"/>
          <w:numId w:val="23"/>
        </w:numPr>
        <w:shd w:val="clear" w:color="auto" w:fill="auto"/>
        <w:bidi w:val="0"/>
        <w:spacing w:before="0" w:after="100" w:line="240" w:lineRule="auto"/>
        <w:ind w:left="0" w:right="0" w:firstLine="540"/>
        <w:jc w:val="left"/>
      </w:pPr>
      <w:bookmarkStart w:id="946" w:name="bookmark946"/>
      <w:bookmarkStart w:id="947" w:name="bookmark947"/>
      <w:bookmarkStart w:id="948" w:name="bookmark948"/>
      <w:bookmarkStart w:id="949" w:name="bookmark949"/>
      <w:bookmarkEnd w:id="948"/>
      <w:r>
        <w:rPr>
          <w:color w:val="000000"/>
          <w:spacing w:val="0"/>
          <w:w w:val="100"/>
          <w:position w:val="0"/>
        </w:rPr>
        <w:t>公司前五名客户的营业收入情况</w:t>
      </w:r>
      <w:bookmarkEnd w:id="946"/>
      <w:bookmarkEnd w:id="947"/>
      <w:bookmarkEnd w:id="949"/>
    </w:p>
    <w:tbl>
      <w:tblPr>
        <w:tblOverlap w:val="never"/>
        <w:jc w:val="center"/>
        <w:tblLayout w:type="fixed"/>
      </w:tblPr>
      <w:tblGrid>
        <w:gridCol w:w="3312"/>
        <w:gridCol w:w="2904"/>
        <w:gridCol w:w="3422"/>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7"/>
                <w:szCs w:val="17"/>
              </w:rPr>
              <w:t>占公司全部营业收入的比例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收入第一名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160,309,185.70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17.43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收入第二名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53,708,470.64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收入第三名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41,693,215.72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收入第四名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40,105,458.87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收入第五名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31,035,971.22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2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326,852,302.15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b/>
                <w:bCs/>
                <w:color w:val="000000"/>
                <w:spacing w:val="0"/>
                <w:w w:val="100"/>
                <w:position w:val="0"/>
                <w:sz w:val="18"/>
                <w:szCs w:val="18"/>
              </w:rPr>
              <w:t>35.53</w:t>
            </w:r>
          </w:p>
        </w:tc>
      </w:tr>
    </w:tbl>
    <w:p>
      <w:pPr>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145" w:right="992" w:bottom="1414" w:left="978" w:header="0" w:footer="3" w:gutter="0"/>
          <w:cols w:space="720"/>
          <w:noEndnote/>
          <w:titlePg/>
          <w:rtlGutter w:val="0"/>
          <w:docGrid w:linePitch="360"/>
        </w:sectPr>
      </w:pPr>
    </w:p>
    <w:tbl>
      <w:tblPr>
        <w:tblOverlap w:val="never"/>
        <w:jc w:val="center"/>
        <w:tblLayout w:type="fixed"/>
      </w:tblPr>
      <w:tblGrid>
        <w:gridCol w:w="3058"/>
        <w:gridCol w:w="2189"/>
        <w:gridCol w:w="2275"/>
        <w:gridCol w:w="1997"/>
      </w:tblGrid>
      <w:tr>
        <w:trPr>
          <w:trHeight w:val="595" w:hRule="exact"/>
        </w:trPr>
        <w:tc>
          <w:tcPr>
            <w:gridSpan w:val="4"/>
            <w:tcBorders/>
            <w:shd w:val="clear" w:color="auto" w:fill="FFFFFF"/>
            <w:vAlign w:val="top"/>
          </w:tcPr>
          <w:p>
            <w:pPr>
              <w:pStyle w:val="Style2"/>
              <w:keepNext w:val="0"/>
              <w:keepLines w:val="0"/>
              <w:widowControl w:val="0"/>
              <w:shd w:val="clear" w:color="auto" w:fill="auto"/>
              <w:tabs>
                <w:tab w:pos="1200" w:val="left"/>
              </w:tabs>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w:t>
              <w:tab/>
              <w:t>营业税金及附加</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计缴标准</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147,275.48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160,493.83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见“五、税项”</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3,632,234.95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1,439,257.34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见“五、税项”</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1,625,327.84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682,244.47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见“五、税项”</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1,083,551.89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436,437.69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见“五、税项”</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6,488,390.16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2,718,433.33</w:t>
            </w:r>
          </w:p>
        </w:tc>
        <w:tc>
          <w:tcPr>
            <w:tcBorders>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44"/>
        <w:keepNext/>
        <w:keepLines/>
        <w:widowControl w:val="0"/>
        <w:shd w:val="clear" w:color="auto" w:fill="auto"/>
        <w:tabs>
          <w:tab w:pos="1313" w:val="left"/>
        </w:tabs>
        <w:bidi w:val="0"/>
        <w:spacing w:before="0" w:line="240" w:lineRule="auto"/>
        <w:ind w:left="0" w:right="0" w:firstLine="48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销售费用</w:t>
      </w:r>
      <w:bookmarkEnd w:id="950"/>
      <w:bookmarkEnd w:id="951"/>
      <w:bookmarkEnd w:id="953"/>
    </w:p>
    <w:tbl>
      <w:tblPr>
        <w:tblOverlap w:val="never"/>
        <w:jc w:val="center"/>
        <w:tblLayout w:type="fixed"/>
      </w:tblPr>
      <w:tblGrid>
        <w:gridCol w:w="3797"/>
        <w:gridCol w:w="3768"/>
        <w:gridCol w:w="2184"/>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13,811,948.35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6,487,112.97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2,035,148.93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1,150,640.90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5,848,674.36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1,114,931.87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1,765,477.34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1,374,702.90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2,276,765.41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809,891.62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运保费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2,138,129.38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3,294,213.19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市场营销费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4,453,953.88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420,043.40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040" w:firstLine="0"/>
              <w:jc w:val="right"/>
              <w:rPr>
                <w:sz w:val="18"/>
                <w:szCs w:val="18"/>
              </w:rPr>
            </w:pPr>
            <w:r>
              <w:rPr>
                <w:rFonts w:ascii="Times New Roman" w:eastAsia="Times New Roman" w:hAnsi="Times New Roman" w:cs="Times New Roman"/>
                <w:color w:val="000000"/>
                <w:spacing w:val="0"/>
                <w:w w:val="100"/>
                <w:position w:val="0"/>
                <w:sz w:val="18"/>
                <w:szCs w:val="18"/>
              </w:rPr>
              <w:t>270,625.22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722,966.77</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b/>
                <w:bCs/>
                <w:color w:val="000000"/>
                <w:spacing w:val="0"/>
                <w:w w:val="100"/>
                <w:position w:val="0"/>
                <w:sz w:val="18"/>
                <w:szCs w:val="18"/>
              </w:rPr>
              <w:t>32,600,722.87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15,374,503.62</w:t>
            </w:r>
          </w:p>
        </w:tc>
      </w:tr>
    </w:tbl>
    <w:p>
      <w:pPr>
        <w:widowControl w:val="0"/>
        <w:spacing w:after="479" w:line="1" w:lineRule="exact"/>
      </w:pPr>
    </w:p>
    <w:p>
      <w:pPr>
        <w:pStyle w:val="Style44"/>
        <w:keepNext/>
        <w:keepLines/>
        <w:widowControl w:val="0"/>
        <w:shd w:val="clear" w:color="auto" w:fill="auto"/>
        <w:tabs>
          <w:tab w:pos="1313" w:val="left"/>
        </w:tabs>
        <w:bidi w:val="0"/>
        <w:spacing w:before="0" w:line="240" w:lineRule="auto"/>
        <w:ind w:left="0" w:right="0" w:firstLine="48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管理费用</w:t>
      </w:r>
      <w:bookmarkEnd w:id="954"/>
      <w:bookmarkEnd w:id="955"/>
      <w:bookmarkEnd w:id="957"/>
    </w:p>
    <w:tbl>
      <w:tblPr>
        <w:tblOverlap w:val="never"/>
        <w:jc w:val="center"/>
        <w:tblLayout w:type="fixed"/>
      </w:tblPr>
      <w:tblGrid>
        <w:gridCol w:w="3144"/>
        <w:gridCol w:w="4032"/>
        <w:gridCol w:w="2573"/>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21,119,732.95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17,100,010.60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1,056,378.16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730,621.30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2,405,147.84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1,337,395.20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4,276,761.66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2,037,712.99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16,297,007.92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4,320,573.82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26,339,959.32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12,184,232.74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审计咨询费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3,294,438.66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2,480,520.00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2,422,450.00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1,436,897.65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40" w:firstLine="0"/>
              <w:jc w:val="right"/>
              <w:rPr>
                <w:sz w:val="18"/>
                <w:szCs w:val="18"/>
              </w:rPr>
            </w:pPr>
            <w:r>
              <w:rPr>
                <w:rFonts w:ascii="Times New Roman" w:eastAsia="Times New Roman" w:hAnsi="Times New Roman" w:cs="Times New Roman"/>
                <w:color w:val="000000"/>
                <w:spacing w:val="0"/>
                <w:w w:val="100"/>
                <w:position w:val="0"/>
                <w:sz w:val="18"/>
                <w:szCs w:val="18"/>
              </w:rPr>
              <w:t>989,374.26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1,636,142.14</w:t>
            </w: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b/>
                <w:bCs/>
                <w:color w:val="000000"/>
                <w:spacing w:val="0"/>
                <w:w w:val="100"/>
                <w:position w:val="0"/>
                <w:sz w:val="18"/>
                <w:szCs w:val="18"/>
              </w:rPr>
              <w:t>78,201,250.77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b/>
                <w:bCs/>
                <w:color w:val="000000"/>
                <w:spacing w:val="0"/>
                <w:w w:val="100"/>
                <w:position w:val="0"/>
                <w:sz w:val="18"/>
                <w:szCs w:val="18"/>
              </w:rPr>
              <w:t>43,264,106.44</w:t>
            </w:r>
          </w:p>
        </w:tc>
      </w:tr>
    </w:tbl>
    <w:p>
      <w:pPr>
        <w:spacing w:lineRule="exact" w:line="1"/>
        <w:rPr>
          <w:sz w:val="2"/>
          <w:szCs w:val="2"/>
        </w:rPr>
      </w:pPr>
      <w:r>
        <w:br w:type="page"/>
      </w:r>
    </w:p>
    <w:p>
      <w:pPr>
        <w:pStyle w:val="Style44"/>
        <w:keepNext/>
        <w:keepLines/>
        <w:widowControl w:val="0"/>
        <w:shd w:val="clear" w:color="auto" w:fill="auto"/>
        <w:tabs>
          <w:tab w:pos="1368" w:val="left"/>
        </w:tabs>
        <w:bidi w:val="0"/>
        <w:spacing w:before="0" w:after="320" w:line="240" w:lineRule="auto"/>
        <w:ind w:left="0" w:right="0" w:firstLine="56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财务费用</w:t>
      </w:r>
      <w:bookmarkEnd w:id="958"/>
      <w:bookmarkEnd w:id="959"/>
      <w:bookmarkEnd w:id="961"/>
    </w:p>
    <w:tbl>
      <w:tblPr>
        <w:tblOverlap w:val="never"/>
        <w:jc w:val="center"/>
        <w:tblLayout w:type="fixed"/>
      </w:tblPr>
      <w:tblGrid>
        <w:gridCol w:w="3058"/>
        <w:gridCol w:w="4118"/>
        <w:gridCol w:w="2573"/>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942,078.82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286,994.70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24,301,830.65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17,509,859.13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汇兑净损益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2,894,439.32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105,432.91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355,944.40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321,078.86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40" w:firstLine="0"/>
              <w:jc w:val="right"/>
              <w:rPr>
                <w:sz w:val="18"/>
                <w:szCs w:val="18"/>
              </w:rPr>
            </w:pPr>
            <w:r>
              <w:rPr>
                <w:rFonts w:ascii="Times New Roman" w:eastAsia="Times New Roman" w:hAnsi="Times New Roman" w:cs="Times New Roman"/>
                <w:color w:val="000000"/>
                <w:spacing w:val="0"/>
                <w:w w:val="100"/>
                <w:position w:val="0"/>
                <w:sz w:val="18"/>
                <w:szCs w:val="18"/>
              </w:rPr>
              <w:t>73,726.88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123,550.72</w:t>
            </w:r>
          </w:p>
        </w:tc>
      </w:tr>
      <w:tr>
        <w:trPr>
          <w:trHeight w:val="40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-20,035,641.23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-16,672,801.94</w:t>
            </w:r>
          </w:p>
        </w:tc>
      </w:tr>
    </w:tbl>
    <w:p>
      <w:pPr>
        <w:widowControl w:val="0"/>
        <w:spacing w:after="479" w:line="1" w:lineRule="exact"/>
      </w:pPr>
    </w:p>
    <w:p>
      <w:pPr>
        <w:pStyle w:val="Style44"/>
        <w:keepNext/>
        <w:keepLines/>
        <w:widowControl w:val="0"/>
        <w:shd w:val="clear" w:color="auto" w:fill="auto"/>
        <w:tabs>
          <w:tab w:pos="1368" w:val="left"/>
        </w:tabs>
        <w:bidi w:val="0"/>
        <w:spacing w:before="0" w:after="320" w:line="240" w:lineRule="auto"/>
        <w:ind w:left="0" w:right="0" w:firstLine="56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4</w:t>
      </w:r>
      <w:r>
        <w:rPr>
          <w:color w:val="000000"/>
          <w:spacing w:val="0"/>
          <w:w w:val="100"/>
          <w:position w:val="0"/>
        </w:rPr>
        <w:t>、</w:t>
        <w:tab/>
        <w:t>资产减值损失</w:t>
      </w:r>
      <w:bookmarkEnd w:id="962"/>
      <w:bookmarkEnd w:id="963"/>
      <w:bookmarkEnd w:id="965"/>
    </w:p>
    <w:tbl>
      <w:tblPr>
        <w:tblOverlap w:val="never"/>
        <w:jc w:val="center"/>
        <w:tblLayout w:type="fixed"/>
      </w:tblPr>
      <w:tblGrid>
        <w:gridCol w:w="4286"/>
        <w:gridCol w:w="3437"/>
        <w:gridCol w:w="2026"/>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-2,956,237.29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-3,103,002.34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594,479.98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b/>
                <w:bCs/>
                <w:color w:val="000000"/>
                <w:spacing w:val="0"/>
                <w:w w:val="100"/>
                <w:position w:val="0"/>
                <w:sz w:val="18"/>
                <w:szCs w:val="18"/>
              </w:rPr>
              <w:t>-3,103,002.34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-2,361,757.31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tabs>
                <w:tab w:pos="1310" w:val="left"/>
              </w:tabs>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w:t>
              <w:tab/>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0"/>
                <w:szCs w:val="20"/>
              </w:rPr>
              <w:t>)投资收益明细情况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-159,660.17</w:t>
            </w:r>
          </w:p>
        </w:tc>
        <w:tc>
          <w:tcPr>
            <w:tcBorders/>
            <w:shd w:val="clear" w:color="auto" w:fill="FFFFFF"/>
            <w:vAlign w:val="top"/>
          </w:tcPr>
          <w:p>
            <w:pPr>
              <w:widowControl w:val="0"/>
              <w:rPr>
                <w:sz w:val="10"/>
                <w:szCs w:val="10"/>
              </w:rPr>
            </w:pPr>
          </w:p>
        </w:tc>
      </w:tr>
      <w:tr>
        <w:trPr>
          <w:trHeight w:val="44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b/>
                <w:bCs/>
                <w:color w:val="000000"/>
                <w:spacing w:val="0"/>
                <w:w w:val="100"/>
                <w:position w:val="0"/>
                <w:sz w:val="18"/>
                <w:szCs w:val="18"/>
              </w:rPr>
              <w:t>-546,115.89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-211,426.19</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56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sz w:val="18"/>
          <w:szCs w:val="18"/>
        </w:rPr>
        <w:t>(</w:t>
      </w:r>
      <w:bookmarkEnd w:id="9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按权益法核算的长期股权投资收益</w:t>
      </w:r>
      <w:bookmarkEnd w:id="966"/>
      <w:bookmarkEnd w:id="967"/>
      <w:bookmarkEnd w:id="969"/>
    </w:p>
    <w:tbl>
      <w:tblPr>
        <w:tblOverlap w:val="never"/>
        <w:jc w:val="center"/>
        <w:tblLayout w:type="fixed"/>
      </w:tblPr>
      <w:tblGrid>
        <w:gridCol w:w="4195"/>
        <w:gridCol w:w="3590"/>
        <w:gridCol w:w="1963"/>
      </w:tblGrid>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被投资单位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九江佳华压电晶体材料有限公司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b/>
                <w:bCs/>
                <w:color w:val="000000"/>
                <w:spacing w:val="0"/>
                <w:w w:val="100"/>
                <w:position w:val="0"/>
                <w:sz w:val="18"/>
                <w:szCs w:val="18"/>
              </w:rPr>
              <w:t>-386,455.72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-211,426.19</w:t>
            </w:r>
          </w:p>
        </w:tc>
      </w:tr>
    </w:tbl>
    <w:p>
      <w:pPr>
        <w:widowControl w:val="0"/>
        <w:spacing w:after="319" w:line="1" w:lineRule="exact"/>
      </w:pPr>
    </w:p>
    <w:p>
      <w:pPr>
        <w:pStyle w:val="Style44"/>
        <w:keepNext/>
        <w:keepLines/>
        <w:widowControl w:val="0"/>
        <w:shd w:val="clear" w:color="auto" w:fill="auto"/>
        <w:tabs>
          <w:tab w:pos="1368" w:val="left"/>
        </w:tabs>
        <w:bidi w:val="0"/>
        <w:spacing w:before="0" w:after="320" w:line="240" w:lineRule="auto"/>
        <w:ind w:left="0" w:right="0" w:firstLine="68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6</w:t>
      </w:r>
      <w:r>
        <w:rPr>
          <w:color w:val="000000"/>
          <w:spacing w:val="0"/>
          <w:w w:val="100"/>
          <w:position w:val="0"/>
        </w:rPr>
        <w:t>、</w:t>
        <w:tab/>
        <w:t>营业外收入</w:t>
      </w:r>
      <w:bookmarkEnd w:id="970"/>
      <w:bookmarkEnd w:id="971"/>
      <w:bookmarkEnd w:id="973"/>
    </w:p>
    <w:p>
      <w:pPr>
        <w:pStyle w:val="Style55"/>
        <w:keepNext/>
        <w:keepLines/>
        <w:widowControl w:val="0"/>
        <w:pBdr>
          <w:bottom w:val="single" w:sz="4" w:space="0" w:color="auto"/>
        </w:pBdr>
        <w:shd w:val="clear" w:color="auto" w:fill="auto"/>
        <w:bidi w:val="0"/>
        <w:spacing w:before="0" w:after="180" w:line="240" w:lineRule="auto"/>
        <w:ind w:left="0" w:right="0" w:firstLine="68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)营业外收入明细</w:t>
      </w:r>
      <w:bookmarkEnd w:id="974"/>
      <w:bookmarkEnd w:id="975"/>
      <w:bookmarkEnd w:id="976"/>
    </w:p>
    <w:tbl>
      <w:tblPr>
        <w:tblOverlap w:val="never"/>
        <w:jc w:val="center"/>
        <w:tblLayout w:type="fixed"/>
      </w:tblPr>
      <w:tblGrid>
        <w:gridCol w:w="3014"/>
        <w:gridCol w:w="6902"/>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tabs>
                <w:tab w:pos="2131" w:val="left"/>
                <w:tab w:pos="3941" w:val="left"/>
              </w:tabs>
              <w:bidi w:val="0"/>
              <w:spacing w:before="0" w:after="0" w:line="240" w:lineRule="auto"/>
              <w:ind w:left="0" w:right="0" w:firstLine="480"/>
              <w:jc w:val="left"/>
            </w:pPr>
            <w:r>
              <w:rPr>
                <w:b/>
                <w:bCs/>
                <w:color w:val="000000"/>
                <w:spacing w:val="0"/>
                <w:w w:val="100"/>
                <w:position w:val="0"/>
              </w:rPr>
              <w:t>本期金额</w:t>
              <w:tab/>
              <w:t>上期金额</w:t>
              <w:tab/>
              <w:t>计入当期非经常性损益的金额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废品收入</w:t>
            </w:r>
          </w:p>
        </w:tc>
        <w:tc>
          <w:tcPr>
            <w:tcBorders>
              <w:top w:val="single" w:sz="4"/>
            </w:tcBorders>
            <w:shd w:val="clear" w:color="auto" w:fill="FFFFFF"/>
            <w:vAlign w:val="center"/>
          </w:tcPr>
          <w:p>
            <w:pPr>
              <w:pStyle w:val="Style2"/>
              <w:keepNext w:val="0"/>
              <w:keepLines w:val="0"/>
              <w:widowControl w:val="0"/>
              <w:shd w:val="clear" w:color="auto" w:fill="auto"/>
              <w:tabs>
                <w:tab w:pos="1579" w:val="left"/>
                <w:tab w:pos="523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5,128.21</w:t>
              <w:tab/>
              <w:t>127,394.34</w:t>
              <w:tab/>
              <w:t>5,128.21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处理固定资产净收益</w:t>
            </w:r>
          </w:p>
        </w:tc>
        <w:tc>
          <w:tcPr>
            <w:tcBorders/>
            <w:shd w:val="clear" w:color="auto" w:fill="FFFFFF"/>
            <w:vAlign w:val="bottom"/>
          </w:tcPr>
          <w:p>
            <w:pPr>
              <w:pStyle w:val="Style2"/>
              <w:keepNext w:val="0"/>
              <w:keepLines w:val="0"/>
              <w:widowControl w:val="0"/>
              <w:shd w:val="clear" w:color="auto" w:fill="auto"/>
              <w:tabs>
                <w:tab w:pos="1862" w:val="left"/>
                <w:tab w:pos="523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64,005.37</w:t>
              <w:tab/>
              <w:t>1,111.61</w:t>
              <w:tab/>
              <w:t>64,005.37</w:t>
            </w:r>
          </w:p>
        </w:tc>
      </w:tr>
    </w:tbl>
    <w:p>
      <w:pPr>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145" w:right="992" w:bottom="1414" w:left="978" w:header="0" w:footer="3" w:gutter="0"/>
          <w:cols w:space="720"/>
          <w:noEndnote/>
          <w:titlePg/>
          <w:rtlGutter w:val="0"/>
          <w:docGrid w:linePitch="360"/>
        </w:sectPr>
      </w:pPr>
    </w:p>
    <w:tbl>
      <w:tblPr>
        <w:tblOverlap w:val="never"/>
        <w:jc w:val="center"/>
        <w:tblLayout w:type="fixed"/>
      </w:tblPr>
      <w:tblGrid>
        <w:gridCol w:w="2611"/>
        <w:gridCol w:w="2261"/>
        <w:gridCol w:w="1776"/>
        <w:gridCol w:w="3283"/>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上期金额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计入当期非经常性损益的金额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78,729,248.37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35,735,868.04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78,729,248.37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865,043.50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13,692.35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865,043.50</w:t>
            </w:r>
          </w:p>
        </w:tc>
      </w:tr>
      <w:tr>
        <w:trPr>
          <w:trHeight w:val="39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79,663,425.45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35,878,066.34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79,663,425.45</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680"/>
        <w:jc w:val="left"/>
      </w:pPr>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r>
        <w:rPr>
          <w:color w:val="000000"/>
          <w:spacing w:val="0"/>
          <w:w w:val="100"/>
          <w:position w:val="0"/>
        </w:rPr>
        <w:t>)政府补助明细</w:t>
      </w:r>
      <w:bookmarkEnd w:id="977"/>
      <w:bookmarkEnd w:id="978"/>
      <w:bookmarkEnd w:id="979"/>
    </w:p>
    <w:tbl>
      <w:tblPr>
        <w:tblOverlap w:val="never"/>
        <w:jc w:val="center"/>
        <w:tblLayout w:type="fixed"/>
      </w:tblPr>
      <w:tblGrid>
        <w:gridCol w:w="4459"/>
        <w:gridCol w:w="2880"/>
        <w:gridCol w:w="2578"/>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高端智能卡芯片研发项目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21,189,000.00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634" w:hRule="exact"/>
        </w:trPr>
        <w:tc>
          <w:tcPr>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万件新型片式石英晶体元器件产业化 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830,004.00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830,004.00</w:t>
            </w: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进口设备贴息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195,864.00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195,864.00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电子信息产业振兴和技术改造项目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500,000.04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小型高稳石英晶体元器件产业化项目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XO3225</w:t>
            </w:r>
            <w:r>
              <w:rPr>
                <w:color w:val="000000"/>
                <w:spacing w:val="0"/>
                <w:w w:val="100"/>
                <w:position w:val="0"/>
              </w:rPr>
              <w:t>型片式石英振荡器研发专项资金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39,999.96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39,999.96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专利资助及补助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494,969.63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特种集成电路研发项目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42,240,957.40</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芯片研发项目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财政局人才安居补贴专项资金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科技型中小企业创新基金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进口设备贴息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92,653.30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出口信用保险扶持资金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125,800.00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机电产品研究开发清算资金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shd w:val="clear" w:color="auto" w:fill="FFFFFF"/>
            <w:vAlign w:val="top"/>
          </w:tcPr>
          <w:p>
            <w:pPr>
              <w:widowControl w:val="0"/>
              <w:rPr>
                <w:sz w:val="10"/>
                <w:szCs w:val="10"/>
              </w:rPr>
            </w:pPr>
          </w:p>
        </w:tc>
      </w:tr>
      <w:tr>
        <w:trPr>
          <w:trHeight w:val="1104" w:hRule="exact"/>
        </w:trPr>
        <w:tc>
          <w:tcPr>
            <w:tcBorders/>
            <w:shd w:val="clear" w:color="auto" w:fill="FFFFFF"/>
            <w:vAlign w:val="center"/>
          </w:tcPr>
          <w:p>
            <w:pPr>
              <w:pStyle w:val="Style2"/>
              <w:keepNext w:val="0"/>
              <w:keepLines w:val="0"/>
              <w:widowControl w:val="0"/>
              <w:shd w:val="clear" w:color="auto" w:fill="auto"/>
              <w:bidi w:val="0"/>
              <w:spacing w:before="0" w:after="60" w:line="326" w:lineRule="exact"/>
              <w:ind w:left="0" w:right="0" w:firstLine="0"/>
              <w:jc w:val="left"/>
            </w:pPr>
            <w:r>
              <w:rPr>
                <w:rFonts w:ascii="Times New Roman" w:eastAsia="Times New Roman" w:hAnsi="Times New Roman" w:cs="Times New Roman"/>
                <w:color w:val="000000"/>
                <w:spacing w:val="0"/>
                <w:w w:val="100"/>
                <w:position w:val="0"/>
                <w:sz w:val="18"/>
                <w:szCs w:val="18"/>
              </w:rPr>
              <w:t>SMD</w:t>
            </w:r>
            <w:r>
              <w:rPr>
                <w:color w:val="000000"/>
                <w:spacing w:val="0"/>
                <w:w w:val="100"/>
                <w:position w:val="0"/>
              </w:rPr>
              <w:t>石英晶体元器件及其配套产品的开发科研 经费</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购置设备纳税奖励款</w:t>
            </w:r>
          </w:p>
        </w:tc>
        <w:tc>
          <w:tcPr>
            <w:tcBorders/>
            <w:shd w:val="clear" w:color="auto" w:fill="FFFFFF"/>
            <w:vAlign w:val="top"/>
          </w:tcPr>
          <w:p>
            <w:pPr>
              <w:pStyle w:val="Style2"/>
              <w:keepNext w:val="0"/>
              <w:keepLines w:val="0"/>
              <w:widowControl w:val="0"/>
              <w:shd w:val="clear" w:color="auto" w:fill="auto"/>
              <w:bidi w:val="0"/>
              <w:spacing w:before="24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对标优秀成果奖励</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新产品研发经费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1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b/>
                <w:bCs/>
                <w:color w:val="000000"/>
                <w:spacing w:val="0"/>
                <w:w w:val="100"/>
                <w:position w:val="0"/>
                <w:sz w:val="18"/>
                <w:szCs w:val="18"/>
              </w:rPr>
              <w:t>78,729,248.37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35,735,868.04</w:t>
            </w:r>
          </w:p>
        </w:tc>
      </w:tr>
    </w:tbl>
    <w:p>
      <w:pPr>
        <w:widowControl w:val="0"/>
        <w:spacing w:after="1099" w:line="1" w:lineRule="exact"/>
      </w:pPr>
    </w:p>
    <w:p>
      <w:pPr>
        <w:widowControl w:val="0"/>
        <w:jc w:val="center"/>
        <w:rPr>
          <w:sz w:val="2"/>
          <w:szCs w:val="2"/>
        </w:rPr>
        <w:sectPr>
          <w:footnotePr>
            <w:pos w:val="pageBottom"/>
            <w:numFmt w:val="decimal"/>
            <w:numRestart w:val="continuous"/>
          </w:footnotePr>
          <w:pgSz w:w="11900" w:h="16840"/>
          <w:pgMar w:top="1441" w:right="994" w:bottom="125" w:left="975" w:header="0" w:footer="3" w:gutter="0"/>
          <w:cols w:space="720"/>
          <w:noEndnote/>
          <w:rtlGutter w:val="0"/>
          <w:docGrid w:linePitch="360"/>
        </w:sectPr>
      </w:pPr>
      <w:r>
        <w:drawing>
          <wp:inline>
            <wp:extent cx="1718945" cy="981710"/>
            <wp:docPr id="708" name="Picutre 708"/>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231"/>
                    <a:stretch/>
                  </pic:blipFill>
                  <pic:spPr>
                    <a:xfrm>
                      <a:ext cx="1718945" cy="981710"/>
                    </a:xfrm>
                    <a:prstGeom prst="rect"/>
                  </pic:spPr>
                </pic:pic>
              </a:graphicData>
            </a:graphic>
          </wp:inline>
        </w:drawing>
      </w:r>
    </w:p>
    <w:p>
      <w:pPr>
        <w:pStyle w:val="Style44"/>
        <w:keepNext/>
        <w:keepLines/>
        <w:widowControl w:val="0"/>
        <w:shd w:val="clear" w:color="auto" w:fill="auto"/>
        <w:bidi w:val="0"/>
        <w:spacing w:before="0" w:after="320" w:line="240" w:lineRule="auto"/>
        <w:ind w:left="0" w:right="0" w:firstLine="86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980"/>
      <w:bookmarkEnd w:id="981"/>
      <w:bookmarkEnd w:id="983"/>
    </w:p>
    <w:tbl>
      <w:tblPr>
        <w:tblOverlap w:val="never"/>
        <w:jc w:val="center"/>
        <w:tblLayout w:type="fixed"/>
      </w:tblPr>
      <w:tblGrid>
        <w:gridCol w:w="2626"/>
        <w:gridCol w:w="2606"/>
        <w:gridCol w:w="1872"/>
        <w:gridCol w:w="2645"/>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上期金额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计入当期非经常性损益的金额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公益性捐赠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滞纳金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2,008.33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408,317.62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处置固定资产净损失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222,644.08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57,560.97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222,644.08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11,293.77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11,293.77</w:t>
            </w: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tabs>
                <w:tab w:pos="1578" w:val="left"/>
              </w:tabs>
              <w:bidi w:val="0"/>
              <w:spacing w:before="0" w:after="0" w:line="240" w:lineRule="auto"/>
              <w:ind w:left="1040" w:right="0" w:firstLine="0"/>
              <w:jc w:val="left"/>
            </w:pPr>
            <w:r>
              <w:rPr>
                <w:b/>
                <w:bCs/>
                <w:color w:val="000000"/>
                <w:spacing w:val="0"/>
                <w:w w:val="100"/>
                <w:position w:val="0"/>
              </w:rPr>
              <w:t>合</w:t>
              <w:tab/>
              <w:t>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b/>
                <w:bCs/>
                <w:color w:val="000000"/>
                <w:spacing w:val="0"/>
                <w:w w:val="100"/>
                <w:position w:val="0"/>
                <w:sz w:val="18"/>
                <w:szCs w:val="18"/>
              </w:rPr>
              <w:t>456,366.18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483,165.62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b/>
                <w:bCs/>
                <w:color w:val="000000"/>
                <w:spacing w:val="0"/>
                <w:w w:val="100"/>
                <w:position w:val="0"/>
                <w:sz w:val="18"/>
                <w:szCs w:val="18"/>
              </w:rPr>
              <w:t>456,366.18</w:t>
            </w:r>
          </w:p>
        </w:tc>
      </w:tr>
    </w:tbl>
    <w:p>
      <w:pPr>
        <w:widowControl w:val="0"/>
        <w:spacing w:after="459" w:line="1" w:lineRule="exact"/>
      </w:pPr>
    </w:p>
    <w:p>
      <w:pPr>
        <w:pStyle w:val="Style44"/>
        <w:keepNext/>
        <w:keepLines/>
        <w:widowControl w:val="0"/>
        <w:shd w:val="clear" w:color="auto" w:fill="auto"/>
        <w:tabs>
          <w:tab w:pos="1826" w:val="left"/>
        </w:tabs>
        <w:bidi w:val="0"/>
        <w:spacing w:before="0" w:after="460" w:line="240" w:lineRule="auto"/>
        <w:ind w:left="0" w:right="0" w:firstLine="100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8</w:t>
      </w:r>
      <w:r>
        <w:rPr>
          <w:color w:val="000000"/>
          <w:spacing w:val="0"/>
          <w:w w:val="100"/>
          <w:position w:val="0"/>
        </w:rPr>
        <w:t>、</w:t>
        <w:tab/>
        <w:t>所得税费用</w:t>
      </w:r>
      <w:bookmarkEnd w:id="984"/>
      <w:bookmarkEnd w:id="985"/>
      <w:bookmarkEnd w:id="987"/>
    </w:p>
    <w:tbl>
      <w:tblPr>
        <w:tblOverlap w:val="never"/>
        <w:jc w:val="center"/>
        <w:tblLayout w:type="fixed"/>
      </w:tblPr>
      <w:tblGrid>
        <w:gridCol w:w="4531"/>
        <w:gridCol w:w="2707"/>
        <w:gridCol w:w="2693"/>
      </w:tblGrid>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本期金额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上期金额</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按税法及相关规定计算的当期所得税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23,277,249.52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20,231,698.27</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1,542,841.72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-3,711,578.58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24,820,091.24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b/>
                <w:bCs/>
                <w:color w:val="000000"/>
                <w:spacing w:val="0"/>
                <w:w w:val="100"/>
                <w:position w:val="0"/>
                <w:sz w:val="18"/>
                <w:szCs w:val="18"/>
              </w:rPr>
              <w:t>16,520,119.69</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tabs>
                <w:tab w:pos="1826" w:val="left"/>
              </w:tabs>
              <w:bidi w:val="0"/>
              <w:spacing w:before="0" w:after="0" w:line="240" w:lineRule="auto"/>
              <w:ind w:left="0" w:right="0" w:firstLine="1000"/>
              <w:jc w:val="left"/>
              <w:rPr>
                <w:sz w:val="20"/>
                <w:szCs w:val="20"/>
              </w:rPr>
            </w:pPr>
            <w:r>
              <w:rPr>
                <w:rFonts w:ascii="Times New Roman" w:eastAsia="Times New Roman" w:hAnsi="Times New Roman" w:cs="Times New Roman"/>
                <w:b/>
                <w:bCs/>
                <w:color w:val="000000"/>
                <w:spacing w:val="0"/>
                <w:w w:val="100"/>
                <w:position w:val="0"/>
                <w:sz w:val="20"/>
                <w:szCs w:val="20"/>
              </w:rPr>
              <w:t>39</w:t>
            </w:r>
            <w:r>
              <w:rPr>
                <w:b/>
                <w:bCs/>
                <w:color w:val="000000"/>
                <w:spacing w:val="0"/>
                <w:w w:val="100"/>
                <w:position w:val="0"/>
                <w:sz w:val="20"/>
                <w:szCs w:val="20"/>
              </w:rPr>
              <w:t>、</w:t>
              <w:tab/>
              <w:t>现金流量表项目注释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17,071,163.98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17,509,859.13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营业外收入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20,987,222.84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29,223,342.03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往来款项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7,793,128.72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3,213,334.67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递延收益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103,523,900.00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27,582,700.00</w:t>
            </w:r>
          </w:p>
        </w:tc>
      </w:tr>
      <w:tr>
        <w:trPr>
          <w:trHeight w:val="40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149,375,415.54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b/>
                <w:bCs/>
                <w:color w:val="000000"/>
                <w:spacing w:val="0"/>
                <w:w w:val="100"/>
                <w:position w:val="0"/>
                <w:sz w:val="18"/>
                <w:szCs w:val="18"/>
              </w:rPr>
              <w:t>77,529,235.83</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680"/>
        <w:jc w:val="left"/>
      </w:pPr>
      <w:bookmarkStart w:id="988" w:name="bookmark988"/>
      <w:bookmarkStart w:id="989" w:name="bookmark989"/>
      <w:bookmarkStart w:id="990" w:name="bookmark9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）支付其他与经营活动有关的现金</w:t>
      </w:r>
      <w:bookmarkEnd w:id="988"/>
      <w:bookmarkEnd w:id="989"/>
      <w:bookmarkEnd w:id="990"/>
    </w:p>
    <w:tbl>
      <w:tblPr>
        <w:tblOverlap w:val="never"/>
        <w:jc w:val="center"/>
        <w:tblLayout w:type="fixed"/>
      </w:tblPr>
      <w:tblGrid>
        <w:gridCol w:w="3571"/>
        <w:gridCol w:w="3638"/>
        <w:gridCol w:w="2722"/>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费用性支出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41,943,308.26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31,284,272.08</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财务费用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355,389.04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517,158.52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233,721.98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363,708.59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往来款项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13,336,044.66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13,258,752.43</w:t>
            </w: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tabs>
                <w:tab w:pos="2058" w:val="left"/>
              </w:tabs>
              <w:bidi w:val="0"/>
              <w:spacing w:before="0" w:after="0" w:line="240" w:lineRule="auto"/>
              <w:ind w:left="1520" w:right="0" w:firstLine="0"/>
              <w:jc w:val="left"/>
            </w:pPr>
            <w:r>
              <w:rPr>
                <w:b/>
                <w:bCs/>
                <w:color w:val="000000"/>
                <w:spacing w:val="0"/>
                <w:w w:val="100"/>
                <w:position w:val="0"/>
              </w:rPr>
              <w:t>合</w:t>
              <w:tab/>
              <w:t>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b/>
                <w:bCs/>
                <w:color w:val="000000"/>
                <w:spacing w:val="0"/>
                <w:w w:val="100"/>
                <w:position w:val="0"/>
                <w:sz w:val="18"/>
                <w:szCs w:val="18"/>
              </w:rPr>
              <w:t>55,868,463.94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b/>
                <w:bCs/>
                <w:color w:val="000000"/>
                <w:spacing w:val="0"/>
                <w:w w:val="100"/>
                <w:position w:val="0"/>
                <w:sz w:val="18"/>
                <w:szCs w:val="18"/>
              </w:rPr>
              <w:t>45,423,891.62</w:t>
            </w:r>
          </w:p>
        </w:tc>
      </w:tr>
    </w:tbl>
    <w:p>
      <w:pPr>
        <w:widowControl w:val="0"/>
        <w:spacing w:after="239" w:line="1" w:lineRule="exact"/>
      </w:pPr>
    </w:p>
    <w:p>
      <w:pPr>
        <w:pStyle w:val="Style55"/>
        <w:keepNext/>
        <w:keepLines/>
        <w:widowControl w:val="0"/>
        <w:shd w:val="clear" w:color="auto" w:fill="auto"/>
        <w:bidi w:val="0"/>
        <w:spacing w:before="0" w:after="280" w:line="240" w:lineRule="auto"/>
        <w:ind w:left="0" w:right="0" w:firstLine="680"/>
        <w:jc w:val="left"/>
        <w:sectPr>
          <w:footnotePr>
            <w:pos w:val="pageBottom"/>
            <w:numFmt w:val="decimal"/>
            <w:numRestart w:val="continuous"/>
          </w:footnotePr>
          <w:pgSz w:w="11900" w:h="16840"/>
          <w:pgMar w:top="1638" w:right="994" w:bottom="1633" w:left="975" w:header="0" w:footer="3" w:gutter="0"/>
          <w:cols w:space="720"/>
          <w:noEndnote/>
          <w:rtlGutter w:val="0"/>
          <w:docGrid w:linePitch="360"/>
        </w:sectPr>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）收到其他与投资活动有关的现金</w:t>
      </w:r>
      <w:bookmarkEnd w:id="991"/>
      <w:bookmarkEnd w:id="992"/>
      <w:bookmarkEnd w:id="994"/>
    </w:p>
    <w:tbl>
      <w:tblPr>
        <w:tblOverlap w:val="never"/>
        <w:jc w:val="center"/>
        <w:tblLayout w:type="fixed"/>
      </w:tblPr>
      <w:tblGrid>
        <w:gridCol w:w="4680"/>
        <w:gridCol w:w="3106"/>
        <w:gridCol w:w="2146"/>
      </w:tblGrid>
      <w:tr>
        <w:trPr>
          <w:trHeight w:val="350" w:hRule="exact"/>
        </w:trPr>
        <w:tc>
          <w:tcPr>
            <w:gridSpan w:val="3"/>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国微电子期末货币资金余额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228,121,254.83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228,121,254.83</w:t>
            </w:r>
          </w:p>
        </w:tc>
      </w:tr>
      <w:tr>
        <w:trPr>
          <w:trHeight w:val="610"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）支付其他与筹资活动有关的现金</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发行股份购买资产聘请中介机构费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6,725,000.00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15,942,994.60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重组发行股份过户登记及信息披露费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130,453.66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2,384,644.85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其他重组零星费用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39,671.90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118,414.65</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购买唐山晶源电子有限公司少数股权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7,096,617.02</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13,991,742.58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18,446,054.10</w:t>
            </w:r>
          </w:p>
        </w:tc>
      </w:tr>
      <w:tr>
        <w:trPr>
          <w:trHeight w:val="888" w:hRule="exact"/>
        </w:trPr>
        <w:tc>
          <w:tcPr>
            <w:tcBorders>
              <w:top w:val="single" w:sz="4"/>
            </w:tcBorders>
            <w:shd w:val="clear" w:color="auto" w:fill="FFFFFF"/>
            <w:vAlign w:val="center"/>
          </w:tcPr>
          <w:p>
            <w:pPr>
              <w:pStyle w:val="Style2"/>
              <w:keepNext w:val="0"/>
              <w:keepLines w:val="0"/>
              <w:widowControl w:val="0"/>
              <w:shd w:val="clear" w:color="auto" w:fill="auto"/>
              <w:tabs>
                <w:tab w:pos="826"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40</w:t>
            </w:r>
            <w:r>
              <w:rPr>
                <w:b/>
                <w:bCs/>
                <w:color w:val="000000"/>
                <w:spacing w:val="0"/>
                <w:w w:val="100"/>
                <w:position w:val="0"/>
                <w:sz w:val="20"/>
                <w:szCs w:val="20"/>
              </w:rPr>
              <w:t>、</w:t>
              <w:tab/>
              <w:t>现金流量表补充资料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将净利润调节为经营活动现金流量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b/>
                <w:bCs/>
                <w:color w:val="000000"/>
                <w:spacing w:val="0"/>
                <w:w w:val="100"/>
                <w:position w:val="0"/>
                <w:sz w:val="18"/>
                <w:szCs w:val="18"/>
              </w:rPr>
              <w:t>273,605,449.08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142,171,931.25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加：资产减值准备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-3,103,002.34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-2,361,757.31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固定资产折旧、油气资产折耗、生产性生物资产折旧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42,279,828.26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34,730,557.88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8,832,956.62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2,428,251.31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1,910,879.91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402,610.22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处置固定资产</w:t>
            </w:r>
            <w:r>
              <w:rPr>
                <w:color w:val="000000"/>
                <w:spacing w:val="0"/>
                <w:w w:val="100"/>
                <w:position w:val="0"/>
                <w:sz w:val="18"/>
                <w:szCs w:val="18"/>
              </w:rPr>
              <w:t>，</w:t>
            </w:r>
            <w:r>
              <w:rPr>
                <w:color w:val="000000"/>
                <w:spacing w:val="0"/>
                <w:w w:val="100"/>
                <w:position w:val="0"/>
              </w:rPr>
              <w:t>无形资产和其他长期资产的损失（收益以七</w:t>
            </w:r>
          </w:p>
        </w:tc>
        <w:tc>
          <w:tcPr>
            <w:tcBorders/>
            <w:shd w:val="clear" w:color="auto" w:fill="FFFFFF"/>
            <w:vAlign w:val="center"/>
          </w:tcPr>
          <w:p>
            <w:pPr>
              <w:pStyle w:val="Style2"/>
              <w:keepNext w:val="0"/>
              <w:keepLines w:val="0"/>
              <w:widowControl w:val="0"/>
              <w:shd w:val="clear" w:color="auto" w:fill="auto"/>
              <w:tabs>
                <w:tab w:pos="2155"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tab/>
            </w:r>
            <w:r>
              <w:rPr>
                <w:rFonts w:ascii="Times New Roman" w:eastAsia="Times New Roman" w:hAnsi="Times New Roman" w:cs="Times New Roman"/>
                <w:color w:val="000000"/>
                <w:spacing w:val="0"/>
                <w:w w:val="100"/>
                <w:position w:val="0"/>
                <w:sz w:val="18"/>
                <w:szCs w:val="18"/>
              </w:rPr>
              <w:t>147,361.99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56,449.36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固定资产报废损失（收益以号填列）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11,276.72</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公允价值变动损失（收益以号填列）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财务费用（收益以号填列）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2,510,614.45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291,088.99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投资损失（收益以号填列）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546,115.89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递延所得税资产减少（增加以号填列）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1,542,841.72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-3,711,578.58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递延所得税负债增加（减少以号填列）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存货的减少（增加以号填列）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-14,418,977.29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-27,802,551.79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经营性应收项目的减少（增加以号填列）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-170,526,044.67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-22,879,313.35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经营性应付项目的增加（减少以号填列）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89,636,726.57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1,141,060.20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经营活动产生的现金流量净额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b/>
                <w:bCs/>
                <w:color w:val="000000"/>
                <w:spacing w:val="0"/>
                <w:w w:val="100"/>
                <w:position w:val="0"/>
                <w:sz w:val="18"/>
                <w:szCs w:val="18"/>
              </w:rPr>
              <w:t>232,976,026.91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124,678,174.37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59" w:line="1" w:lineRule="exact"/>
      </w:pPr>
    </w:p>
    <w:p>
      <w:pPr>
        <w:widowControl w:val="0"/>
        <w:jc w:val="center"/>
        <w:rPr>
          <w:sz w:val="2"/>
          <w:szCs w:val="2"/>
        </w:r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105" w:right="994" w:bottom="125" w:left="975" w:header="0" w:footer="3" w:gutter="0"/>
          <w:cols w:space="720"/>
          <w:noEndnote/>
          <w:rtlGutter w:val="0"/>
          <w:docGrid w:linePitch="360"/>
        </w:sectPr>
      </w:pPr>
      <w:r>
        <w:drawing>
          <wp:inline>
            <wp:extent cx="1737360" cy="999490"/>
            <wp:docPr id="719" name="Picutre 719"/>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237"/>
                    <a:stretch/>
                  </pic:blipFill>
                  <pic:spPr>
                    <a:xfrm>
                      <a:ext cx="1737360" cy="999490"/>
                    </a:xfrm>
                    <a:prstGeom prst="rect"/>
                  </pic:spPr>
                </pic:pic>
              </a:graphicData>
            </a:graphic>
          </wp:inline>
        </w:drawing>
      </w:r>
    </w:p>
    <w:p>
      <w:pPr>
        <w:pStyle w:val="Style72"/>
        <w:keepNext w:val="0"/>
        <w:keepLines w:val="0"/>
        <w:widowControl w:val="0"/>
        <w:pBdr>
          <w:top w:val="single" w:sz="4" w:space="0" w:color="auto"/>
          <w:bottom w:val="single" w:sz="4" w:space="0" w:color="auto"/>
        </w:pBdr>
        <w:shd w:val="clear" w:color="auto" w:fill="auto"/>
        <w:tabs>
          <w:tab w:pos="6385" w:val="left"/>
          <w:tab w:pos="8578" w:val="left"/>
        </w:tabs>
        <w:bidi w:val="0"/>
        <w:spacing w:before="0" w:after="180" w:line="240" w:lineRule="auto"/>
        <w:ind w:left="0" w:right="0" w:firstLine="260"/>
        <w:jc w:val="left"/>
      </w:pPr>
      <w:r>
        <w:rPr>
          <w:color w:val="000000"/>
          <w:spacing w:val="0"/>
          <w:w w:val="100"/>
          <w:position w:val="0"/>
        </w:rPr>
        <w:t>将净利润调节为经营活动现金流量</w:t>
        <w:tab/>
        <w:t>本期金额</w:t>
        <w:tab/>
        <w:t>上期金额</w:t>
      </w:r>
    </w:p>
    <w:p>
      <w:pPr>
        <w:pStyle w:val="Style72"/>
        <w:keepNext w:val="0"/>
        <w:keepLines w:val="0"/>
        <w:widowControl w:val="0"/>
        <w:shd w:val="clear" w:color="auto" w:fill="auto"/>
        <w:bidi w:val="0"/>
        <w:spacing w:before="0" w:after="180" w:line="240" w:lineRule="auto"/>
        <w:ind w:left="0" w:right="0" w:firstLine="260"/>
        <w:jc w:val="left"/>
      </w:pPr>
      <w:r>
        <w:rPr>
          <w:b w:val="0"/>
          <w:bCs w:val="0"/>
          <w:color w:val="000000"/>
          <w:spacing w:val="0"/>
          <w:w w:val="100"/>
          <w:position w:val="0"/>
        </w:rPr>
        <w:t>一年内到期的可转换公司债券</w:t>
      </w:r>
    </w:p>
    <w:p>
      <w:pPr>
        <w:pStyle w:val="Style72"/>
        <w:keepNext w:val="0"/>
        <w:keepLines w:val="0"/>
        <w:widowControl w:val="0"/>
        <w:shd w:val="clear" w:color="auto" w:fill="auto"/>
        <w:bidi w:val="0"/>
        <w:spacing w:before="0" w:after="180" w:line="240" w:lineRule="auto"/>
        <w:ind w:left="0" w:right="0" w:firstLine="260"/>
        <w:jc w:val="left"/>
      </w:pPr>
      <w:r>
        <w:rPr>
          <w:b w:val="0"/>
          <w:bCs w:val="0"/>
          <w:color w:val="000000"/>
          <w:spacing w:val="0"/>
          <w:w w:val="100"/>
          <w:position w:val="0"/>
        </w:rPr>
        <w:t>融资租入固定资产</w:t>
      </w:r>
    </w:p>
    <w:p>
      <w:pPr>
        <w:pStyle w:val="Style72"/>
        <w:keepNext w:val="0"/>
        <w:keepLines w:val="0"/>
        <w:widowControl w:val="0"/>
        <w:shd w:val="clear" w:color="auto" w:fill="auto"/>
        <w:bidi w:val="0"/>
        <w:spacing w:before="0" w:after="180" w:line="240" w:lineRule="auto"/>
        <w:ind w:left="0" w:right="0" w:firstLine="260"/>
        <w:jc w:val="left"/>
      </w:pP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、现金及现金等价物净变动情况：</w:t>
      </w:r>
    </w:p>
    <w:tbl>
      <w:tblPr>
        <w:tblOverlap w:val="never"/>
        <w:jc w:val="center"/>
        <w:tblLayout w:type="fixed"/>
      </w:tblPr>
      <w:tblGrid>
        <w:gridCol w:w="4310"/>
        <w:gridCol w:w="3730"/>
        <w:gridCol w:w="1661"/>
      </w:tblGrid>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906,856,558.49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870,645,948.25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870,645,948.25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653,808,574.34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现金及现金等价物净增加额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b/>
                <w:bCs/>
                <w:color w:val="000000"/>
                <w:spacing w:val="0"/>
                <w:w w:val="100"/>
                <w:position w:val="0"/>
                <w:sz w:val="18"/>
                <w:szCs w:val="18"/>
              </w:rPr>
              <w:t>36,210,610.24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216,837,373.91</w:t>
            </w:r>
          </w:p>
        </w:tc>
      </w:tr>
    </w:tbl>
    <w:p>
      <w:pPr>
        <w:widowControl w:val="0"/>
        <w:spacing w:after="239" w:line="1" w:lineRule="exact"/>
      </w:pPr>
    </w:p>
    <w:p>
      <w:pPr>
        <w:pStyle w:val="Style55"/>
        <w:keepNext/>
        <w:keepLines/>
        <w:widowControl w:val="0"/>
        <w:shd w:val="clear" w:color="auto" w:fill="auto"/>
        <w:bidi w:val="0"/>
        <w:spacing w:before="0" w:after="100" w:line="240" w:lineRule="auto"/>
        <w:ind w:left="0" w:right="0" w:firstLine="86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995"/>
      <w:bookmarkEnd w:id="996"/>
      <w:bookmarkEnd w:id="997"/>
    </w:p>
    <w:tbl>
      <w:tblPr>
        <w:tblOverlap w:val="never"/>
        <w:jc w:val="center"/>
        <w:tblLayout w:type="fixed"/>
      </w:tblPr>
      <w:tblGrid>
        <w:gridCol w:w="4478"/>
        <w:gridCol w:w="3600"/>
        <w:gridCol w:w="1853"/>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906,856,558.49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870,645,948.25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212,832.00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623,034.99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可随时用于支付的银行存款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906,560,726.49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869,607,947.27</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可随时用于支付的其他货币资金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83,000.00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414,965.99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三、期末现金及现金等价物余额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b/>
                <w:bCs/>
                <w:color w:val="000000"/>
                <w:spacing w:val="0"/>
                <w:w w:val="100"/>
                <w:position w:val="0"/>
                <w:sz w:val="18"/>
                <w:szCs w:val="18"/>
              </w:rPr>
              <w:t>906,856,558.49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870,645,948.25</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260"/>
        <w:jc w:val="both"/>
      </w:pPr>
      <w:bookmarkStart w:id="1000" w:name="bookmark1000"/>
      <w:bookmarkStart w:id="1001" w:name="bookmark1001"/>
      <w:bookmarkStart w:id="998" w:name="bookmark998"/>
      <w:bookmarkStart w:id="999" w:name="bookmark999"/>
      <w:r>
        <w:rPr>
          <w:color w:val="000000"/>
          <w:spacing w:val="0"/>
          <w:w w:val="100"/>
          <w:position w:val="0"/>
        </w:rPr>
        <w:t>八</w:t>
      </w:r>
      <w:bookmarkEnd w:id="1000"/>
      <w:r>
        <w:rPr>
          <w:color w:val="000000"/>
          <w:spacing w:val="0"/>
          <w:w w:val="100"/>
          <w:position w:val="0"/>
        </w:rPr>
        <w:t>、关联方关系及交易</w:t>
      </w:r>
      <w:bookmarkEnd w:id="1001"/>
      <w:bookmarkEnd w:id="998"/>
      <w:bookmarkEnd w:id="999"/>
    </w:p>
    <w:p>
      <w:pPr>
        <w:pStyle w:val="Style44"/>
        <w:keepNext/>
        <w:keepLines/>
        <w:widowControl w:val="0"/>
        <w:pBdr>
          <w:bottom w:val="single" w:sz="4" w:space="0" w:color="auto"/>
        </w:pBdr>
        <w:shd w:val="clear" w:color="auto" w:fill="auto"/>
        <w:bidi w:val="0"/>
        <w:spacing w:before="0" w:after="180" w:line="240" w:lineRule="auto"/>
        <w:ind w:left="0" w:right="0" w:firstLine="740"/>
        <w:jc w:val="left"/>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02"/>
      <w:bookmarkEnd w:id="1003"/>
      <w:bookmarkEnd w:id="1004"/>
    </w:p>
    <w:tbl>
      <w:tblPr>
        <w:tblOverlap w:val="never"/>
        <w:jc w:val="center"/>
        <w:tblLayout w:type="fixed"/>
      </w:tblPr>
      <w:tblGrid>
        <w:gridCol w:w="1085"/>
        <w:gridCol w:w="979"/>
        <w:gridCol w:w="989"/>
        <w:gridCol w:w="787"/>
        <w:gridCol w:w="984"/>
        <w:gridCol w:w="1080"/>
        <w:gridCol w:w="1133"/>
        <w:gridCol w:w="1210"/>
        <w:gridCol w:w="1210"/>
        <w:gridCol w:w="782"/>
      </w:tblGrid>
      <w:tr>
        <w:trPr>
          <w:trHeight w:val="28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母公司名</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母公司对本</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母公司对本</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本企业</w:t>
            </w:r>
          </w:p>
        </w:tc>
      </w:tr>
      <w:tr>
        <w:trPr>
          <w:trHeight w:val="235" w:hRule="exact"/>
        </w:trPr>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关联关系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企业类型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法人代表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注册资本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企业的持股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企业的表决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最终控</w:t>
            </w:r>
          </w:p>
        </w:tc>
      </w:tr>
      <w:tr>
        <w:trPr>
          <w:trHeight w:val="278"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7"/>
                <w:szCs w:val="17"/>
              </w:rPr>
              <w:t>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制方</w:t>
            </w:r>
          </w:p>
        </w:tc>
      </w:tr>
      <w:tr>
        <w:trPr>
          <w:trHeight w:val="53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同方股份 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本公司控 股股东</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陆致成</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计算机及 信息技术</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219,788.22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教育部</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74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r>
        <w:rPr>
          <w:color w:val="000000"/>
          <w:spacing w:val="0"/>
          <w:w w:val="100"/>
          <w:position w:val="0"/>
        </w:rPr>
        <w:t>、本企业子公司情况</w:t>
      </w:r>
      <w:bookmarkEnd w:id="1005"/>
      <w:bookmarkEnd w:id="1006"/>
      <w:bookmarkEnd w:id="1007"/>
    </w:p>
    <w:p>
      <w:pPr>
        <w:pStyle w:val="Style55"/>
        <w:keepNext/>
        <w:keepLines/>
        <w:widowControl w:val="0"/>
        <w:shd w:val="clear" w:color="auto" w:fill="auto"/>
        <w:bidi w:val="0"/>
        <w:spacing w:before="0" w:after="360" w:line="240" w:lineRule="auto"/>
        <w:ind w:left="0" w:right="0" w:firstLine="740"/>
        <w:jc w:val="left"/>
      </w:pPr>
      <w:bookmarkStart w:id="1008" w:name="bookmark1008"/>
      <w:bookmarkStart w:id="1009" w:name="bookmark1009"/>
      <w:bookmarkStart w:id="1010" w:name="bookmark1010"/>
      <w:r>
        <w:rPr>
          <w:color w:val="000000"/>
          <w:spacing w:val="0"/>
          <w:w w:val="100"/>
          <w:position w:val="0"/>
        </w:rPr>
        <w:t>见“六、企业合并及合并财务报表的合并范围(一)子公司情况”</w:t>
      </w:r>
      <w:bookmarkEnd w:id="1008"/>
      <w:bookmarkEnd w:id="1009"/>
      <w:bookmarkEnd w:id="1010"/>
    </w:p>
    <w:p>
      <w:pPr>
        <w:pStyle w:val="Style44"/>
        <w:keepNext/>
        <w:keepLines/>
        <w:widowControl w:val="0"/>
        <w:shd w:val="clear" w:color="auto" w:fill="auto"/>
        <w:bidi w:val="0"/>
        <w:spacing w:before="0" w:after="300" w:line="240" w:lineRule="auto"/>
        <w:ind w:left="0" w:right="0" w:firstLine="74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color w:val="000000"/>
          <w:spacing w:val="0"/>
          <w:w w:val="100"/>
          <w:position w:val="0"/>
        </w:rPr>
        <w:t>、本企业的合营和联营企业情况</w:t>
      </w:r>
      <w:bookmarkEnd w:id="1011"/>
      <w:bookmarkEnd w:id="1012"/>
      <w:bookmarkEnd w:id="1014"/>
    </w:p>
    <w:tbl>
      <w:tblPr>
        <w:tblOverlap w:val="never"/>
        <w:jc w:val="center"/>
        <w:tblLayout w:type="fixed"/>
      </w:tblPr>
      <w:tblGrid>
        <w:gridCol w:w="1666"/>
        <w:gridCol w:w="1080"/>
        <w:gridCol w:w="883"/>
        <w:gridCol w:w="1099"/>
        <w:gridCol w:w="715"/>
        <w:gridCol w:w="1085"/>
        <w:gridCol w:w="1224"/>
        <w:gridCol w:w="2050"/>
      </w:tblGrid>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企业类型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本企业持股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7"/>
                <w:szCs w:val="17"/>
              </w:rPr>
              <w:t>本企业在被投资单位 表决权比例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220" w:right="0" w:firstLine="0"/>
              <w:jc w:val="left"/>
            </w:pPr>
            <w:r>
              <w:rPr>
                <w:color w:val="000000"/>
                <w:spacing w:val="0"/>
                <w:w w:val="100"/>
                <w:position w:val="0"/>
              </w:rPr>
              <w:t>九江佳华压电晶 体材料有限公司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林春树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60" w:right="0" w:firstLine="2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179" w:line="1" w:lineRule="exact"/>
      </w:pPr>
    </w:p>
    <w:p>
      <w:pPr>
        <w:widowControl w:val="0"/>
        <w:jc w:val="center"/>
        <w:rPr>
          <w:sz w:val="2"/>
          <w:szCs w:val="2"/>
        </w:rPr>
        <w:sectPr>
          <w:footnotePr>
            <w:pos w:val="pageBottom"/>
            <w:numFmt w:val="decimal"/>
            <w:numRestart w:val="continuous"/>
          </w:footnotePr>
          <w:pgSz w:w="11900" w:h="16840"/>
          <w:pgMar w:top="1551" w:right="855" w:bottom="125" w:left="807" w:header="0" w:footer="3" w:gutter="0"/>
          <w:cols w:space="720"/>
          <w:noEndnote/>
          <w:rtlGutter w:val="0"/>
          <w:docGrid w:linePitch="360"/>
        </w:sectPr>
      </w:pPr>
      <w:r>
        <w:drawing>
          <wp:inline>
            <wp:extent cx="1737360" cy="999490"/>
            <wp:docPr id="720" name="Picutre 720"/>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239"/>
                    <a:stretch/>
                  </pic:blipFill>
                  <pic:spPr>
                    <a:xfrm>
                      <a:ext cx="1737360" cy="999490"/>
                    </a:xfrm>
                    <a:prstGeom prst="rect"/>
                  </pic:spPr>
                </pic:pic>
              </a:graphicData>
            </a:graphic>
          </wp:inline>
        </w:drawing>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0" w:bottom="1158" w:left="970" w:header="0" w:footer="3" w:gutter="0"/>
          <w:cols w:space="720"/>
          <w:noEndnote/>
          <w:rtlGutter w:val="0"/>
          <w:docGrid w:linePitch="360"/>
        </w:sectPr>
      </w:pPr>
    </w:p>
    <w:p>
      <w:pPr>
        <w:pStyle w:val="Style55"/>
        <w:keepNext/>
        <w:keepLines/>
        <w:framePr w:w="984" w:h="259" w:wrap="none" w:vAnchor="text" w:hAnchor="page" w:x="1471" w:y="21"/>
        <w:widowControl w:val="0"/>
        <w:shd w:val="clear" w:color="auto" w:fill="auto"/>
        <w:bidi w:val="0"/>
        <w:spacing w:before="0" w:after="0" w:line="240" w:lineRule="auto"/>
        <w:ind w:left="0" w:right="0" w:firstLine="0"/>
        <w:jc w:val="left"/>
      </w:pPr>
      <w:bookmarkStart w:id="1015" w:name="bookmark1015"/>
      <w:bookmarkStart w:id="1016" w:name="bookmark1016"/>
      <w:bookmarkStart w:id="1017" w:name="bookmark1017"/>
      <w:r>
        <w:rPr>
          <w:color w:val="000000"/>
          <w:spacing w:val="0"/>
          <w:w w:val="100"/>
          <w:position w:val="0"/>
        </w:rPr>
        <w:t>（续上表）</w:t>
      </w:r>
      <w:bookmarkEnd w:id="1015"/>
      <w:bookmarkEnd w:id="1016"/>
      <w:bookmarkEnd w:id="1017"/>
    </w:p>
    <w:tbl>
      <w:tblPr>
        <w:tblOverlap w:val="never"/>
        <w:jc w:val="left"/>
        <w:tblLayout w:type="fixed"/>
      </w:tblPr>
      <w:tblGrid>
        <w:gridCol w:w="1349"/>
        <w:gridCol w:w="1301"/>
        <w:gridCol w:w="1478"/>
        <w:gridCol w:w="1666"/>
        <w:gridCol w:w="1454"/>
        <w:gridCol w:w="1080"/>
        <w:gridCol w:w="1474"/>
      </w:tblGrid>
      <w:tr>
        <w:trPr>
          <w:trHeight w:val="461" w:hRule="exact"/>
        </w:trPr>
        <w:tc>
          <w:tcPr>
            <w:tcBorders>
              <w:top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期末资产总额</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期末负债总额</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期末净资产总额</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本期营业收入总额</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本期净利润</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关联关系</w:t>
            </w:r>
          </w:p>
        </w:tc>
        <w:tc>
          <w:tcPr>
            <w:tcBorders>
              <w:top w:val="single" w:sz="4"/>
              <w:left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b/>
                <w:bCs/>
                <w:color w:val="000000"/>
                <w:spacing w:val="0"/>
                <w:w w:val="100"/>
                <w:position w:val="0"/>
              </w:rPr>
              <w:t>组织机构代码</w:t>
            </w:r>
          </w:p>
        </w:tc>
      </w:tr>
      <w:tr>
        <w:trPr>
          <w:trHeight w:val="437" w:hRule="exact"/>
        </w:trPr>
        <w:tc>
          <w:tcPr>
            <w:tcBorders>
              <w:top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1287.15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180.25</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1106.90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163.06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-128.82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bottom w:val="single" w:sz="4"/>
            </w:tcBorders>
            <w:shd w:val="clear" w:color="auto" w:fill="FFFFFF"/>
            <w:vAlign w:val="center"/>
          </w:tcPr>
          <w:p>
            <w:pPr>
              <w:pStyle w:val="Style2"/>
              <w:keepNext w:val="0"/>
              <w:keepLines w:val="0"/>
              <w:framePr w:w="9802" w:h="898" w:wrap="none" w:vAnchor="text" w:hAnchor="page" w:x="1077" w:y="438"/>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67499611-5</w:t>
            </w:r>
          </w:p>
        </w:tc>
      </w:tr>
    </w:tbl>
    <w:p>
      <w:pPr>
        <w:framePr w:w="9802" w:h="898" w:wrap="none" w:vAnchor="text" w:hAnchor="page" w:x="1077" w:y="438"/>
        <w:widowControl w:val="0"/>
        <w:spacing w:line="1" w:lineRule="exact"/>
      </w:pPr>
    </w:p>
    <w:p>
      <w:pPr>
        <w:pStyle w:val="Style44"/>
        <w:keepNext/>
        <w:keepLines/>
        <w:framePr w:w="2784" w:h="274" w:wrap="none" w:vAnchor="text" w:hAnchor="page" w:x="1523" w:y="1806"/>
        <w:widowControl w:val="0"/>
        <w:shd w:val="clear" w:color="auto" w:fill="auto"/>
        <w:bidi w:val="0"/>
        <w:spacing w:before="0" w:after="0" w:line="240" w:lineRule="auto"/>
        <w:ind w:left="0" w:right="0" w:firstLine="0"/>
        <w:jc w:val="left"/>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r>
        <w:rPr>
          <w:color w:val="000000"/>
          <w:spacing w:val="0"/>
          <w:w w:val="100"/>
          <w:position w:val="0"/>
        </w:rPr>
        <w:t>、本企业的其他关联方情况</w:t>
      </w:r>
      <w:bookmarkEnd w:id="1018"/>
      <w:bookmarkEnd w:id="1019"/>
      <w:bookmarkEnd w:id="1020"/>
    </w:p>
    <w:p>
      <w:pPr>
        <w:pStyle w:val="Style72"/>
        <w:keepNext w:val="0"/>
        <w:keepLines w:val="0"/>
        <w:framePr w:w="590" w:h="245" w:wrap="none" w:vAnchor="text" w:hAnchor="page" w:x="3352" w:y="2502"/>
        <w:widowControl w:val="0"/>
        <w:shd w:val="clear" w:color="auto" w:fill="auto"/>
        <w:bidi w:val="0"/>
        <w:spacing w:before="0" w:after="0" w:line="240" w:lineRule="auto"/>
        <w:ind w:left="0" w:right="0" w:firstLine="0"/>
        <w:jc w:val="left"/>
      </w:pPr>
      <w:r>
        <w:rPr>
          <w:color w:val="000000"/>
          <w:spacing w:val="0"/>
          <w:w w:val="100"/>
          <w:position w:val="0"/>
        </w:rPr>
        <w:t>关联方</w:t>
      </w:r>
    </w:p>
    <w:p>
      <w:pPr>
        <w:pStyle w:val="Style72"/>
        <w:keepNext w:val="0"/>
        <w:keepLines w:val="0"/>
        <w:framePr w:w="1133" w:h="240" w:wrap="none" w:vAnchor="text" w:hAnchor="page" w:x="8008" w:y="2502"/>
        <w:widowControl w:val="0"/>
        <w:shd w:val="clear" w:color="auto" w:fill="auto"/>
        <w:bidi w:val="0"/>
        <w:spacing w:before="0" w:after="0" w:line="240" w:lineRule="auto"/>
        <w:ind w:left="0" w:right="0" w:firstLine="0"/>
        <w:jc w:val="left"/>
      </w:pPr>
      <w:r>
        <w:rPr>
          <w:color w:val="000000"/>
          <w:spacing w:val="0"/>
          <w:w w:val="100"/>
          <w:position w:val="0"/>
        </w:rPr>
        <w:t>关联关系类型</w:t>
      </w:r>
    </w:p>
    <w:p>
      <w:pPr>
        <w:pStyle w:val="Style72"/>
        <w:keepNext w:val="0"/>
        <w:keepLines w:val="0"/>
        <w:framePr w:w="763" w:h="240" w:wrap="none" w:vAnchor="text" w:hAnchor="page" w:x="1101" w:y="2905"/>
        <w:widowControl w:val="0"/>
        <w:shd w:val="clear" w:color="auto" w:fill="auto"/>
        <w:bidi w:val="0"/>
        <w:spacing w:before="0" w:after="0" w:line="240" w:lineRule="auto"/>
        <w:ind w:left="0" w:right="0" w:firstLine="0"/>
        <w:jc w:val="left"/>
      </w:pPr>
      <w:r>
        <w:rPr>
          <w:b w:val="0"/>
          <w:bCs w:val="0"/>
          <w:color w:val="000000"/>
          <w:spacing w:val="0"/>
          <w:w w:val="100"/>
          <w:position w:val="0"/>
        </w:rPr>
        <w:t>清华大学</w:t>
      </w:r>
    </w:p>
    <w:p>
      <w:pPr>
        <w:pStyle w:val="Style72"/>
        <w:keepNext w:val="0"/>
        <w:keepLines w:val="0"/>
        <w:framePr w:w="2563" w:h="230" w:wrap="none" w:vAnchor="text" w:hAnchor="page" w:x="7293" w:y="2905"/>
        <w:widowControl w:val="0"/>
        <w:shd w:val="clear" w:color="auto" w:fill="auto"/>
        <w:bidi w:val="0"/>
        <w:spacing w:before="0" w:after="0" w:line="240" w:lineRule="auto"/>
        <w:ind w:left="0" w:right="0" w:firstLine="0"/>
        <w:jc w:val="left"/>
      </w:pPr>
      <w:r>
        <w:rPr>
          <w:b w:val="0"/>
          <w:bCs w:val="0"/>
          <w:color w:val="000000"/>
          <w:spacing w:val="0"/>
          <w:w w:val="100"/>
          <w:position w:val="0"/>
        </w:rPr>
        <w:t>母公司的控股股东的全资出资人</w:t>
      </w:r>
    </w:p>
    <w:p>
      <w:pPr>
        <w:pStyle w:val="Style72"/>
        <w:keepNext w:val="0"/>
        <w:keepLines w:val="0"/>
        <w:framePr w:w="2184" w:h="235" w:wrap="none" w:vAnchor="text" w:hAnchor="page" w:x="1120" w:y="3294"/>
        <w:widowControl w:val="0"/>
        <w:shd w:val="clear" w:color="auto" w:fill="auto"/>
        <w:bidi w:val="0"/>
        <w:spacing w:before="0" w:after="0" w:line="240" w:lineRule="auto"/>
        <w:ind w:left="0" w:right="0" w:firstLine="0"/>
        <w:jc w:val="left"/>
      </w:pPr>
      <w:r>
        <w:rPr>
          <w:b w:val="0"/>
          <w:bCs w:val="0"/>
          <w:color w:val="000000"/>
          <w:spacing w:val="0"/>
          <w:w w:val="100"/>
          <w:position w:val="0"/>
        </w:rPr>
        <w:t>山东同方鲁颖电子有限公司</w:t>
      </w:r>
    </w:p>
    <w:p>
      <w:pPr>
        <w:pStyle w:val="Style72"/>
        <w:keepNext w:val="0"/>
        <w:keepLines w:val="0"/>
        <w:framePr w:w="2381" w:h="235" w:wrap="none" w:vAnchor="text" w:hAnchor="page" w:x="7384" w:y="3294"/>
        <w:widowControl w:val="0"/>
        <w:shd w:val="clear" w:color="auto" w:fill="auto"/>
        <w:bidi w:val="0"/>
        <w:spacing w:before="0" w:after="0" w:line="240" w:lineRule="auto"/>
        <w:ind w:left="0" w:right="0" w:firstLine="0"/>
        <w:jc w:val="left"/>
      </w:pPr>
      <w:r>
        <w:rPr>
          <w:b w:val="0"/>
          <w:bCs w:val="0"/>
          <w:color w:val="000000"/>
          <w:spacing w:val="0"/>
          <w:w w:val="100"/>
          <w:position w:val="0"/>
        </w:rPr>
        <w:t>受同一母公司控制的其他企业</w:t>
      </w:r>
    </w:p>
    <w:p>
      <w:pPr>
        <w:pStyle w:val="Style72"/>
        <w:keepNext w:val="0"/>
        <w:keepLines w:val="0"/>
        <w:framePr w:w="1824" w:h="235" w:wrap="none" w:vAnchor="text" w:hAnchor="page" w:x="1120" w:y="3687"/>
        <w:widowControl w:val="0"/>
        <w:shd w:val="clear" w:color="auto" w:fill="auto"/>
        <w:bidi w:val="0"/>
        <w:spacing w:before="0" w:after="0" w:line="240" w:lineRule="auto"/>
        <w:ind w:left="0" w:right="0" w:firstLine="0"/>
        <w:jc w:val="left"/>
      </w:pPr>
      <w:r>
        <w:rPr>
          <w:b w:val="0"/>
          <w:bCs w:val="0"/>
          <w:color w:val="000000"/>
          <w:spacing w:val="0"/>
          <w:w w:val="100"/>
          <w:position w:val="0"/>
        </w:rPr>
        <w:t>同方锐安科技有限公司</w:t>
      </w:r>
    </w:p>
    <w:p>
      <w:pPr>
        <w:pStyle w:val="Style72"/>
        <w:keepNext w:val="0"/>
        <w:keepLines w:val="0"/>
        <w:framePr w:w="2381" w:h="235" w:wrap="none" w:vAnchor="text" w:hAnchor="page" w:x="7384" w:y="3687"/>
        <w:widowControl w:val="0"/>
        <w:shd w:val="clear" w:color="auto" w:fill="auto"/>
        <w:bidi w:val="0"/>
        <w:spacing w:before="0" w:after="0" w:line="240" w:lineRule="auto"/>
        <w:ind w:left="0" w:right="0" w:firstLine="0"/>
        <w:jc w:val="center"/>
      </w:pPr>
      <w:r>
        <w:rPr>
          <w:b w:val="0"/>
          <w:bCs w:val="0"/>
          <w:color w:val="000000"/>
          <w:spacing w:val="0"/>
          <w:w w:val="100"/>
          <w:position w:val="0"/>
        </w:rPr>
        <w:t>受同一母公司控制的其他企业</w:t>
      </w:r>
    </w:p>
    <w:p>
      <w:pPr>
        <w:pStyle w:val="Style72"/>
        <w:keepNext w:val="0"/>
        <w:keepLines w:val="0"/>
        <w:framePr w:w="2194" w:h="235" w:wrap="none" w:vAnchor="text" w:hAnchor="page" w:x="1111" w:y="4081"/>
        <w:widowControl w:val="0"/>
        <w:shd w:val="clear" w:color="auto" w:fill="auto"/>
        <w:bidi w:val="0"/>
        <w:spacing w:before="0" w:after="0" w:line="240" w:lineRule="auto"/>
        <w:ind w:left="0" w:right="0" w:firstLine="0"/>
        <w:jc w:val="left"/>
      </w:pPr>
      <w:r>
        <w:rPr>
          <w:b w:val="0"/>
          <w:bCs w:val="0"/>
          <w:color w:val="000000"/>
          <w:spacing w:val="0"/>
          <w:w w:val="100"/>
          <w:position w:val="0"/>
        </w:rPr>
        <w:t>北京同方吉兆科技有限公司</w:t>
      </w:r>
    </w:p>
    <w:p>
      <w:pPr>
        <w:pStyle w:val="Style72"/>
        <w:keepNext w:val="0"/>
        <w:keepLines w:val="0"/>
        <w:framePr w:w="2381" w:h="235" w:wrap="none" w:vAnchor="text" w:hAnchor="page" w:x="7384" w:y="4081"/>
        <w:widowControl w:val="0"/>
        <w:shd w:val="clear" w:color="auto" w:fill="auto"/>
        <w:bidi w:val="0"/>
        <w:spacing w:before="0" w:after="0" w:line="240" w:lineRule="auto"/>
        <w:ind w:left="0" w:right="0" w:firstLine="0"/>
        <w:jc w:val="center"/>
      </w:pPr>
      <w:r>
        <w:rPr>
          <w:b w:val="0"/>
          <w:bCs w:val="0"/>
          <w:color w:val="000000"/>
          <w:spacing w:val="0"/>
          <w:w w:val="100"/>
          <w:position w:val="0"/>
        </w:rPr>
        <w:t>受同一母公司控制的其他企业</w:t>
      </w:r>
    </w:p>
    <w:p>
      <w:pPr>
        <w:pStyle w:val="Style72"/>
        <w:keepNext w:val="0"/>
        <w:keepLines w:val="0"/>
        <w:framePr w:w="2184" w:h="235" w:wrap="none" w:vAnchor="text" w:hAnchor="page" w:x="1120" w:y="4470"/>
        <w:widowControl w:val="0"/>
        <w:shd w:val="clear" w:color="auto" w:fill="auto"/>
        <w:bidi w:val="0"/>
        <w:spacing w:before="0" w:after="0" w:line="240" w:lineRule="auto"/>
        <w:ind w:left="0" w:right="0" w:firstLine="0"/>
        <w:jc w:val="left"/>
      </w:pPr>
      <w:r>
        <w:rPr>
          <w:b w:val="0"/>
          <w:bCs w:val="0"/>
          <w:color w:val="000000"/>
          <w:spacing w:val="0"/>
          <w:w w:val="100"/>
          <w:position w:val="0"/>
        </w:rPr>
        <w:t>同方光电（香港）有限公司</w:t>
      </w:r>
    </w:p>
    <w:p>
      <w:pPr>
        <w:pStyle w:val="Style72"/>
        <w:keepNext w:val="0"/>
        <w:keepLines w:val="0"/>
        <w:framePr w:w="2381" w:h="235" w:wrap="none" w:vAnchor="text" w:hAnchor="page" w:x="7384" w:y="4470"/>
        <w:widowControl w:val="0"/>
        <w:shd w:val="clear" w:color="auto" w:fill="auto"/>
        <w:bidi w:val="0"/>
        <w:spacing w:before="0" w:after="0" w:line="240" w:lineRule="auto"/>
        <w:ind w:left="0" w:right="0" w:firstLine="0"/>
        <w:jc w:val="left"/>
      </w:pPr>
      <w:r>
        <w:rPr>
          <w:b w:val="0"/>
          <w:bCs w:val="0"/>
          <w:color w:val="000000"/>
          <w:spacing w:val="0"/>
          <w:w w:val="100"/>
          <w:position w:val="0"/>
        </w:rPr>
        <w:t>受同一母公司控制的其他企业</w:t>
      </w:r>
    </w:p>
    <w:p>
      <w:pPr>
        <w:pStyle w:val="Style72"/>
        <w:keepNext w:val="0"/>
        <w:keepLines w:val="0"/>
        <w:framePr w:w="2194" w:h="235" w:wrap="none" w:vAnchor="text" w:hAnchor="page" w:x="1111" w:y="4863"/>
        <w:widowControl w:val="0"/>
        <w:shd w:val="clear" w:color="auto" w:fill="auto"/>
        <w:bidi w:val="0"/>
        <w:spacing w:before="0" w:after="0" w:line="240" w:lineRule="auto"/>
        <w:ind w:left="0" w:right="0" w:firstLine="0"/>
        <w:jc w:val="left"/>
      </w:pPr>
      <w:r>
        <w:rPr>
          <w:b w:val="0"/>
          <w:bCs w:val="0"/>
          <w:color w:val="000000"/>
          <w:spacing w:val="0"/>
          <w:w w:val="100"/>
          <w:position w:val="0"/>
        </w:rPr>
        <w:t>北京同方物业管理有限公司</w:t>
      </w:r>
    </w:p>
    <w:p>
      <w:pPr>
        <w:pStyle w:val="Style72"/>
        <w:keepNext w:val="0"/>
        <w:keepLines w:val="0"/>
        <w:framePr w:w="2381" w:h="235" w:wrap="none" w:vAnchor="text" w:hAnchor="page" w:x="7384" w:y="4863"/>
        <w:widowControl w:val="0"/>
        <w:shd w:val="clear" w:color="auto" w:fill="auto"/>
        <w:bidi w:val="0"/>
        <w:spacing w:before="0" w:after="0" w:line="240" w:lineRule="auto"/>
        <w:ind w:left="0" w:right="0" w:firstLine="0"/>
        <w:jc w:val="center"/>
      </w:pPr>
      <w:r>
        <w:rPr>
          <w:b w:val="0"/>
          <w:bCs w:val="0"/>
          <w:color w:val="000000"/>
          <w:spacing w:val="0"/>
          <w:w w:val="100"/>
          <w:position w:val="0"/>
        </w:rPr>
        <w:t>受同一母公司控制的其他企业</w:t>
      </w:r>
    </w:p>
    <w:p>
      <w:pPr>
        <w:pStyle w:val="Style72"/>
        <w:keepNext w:val="0"/>
        <w:keepLines w:val="0"/>
        <w:framePr w:w="2554" w:h="235" w:wrap="none" w:vAnchor="text" w:hAnchor="page" w:x="1111" w:y="5257"/>
        <w:widowControl w:val="0"/>
        <w:shd w:val="clear" w:color="auto" w:fill="auto"/>
        <w:bidi w:val="0"/>
        <w:spacing w:before="0" w:after="0" w:line="240" w:lineRule="auto"/>
        <w:ind w:left="0" w:right="0" w:firstLine="0"/>
        <w:jc w:val="left"/>
      </w:pPr>
      <w:r>
        <w:rPr>
          <w:b w:val="0"/>
          <w:bCs w:val="0"/>
          <w:color w:val="000000"/>
          <w:spacing w:val="0"/>
          <w:w w:val="100"/>
          <w:position w:val="0"/>
        </w:rPr>
        <w:t>北京壹人壹本信息科技有限公司</w:t>
      </w:r>
    </w:p>
    <w:p>
      <w:pPr>
        <w:pStyle w:val="Style72"/>
        <w:keepNext w:val="0"/>
        <w:keepLines w:val="0"/>
        <w:framePr w:w="2381" w:h="226" w:wrap="none" w:vAnchor="text" w:hAnchor="page" w:x="7384" w:y="5257"/>
        <w:widowControl w:val="0"/>
        <w:shd w:val="clear" w:color="auto" w:fill="auto"/>
        <w:bidi w:val="0"/>
        <w:spacing w:before="0" w:after="0" w:line="240" w:lineRule="auto"/>
        <w:ind w:left="0" w:right="0" w:firstLine="0"/>
        <w:jc w:val="left"/>
      </w:pPr>
      <w:r>
        <w:rPr>
          <w:b w:val="0"/>
          <w:bCs w:val="0"/>
          <w:color w:val="000000"/>
          <w:spacing w:val="0"/>
          <w:w w:val="100"/>
          <w:position w:val="0"/>
        </w:rPr>
        <w:t>受同一母公司控制的其他企业</w:t>
      </w:r>
    </w:p>
    <w:p>
      <w:pPr>
        <w:pStyle w:val="Style72"/>
        <w:keepNext w:val="0"/>
        <w:keepLines w:val="0"/>
        <w:framePr w:w="2016" w:h="235" w:wrap="none" w:vAnchor="text" w:hAnchor="page" w:x="1106" w:y="5646"/>
        <w:widowControl w:val="0"/>
        <w:shd w:val="clear" w:color="auto" w:fill="auto"/>
        <w:bidi w:val="0"/>
        <w:spacing w:before="0" w:after="0" w:line="240" w:lineRule="auto"/>
        <w:ind w:left="0" w:right="0" w:firstLine="0"/>
        <w:jc w:val="left"/>
      </w:pPr>
      <w:r>
        <w:rPr>
          <w:b w:val="0"/>
          <w:bCs w:val="0"/>
          <w:color w:val="000000"/>
          <w:spacing w:val="0"/>
          <w:w w:val="100"/>
          <w:position w:val="0"/>
        </w:rPr>
        <w:t>深圳市国微科技有限公司</w:t>
      </w:r>
    </w:p>
    <w:p>
      <w:pPr>
        <w:pStyle w:val="Style72"/>
        <w:keepNext w:val="0"/>
        <w:keepLines w:val="0"/>
        <w:framePr w:w="2198" w:h="235" w:wrap="none" w:vAnchor="text" w:hAnchor="page" w:x="7475" w:y="5646"/>
        <w:widowControl w:val="0"/>
        <w:shd w:val="clear" w:color="auto" w:fill="auto"/>
        <w:bidi w:val="0"/>
        <w:spacing w:before="0" w:after="0" w:line="240" w:lineRule="auto"/>
        <w:ind w:left="0" w:right="0" w:firstLine="0"/>
        <w:jc w:val="left"/>
      </w:pPr>
      <w:r>
        <w:rPr>
          <w:b w:val="0"/>
          <w:bCs w:val="0"/>
          <w:color w:val="000000"/>
          <w:spacing w:val="0"/>
          <w:w w:val="100"/>
          <w:position w:val="0"/>
        </w:rPr>
        <w:t>关联自然人控制的其他企业</w:t>
      </w:r>
    </w:p>
    <w:p>
      <w:pPr>
        <w:pStyle w:val="Style72"/>
        <w:keepNext w:val="0"/>
        <w:keepLines w:val="0"/>
        <w:framePr w:w="1838" w:h="235" w:wrap="none" w:vAnchor="text" w:hAnchor="page" w:x="1106" w:y="6039"/>
        <w:widowControl w:val="0"/>
        <w:shd w:val="clear" w:color="auto" w:fill="auto"/>
        <w:bidi w:val="0"/>
        <w:spacing w:before="0" w:after="0" w:line="240" w:lineRule="auto"/>
        <w:ind w:left="0" w:right="0" w:firstLine="0"/>
        <w:jc w:val="left"/>
      </w:pPr>
      <w:r>
        <w:rPr>
          <w:b w:val="0"/>
          <w:bCs w:val="0"/>
          <w:color w:val="000000"/>
          <w:spacing w:val="0"/>
          <w:w w:val="100"/>
          <w:position w:val="0"/>
        </w:rPr>
        <w:t>唐山晶源投资有限公司</w:t>
      </w:r>
    </w:p>
    <w:p>
      <w:pPr>
        <w:pStyle w:val="Style72"/>
        <w:keepNext w:val="0"/>
        <w:keepLines w:val="0"/>
        <w:framePr w:w="2198" w:h="235" w:wrap="none" w:vAnchor="text" w:hAnchor="page" w:x="7475" w:y="6039"/>
        <w:widowControl w:val="0"/>
        <w:shd w:val="clear" w:color="auto" w:fill="auto"/>
        <w:bidi w:val="0"/>
        <w:spacing w:before="0" w:after="0" w:line="240" w:lineRule="auto"/>
        <w:ind w:left="0" w:right="0" w:firstLine="0"/>
        <w:jc w:val="center"/>
      </w:pPr>
      <w:r>
        <w:rPr>
          <w:b w:val="0"/>
          <w:bCs w:val="0"/>
          <w:color w:val="000000"/>
          <w:spacing w:val="0"/>
          <w:w w:val="100"/>
          <w:position w:val="0"/>
        </w:rPr>
        <w:t>关联自然人控制的其他企业</w:t>
      </w:r>
    </w:p>
    <w:p>
      <w:pPr>
        <w:pStyle w:val="Style44"/>
        <w:keepNext/>
        <w:keepLines/>
        <w:framePr w:w="1733" w:h="274" w:wrap="none" w:vAnchor="text" w:hAnchor="page" w:x="1523" w:y="6563"/>
        <w:widowControl w:val="0"/>
        <w:pBdr>
          <w:top w:val="single" w:sz="4" w:space="0" w:color="auto"/>
        </w:pBdr>
        <w:shd w:val="clear" w:color="auto" w:fill="auto"/>
        <w:bidi w:val="0"/>
        <w:spacing w:before="0" w:after="0" w:line="240" w:lineRule="auto"/>
        <w:ind w:left="0" w:right="0" w:firstLine="0"/>
        <w:jc w:val="left"/>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5</w:t>
      </w:r>
      <w:r>
        <w:rPr>
          <w:color w:val="000000"/>
          <w:spacing w:val="0"/>
          <w:w w:val="100"/>
          <w:position w:val="0"/>
        </w:rPr>
        <w:t>、关联交易情况</w:t>
      </w:r>
      <w:bookmarkEnd w:id="1021"/>
      <w:bookmarkEnd w:id="1022"/>
      <w:bookmarkEnd w:id="1023"/>
    </w:p>
    <w:p>
      <w:pPr>
        <w:pStyle w:val="Style44"/>
        <w:keepNext/>
        <w:keepLines/>
        <w:framePr w:w="2971" w:h="278" w:wrap="none" w:vAnchor="text" w:hAnchor="page" w:x="1634" w:y="7033"/>
        <w:widowControl w:val="0"/>
        <w:shd w:val="clear" w:color="auto" w:fill="auto"/>
        <w:bidi w:val="0"/>
        <w:spacing w:before="0" w:after="0" w:line="240" w:lineRule="auto"/>
        <w:ind w:left="0" w:right="0" w:firstLine="0"/>
        <w:jc w:val="left"/>
      </w:pPr>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r>
        <w:rPr>
          <w:color w:val="000000"/>
          <w:spacing w:val="0"/>
          <w:w w:val="100"/>
          <w:position w:val="0"/>
        </w:rPr>
        <w:t>）出售商品、提供劳务交易</w:t>
      </w:r>
      <w:bookmarkEnd w:id="1024"/>
      <w:bookmarkEnd w:id="1025"/>
      <w:bookmarkEnd w:id="1026"/>
    </w:p>
    <w:tbl>
      <w:tblPr>
        <w:tblOverlap w:val="never"/>
        <w:jc w:val="left"/>
        <w:tblLayout w:type="fixed"/>
      </w:tblPr>
      <w:tblGrid>
        <w:gridCol w:w="4550"/>
        <w:gridCol w:w="3274"/>
        <w:gridCol w:w="2107"/>
      </w:tblGrid>
      <w:tr>
        <w:trPr>
          <w:trHeight w:val="490" w:hRule="exact"/>
        </w:trPr>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280" w:right="0" w:firstLine="0"/>
              <w:jc w:val="left"/>
            </w:pPr>
            <w:r>
              <w:rPr>
                <w:b/>
                <w:bCs/>
                <w:color w:val="000000"/>
                <w:spacing w:val="0"/>
                <w:w w:val="100"/>
                <w:position w:val="0"/>
              </w:rPr>
              <w:t>本期关联销售金额</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pPr>
            <w:r>
              <w:rPr>
                <w:b/>
                <w:bCs/>
                <w:color w:val="000000"/>
                <w:spacing w:val="0"/>
                <w:w w:val="100"/>
                <w:position w:val="0"/>
              </w:rPr>
              <w:t>上期关联销售金额</w:t>
            </w:r>
          </w:p>
        </w:tc>
      </w:tr>
      <w:tr>
        <w:trPr>
          <w:trHeight w:val="451" w:hRule="exact"/>
        </w:trPr>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pPr>
            <w:r>
              <w:rPr>
                <w:color w:val="000000"/>
                <w:spacing w:val="0"/>
                <w:w w:val="100"/>
                <w:position w:val="0"/>
              </w:rPr>
              <w:t>清华大学</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341.88</w:t>
            </w:r>
          </w:p>
        </w:tc>
        <w:tc>
          <w:tcPr>
            <w:tcBorders>
              <w:top w:val="single" w:sz="4"/>
            </w:tcBorders>
            <w:shd w:val="clear" w:color="auto" w:fill="FFFFFF"/>
            <w:vAlign w:val="top"/>
          </w:tcPr>
          <w:p>
            <w:pPr>
              <w:framePr w:w="9931" w:h="5750" w:wrap="none" w:vAnchor="text" w:hAnchor="page" w:x="971" w:y="7470"/>
              <w:widowControl w:val="0"/>
              <w:rPr>
                <w:sz w:val="10"/>
                <w:szCs w:val="10"/>
              </w:rPr>
            </w:pPr>
          </w:p>
        </w:tc>
      </w:tr>
      <w:tr>
        <w:trPr>
          <w:trHeight w:val="456"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同方股份有限公司</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6,303,651.80</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w:t>
            </w:r>
          </w:p>
        </w:tc>
      </w:tr>
      <w:tr>
        <w:trPr>
          <w:trHeight w:val="456"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山东同方鲁颖电子有限公司</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560,064.10</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687,158.63</w:t>
            </w:r>
          </w:p>
        </w:tc>
      </w:tr>
      <w:tr>
        <w:trPr>
          <w:trHeight w:val="451"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同方锐安科技有限公司</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2,471,360.85</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2,860,673.00</w:t>
            </w:r>
          </w:p>
        </w:tc>
      </w:tr>
      <w:tr>
        <w:trPr>
          <w:trHeight w:val="451"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北京同方吉兆科技有限公司</w:t>
            </w:r>
          </w:p>
        </w:tc>
        <w:tc>
          <w:tcPr>
            <w:tcBorders/>
            <w:shd w:val="clear" w:color="auto" w:fill="FFFFFF"/>
            <w:vAlign w:val="top"/>
          </w:tcPr>
          <w:p>
            <w:pPr>
              <w:framePr w:w="9931" w:h="5750" w:wrap="none" w:vAnchor="text" w:hAnchor="page" w:x="971" w:y="7470"/>
              <w:widowControl w:val="0"/>
              <w:rPr>
                <w:sz w:val="10"/>
                <w:szCs w:val="10"/>
              </w:rPr>
            </w:pP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478.63</w:t>
            </w:r>
          </w:p>
        </w:tc>
      </w:tr>
      <w:tr>
        <w:trPr>
          <w:trHeight w:val="461"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同方光电（香港）有限公司</w:t>
            </w:r>
          </w:p>
        </w:tc>
        <w:tc>
          <w:tcPr>
            <w:tcBorders/>
            <w:shd w:val="clear" w:color="auto" w:fill="FFFFFF"/>
            <w:vAlign w:val="top"/>
          </w:tcPr>
          <w:p>
            <w:pPr>
              <w:framePr w:w="9931" w:h="5750" w:wrap="none" w:vAnchor="text" w:hAnchor="page" w:x="971" w:y="7470"/>
              <w:widowControl w:val="0"/>
              <w:rPr>
                <w:sz w:val="10"/>
                <w:szCs w:val="10"/>
              </w:rPr>
            </w:pP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101,160.80</w:t>
            </w:r>
          </w:p>
        </w:tc>
      </w:tr>
      <w:tr>
        <w:trPr>
          <w:trHeight w:val="466" w:hRule="exact"/>
        </w:trPr>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深圳市国微科技有限公司</w:t>
            </w:r>
          </w:p>
        </w:tc>
        <w:tc>
          <w:tcPr>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3,036,000.00</w:t>
            </w:r>
          </w:p>
        </w:tc>
        <w:tc>
          <w:tcPr>
            <w:tcBorders/>
            <w:shd w:val="clear" w:color="auto" w:fill="FFFFFF"/>
            <w:vAlign w:val="top"/>
          </w:tcPr>
          <w:p>
            <w:pPr>
              <w:framePr w:w="9931" w:h="5750" w:wrap="none" w:vAnchor="text" w:hAnchor="page" w:x="971" w:y="7470"/>
              <w:widowControl w:val="0"/>
              <w:rPr>
                <w:sz w:val="10"/>
                <w:szCs w:val="10"/>
              </w:rPr>
            </w:pPr>
          </w:p>
        </w:tc>
      </w:tr>
      <w:tr>
        <w:trPr>
          <w:trHeight w:val="653" w:hRule="exact"/>
        </w:trPr>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tabs>
                <w:tab w:pos="1174" w:val="left"/>
              </w:tabs>
              <w:bidi w:val="0"/>
              <w:spacing w:before="0" w:after="0" w:line="240" w:lineRule="auto"/>
              <w:ind w:left="0" w:right="0" w:firstLine="5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购买商品、接受劳务交易</w:t>
            </w:r>
          </w:p>
        </w:tc>
        <w:tc>
          <w:tcPr>
            <w:gridSpan w:val="2"/>
            <w:tcBorders>
              <w:top w:val="single" w:sz="4"/>
            </w:tcBorders>
            <w:shd w:val="clear" w:color="auto" w:fill="FFFFFF"/>
            <w:vAlign w:val="top"/>
          </w:tcPr>
          <w:p>
            <w:pPr>
              <w:framePr w:w="9931" w:h="5750" w:wrap="none" w:vAnchor="text" w:hAnchor="page" w:x="971" w:y="7470"/>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pPr>
            <w:r>
              <w:rPr>
                <w:b/>
                <w:bCs/>
                <w:color w:val="000000"/>
                <w:spacing w:val="0"/>
                <w:w w:val="100"/>
                <w:position w:val="0"/>
              </w:rPr>
              <w:t>关联方</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280" w:right="0" w:firstLine="0"/>
              <w:jc w:val="left"/>
            </w:pPr>
            <w:r>
              <w:rPr>
                <w:b/>
                <w:bCs/>
                <w:color w:val="000000"/>
                <w:spacing w:val="0"/>
                <w:w w:val="100"/>
                <w:position w:val="0"/>
              </w:rPr>
              <w:t>本期关联购买金额</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0"/>
              <w:jc w:val="right"/>
            </w:pPr>
            <w:r>
              <w:rPr>
                <w:b/>
                <w:bCs/>
                <w:color w:val="000000"/>
                <w:spacing w:val="0"/>
                <w:w w:val="100"/>
                <w:position w:val="0"/>
              </w:rPr>
              <w:t>上期关联购买金额</w:t>
            </w:r>
          </w:p>
        </w:tc>
      </w:tr>
      <w:tr>
        <w:trPr>
          <w:trHeight w:val="456" w:hRule="exact"/>
        </w:trPr>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北京同方物业管理有限公司</w:t>
            </w:r>
          </w:p>
        </w:tc>
        <w:tc>
          <w:tcPr>
            <w:tcBorders>
              <w:top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588,848.58</w:t>
            </w:r>
          </w:p>
        </w:tc>
        <w:tc>
          <w:tcPr>
            <w:tcBorders>
              <w:top w:val="single" w:sz="4"/>
            </w:tcBorders>
            <w:shd w:val="clear" w:color="auto" w:fill="FFFFFF"/>
            <w:vAlign w:val="top"/>
          </w:tcPr>
          <w:p>
            <w:pPr>
              <w:framePr w:w="9931" w:h="5750" w:wrap="none" w:vAnchor="text" w:hAnchor="page" w:x="971" w:y="7470"/>
              <w:widowControl w:val="0"/>
              <w:rPr>
                <w:sz w:val="10"/>
                <w:szCs w:val="10"/>
              </w:rPr>
            </w:pPr>
          </w:p>
        </w:tc>
      </w:tr>
      <w:tr>
        <w:trPr>
          <w:trHeight w:val="485" w:hRule="exact"/>
        </w:trPr>
        <w:tc>
          <w:tcPr>
            <w:tcBorders>
              <w:bottom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同方锐安科技有限公司</w:t>
            </w:r>
          </w:p>
        </w:tc>
        <w:tc>
          <w:tcPr>
            <w:tcBorders>
              <w:bottom w:val="single" w:sz="4"/>
            </w:tcBorders>
            <w:shd w:val="clear" w:color="auto" w:fill="FFFFFF"/>
            <w:vAlign w:val="center"/>
          </w:tcPr>
          <w:p>
            <w:pPr>
              <w:pStyle w:val="Style2"/>
              <w:keepNext w:val="0"/>
              <w:keepLines w:val="0"/>
              <w:framePr w:w="9931" w:h="5750" w:wrap="none" w:vAnchor="text" w:hAnchor="page" w:x="971" w:y="747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4,487.18</w:t>
            </w:r>
          </w:p>
        </w:tc>
        <w:tc>
          <w:tcPr>
            <w:tcBorders>
              <w:bottom w:val="single" w:sz="4"/>
            </w:tcBorders>
            <w:shd w:val="clear" w:color="auto" w:fill="FFFFFF"/>
            <w:vAlign w:val="top"/>
          </w:tcPr>
          <w:p>
            <w:pPr>
              <w:framePr w:w="9931" w:h="5750" w:wrap="none" w:vAnchor="text" w:hAnchor="page" w:x="971" w:y="7470"/>
              <w:widowControl w:val="0"/>
              <w:rPr>
                <w:sz w:val="10"/>
                <w:szCs w:val="10"/>
              </w:rPr>
            </w:pPr>
          </w:p>
        </w:tc>
      </w:tr>
    </w:tbl>
    <w:p>
      <w:pPr>
        <w:framePr w:w="9931" w:h="5750" w:wrap="none" w:vAnchor="text" w:hAnchor="page" w:x="971" w:y="7470"/>
        <w:widowControl w:val="0"/>
        <w:spacing w:line="1" w:lineRule="exact"/>
      </w:pPr>
    </w:p>
    <w:p>
      <w:pPr>
        <w:pStyle w:val="Style44"/>
        <w:keepNext/>
        <w:keepLines/>
        <w:framePr w:w="1512" w:h="269" w:wrap="none" w:vAnchor="text" w:hAnchor="page" w:x="1619" w:y="13403"/>
        <w:widowControl w:val="0"/>
        <w:shd w:val="clear" w:color="auto" w:fill="auto"/>
        <w:bidi w:val="0"/>
        <w:spacing w:before="0" w:after="0" w:line="240" w:lineRule="auto"/>
        <w:ind w:left="0" w:right="0" w:firstLine="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color w:val="000000"/>
          <w:spacing w:val="0"/>
          <w:w w:val="100"/>
          <w:position w:val="0"/>
        </w:rPr>
        <w:t>关联租赁</w:t>
      </w:r>
      <w:bookmarkEnd w:id="1027"/>
      <w:bookmarkEnd w:id="1028"/>
      <w:bookmarkEnd w:id="1029"/>
    </w:p>
    <w:p>
      <w:pPr>
        <w:widowControl w:val="0"/>
        <w:spacing w:line="360" w:lineRule="exact"/>
      </w:pPr>
      <w:r>
        <w:drawing>
          <wp:anchor distT="0" distB="0" distL="0" distR="0" simplePos="0" relativeHeight="62915256" behindDoc="1" locked="0" layoutInCell="1" allowOverlap="1">
            <wp:simplePos x="0" y="0"/>
            <wp:positionH relativeFrom="page">
              <wp:posOffset>5822315</wp:posOffset>
            </wp:positionH>
            <wp:positionV relativeFrom="paragraph">
              <wp:posOffset>8763000</wp:posOffset>
            </wp:positionV>
            <wp:extent cx="1737360" cy="999490"/>
            <wp:wrapNone/>
            <wp:docPr id="721" name="Shape 721"/>
            <a:graphic xmlns:a="http://schemas.openxmlformats.org/drawingml/2006/main">
              <a:graphicData uri="http://schemas.openxmlformats.org/drawingml/2006/picture">
                <pic:pic xmlns:pic="http://schemas.openxmlformats.org/drawingml/2006/picture">
                  <pic:nvPicPr>
                    <pic:cNvPr id="722" name="Picture box 722"/>
                    <pic:cNvPicPr/>
                  </pic:nvPicPr>
                  <pic:blipFill>
                    <a:blip r:embed="rId241"/>
                    <a:stretch/>
                  </pic:blipFill>
                  <pic:spPr>
                    <a:xfrm>
                      <a:ext cx="1737360" cy="999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1900" w:h="16840"/>
          <w:pgMar w:top="1152" w:right="0" w:bottom="1158" w:left="970" w:header="0" w:footer="3" w:gutter="0"/>
          <w:cols w:space="720"/>
          <w:noEndnote/>
          <w:rtlGutter w:val="0"/>
          <w:docGrid w:linePitch="360"/>
        </w:sectPr>
      </w:pPr>
    </w:p>
    <w:tbl>
      <w:tblPr>
        <w:tblOverlap w:val="never"/>
        <w:jc w:val="center"/>
        <w:tblLayout w:type="fixed"/>
      </w:tblPr>
      <w:tblGrid>
        <w:gridCol w:w="2530"/>
        <w:gridCol w:w="2510"/>
        <w:gridCol w:w="1958"/>
        <w:gridCol w:w="2621"/>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交易内容</w:t>
            </w:r>
          </w:p>
        </w:tc>
        <w:tc>
          <w:tcPr>
            <w:tcBorders>
              <w:top w:val="single" w:sz="4"/>
            </w:tcBorders>
            <w:shd w:val="clear" w:color="auto" w:fill="FFFFFF"/>
            <w:vAlign w:val="center"/>
          </w:tcPr>
          <w:p>
            <w:pPr>
              <w:pStyle w:val="Style2"/>
              <w:keepNext w:val="0"/>
              <w:keepLines w:val="0"/>
              <w:widowControl w:val="0"/>
              <w:shd w:val="clear" w:color="auto" w:fill="auto"/>
              <w:tabs>
                <w:tab w:pos="1622" w:val="left"/>
              </w:tabs>
              <w:bidi w:val="0"/>
              <w:spacing w:before="0" w:after="0" w:line="240" w:lineRule="auto"/>
              <w:ind w:left="0" w:right="0" w:firstLine="360"/>
              <w:jc w:val="left"/>
            </w:pPr>
            <w:r>
              <w:rPr>
                <w:b/>
                <w:bCs/>
                <w:color w:val="000000"/>
                <w:spacing w:val="0"/>
                <w:w w:val="100"/>
                <w:position w:val="0"/>
              </w:rPr>
              <w:t>本期金额</w:t>
              <w:tab/>
              <w:t>上期金额</w:t>
            </w:r>
          </w:p>
        </w:tc>
      </w:tr>
      <w:tr>
        <w:trPr>
          <w:trHeight w:val="3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深圳市国微科技有限公司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深圳市国微电子有限公司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租赁办公区租金等</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4,454,170.10</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同方股份有限公司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同方国芯电子股份有限公司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1,166,772.56</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同方股份有限公司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北京同方微电子有限公司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1,166,772.56</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北京同方物业管理有限公司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同方国芯电子股份有限公司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会场租赁费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4,400.00</w:t>
            </w: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唐山晶源投资有限公司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唐山晶源电子有限公司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厂房租赁费</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336,400.00</w:t>
            </w:r>
          </w:p>
        </w:tc>
      </w:tr>
    </w:tbl>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45"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、关联方应收应付款项</w:t>
      </w:r>
    </w:p>
    <w:tbl>
      <w:tblPr>
        <w:tblOverlap w:val="never"/>
        <w:jc w:val="center"/>
        <w:tblLayout w:type="fixed"/>
      </w:tblPr>
      <w:tblGrid>
        <w:gridCol w:w="2112"/>
        <w:gridCol w:w="3629"/>
        <w:gridCol w:w="1954"/>
        <w:gridCol w:w="1622"/>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项目名称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同方锐安科技有限公司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794,000.00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应收票据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山东同方鲁颖电子有限公司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155,892.01</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同方股份有限公司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1,642,982.60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山东同方鲁颖电子有限公司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135,612.99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510,160.00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同方光电（香港）有限公司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50,284.00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同方锐安科技有限公司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2,896,328.20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3,233,254.20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北京同方吉兆科技有限公司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预付款项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北京同方物业管理有限公司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165,883.76</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预付款项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同方股份有限公司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923,800.40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预付款项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同方锐安科技有限公司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13,300.00</w:t>
            </w:r>
          </w:p>
        </w:tc>
        <w:tc>
          <w:tcPr>
            <w:tcBorders/>
            <w:shd w:val="clear" w:color="auto" w:fill="FFFFFF"/>
            <w:vAlign w:val="top"/>
          </w:tcPr>
          <w:p>
            <w:pPr>
              <w:widowControl w:val="0"/>
              <w:rPr>
                <w:sz w:val="10"/>
                <w:szCs w:val="10"/>
              </w:rPr>
            </w:pPr>
          </w:p>
        </w:tc>
      </w:tr>
      <w:tr>
        <w:trPr>
          <w:trHeight w:val="43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预付款项</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北京壹人壹本信息科技有限公司</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九</w:t>
      </w:r>
      <w:bookmarkEnd w:id="1032"/>
      <w:r>
        <w:rPr>
          <w:color w:val="000000"/>
          <w:spacing w:val="0"/>
          <w:w w:val="100"/>
          <w:position w:val="0"/>
        </w:rPr>
        <w:t>、或有事项</w:t>
      </w:r>
      <w:bookmarkEnd w:id="1030"/>
      <w:bookmarkEnd w:id="1031"/>
      <w:bookmarkEnd w:id="1033"/>
    </w:p>
    <w:p>
      <w:pPr>
        <w:pStyle w:val="Style35"/>
        <w:keepNext w:val="0"/>
        <w:keepLines w:val="0"/>
        <w:widowControl w:val="0"/>
        <w:shd w:val="clear" w:color="auto" w:fill="auto"/>
        <w:bidi w:val="0"/>
        <w:spacing w:before="0" w:after="300" w:line="311" w:lineRule="exact"/>
        <w:ind w:left="0" w:right="0" w:firstLine="460"/>
        <w:jc w:val="both"/>
        <w:rPr>
          <w:sz w:val="20"/>
          <w:szCs w:val="20"/>
        </w:rPr>
      </w:pPr>
      <w:r>
        <w:rPr>
          <w:color w:val="000000"/>
          <w:spacing w:val="0"/>
          <w:w w:val="100"/>
          <w:position w:val="0"/>
          <w:sz w:val="20"/>
          <w:szCs w:val="20"/>
        </w:rPr>
        <w:t>截至报告日，本公司无需要披露的重大或有事项。</w:t>
      </w:r>
    </w:p>
    <w:p>
      <w:pPr>
        <w:pStyle w:val="Style23"/>
        <w:keepNext/>
        <w:keepLines/>
        <w:widowControl w:val="0"/>
        <w:shd w:val="clear" w:color="auto" w:fill="auto"/>
        <w:bidi w:val="0"/>
        <w:spacing w:before="0" w:after="300" w:line="240" w:lineRule="auto"/>
        <w:ind w:left="0" w:right="0" w:firstLine="0"/>
        <w:jc w:val="both"/>
      </w:pPr>
      <w:bookmarkStart w:id="1034" w:name="bookmark1034"/>
      <w:bookmarkStart w:id="1035" w:name="bookmark1035"/>
      <w:bookmarkStart w:id="1036" w:name="bookmark1036"/>
      <w:r>
        <w:rPr>
          <w:color w:val="000000"/>
          <w:spacing w:val="0"/>
          <w:w w:val="100"/>
          <w:position w:val="0"/>
        </w:rPr>
        <w:t>十、承诺事项</w:t>
      </w:r>
      <w:bookmarkEnd w:id="1034"/>
      <w:bookmarkEnd w:id="1035"/>
      <w:bookmarkEnd w:id="1036"/>
    </w:p>
    <w:p>
      <w:pPr>
        <w:pStyle w:val="Style35"/>
        <w:keepNext w:val="0"/>
        <w:keepLines w:val="0"/>
        <w:widowControl w:val="0"/>
        <w:shd w:val="clear" w:color="auto" w:fill="auto"/>
        <w:bidi w:val="0"/>
        <w:spacing w:before="0" w:after="360" w:line="311" w:lineRule="exact"/>
        <w:ind w:left="0" w:right="0" w:firstLine="460"/>
        <w:jc w:val="both"/>
        <w:rPr>
          <w:sz w:val="20"/>
          <w:szCs w:val="20"/>
        </w:rPr>
      </w:pPr>
      <w:r>
        <w:rPr>
          <w:color w:val="000000"/>
          <w:spacing w:val="0"/>
          <w:w w:val="100"/>
          <w:position w:val="0"/>
          <w:sz w:val="20"/>
          <w:szCs w:val="20"/>
        </w:rPr>
        <w:t>截至报告日，本公司无需要披露的重大承诺事项。</w:t>
      </w:r>
    </w:p>
    <w:p>
      <w:pPr>
        <w:pStyle w:val="Style23"/>
        <w:keepNext/>
        <w:keepLines/>
        <w:widowControl w:val="0"/>
        <w:shd w:val="clear" w:color="auto" w:fill="auto"/>
        <w:bidi w:val="0"/>
        <w:spacing w:before="0" w:after="300" w:line="240" w:lineRule="auto"/>
        <w:ind w:left="0" w:right="0" w:firstLine="0"/>
        <w:jc w:val="both"/>
      </w:pPr>
      <w:bookmarkStart w:id="1037" w:name="bookmark1037"/>
      <w:bookmarkStart w:id="1038" w:name="bookmark1038"/>
      <w:bookmarkStart w:id="1039" w:name="bookmark1039"/>
      <w:r>
        <w:rPr>
          <w:color w:val="000000"/>
          <w:spacing w:val="0"/>
          <w:w w:val="100"/>
          <w:position w:val="0"/>
        </w:rPr>
        <w:t>十^一、资产负债表日后事项</w:t>
      </w:r>
      <w:bookmarkEnd w:id="1037"/>
      <w:bookmarkEnd w:id="1038"/>
      <w:bookmarkEnd w:id="1039"/>
    </w:p>
    <w:p>
      <w:pPr>
        <w:pStyle w:val="Style35"/>
        <w:keepNext w:val="0"/>
        <w:keepLines w:val="0"/>
        <w:widowControl w:val="0"/>
        <w:shd w:val="clear" w:color="auto" w:fill="auto"/>
        <w:bidi w:val="0"/>
        <w:spacing w:before="0" w:after="360" w:line="311" w:lineRule="exact"/>
        <w:ind w:left="0" w:right="0" w:firstLine="460"/>
        <w:jc w:val="both"/>
        <w:rPr>
          <w:sz w:val="20"/>
          <w:szCs w:val="20"/>
        </w:rPr>
      </w:pPr>
      <w:r>
        <w:rPr>
          <w:color w:val="000000"/>
          <w:spacing w:val="0"/>
          <w:w w:val="100"/>
          <w:position w:val="0"/>
          <w:sz w:val="20"/>
          <w:szCs w:val="20"/>
        </w:rPr>
        <w:t>资产负债表日后事项根据公司第五届董事会第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次会议通过的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年度利润分配及资本公积转增股 本预案：以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年末股本</w:t>
      </w:r>
      <w:r>
        <w:rPr>
          <w:rFonts w:ascii="Times New Roman" w:eastAsia="Times New Roman" w:hAnsi="Times New Roman" w:cs="Times New Roman"/>
          <w:color w:val="000000"/>
          <w:spacing w:val="0"/>
          <w:w w:val="100"/>
          <w:position w:val="0"/>
          <w:sz w:val="20"/>
          <w:szCs w:val="20"/>
        </w:rPr>
        <w:t>303,408,984</w:t>
      </w:r>
      <w:r>
        <w:rPr>
          <w:color w:val="000000"/>
          <w:spacing w:val="0"/>
          <w:w w:val="100"/>
          <w:position w:val="0"/>
          <w:sz w:val="20"/>
          <w:szCs w:val="20"/>
        </w:rPr>
        <w:t>股为基数，向全体股东按每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元（含税）的比 例发放现金股利</w:t>
      </w:r>
      <w:r>
        <w:rPr>
          <w:rFonts w:ascii="Times New Roman" w:eastAsia="Times New Roman" w:hAnsi="Times New Roman" w:cs="Times New Roman"/>
          <w:color w:val="000000"/>
          <w:spacing w:val="0"/>
          <w:w w:val="100"/>
          <w:position w:val="0"/>
          <w:sz w:val="20"/>
          <w:szCs w:val="20"/>
        </w:rPr>
        <w:t>30,340,898.40</w:t>
      </w:r>
      <w:r>
        <w:rPr>
          <w:color w:val="000000"/>
          <w:spacing w:val="0"/>
          <w:w w:val="100"/>
          <w:position w:val="0"/>
          <w:sz w:val="20"/>
          <w:szCs w:val="20"/>
        </w:rPr>
        <w:t>元，此项拟分配的股利包含在期末未分配利润中；以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 xml:space="preserve">年末股本 </w:t>
      </w:r>
      <w:r>
        <w:rPr>
          <w:rFonts w:ascii="Times New Roman" w:eastAsia="Times New Roman" w:hAnsi="Times New Roman" w:cs="Times New Roman"/>
          <w:color w:val="000000"/>
          <w:spacing w:val="0"/>
          <w:w w:val="100"/>
          <w:position w:val="0"/>
          <w:sz w:val="20"/>
          <w:szCs w:val="20"/>
        </w:rPr>
        <w:t>303,408,984</w:t>
      </w:r>
      <w:r>
        <w:rPr>
          <w:color w:val="000000"/>
          <w:spacing w:val="0"/>
          <w:w w:val="100"/>
          <w:position w:val="0"/>
          <w:sz w:val="20"/>
          <w:szCs w:val="20"/>
        </w:rPr>
        <w:t>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股，合计转增股本</w:t>
      </w:r>
      <w:r>
        <w:rPr>
          <w:rFonts w:ascii="Times New Roman" w:eastAsia="Times New Roman" w:hAnsi="Times New Roman" w:cs="Times New Roman"/>
          <w:color w:val="000000"/>
          <w:spacing w:val="0"/>
          <w:w w:val="100"/>
          <w:position w:val="0"/>
          <w:sz w:val="20"/>
          <w:szCs w:val="20"/>
        </w:rPr>
        <w:t>303,408,984</w:t>
      </w:r>
      <w:r>
        <w:rPr>
          <w:color w:val="000000"/>
          <w:spacing w:val="0"/>
          <w:w w:val="100"/>
          <w:position w:val="0"/>
          <w:sz w:val="20"/>
          <w:szCs w:val="20"/>
        </w:rPr>
        <w:t>股，转增 后，公司总股本增加至</w:t>
      </w:r>
      <w:r>
        <w:rPr>
          <w:rFonts w:ascii="Times New Roman" w:eastAsia="Times New Roman" w:hAnsi="Times New Roman" w:cs="Times New Roman"/>
          <w:color w:val="000000"/>
          <w:spacing w:val="0"/>
          <w:w w:val="100"/>
          <w:position w:val="0"/>
          <w:sz w:val="20"/>
          <w:szCs w:val="20"/>
        </w:rPr>
        <w:t>606,817,968</w:t>
      </w:r>
      <w:r>
        <w:rPr>
          <w:color w:val="000000"/>
          <w:spacing w:val="0"/>
          <w:w w:val="100"/>
          <w:position w:val="0"/>
          <w:sz w:val="20"/>
          <w:szCs w:val="20"/>
        </w:rPr>
        <w:t>股。</w:t>
      </w:r>
    </w:p>
    <w:p>
      <w:pPr>
        <w:pStyle w:val="Style23"/>
        <w:keepNext/>
        <w:keepLines/>
        <w:widowControl w:val="0"/>
        <w:shd w:val="clear" w:color="auto" w:fill="auto"/>
        <w:bidi w:val="0"/>
        <w:spacing w:before="0" w:after="360" w:line="240" w:lineRule="auto"/>
        <w:ind w:left="0" w:right="0" w:firstLine="0"/>
        <w:jc w:val="both"/>
      </w:pPr>
      <w:bookmarkStart w:id="1040" w:name="bookmark1040"/>
      <w:bookmarkStart w:id="1041" w:name="bookmark1041"/>
      <w:bookmarkStart w:id="1042" w:name="bookmark1042"/>
      <w:r>
        <w:rPr>
          <w:color w:val="000000"/>
          <w:spacing w:val="0"/>
          <w:w w:val="100"/>
          <w:position w:val="0"/>
        </w:rPr>
        <w:t>十二、其他重要事项</w:t>
      </w:r>
      <w:bookmarkEnd w:id="1040"/>
      <w:bookmarkEnd w:id="1041"/>
      <w:bookmarkEnd w:id="1042"/>
    </w:p>
    <w:p>
      <w:pPr>
        <w:pStyle w:val="Style35"/>
        <w:keepNext w:val="0"/>
        <w:keepLines w:val="0"/>
        <w:widowControl w:val="0"/>
        <w:shd w:val="clear" w:color="auto" w:fill="auto"/>
        <w:bidi w:val="0"/>
        <w:spacing w:before="0" w:after="300" w:line="240" w:lineRule="auto"/>
        <w:ind w:left="0" w:right="0" w:firstLine="460"/>
        <w:jc w:val="both"/>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441" w:right="1090" w:bottom="1441" w:left="1080" w:header="0" w:footer="3" w:gutter="0"/>
          <w:cols w:space="720"/>
          <w:noEndnote/>
          <w:rtlGutter w:val="0"/>
          <w:docGrid w:linePitch="360"/>
        </w:sectPr>
      </w:pPr>
      <w:r>
        <w:rPr>
          <w:color w:val="000000"/>
          <w:spacing w:val="0"/>
          <w:w w:val="100"/>
          <w:position w:val="0"/>
        </w:rPr>
        <w:t>无。</w:t>
      </w:r>
    </w:p>
    <w:p>
      <w:pPr>
        <w:pStyle w:val="Style23"/>
        <w:keepNext/>
        <w:keepLines/>
        <w:widowControl w:val="0"/>
        <w:shd w:val="clear" w:color="auto" w:fill="auto"/>
        <w:bidi w:val="0"/>
        <w:spacing w:before="0" w:after="300" w:line="240" w:lineRule="auto"/>
        <w:ind w:left="0" w:right="0" w:firstLine="140"/>
        <w:jc w:val="left"/>
      </w:pPr>
      <w:bookmarkStart w:id="1043" w:name="bookmark1043"/>
      <w:bookmarkStart w:id="1044" w:name="bookmark1044"/>
      <w:bookmarkStart w:id="1045" w:name="bookmark1045"/>
      <w:r>
        <w:rPr>
          <w:color w:val="000000"/>
          <w:spacing w:val="0"/>
          <w:w w:val="100"/>
          <w:position w:val="0"/>
        </w:rPr>
        <w:t>十三、母公司财务报表主要项目注释</w:t>
      </w:r>
      <w:bookmarkEnd w:id="1043"/>
      <w:bookmarkEnd w:id="1044"/>
      <w:bookmarkEnd w:id="1045"/>
    </w:p>
    <w:p>
      <w:pPr>
        <w:pStyle w:val="Style44"/>
        <w:keepNext/>
        <w:keepLines/>
        <w:widowControl w:val="0"/>
        <w:shd w:val="clear" w:color="auto" w:fill="auto"/>
        <w:bidi w:val="0"/>
        <w:spacing w:before="0" w:after="360" w:line="312" w:lineRule="exact"/>
        <w:ind w:left="140" w:right="0" w:firstLine="420"/>
        <w:jc w:val="left"/>
      </w:pPr>
      <w:bookmarkStart w:id="1046" w:name="bookmark1046"/>
      <w:bookmarkStart w:id="1047" w:name="bookmark1047"/>
      <w:bookmarkStart w:id="1048" w:name="bookmark1048"/>
      <w:r>
        <w:rPr>
          <w:color w:val="000000"/>
          <w:spacing w:val="0"/>
          <w:w w:val="100"/>
          <w:position w:val="0"/>
        </w:rPr>
        <w:t>(以下附注未经特别注明，期末余额指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日账面余额，期初余额指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日账面余额，本期金额指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月，上期金额指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月，金额单位为人民币元)</w:t>
      </w:r>
      <w:bookmarkEnd w:id="1046"/>
      <w:bookmarkEnd w:id="1047"/>
      <w:bookmarkEnd w:id="1048"/>
    </w:p>
    <w:p>
      <w:pPr>
        <w:pStyle w:val="Style44"/>
        <w:keepNext/>
        <w:keepLines/>
        <w:widowControl w:val="0"/>
        <w:shd w:val="clear" w:color="auto" w:fill="auto"/>
        <w:bidi w:val="0"/>
        <w:spacing w:before="0" w:after="260" w:line="326" w:lineRule="auto"/>
        <w:ind w:left="0" w:right="0" w:firstLine="56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49"/>
      <w:bookmarkEnd w:id="1050"/>
      <w:bookmarkEnd w:id="1051"/>
    </w:p>
    <w:p>
      <w:pPr>
        <w:pStyle w:val="Style55"/>
        <w:keepNext/>
        <w:keepLines/>
        <w:widowControl w:val="0"/>
        <w:shd w:val="clear" w:color="auto" w:fill="auto"/>
        <w:bidi w:val="0"/>
        <w:spacing w:before="0" w:after="440" w:line="240" w:lineRule="auto"/>
        <w:ind w:left="0" w:right="0" w:firstLine="68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52"/>
      <w:bookmarkEnd w:id="1053"/>
      <w:bookmarkEnd w:id="1054"/>
    </w:p>
    <w:tbl>
      <w:tblPr>
        <w:tblOverlap w:val="never"/>
        <w:jc w:val="left"/>
        <w:tblLayout w:type="fixed"/>
      </w:tblPr>
      <w:tblGrid>
        <w:gridCol w:w="883"/>
        <w:gridCol w:w="7858"/>
      </w:tblGrid>
      <w:tr>
        <w:trPr>
          <w:trHeight w:val="984" w:hRule="exact"/>
        </w:trPr>
        <w:tc>
          <w:tcPr>
            <w:tcBorders>
              <w:bottom w:val="single" w:sz="4"/>
            </w:tcBorders>
            <w:shd w:val="clear" w:color="auto" w:fill="FFFFFF"/>
            <w:vAlign w:val="top"/>
          </w:tcPr>
          <w:p>
            <w:pPr>
              <w:pStyle w:val="Style2"/>
              <w:keepNext w:val="0"/>
              <w:keepLines w:val="0"/>
              <w:framePr w:w="8741" w:h="984" w:vSpace="456" w:wrap="notBeside" w:vAnchor="text" w:hAnchor="text" w:x="596" w:y="457"/>
              <w:widowControl w:val="0"/>
              <w:shd w:val="clear" w:color="auto" w:fill="auto"/>
              <w:bidi w:val="0"/>
              <w:spacing w:before="140" w:after="0" w:line="240" w:lineRule="auto"/>
              <w:ind w:left="0" w:right="0" w:firstLine="0"/>
              <w:jc w:val="left"/>
            </w:pPr>
            <w:r>
              <w:rPr>
                <w:b/>
                <w:bCs/>
                <w:color w:val="000000"/>
                <w:spacing w:val="0"/>
                <w:w w:val="100"/>
                <w:position w:val="0"/>
              </w:rPr>
              <w:t>种类</w:t>
            </w:r>
          </w:p>
        </w:tc>
        <w:tc>
          <w:tcPr>
            <w:tcBorders>
              <w:bottom w:val="single" w:sz="4"/>
            </w:tcBorders>
            <w:shd w:val="clear" w:color="auto" w:fill="FFFFFF"/>
            <w:vAlign w:val="top"/>
          </w:tcPr>
          <w:p>
            <w:pPr>
              <w:pStyle w:val="Style2"/>
              <w:keepNext w:val="0"/>
              <w:keepLines w:val="0"/>
              <w:framePr w:w="8741" w:h="984" w:vSpace="456" w:wrap="notBeside" w:vAnchor="text" w:hAnchor="text" w:x="596" w:y="457"/>
              <w:widowControl w:val="0"/>
              <w:shd w:val="clear" w:color="auto" w:fill="auto"/>
              <w:tabs>
                <w:tab w:pos="2642" w:val="left"/>
                <w:tab w:pos="4625" w:val="left"/>
                <w:tab w:pos="6622" w:val="left"/>
              </w:tabs>
              <w:bidi w:val="0"/>
              <w:spacing w:before="0" w:after="220" w:line="240" w:lineRule="auto"/>
              <w:ind w:left="0" w:right="0" w:firstLine="660"/>
              <w:jc w:val="left"/>
            </w:pPr>
            <w:r>
              <w:rPr>
                <w:b/>
                <w:bCs/>
                <w:color w:val="000000"/>
                <w:spacing w:val="0"/>
                <w:w w:val="100"/>
                <w:position w:val="0"/>
              </w:rPr>
              <w:t>账面余额</w:t>
              <w:tab/>
              <w:t>坏账准备</w:t>
              <w:tab/>
              <w:t>账面余额</w:t>
              <w:tab/>
              <w:t>坏账准备</w:t>
            </w:r>
          </w:p>
          <w:p>
            <w:pPr>
              <w:pStyle w:val="Style2"/>
              <w:keepNext w:val="0"/>
              <w:keepLines w:val="0"/>
              <w:framePr w:w="8741" w:h="984" w:vSpace="456" w:wrap="notBeside" w:vAnchor="text" w:hAnchor="text" w:x="596" w:y="457"/>
              <w:widowControl w:val="0"/>
              <w:shd w:val="clear" w:color="auto" w:fill="auto"/>
              <w:tabs>
                <w:tab w:pos="3443" w:val="left"/>
                <w:tab w:pos="5426" w:val="left"/>
                <w:tab w:pos="7446" w:val="left"/>
              </w:tabs>
              <w:bidi w:val="0"/>
              <w:spacing w:before="0" w:after="0" w:line="240" w:lineRule="auto"/>
              <w:ind w:left="1480" w:right="0" w:firstLine="0"/>
              <w:jc w:val="left"/>
            </w:pPr>
            <w:r>
              <w:rPr>
                <w:b/>
                <w:bCs/>
                <w:color w:val="000000"/>
                <w:spacing w:val="0"/>
                <w:w w:val="100"/>
                <w:position w:val="0"/>
              </w:rPr>
              <w:t>比例</w:t>
              <w:tab/>
              <w:t>比例</w:t>
              <w:tab/>
              <w:t>比例</w:t>
              <w:tab/>
              <w:t>比例</w:t>
            </w:r>
          </w:p>
          <w:p>
            <w:pPr>
              <w:pStyle w:val="Style2"/>
              <w:keepNext w:val="0"/>
              <w:keepLines w:val="0"/>
              <w:framePr w:w="8741" w:h="984" w:vSpace="456" w:wrap="notBeside" w:vAnchor="text" w:hAnchor="text" w:x="596" w:y="457"/>
              <w:widowControl w:val="0"/>
              <w:shd w:val="clear" w:color="auto" w:fill="auto"/>
              <w:tabs>
                <w:tab w:pos="2462" w:val="left"/>
                <w:tab w:pos="4450" w:val="left"/>
                <w:tab w:pos="6442" w:val="left"/>
              </w:tabs>
              <w:bidi w:val="0"/>
              <w:spacing w:before="0" w:after="0" w:line="240" w:lineRule="auto"/>
              <w:ind w:left="0" w:right="0" w:firstLine="480"/>
              <w:jc w:val="left"/>
            </w:pPr>
            <w:r>
              <w:rPr>
                <w:b/>
                <w:bCs/>
                <w:color w:val="000000"/>
                <w:spacing w:val="0"/>
                <w:w w:val="100"/>
                <w:position w:val="0"/>
              </w:rPr>
              <w:t>金额</w:t>
              <w:tab/>
              <w:t>金额</w:t>
              <w:tab/>
              <w:t>金额</w:t>
              <w:tab/>
              <w:t>金额</w:t>
            </w:r>
          </w:p>
          <w:p>
            <w:pPr>
              <w:pStyle w:val="Style2"/>
              <w:keepNext w:val="0"/>
              <w:keepLines w:val="0"/>
              <w:framePr w:w="8741" w:h="984" w:vSpace="456" w:wrap="notBeside" w:vAnchor="text" w:hAnchor="text" w:x="596" w:y="457"/>
              <w:widowControl w:val="0"/>
              <w:shd w:val="clear" w:color="auto" w:fill="auto"/>
              <w:tabs>
                <w:tab w:pos="3429" w:val="left"/>
                <w:tab w:pos="5411" w:val="left"/>
                <w:tab w:pos="7432" w:val="left"/>
              </w:tabs>
              <w:bidi w:val="0"/>
              <w:spacing w:before="0" w:after="120" w:line="228" w:lineRule="auto"/>
              <w:ind w:left="148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tab/>
              <w:t>(%)</w:t>
              <w:tab/>
              <w:t>(%)</w:t>
              <w:tab/>
              <w:t>(%)</w:t>
            </w:r>
          </w:p>
        </w:tc>
      </w:tr>
    </w:tbl>
    <w:p>
      <w:pPr>
        <w:pStyle w:val="Style30"/>
        <w:keepNext w:val="0"/>
        <w:keepLines w:val="0"/>
        <w:framePr w:w="768" w:h="240" w:hSpace="595" w:wrap="notBeside" w:vAnchor="text" w:hAnchor="text" w:x="312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p>
      <w:pPr>
        <w:pStyle w:val="Style30"/>
        <w:keepNext w:val="0"/>
        <w:keepLines w:val="0"/>
        <w:framePr w:w="768" w:h="245" w:hSpace="595" w:wrap="notBeside" w:vAnchor="text" w:hAnchor="text" w:x="7110"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p>
      <w:pPr>
        <w:widowControl w:val="0"/>
        <w:spacing w:line="1" w:lineRule="exact"/>
      </w:pPr>
    </w:p>
    <w:p>
      <w:pPr>
        <w:pStyle w:val="Style72"/>
        <w:keepNext w:val="0"/>
        <w:keepLines w:val="0"/>
        <w:widowControl w:val="0"/>
        <w:pBdr>
          <w:top w:val="single" w:sz="4" w:space="0" w:color="auto"/>
        </w:pBdr>
        <w:shd w:val="clear" w:color="auto" w:fill="auto"/>
        <w:bidi w:val="0"/>
        <w:spacing w:before="0" w:after="0" w:line="234" w:lineRule="exact"/>
        <w:ind w:left="340" w:right="0" w:firstLine="20"/>
        <w:jc w:val="left"/>
      </w:pPr>
      <w:r>
        <w:rPr>
          <w:color w:val="000000"/>
          <w:spacing w:val="0"/>
          <w:w w:val="100"/>
          <w:position w:val="0"/>
        </w:rPr>
        <w:t>单项金额重大 并单项计提坏 账准备的应收 账款</w:t>
      </w:r>
    </w:p>
    <w:p>
      <w:pPr>
        <w:pStyle w:val="Style72"/>
        <w:keepNext w:val="0"/>
        <w:keepLines w:val="0"/>
        <w:widowControl w:val="0"/>
        <w:shd w:val="clear" w:color="auto" w:fill="auto"/>
        <w:bidi w:val="0"/>
        <w:spacing w:before="0" w:after="100" w:line="288" w:lineRule="exact"/>
        <w:ind w:left="340" w:right="0" w:firstLine="20"/>
        <w:jc w:val="left"/>
      </w:pPr>
      <w:r>
        <w:rPr>
          <w:color w:val="000000"/>
          <w:spacing w:val="0"/>
          <w:w w:val="100"/>
          <w:position w:val="0"/>
        </w:rPr>
        <w:t>按组合计提坏账 准备的应收账款</w:t>
      </w:r>
    </w:p>
    <w:tbl>
      <w:tblPr>
        <w:tblOverlap w:val="never"/>
        <w:jc w:val="center"/>
        <w:tblLayout w:type="fixed"/>
      </w:tblPr>
      <w:tblGrid>
        <w:gridCol w:w="1373"/>
        <w:gridCol w:w="1267"/>
        <w:gridCol w:w="768"/>
        <w:gridCol w:w="1224"/>
        <w:gridCol w:w="706"/>
        <w:gridCol w:w="2050"/>
        <w:gridCol w:w="1853"/>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41,720,763.57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503,947.82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35.51</w:t>
            </w:r>
          </w:p>
        </w:tc>
        <w:tc>
          <w:tcPr>
            <w:tcBorders/>
            <w:shd w:val="clear" w:color="auto" w:fill="FFFFFF"/>
            <w:vAlign w:val="top"/>
          </w:tcPr>
          <w:p>
            <w:pPr>
              <w:pStyle w:val="Style2"/>
              <w:keepNext w:val="0"/>
              <w:keepLines w:val="0"/>
              <w:widowControl w:val="0"/>
              <w:shd w:val="clear" w:color="auto" w:fill="auto"/>
              <w:tabs>
                <w:tab w:pos="126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48,633,522.66</w:t>
              <w:tab/>
              <w:t>100.00</w:t>
            </w:r>
          </w:p>
        </w:tc>
        <w:tc>
          <w:tcPr>
            <w:tcBorders/>
            <w:shd w:val="clear" w:color="auto" w:fill="FFFFFF"/>
            <w:vAlign w:val="top"/>
          </w:tcPr>
          <w:p>
            <w:pPr>
              <w:pStyle w:val="Style2"/>
              <w:keepNext w:val="0"/>
              <w:keepLines w:val="0"/>
              <w:widowControl w:val="0"/>
              <w:shd w:val="clear" w:color="auto" w:fill="auto"/>
              <w:tabs>
                <w:tab w:pos="1317" w:val="left"/>
              </w:tabs>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1,497,720.93</w:t>
              <w:tab/>
              <w:t>100.00</w:t>
            </w:r>
          </w:p>
        </w:tc>
      </w:tr>
      <w:tr>
        <w:trPr>
          <w:trHeight w:val="1123" w:hRule="exact"/>
        </w:trPr>
        <w:tc>
          <w:tcPr>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b/>
                <w:bCs/>
                <w:color w:val="000000"/>
                <w:spacing w:val="0"/>
                <w:w w:val="100"/>
                <w:position w:val="0"/>
              </w:rPr>
              <w:t>单项金额虽不 重大但单项计 提坏账准备的 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915,254.25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915,254.25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42,636,017.82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1,419,202.07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tabs>
                <w:tab w:pos="1253" w:val="left"/>
              </w:tabs>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48,633,522.66</w:t>
              <w:tab/>
              <w:t>100.00</w:t>
            </w:r>
          </w:p>
        </w:tc>
        <w:tc>
          <w:tcPr>
            <w:tcBorders/>
            <w:shd w:val="clear" w:color="auto" w:fill="FFFFFF"/>
            <w:vAlign w:val="bottom"/>
          </w:tcPr>
          <w:p>
            <w:pPr>
              <w:pStyle w:val="Style2"/>
              <w:keepNext w:val="0"/>
              <w:keepLines w:val="0"/>
              <w:widowControl w:val="0"/>
              <w:shd w:val="clear" w:color="auto" w:fill="auto"/>
              <w:tabs>
                <w:tab w:pos="1317" w:val="left"/>
              </w:tabs>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1,497,720.93</w:t>
              <w:tab/>
              <w:t>100.00</w:t>
            </w:r>
          </w:p>
        </w:tc>
      </w:tr>
    </w:tbl>
    <w:p>
      <w:pPr>
        <w:widowControl w:val="0"/>
        <w:spacing w:after="439" w:line="1" w:lineRule="exact"/>
      </w:pPr>
    </w:p>
    <w:p>
      <w:pPr>
        <w:pStyle w:val="Style72"/>
        <w:keepNext w:val="0"/>
        <w:keepLines w:val="0"/>
        <w:widowControl w:val="0"/>
        <w:shd w:val="clear" w:color="auto" w:fill="auto"/>
        <w:bidi w:val="0"/>
        <w:spacing w:before="0" w:after="300" w:line="240" w:lineRule="auto"/>
        <w:ind w:left="0" w:right="0" w:firstLine="500"/>
        <w:jc w:val="left"/>
      </w:pPr>
      <w:r>
        <w:rPr>
          <w:b w:val="0"/>
          <w:bCs w:val="0"/>
          <w:color w:val="000000"/>
          <w:spacing w:val="0"/>
          <w:w w:val="100"/>
          <w:position w:val="0"/>
        </w:rPr>
        <w:t>注：应收账款分类确认标准见“四、主要会计政策、会计估计和前期会计差错(十一)应收款项”。</w:t>
      </w:r>
    </w:p>
    <w:p>
      <w:pPr>
        <w:pStyle w:val="Style55"/>
        <w:keepNext/>
        <w:keepLines/>
        <w:widowControl w:val="0"/>
        <w:shd w:val="clear" w:color="auto" w:fill="auto"/>
        <w:bidi w:val="0"/>
        <w:spacing w:before="0" w:after="100" w:line="240" w:lineRule="auto"/>
        <w:ind w:left="0" w:right="0" w:firstLine="68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)组合中，按账龄分析法计提坏账准备的应收账款</w:t>
      </w:r>
      <w:bookmarkEnd w:id="1055"/>
      <w:bookmarkEnd w:id="1056"/>
      <w:bookmarkEnd w:id="1057"/>
    </w:p>
    <w:tbl>
      <w:tblPr>
        <w:tblOverlap w:val="never"/>
        <w:jc w:val="center"/>
        <w:tblLayout w:type="fixed"/>
      </w:tblPr>
      <w:tblGrid>
        <w:gridCol w:w="1133"/>
        <w:gridCol w:w="1742"/>
        <w:gridCol w:w="1368"/>
        <w:gridCol w:w="1349"/>
        <w:gridCol w:w="1594"/>
        <w:gridCol w:w="1373"/>
        <w:gridCol w:w="1373"/>
      </w:tblGrid>
      <w:tr>
        <w:trPr>
          <w:trHeight w:val="26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账龄</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1180" w:right="0" w:firstLine="0"/>
              <w:jc w:val="left"/>
            </w:pPr>
            <w:r>
              <w:rPr>
                <w:b/>
                <w:bCs/>
                <w:color w:val="000000"/>
                <w:spacing w:val="0"/>
                <w:w w:val="100"/>
                <w:position w:val="0"/>
              </w:rPr>
              <w:t>账面余</w:t>
            </w:r>
          </w:p>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金额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期末余额</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70"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坏账准备</w:t>
            </w: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账面余</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坏账准备</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41,301,186.59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413,011.87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47,787,142.03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1,433,614.26</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一至二年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762,803.65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45,768.22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二至三年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50,400.00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46,616.74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5,594.01</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三至四年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46,616.74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13,985.02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20,818.63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4,996.47</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四至五年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20,818.63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10,409.32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7,747.97</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16,141.61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41,720,763.57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503,947.82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48,633,522.66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1,497,720.93</w:t>
            </w:r>
          </w:p>
        </w:tc>
      </w:tr>
    </w:tbl>
    <w:p>
      <w:pPr>
        <w:widowControl w:val="0"/>
        <w:spacing w:after="259" w:line="1" w:lineRule="exact"/>
      </w:pPr>
    </w:p>
    <w:p>
      <w:pPr>
        <w:pStyle w:val="Style55"/>
        <w:keepNext/>
        <w:keepLines/>
        <w:widowControl w:val="0"/>
        <w:numPr>
          <w:ilvl w:val="0"/>
          <w:numId w:val="25"/>
        </w:numPr>
        <w:pBdr>
          <w:bottom w:val="single" w:sz="4" w:space="0" w:color="auto"/>
        </w:pBdr>
        <w:shd w:val="clear" w:color="auto" w:fill="auto"/>
        <w:bidi w:val="0"/>
        <w:spacing w:before="0" w:after="260" w:line="240" w:lineRule="auto"/>
        <w:ind w:left="0" w:right="0" w:firstLine="68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单项金额虽不重大但单项计提坏账准备的应收账款</w:t>
      </w:r>
      <w:bookmarkEnd w:id="1058"/>
      <w:bookmarkEnd w:id="1059"/>
      <w:bookmarkEnd w:id="1061"/>
    </w:p>
    <w:p>
      <w:pPr>
        <w:pStyle w:val="Style72"/>
        <w:keepNext w:val="0"/>
        <w:keepLines w:val="0"/>
        <w:widowControl w:val="0"/>
        <w:pBdr>
          <w:bottom w:val="single" w:sz="4" w:space="0" w:color="auto"/>
        </w:pBdr>
        <w:shd w:val="clear" w:color="auto" w:fill="auto"/>
        <w:tabs>
          <w:tab w:pos="2198" w:val="left"/>
          <w:tab w:pos="3984" w:val="left"/>
          <w:tab w:pos="5813" w:val="left"/>
          <w:tab w:pos="7742" w:val="left"/>
        </w:tabs>
        <w:bidi w:val="0"/>
        <w:spacing w:before="0" w:after="1300" w:line="240" w:lineRule="auto"/>
        <w:ind w:left="0" w:right="0" w:firstLine="0"/>
        <w:jc w:val="center"/>
      </w:pPr>
      <w:r>
        <w:rPr>
          <w:color w:val="000000"/>
          <w:spacing w:val="0"/>
          <w:w w:val="100"/>
          <w:position w:val="0"/>
        </w:rPr>
        <w:t>应收账款内容</w:t>
        <w:tab/>
        <w:t>账面余额</w:t>
        <w:tab/>
        <w:t>坏账准备</w:t>
        <w:tab/>
        <w:t>计提比例</w:t>
        <w:tab/>
        <w:t>计提理由</w:t>
      </w:r>
    </w:p>
    <w:p>
      <w:pPr>
        <w:widowControl w:val="0"/>
        <w:jc w:val="center"/>
        <w:rPr>
          <w:sz w:val="2"/>
          <w:szCs w:val="2"/>
        </w:rPr>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455" w:right="994" w:bottom="193" w:left="975" w:header="0" w:footer="3" w:gutter="0"/>
          <w:cols w:space="720"/>
          <w:noEndnote/>
          <w:rtlGutter w:val="0"/>
          <w:docGrid w:linePitch="360"/>
        </w:sectPr>
      </w:pPr>
      <w:r>
        <w:drawing>
          <wp:inline>
            <wp:extent cx="743585" cy="146050"/>
            <wp:docPr id="744" name="Picutre 744"/>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251"/>
                    <a:stretch/>
                  </pic:blipFill>
                  <pic:spPr>
                    <a:xfrm>
                      <a:ext cx="743585" cy="146050"/>
                    </a:xfrm>
                    <a:prstGeom prst="rect"/>
                  </pic:spPr>
                </pic:pic>
              </a:graphicData>
            </a:graphic>
          </wp:inline>
        </w:drawing>
      </w:r>
    </w:p>
    <w:tbl>
      <w:tblPr>
        <w:tblOverlap w:val="never"/>
        <w:jc w:val="center"/>
        <w:tblLayout w:type="fixed"/>
      </w:tblPr>
      <w:tblGrid>
        <w:gridCol w:w="2606"/>
        <w:gridCol w:w="1584"/>
        <w:gridCol w:w="1848"/>
        <w:gridCol w:w="1728"/>
        <w:gridCol w:w="2165"/>
      </w:tblGrid>
      <w:tr>
        <w:trPr>
          <w:trHeight w:val="350" w:hRule="exact"/>
        </w:trPr>
        <w:tc>
          <w:tcPr>
            <w:gridSpan w:val="5"/>
            <w:tcBorders>
              <w:top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应收账款内容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90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NuTune Singapore Pte Ltd.</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915,254.25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915,254.25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915,254.25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915,254.25</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企业破产清算</w:t>
            </w:r>
          </w:p>
        </w:tc>
      </w:tr>
    </w:tbl>
    <w:p>
      <w:pPr>
        <w:widowControl w:val="0"/>
        <w:spacing w:after="179" w:line="1" w:lineRule="exact"/>
      </w:pPr>
    </w:p>
    <w:p>
      <w:pPr>
        <w:pStyle w:val="Style55"/>
        <w:keepNext/>
        <w:keepLines/>
        <w:widowControl w:val="0"/>
        <w:numPr>
          <w:ilvl w:val="0"/>
          <w:numId w:val="25"/>
        </w:numPr>
        <w:shd w:val="clear" w:color="auto" w:fill="auto"/>
        <w:tabs>
          <w:tab w:pos="1288" w:val="left"/>
        </w:tabs>
        <w:bidi w:val="0"/>
        <w:spacing w:before="0" w:line="240" w:lineRule="auto"/>
        <w:ind w:left="0" w:right="0" w:firstLine="80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本报告期，无实际核销的应收账款。</w:t>
      </w:r>
      <w:bookmarkEnd w:id="1062"/>
      <w:bookmarkEnd w:id="1063"/>
      <w:bookmarkEnd w:id="1065"/>
    </w:p>
    <w:p>
      <w:pPr>
        <w:pStyle w:val="Style55"/>
        <w:keepNext/>
        <w:keepLines/>
        <w:widowControl w:val="0"/>
        <w:numPr>
          <w:ilvl w:val="0"/>
          <w:numId w:val="25"/>
        </w:numPr>
        <w:pBdr>
          <w:bottom w:val="single" w:sz="4" w:space="0" w:color="auto"/>
        </w:pBdr>
        <w:shd w:val="clear" w:color="auto" w:fill="auto"/>
        <w:tabs>
          <w:tab w:pos="1288" w:val="left"/>
        </w:tabs>
        <w:bidi w:val="0"/>
        <w:spacing w:before="0" w:after="80" w:line="240" w:lineRule="auto"/>
        <w:ind w:left="0" w:right="0" w:firstLine="800"/>
        <w:jc w:val="left"/>
      </w:pPr>
      <w:bookmarkStart w:id="1062" w:name="bookmark1062"/>
      <w:bookmarkStart w:id="1063" w:name="bookmark1063"/>
      <w:bookmarkStart w:id="1066" w:name="bookmark1066"/>
      <w:bookmarkStart w:id="1067" w:name="bookmark1067"/>
      <w:bookmarkEnd w:id="1066"/>
      <w:r>
        <w:rPr>
          <w:color w:val="000000"/>
          <w:spacing w:val="0"/>
          <w:w w:val="100"/>
          <w:position w:val="0"/>
        </w:rPr>
        <w:t>应收账款金额前五名单位情况</w:t>
      </w:r>
      <w:bookmarkEnd w:id="1062"/>
      <w:bookmarkEnd w:id="1063"/>
      <w:bookmarkEnd w:id="1067"/>
    </w:p>
    <w:tbl>
      <w:tblPr>
        <w:tblOverlap w:val="never"/>
        <w:jc w:val="center"/>
        <w:tblLayout w:type="fixed"/>
      </w:tblPr>
      <w:tblGrid>
        <w:gridCol w:w="2179"/>
        <w:gridCol w:w="2837"/>
        <w:gridCol w:w="1814"/>
        <w:gridCol w:w="1061"/>
        <w:gridCol w:w="1910"/>
      </w:tblGrid>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与本公司关系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pPr>
            <w:r>
              <w:rPr>
                <w:b/>
                <w:bCs/>
                <w:color w:val="000000"/>
                <w:spacing w:val="0"/>
                <w:w w:val="100"/>
                <w:position w:val="0"/>
              </w:rPr>
              <w:t>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b/>
                <w:bCs/>
                <w:color w:val="000000"/>
                <w:spacing w:val="0"/>
                <w:w w:val="100"/>
                <w:position w:val="0"/>
              </w:rPr>
              <w:t>占应收账款总额的</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客户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8,728,663.77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20.47</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5,518,053.18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12.94</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5,132,001.62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5,071,944.17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4,291,115.59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28,741,778.33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b/>
                <w:bCs/>
                <w:color w:val="000000"/>
                <w:spacing w:val="0"/>
                <w:w w:val="100"/>
                <w:position w:val="0"/>
                <w:sz w:val="18"/>
                <w:szCs w:val="18"/>
              </w:rPr>
              <w:t>67.41</w:t>
            </w:r>
          </w:p>
        </w:tc>
      </w:tr>
      <w:tr>
        <w:trPr>
          <w:trHeight w:val="61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)期末余额中,</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应收本公司关联方单位款项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年限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占应收账款总额的比例</w:t>
            </w:r>
            <w:r>
              <w:rPr>
                <w:rFonts w:ascii="Times New Roman" w:eastAsia="Times New Roman" w:hAnsi="Times New Roman" w:cs="Times New Roman"/>
                <w:b/>
                <w:bCs/>
                <w:color w:val="000000"/>
                <w:spacing w:val="0"/>
                <w:w w:val="100"/>
                <w:position w:val="0"/>
                <w:sz w:val="18"/>
                <w:szCs w:val="18"/>
              </w:rPr>
              <w:t>(%)</w:t>
            </w:r>
          </w:p>
        </w:tc>
      </w:tr>
      <w:tr>
        <w:trPr>
          <w:trHeight w:val="355" w:hRule="exact"/>
        </w:trPr>
        <w:tc>
          <w:tcPr>
            <w:gridSpan w:val="2"/>
            <w:tcBorders>
              <w:top w:val="single" w:sz="4"/>
            </w:tcBorders>
            <w:shd w:val="clear" w:color="auto" w:fill="FFFFFF"/>
            <w:vAlign w:val="bottom"/>
          </w:tcPr>
          <w:p>
            <w:pPr>
              <w:pStyle w:val="Style2"/>
              <w:keepNext w:val="0"/>
              <w:keepLines w:val="0"/>
              <w:widowControl w:val="0"/>
              <w:shd w:val="clear" w:color="auto" w:fill="auto"/>
              <w:tabs>
                <w:tab w:pos="3648" w:val="left"/>
              </w:tabs>
              <w:bidi w:val="0"/>
              <w:spacing w:before="0" w:after="0" w:line="240" w:lineRule="auto"/>
              <w:ind w:left="0" w:right="0" w:firstLine="480"/>
              <w:jc w:val="left"/>
            </w:pPr>
            <w:r>
              <w:rPr>
                <w:color w:val="000000"/>
                <w:spacing w:val="0"/>
                <w:w w:val="100"/>
                <w:position w:val="0"/>
              </w:rPr>
              <w:t>山东同方鲁颖电子有限公司</w:t>
              <w:tab/>
              <w:t>一年以内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135,612.99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0.32</w:t>
            </w:r>
          </w:p>
        </w:tc>
      </w:tr>
    </w:tbl>
    <w:p>
      <w:pPr>
        <w:pStyle w:val="Style30"/>
        <w:keepNext w:val="0"/>
        <w:keepLines w:val="0"/>
        <w:widowControl w:val="0"/>
        <w:shd w:val="clear" w:color="auto" w:fill="auto"/>
        <w:tabs>
          <w:tab w:pos="4541" w:val="left"/>
          <w:tab w:pos="6730" w:val="left"/>
        </w:tabs>
        <w:bidi w:val="0"/>
        <w:spacing w:before="0" w:after="0" w:line="240" w:lineRule="auto"/>
        <w:ind w:left="0" w:right="0" w:firstLine="0"/>
        <w:jc w:val="center"/>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135,612.99</w:t>
        <w:tab/>
        <w:t>0.32</w:t>
      </w:r>
    </w:p>
    <w:p>
      <w:pPr>
        <w:widowControl w:val="0"/>
        <w:spacing w:after="339" w:line="1" w:lineRule="exact"/>
      </w:pPr>
    </w:p>
    <w:p>
      <w:pPr>
        <w:pStyle w:val="Style55"/>
        <w:keepNext/>
        <w:keepLines/>
        <w:widowControl w:val="0"/>
        <w:numPr>
          <w:ilvl w:val="0"/>
          <w:numId w:val="27"/>
        </w:numPr>
        <w:shd w:val="clear" w:color="auto" w:fill="auto"/>
        <w:bidi w:val="0"/>
        <w:spacing w:before="0" w:after="80" w:line="240" w:lineRule="auto"/>
        <w:ind w:left="0" w:right="0" w:firstLine="80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应收账款中外币金额</w:t>
      </w:r>
      <w:bookmarkEnd w:id="1068"/>
      <w:bookmarkEnd w:id="1069"/>
      <w:bookmarkEnd w:id="1071"/>
    </w:p>
    <w:tbl>
      <w:tblPr>
        <w:tblOverlap w:val="never"/>
        <w:jc w:val="center"/>
        <w:tblLayout w:type="fixed"/>
      </w:tblPr>
      <w:tblGrid>
        <w:gridCol w:w="1555"/>
        <w:gridCol w:w="1382"/>
        <w:gridCol w:w="1195"/>
        <w:gridCol w:w="1642"/>
        <w:gridCol w:w="1512"/>
        <w:gridCol w:w="1123"/>
        <w:gridCol w:w="1762"/>
      </w:tblGrid>
      <w:tr>
        <w:trPr>
          <w:trHeight w:val="427"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项目</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外币金额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32"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人民币金额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60" w:firstLine="0"/>
              <w:jc w:val="right"/>
            </w:pPr>
            <w:r>
              <w:rPr>
                <w:b/>
                <w:bCs/>
                <w:color w:val="000000"/>
                <w:spacing w:val="0"/>
                <w:w w:val="100"/>
                <w:position w:val="0"/>
              </w:rPr>
              <w:t>外币金额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折算率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人民币金额</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6,085,250.18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37,101,161.82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6,972,254.36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43,824,104.78</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港币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487,275.00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383,095.61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1,580,031.00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1,281,089.13</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37,484,257.43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45,105,193.91</w:t>
            </w:r>
          </w:p>
        </w:tc>
      </w:tr>
      <w:tr>
        <w:trPr>
          <w:trHeight w:val="75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gridSpan w:val="3"/>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)其他应收款按种类披露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期末余额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种类</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坏账准备</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比例</w:t>
            </w:r>
          </w:p>
        </w:tc>
        <w:tc>
          <w:tcPr>
            <w:tcBorders/>
            <w:shd w:val="clear" w:color="auto" w:fill="FFFFFF"/>
            <w:vAlign w:val="bottom"/>
          </w:tcPr>
          <w:p>
            <w:pPr>
              <w:pStyle w:val="Style2"/>
              <w:keepNext w:val="0"/>
              <w:keepLines w:val="0"/>
              <w:widowControl w:val="0"/>
              <w:shd w:val="clear" w:color="auto" w:fill="auto"/>
              <w:tabs>
                <w:tab w:pos="1037" w:val="left"/>
              </w:tabs>
              <w:bidi w:val="0"/>
              <w:spacing w:before="0" w:after="0" w:line="240" w:lineRule="auto"/>
              <w:ind w:left="0" w:right="0" w:firstLine="0"/>
              <w:jc w:val="left"/>
            </w:pPr>
            <w:r>
              <w:rPr>
                <w:b/>
                <w:bCs/>
                <w:color w:val="000000"/>
                <w:spacing w:val="0"/>
                <w:w w:val="100"/>
                <w:position w:val="0"/>
              </w:rPr>
              <w:t>金额</w:t>
              <w:tab/>
            </w:r>
            <w:r>
              <w:rPr>
                <w:b/>
                <w:bCs/>
                <w:color w:val="000000"/>
                <w:spacing w:val="0"/>
                <w:w w:val="100"/>
                <w:position w:val="0"/>
                <w:vertAlign w:val="superscript"/>
              </w:rPr>
              <w:t>比例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比例</w:t>
            </w:r>
          </w:p>
        </w:tc>
        <w:tc>
          <w:tcPr>
            <w:tcBorders/>
            <w:shd w:val="clear" w:color="auto" w:fill="FFFFFF"/>
            <w:vAlign w:val="bottom"/>
          </w:tcPr>
          <w:p>
            <w:pPr>
              <w:pStyle w:val="Style2"/>
              <w:keepNext w:val="0"/>
              <w:keepLines w:val="0"/>
              <w:widowControl w:val="0"/>
              <w:shd w:val="clear" w:color="auto" w:fill="auto"/>
              <w:tabs>
                <w:tab w:pos="1066" w:val="left"/>
              </w:tabs>
              <w:bidi w:val="0"/>
              <w:spacing w:before="0" w:after="0" w:line="240" w:lineRule="auto"/>
              <w:ind w:left="0" w:right="0" w:firstLine="0"/>
              <w:jc w:val="left"/>
            </w:pPr>
            <w:r>
              <w:rPr>
                <w:b/>
                <w:bCs/>
                <w:color w:val="000000"/>
                <w:spacing w:val="0"/>
                <w:w w:val="100"/>
                <w:position w:val="0"/>
              </w:rPr>
              <w:t>金额</w:t>
              <w:tab/>
            </w:r>
            <w:r>
              <w:rPr>
                <w:b/>
                <w:bCs/>
                <w:color w:val="000000"/>
                <w:spacing w:val="0"/>
                <w:w w:val="100"/>
                <w:position w:val="0"/>
                <w:vertAlign w:val="superscript"/>
              </w:rPr>
              <w:t>比例</w:t>
            </w: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单项金额重大并</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单项计提坏账准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2,432,383.76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7,139,707.40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63.02</w:t>
            </w:r>
          </w:p>
        </w:tc>
        <w:tc>
          <w:tcPr>
            <w:tcBorders/>
            <w:shd w:val="clear" w:color="auto" w:fill="FFFFFF"/>
            <w:vAlign w:val="top"/>
          </w:tcPr>
          <w:p>
            <w:pPr>
              <w:widowControl w:val="0"/>
              <w:rPr>
                <w:sz w:val="10"/>
                <w:szCs w:val="10"/>
              </w:rPr>
            </w:pPr>
          </w:p>
        </w:tc>
      </w:tr>
      <w:tr>
        <w:trPr>
          <w:trHeight w:val="34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备的其他应收款</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bl>
      <w:tblPr>
        <w:tblOverlap w:val="never"/>
        <w:jc w:val="center"/>
        <w:tblLayout w:type="fixed"/>
      </w:tblPr>
      <w:tblGrid>
        <w:gridCol w:w="1570"/>
        <w:gridCol w:w="1325"/>
        <w:gridCol w:w="878"/>
        <w:gridCol w:w="1142"/>
        <w:gridCol w:w="869"/>
        <w:gridCol w:w="1368"/>
        <w:gridCol w:w="864"/>
        <w:gridCol w:w="1210"/>
        <w:gridCol w:w="696"/>
      </w:tblGrid>
      <w:tr>
        <w:trPr>
          <w:trHeight w:val="1670" w:hRule="exact"/>
        </w:trPr>
        <w:tc>
          <w:tcPr>
            <w:tcBorders/>
            <w:shd w:val="clear" w:color="auto" w:fill="FFFFFF"/>
            <w:vAlign w:val="top"/>
          </w:tcPr>
          <w:p>
            <w:pPr>
              <w:pStyle w:val="Style2"/>
              <w:keepNext w:val="0"/>
              <w:keepLines w:val="0"/>
              <w:widowControl w:val="0"/>
              <w:shd w:val="clear" w:color="auto" w:fill="auto"/>
              <w:bidi w:val="0"/>
              <w:spacing w:before="0" w:after="40" w:line="314" w:lineRule="exact"/>
              <w:ind w:left="0" w:right="0" w:firstLine="0"/>
              <w:jc w:val="left"/>
            </w:pPr>
            <w:r>
              <w:rPr>
                <w:b/>
                <w:bCs/>
                <w:color w:val="000000"/>
                <w:spacing w:val="0"/>
                <w:w w:val="100"/>
                <w:position w:val="0"/>
              </w:rPr>
              <w:t>账龄组合</w:t>
            </w:r>
          </w:p>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单项金额虽不重 大但单项计提坏 账准备的其他应 收款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4,992,301.75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50,989.47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4,189,737.78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126,547.78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7,424,685.51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50,989.47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11,329,445.18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126,547.78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widowControl w:val="0"/>
        <w:spacing w:after="439" w:line="1" w:lineRule="exact"/>
      </w:pPr>
    </w:p>
    <w:p>
      <w:pPr>
        <w:pStyle w:val="Style72"/>
        <w:keepNext w:val="0"/>
        <w:keepLines w:val="0"/>
        <w:widowControl w:val="0"/>
        <w:shd w:val="clear" w:color="auto" w:fill="auto"/>
        <w:bidi w:val="0"/>
        <w:spacing w:before="0" w:after="280" w:line="240" w:lineRule="auto"/>
        <w:ind w:left="0" w:right="0" w:firstLine="480"/>
        <w:jc w:val="left"/>
      </w:pPr>
      <w:r>
        <w:rPr>
          <w:b w:val="0"/>
          <w:bCs w:val="0"/>
          <w:color w:val="000000"/>
          <w:spacing w:val="0"/>
          <w:w w:val="100"/>
          <w:position w:val="0"/>
        </w:rPr>
        <w:t>注：其他应收款分类确认标准见“四、主要会计政策、会计估计和前期会计差错(十一)应收款项”</w:t>
      </w:r>
    </w:p>
    <w:p>
      <w:pPr>
        <w:pStyle w:val="Style55"/>
        <w:keepNext/>
        <w:keepLines/>
        <w:widowControl w:val="0"/>
        <w:pBdr>
          <w:bottom w:val="single" w:sz="4" w:space="0" w:color="auto"/>
        </w:pBdr>
        <w:shd w:val="clear" w:color="auto" w:fill="auto"/>
        <w:bidi w:val="0"/>
        <w:spacing w:before="0" w:after="220" w:line="240" w:lineRule="auto"/>
        <w:ind w:left="0" w:right="0" w:firstLine="56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)单项金额重大并单项计提坏账准备的其他应收款</w:t>
      </w:r>
      <w:bookmarkEnd w:id="1072"/>
      <w:bookmarkEnd w:id="1073"/>
      <w:bookmarkEnd w:id="1074"/>
    </w:p>
    <w:tbl>
      <w:tblPr>
        <w:tblOverlap w:val="never"/>
        <w:jc w:val="center"/>
        <w:tblLayout w:type="fixed"/>
      </w:tblPr>
      <w:tblGrid>
        <w:gridCol w:w="7387"/>
        <w:gridCol w:w="1762"/>
      </w:tblGrid>
      <w:tr>
        <w:trPr>
          <w:trHeight w:val="346" w:hRule="exact"/>
        </w:trPr>
        <w:tc>
          <w:tcPr>
            <w:tcBorders/>
            <w:shd w:val="clear" w:color="auto" w:fill="FFFFFF"/>
            <w:vAlign w:val="top"/>
          </w:tcPr>
          <w:p>
            <w:pPr>
              <w:pStyle w:val="Style2"/>
              <w:keepNext w:val="0"/>
              <w:keepLines w:val="0"/>
              <w:widowControl w:val="0"/>
              <w:shd w:val="clear" w:color="auto" w:fill="auto"/>
              <w:tabs>
                <w:tab w:pos="3150" w:val="left"/>
                <w:tab w:pos="5031" w:val="left"/>
                <w:tab w:pos="6471" w:val="left"/>
              </w:tabs>
              <w:bidi w:val="0"/>
              <w:spacing w:before="0" w:after="0" w:line="240" w:lineRule="auto"/>
              <w:ind w:left="0" w:right="0" w:firstLine="620"/>
              <w:jc w:val="left"/>
            </w:pPr>
            <w:r>
              <w:rPr>
                <w:b/>
                <w:bCs/>
                <w:color w:val="000000"/>
                <w:spacing w:val="0"/>
                <w:w w:val="100"/>
                <w:position w:val="0"/>
              </w:rPr>
              <w:t>其他应收款内容</w:t>
              <w:tab/>
              <w:t>账面余额</w:t>
              <w:tab/>
              <w:t>坏账金额</w:t>
              <w:tab/>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tabs>
                <w:tab w:pos="3052" w:val="left"/>
              </w:tabs>
              <w:bidi w:val="0"/>
              <w:spacing w:before="0" w:after="0" w:line="240" w:lineRule="auto"/>
              <w:ind w:left="0" w:right="0" w:firstLine="820"/>
              <w:jc w:val="left"/>
              <w:rPr>
                <w:sz w:val="18"/>
                <w:szCs w:val="18"/>
              </w:rPr>
            </w:pPr>
            <w:r>
              <w:rPr>
                <w:color w:val="000000"/>
                <w:spacing w:val="0"/>
                <w:w w:val="100"/>
                <w:position w:val="0"/>
                <w:sz w:val="17"/>
                <w:szCs w:val="17"/>
              </w:rPr>
              <w:t>应收补贴款</w:t>
              <w:tab/>
            </w:r>
            <w:r>
              <w:rPr>
                <w:rFonts w:ascii="Times New Roman" w:eastAsia="Times New Roman" w:hAnsi="Times New Roman" w:cs="Times New Roman"/>
                <w:color w:val="000000"/>
                <w:spacing w:val="0"/>
                <w:w w:val="100"/>
                <w:position w:val="0"/>
                <w:sz w:val="18"/>
                <w:szCs w:val="18"/>
              </w:rPr>
              <w:t>2,432,383.76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应收出口退税款，</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预计不存在损失。</w:t>
            </w:r>
          </w:p>
        </w:tc>
      </w:tr>
    </w:tbl>
    <w:p>
      <w:pPr>
        <w:pStyle w:val="Style30"/>
        <w:keepNext w:val="0"/>
        <w:keepLines w:val="0"/>
        <w:widowControl w:val="0"/>
        <w:shd w:val="clear" w:color="auto" w:fill="auto"/>
        <w:tabs>
          <w:tab w:pos="3034" w:val="left"/>
        </w:tabs>
        <w:bidi w:val="0"/>
        <w:spacing w:before="0" w:after="0" w:line="240" w:lineRule="auto"/>
        <w:ind w:left="1066"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2,432,383.76</w:t>
      </w:r>
    </w:p>
    <w:p>
      <w:pPr>
        <w:widowControl w:val="0"/>
        <w:spacing w:after="339" w:line="1" w:lineRule="exact"/>
      </w:pPr>
    </w:p>
    <w:p>
      <w:pPr>
        <w:pStyle w:val="Style55"/>
        <w:keepNext/>
        <w:keepLines/>
        <w:widowControl w:val="0"/>
        <w:shd w:val="clear" w:color="auto" w:fill="auto"/>
        <w:bidi w:val="0"/>
        <w:spacing w:before="0" w:after="280" w:line="240" w:lineRule="auto"/>
        <w:ind w:left="0" w:right="0" w:firstLine="68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r>
        <w:rPr>
          <w:color w:val="000000"/>
          <w:spacing w:val="0"/>
          <w:w w:val="100"/>
          <w:position w:val="0"/>
        </w:rPr>
        <w:t>)期末无单项金额虽不重大但单项计提坏账准备的其他应收款。</w:t>
      </w:r>
      <w:bookmarkEnd w:id="1075"/>
      <w:bookmarkEnd w:id="1076"/>
      <w:bookmarkEnd w:id="1077"/>
    </w:p>
    <w:p>
      <w:pPr>
        <w:pStyle w:val="Style55"/>
        <w:keepNext/>
        <w:keepLines/>
        <w:widowControl w:val="0"/>
        <w:numPr>
          <w:ilvl w:val="0"/>
          <w:numId w:val="29"/>
        </w:numPr>
        <w:shd w:val="clear" w:color="auto" w:fill="auto"/>
        <w:bidi w:val="0"/>
        <w:spacing w:before="0" w:after="80" w:line="240" w:lineRule="auto"/>
        <w:ind w:left="0" w:right="0" w:firstLine="68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组合中，按账龄分析法计提坏账准备的其他应收款</w:t>
      </w:r>
      <w:bookmarkEnd w:id="1078"/>
      <w:bookmarkEnd w:id="1079"/>
      <w:bookmarkEnd w:id="1081"/>
    </w:p>
    <w:tbl>
      <w:tblPr>
        <w:tblOverlap w:val="never"/>
        <w:jc w:val="center"/>
        <w:tblLayout w:type="fixed"/>
      </w:tblPr>
      <w:tblGrid>
        <w:gridCol w:w="1306"/>
        <w:gridCol w:w="1406"/>
        <w:gridCol w:w="1296"/>
        <w:gridCol w:w="1277"/>
        <w:gridCol w:w="1320"/>
        <w:gridCol w:w="1296"/>
        <w:gridCol w:w="1234"/>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90" w:hRule="exact"/>
        </w:trPr>
        <w:tc>
          <w:tcPr>
            <w:vMerge/>
            <w:tcBorders/>
            <w:shd w:val="clear" w:color="auto" w:fill="FFFFFF"/>
            <w:vAlign w:val="center"/>
          </w:tcPr>
          <w:p>
            <w:pP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坏账准备</w:t>
            </w:r>
          </w:p>
        </w:tc>
      </w:tr>
      <w:tr>
        <w:trPr>
          <w:trHeight w:val="298" w:hRule="exact"/>
        </w:trPr>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560" w:firstLine="0"/>
              <w:jc w:val="right"/>
            </w:pPr>
            <w:r>
              <w:rPr>
                <w:b/>
                <w:bCs/>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80" w:right="0" w:firstLine="0"/>
              <w:jc w:val="center"/>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4,991,145.75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49,911.47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4,188,581.78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125,510.34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一至二年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二至三年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三至四年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156.00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四至五年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五年以上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2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4,992,301.75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50,989.47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4,189,737.78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126,547.78</w:t>
            </w:r>
          </w:p>
        </w:tc>
      </w:tr>
    </w:tbl>
    <w:p>
      <w:pPr>
        <w:widowControl w:val="0"/>
        <w:spacing w:after="219" w:line="1" w:lineRule="exact"/>
      </w:pPr>
    </w:p>
    <w:p>
      <w:pPr>
        <w:pStyle w:val="Style55"/>
        <w:keepNext/>
        <w:keepLines/>
        <w:widowControl w:val="0"/>
        <w:numPr>
          <w:ilvl w:val="0"/>
          <w:numId w:val="29"/>
        </w:numPr>
        <w:shd w:val="clear" w:color="auto" w:fill="auto"/>
        <w:bidi w:val="0"/>
        <w:spacing w:before="0" w:line="326" w:lineRule="exact"/>
        <w:ind w:left="0" w:right="0" w:firstLine="56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本报告期，无以前已全额计提坏账准备或计提坏账准备的比例较大，但在本期又全额收回或转 回，或在本期收回或转回比例较大，或通过重组等其他方式收回的其他应收款。</w:t>
      </w:r>
      <w:bookmarkEnd w:id="1082"/>
      <w:bookmarkEnd w:id="1083"/>
      <w:bookmarkEnd w:id="1085"/>
    </w:p>
    <w:p>
      <w:pPr>
        <w:pStyle w:val="Style55"/>
        <w:keepNext/>
        <w:keepLines/>
        <w:widowControl w:val="0"/>
        <w:numPr>
          <w:ilvl w:val="0"/>
          <w:numId w:val="29"/>
        </w:numPr>
        <w:shd w:val="clear" w:color="auto" w:fill="auto"/>
        <w:bidi w:val="0"/>
        <w:spacing w:before="0" w:line="240" w:lineRule="auto"/>
        <w:ind w:left="0" w:right="0" w:firstLine="68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本报告期，无实际核销的其他应收款。</w:t>
      </w:r>
      <w:bookmarkEnd w:id="1086"/>
      <w:bookmarkEnd w:id="1087"/>
      <w:bookmarkEnd w:id="1089"/>
    </w:p>
    <w:p>
      <w:pPr>
        <w:pStyle w:val="Style55"/>
        <w:keepNext/>
        <w:keepLines/>
        <w:widowControl w:val="0"/>
        <w:numPr>
          <w:ilvl w:val="0"/>
          <w:numId w:val="29"/>
        </w:numPr>
        <w:shd w:val="clear" w:color="auto" w:fill="auto"/>
        <w:bidi w:val="0"/>
        <w:spacing w:before="0" w:after="320" w:line="240" w:lineRule="auto"/>
        <w:ind w:left="0" w:right="0" w:firstLine="68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金额较大的其他应收款情况</w:t>
      </w:r>
      <w:bookmarkEnd w:id="1090"/>
      <w:bookmarkEnd w:id="1091"/>
      <w:bookmarkEnd w:id="1093"/>
    </w:p>
    <w:p>
      <w:pPr>
        <w:widowControl w:val="0"/>
        <w:spacing w:after="2518" w:line="1" w:lineRule="exact"/>
        <w:sectPr>
          <w:footnotePr>
            <w:pos w:val="pageBottom"/>
            <w:numFmt w:val="decimal"/>
            <w:numRestart w:val="continuous"/>
          </w:footnotePr>
          <w:pgSz w:w="11900" w:h="16840"/>
          <w:pgMar w:top="1105" w:right="881" w:bottom="1531" w:left="849" w:header="0" w:footer="3" w:gutter="0"/>
          <w:cols w:space="720"/>
          <w:noEndnote/>
          <w:rtlGutter w:val="0"/>
          <w:docGrid w:linePitch="360"/>
        </w:sectPr>
      </w:pPr>
      <w:r>
        <mc:AlternateContent>
          <mc:Choice Requires="wps">
            <w:drawing>
              <wp:anchor distT="0" distB="0" distL="0" distR="0" simplePos="0" relativeHeight="62915275" behindDoc="1" locked="0" layoutInCell="1" allowOverlap="1">
                <wp:simplePos x="0" y="0"/>
                <wp:positionH relativeFrom="page">
                  <wp:posOffset>1514475</wp:posOffset>
                </wp:positionH>
                <wp:positionV relativeFrom="paragraph">
                  <wp:posOffset>303530</wp:posOffset>
                </wp:positionV>
                <wp:extent cx="255905" cy="152400"/>
                <wp:wrapNone/>
                <wp:docPr id="745" name="Shape 745"/>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771" type="#_x0000_t202" style="position:absolute;margin-left:119.25pt;margin-top:23.900000000000002pt;width:20.150000000000002pt;height:12.pt;z-index:-188743478;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anchorx="page"/>
              </v:shape>
            </w:pict>
          </mc:Fallback>
        </mc:AlternateContent>
      </w:r>
      <w:r>
        <mc:AlternateContent>
          <mc:Choice Requires="wps">
            <w:drawing>
              <wp:anchor distT="0" distB="0" distL="0" distR="0" simplePos="0" relativeHeight="62915277" behindDoc="1" locked="0" layoutInCell="1" allowOverlap="1">
                <wp:simplePos x="0" y="0"/>
                <wp:positionH relativeFrom="page">
                  <wp:posOffset>2965450</wp:posOffset>
                </wp:positionH>
                <wp:positionV relativeFrom="paragraph">
                  <wp:posOffset>300990</wp:posOffset>
                </wp:positionV>
                <wp:extent cx="1444625" cy="152400"/>
                <wp:wrapNone/>
                <wp:docPr id="747" name="Shape 747"/>
                <a:graphic xmlns:a="http://schemas.openxmlformats.org/drawingml/2006/main">
                  <a:graphicData uri="http://schemas.microsoft.com/office/word/2010/wordprocessingShape">
                    <wps:wsp>
                      <wps:cNvSpPr txBox="1"/>
                      <wps:spPr>
                        <a:xfrm>
                          <a:ext cx="1444625" cy="152400"/>
                        </a:xfrm>
                        <a:prstGeom prst="rect"/>
                        <a:noFill/>
                      </wps:spPr>
                      <wps:txbx>
                        <w:txbxContent>
                          <w:p>
                            <w:pPr>
                              <w:pStyle w:val="Style72"/>
                              <w:keepNext w:val="0"/>
                              <w:keepLines w:val="0"/>
                              <w:widowControl w:val="0"/>
                              <w:shd w:val="clear" w:color="auto" w:fill="auto"/>
                              <w:tabs>
                                <w:tab w:pos="1848" w:val="left"/>
                              </w:tabs>
                              <w:bidi w:val="0"/>
                              <w:spacing w:before="0" w:after="0" w:line="240" w:lineRule="auto"/>
                              <w:ind w:left="0" w:right="0" w:firstLine="0"/>
                              <w:jc w:val="left"/>
                            </w:pPr>
                            <w:r>
                              <w:rPr>
                                <w:color w:val="000000"/>
                                <w:spacing w:val="0"/>
                                <w:w w:val="100"/>
                                <w:position w:val="0"/>
                              </w:rPr>
                              <w:t>款项性质</w:t>
                              <w:tab/>
                              <w:t>金额</w:t>
                            </w:r>
                          </w:p>
                        </w:txbxContent>
                      </wps:txbx>
                      <wps:bodyPr wrap="none" lIns="0" tIns="0" rIns="0" bIns="0">
                        <a:noAutoFit/>
                      </wps:bodyPr>
                    </wps:wsp>
                  </a:graphicData>
                </a:graphic>
              </wp:anchor>
            </w:drawing>
          </mc:Choice>
          <mc:Fallback>
            <w:pict>
              <v:shape id="_x0000_s1773" type="#_x0000_t202" style="position:absolute;margin-left:233.5pt;margin-top:23.699999999999999pt;width:113.75pt;height:12.pt;z-index:-188743476;mso-wrap-distance-left:0;mso-wrap-distance-right:0;mso-position-horizontal-relative:page" wrapcoords="0 0" filled="f" stroked="f">
                <v:textbox inset="0,0,0,0">
                  <w:txbxContent>
                    <w:p>
                      <w:pPr>
                        <w:pStyle w:val="Style72"/>
                        <w:keepNext w:val="0"/>
                        <w:keepLines w:val="0"/>
                        <w:widowControl w:val="0"/>
                        <w:shd w:val="clear" w:color="auto" w:fill="auto"/>
                        <w:tabs>
                          <w:tab w:pos="1848" w:val="left"/>
                        </w:tabs>
                        <w:bidi w:val="0"/>
                        <w:spacing w:before="0" w:after="0" w:line="240" w:lineRule="auto"/>
                        <w:ind w:left="0" w:right="0" w:firstLine="0"/>
                        <w:jc w:val="left"/>
                      </w:pPr>
                      <w:r>
                        <w:rPr>
                          <w:color w:val="000000"/>
                          <w:spacing w:val="0"/>
                          <w:w w:val="100"/>
                          <w:position w:val="0"/>
                        </w:rPr>
                        <w:t>款项性质</w:t>
                        <w:tab/>
                        <w:t>金额</w:t>
                      </w:r>
                    </w:p>
                  </w:txbxContent>
                </v:textbox>
                <w10:wrap anchorx="page"/>
              </v:shape>
            </w:pict>
          </mc:Fallback>
        </mc:AlternateContent>
      </w:r>
      <w:r>
        <mc:AlternateContent>
          <mc:Choice Requires="wps">
            <w:drawing>
              <wp:anchor distT="0" distB="0" distL="0" distR="0" simplePos="0" relativeHeight="62915279" behindDoc="1" locked="0" layoutInCell="1" allowOverlap="1">
                <wp:simplePos x="0" y="0"/>
                <wp:positionH relativeFrom="page">
                  <wp:posOffset>5165725</wp:posOffset>
                </wp:positionH>
                <wp:positionV relativeFrom="paragraph">
                  <wp:posOffset>300990</wp:posOffset>
                </wp:positionV>
                <wp:extent cx="262255" cy="152400"/>
                <wp:wrapNone/>
                <wp:docPr id="749" name="Shape 749"/>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wps:txbx>
                      <wps:bodyPr wrap="none" lIns="0" tIns="0" rIns="0" bIns="0">
                        <a:noAutoFit/>
                      </wps:bodyPr>
                    </wps:wsp>
                  </a:graphicData>
                </a:graphic>
              </wp:anchor>
            </w:drawing>
          </mc:Choice>
          <mc:Fallback>
            <w:pict>
              <v:shape id="_x0000_s1775" type="#_x0000_t202" style="position:absolute;margin-left:406.75pt;margin-top:23.699999999999999pt;width:20.650000000000002pt;height:12.pt;z-index:-188743474;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v:textbox>
                <w10:wrap anchorx="page"/>
              </v:shape>
            </w:pict>
          </mc:Fallback>
        </mc:AlternateContent>
      </w:r>
      <w:r>
        <mc:AlternateContent>
          <mc:Choice Requires="wps">
            <w:drawing>
              <wp:anchor distT="0" distB="0" distL="0" distR="0" simplePos="0" relativeHeight="62915281" behindDoc="1" locked="0" layoutInCell="1" allowOverlap="1">
                <wp:simplePos x="0" y="0"/>
                <wp:positionH relativeFrom="page">
                  <wp:posOffset>5891530</wp:posOffset>
                </wp:positionH>
                <wp:positionV relativeFrom="paragraph">
                  <wp:posOffset>203200</wp:posOffset>
                </wp:positionV>
                <wp:extent cx="932815" cy="353695"/>
                <wp:wrapNone/>
                <wp:docPr id="751" name="Shape 751"/>
                <a:graphic xmlns:a="http://schemas.openxmlformats.org/drawingml/2006/main">
                  <a:graphicData uri="http://schemas.microsoft.com/office/word/2010/wordprocessingShape">
                    <wps:wsp>
                      <wps:cNvSpPr txBox="1"/>
                      <wps:spPr>
                        <a:xfrm>
                          <a:ext cx="932815" cy="353695"/>
                        </a:xfrm>
                        <a:prstGeom prst="rect"/>
                        <a:noFill/>
                      </wps:spPr>
                      <wps:txbx>
                        <w:txbxContent>
                          <w:p>
                            <w:pPr>
                              <w:pStyle w:val="Style7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占其他应收款总额</w:t>
                            </w:r>
                          </w:p>
                          <w:p>
                            <w:pPr>
                              <w:pStyle w:val="Style72"/>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w:t>
                            </w:r>
                          </w:p>
                        </w:txbxContent>
                      </wps:txbx>
                      <wps:bodyPr lIns="0" tIns="0" rIns="0" bIns="0">
                        <a:noAutoFit/>
                      </wps:bodyPr>
                    </wps:wsp>
                  </a:graphicData>
                </a:graphic>
              </wp:anchor>
            </w:drawing>
          </mc:Choice>
          <mc:Fallback>
            <w:pict>
              <v:shape id="_x0000_s1777" type="#_x0000_t202" style="position:absolute;margin-left:463.90000000000003pt;margin-top:16.pt;width:73.450000000000003pt;height:27.850000000000001pt;z-index:-188743472;mso-wrap-distance-left:0;mso-wrap-distance-right:0;mso-position-horizontal-relative:page" wrapcoords="0 0" filled="f" stroked="f">
                <v:textbox inset="0,0,0,0">
                  <w:txbxContent>
                    <w:p>
                      <w:pPr>
                        <w:pStyle w:val="Style7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占其他应收款总额</w:t>
                      </w:r>
                    </w:p>
                    <w:p>
                      <w:pPr>
                        <w:pStyle w:val="Style72"/>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w:t>
                      </w:r>
                    </w:p>
                  </w:txbxContent>
                </v:textbox>
                <w10:wrap anchorx="page"/>
              </v:shape>
            </w:pict>
          </mc:Fallback>
        </mc:AlternateContent>
      </w:r>
      <w:r>
        <w:drawing>
          <wp:anchor distT="0" distB="0" distL="0" distR="0" simplePos="0" relativeHeight="62915283" behindDoc="1" locked="0" layoutInCell="1" allowOverlap="1">
            <wp:simplePos x="0" y="0"/>
            <wp:positionH relativeFrom="page">
              <wp:posOffset>6116955</wp:posOffset>
            </wp:positionH>
            <wp:positionV relativeFrom="paragraph">
              <wp:posOffset>788670</wp:posOffset>
            </wp:positionV>
            <wp:extent cx="1078865" cy="499745"/>
            <wp:wrapNone/>
            <wp:docPr id="753" name="Shape 753"/>
            <a:graphic xmlns:a="http://schemas.openxmlformats.org/drawingml/2006/main">
              <a:graphicData uri="http://schemas.openxmlformats.org/drawingml/2006/picture">
                <pic:pic xmlns:pic="http://schemas.openxmlformats.org/drawingml/2006/picture">
                  <pic:nvPicPr>
                    <pic:cNvPr id="754" name="Picture box 754"/>
                    <pic:cNvPicPr/>
                  </pic:nvPicPr>
                  <pic:blipFill>
                    <a:blip r:embed="rId253"/>
                    <a:stretch/>
                  </pic:blipFill>
                  <pic:spPr>
                    <a:xfrm>
                      <a:ext cx="1078865" cy="499745"/>
                    </a:xfrm>
                    <a:prstGeom prst="rect"/>
                  </pic:spPr>
                </pic:pic>
              </a:graphicData>
            </a:graphic>
          </wp:anchor>
        </w:drawing>
      </w:r>
      <w:r>
        <w:drawing>
          <wp:anchor distT="0" distB="0" distL="0" distR="0" simplePos="0" relativeHeight="62915284" behindDoc="1" locked="0" layoutInCell="1" allowOverlap="1">
            <wp:simplePos x="0" y="0"/>
            <wp:positionH relativeFrom="page">
              <wp:posOffset>6796405</wp:posOffset>
            </wp:positionH>
            <wp:positionV relativeFrom="paragraph">
              <wp:posOffset>1452880</wp:posOffset>
            </wp:positionV>
            <wp:extent cx="743585" cy="146050"/>
            <wp:wrapNone/>
            <wp:docPr id="755" name="Shape 755"/>
            <a:graphic xmlns:a="http://schemas.openxmlformats.org/drawingml/2006/main">
              <a:graphicData uri="http://schemas.openxmlformats.org/drawingml/2006/picture">
                <pic:pic xmlns:pic="http://schemas.openxmlformats.org/drawingml/2006/picture">
                  <pic:nvPicPr>
                    <pic:cNvPr id="756" name="Picture box 756"/>
                    <pic:cNvPicPr/>
                  </pic:nvPicPr>
                  <pic:blipFill>
                    <a:blip r:embed="rId255"/>
                    <a:stretch/>
                  </pic:blipFill>
                  <pic:spPr>
                    <a:xfrm>
                      <a:ext cx="743585" cy="146050"/>
                    </a:xfrm>
                    <a:prstGeom prst="rect"/>
                  </pic:spPr>
                </pic:pic>
              </a:graphicData>
            </a:graphic>
          </wp:anchor>
        </w:drawing>
      </w:r>
    </w:p>
    <w:tbl>
      <w:tblPr>
        <w:tblOverlap w:val="never"/>
        <w:jc w:val="right"/>
        <w:tblLayout w:type="fixed"/>
      </w:tblPr>
      <w:tblGrid>
        <w:gridCol w:w="2006"/>
        <w:gridCol w:w="2222"/>
        <w:gridCol w:w="1642"/>
        <w:gridCol w:w="1781"/>
        <w:gridCol w:w="1272"/>
      </w:tblGrid>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其他应收款第一名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应收股权转让款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4,954,234.17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应收出口退税款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2,432,383.76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r>
      <w:tr>
        <w:trPr>
          <w:trHeight w:val="31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7,386,617.93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99.49</w:t>
            </w:r>
          </w:p>
        </w:tc>
      </w:tr>
    </w:tbl>
    <w:p>
      <w:pPr>
        <w:widowControl w:val="0"/>
        <w:spacing w:after="339" w:line="1" w:lineRule="exact"/>
      </w:pPr>
    </w:p>
    <w:p>
      <w:pPr>
        <w:pStyle w:val="Style55"/>
        <w:keepNext/>
        <w:keepLines/>
        <w:widowControl w:val="0"/>
        <w:numPr>
          <w:ilvl w:val="0"/>
          <w:numId w:val="29"/>
        </w:numPr>
        <w:shd w:val="clear" w:color="auto" w:fill="auto"/>
        <w:bidi w:val="0"/>
        <w:spacing w:before="0" w:after="560" w:line="240" w:lineRule="auto"/>
        <w:ind w:left="0" w:right="0" w:firstLine="68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期末余额中，无应收本公司关联方单位款项。</w:t>
      </w:r>
      <w:bookmarkEnd w:id="1094"/>
      <w:bookmarkEnd w:id="1095"/>
      <w:bookmarkEnd w:id="1097"/>
    </w:p>
    <w:p>
      <w:pPr>
        <w:pStyle w:val="Style44"/>
        <w:keepNext/>
        <w:keepLines/>
        <w:widowControl w:val="0"/>
        <w:shd w:val="clear" w:color="auto" w:fill="auto"/>
        <w:bidi w:val="0"/>
        <w:spacing w:before="0" w:after="280" w:line="240" w:lineRule="auto"/>
        <w:ind w:left="0" w:right="0" w:firstLine="56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、长期股权投资</w:t>
      </w:r>
      <w:bookmarkEnd w:id="1098"/>
      <w:bookmarkEnd w:id="1099"/>
      <w:bookmarkEnd w:id="1101"/>
    </w:p>
    <w:tbl>
      <w:tblPr>
        <w:tblOverlap w:val="never"/>
        <w:jc w:val="center"/>
        <w:tblLayout w:type="fixed"/>
      </w:tblPr>
      <w:tblGrid>
        <w:gridCol w:w="2328"/>
        <w:gridCol w:w="1200"/>
        <w:gridCol w:w="1752"/>
        <w:gridCol w:w="1589"/>
        <w:gridCol w:w="1474"/>
        <w:gridCol w:w="1589"/>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核算方法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投资成本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增减变动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唐山晶源电子有限公司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成本法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29,403,614.13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29,403,614.13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29,403,614.13</w:t>
            </w:r>
          </w:p>
        </w:tc>
      </w:tr>
      <w:tr>
        <w:trPr>
          <w:trHeight w:val="624" w:hRule="exact"/>
        </w:trPr>
        <w:tc>
          <w:tcPr>
            <w:tcBorders/>
            <w:shd w:val="clear" w:color="auto" w:fill="FFFFFF"/>
            <w:vAlign w:val="bottom"/>
          </w:tcPr>
          <w:p>
            <w:pPr>
              <w:pStyle w:val="Style2"/>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北京晶源裕丰光学电子器</w:t>
            </w:r>
          </w:p>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成本法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5,330,454.67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5,330,454.67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5,330,454.67</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深圳市晶源健三电子有限</w:t>
            </w:r>
          </w:p>
        </w:tc>
        <w:tc>
          <w:tcPr>
            <w:gridSpan w:val="5"/>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北京同方微电子有限公司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592,459,079.47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592,459,079.47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592,459,079.47</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深圳市国微电子有限公司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成本法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988,293,976.09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837,115,799.99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151,178,176.10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988,293,976.09</w:t>
            </w:r>
          </w:p>
        </w:tc>
      </w:tr>
      <w:tr>
        <w:trPr>
          <w:trHeight w:val="643" w:hRule="exact"/>
        </w:trPr>
        <w:tc>
          <w:tcPr>
            <w:tcBorders/>
            <w:shd w:val="clear" w:color="auto" w:fill="FFFFFF"/>
            <w:vAlign w:val="bottom"/>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九江佳华压电晶体材料有 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1,937,018.72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-386,455.72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1,550,563.00</w:t>
            </w:r>
          </w:p>
        </w:tc>
      </w:tr>
      <w:tr>
        <w:trPr>
          <w:trHeight w:val="49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1,621,037,124.36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1,469,245,966.98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147,791,720.38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1,617,037,687.36</w:t>
            </w:r>
          </w:p>
        </w:tc>
      </w:tr>
    </w:tbl>
    <w:p>
      <w:pPr>
        <w:widowControl w:val="0"/>
        <w:spacing w:after="239" w:line="1" w:lineRule="exact"/>
      </w:pPr>
    </w:p>
    <w:p>
      <w:pPr>
        <w:pStyle w:val="Style44"/>
        <w:keepNext/>
        <w:keepLines/>
        <w:widowControl w:val="0"/>
        <w:pBdr>
          <w:bottom w:val="single" w:sz="4" w:space="0" w:color="auto"/>
        </w:pBdr>
        <w:shd w:val="clear" w:color="auto" w:fill="auto"/>
        <w:bidi w:val="0"/>
        <w:spacing w:before="0" w:after="140" w:line="240" w:lineRule="auto"/>
        <w:ind w:left="0" w:right="0" w:firstLine="680"/>
        <w:jc w:val="left"/>
      </w:pPr>
      <w:bookmarkStart w:id="1102" w:name="bookmark1102"/>
      <w:bookmarkStart w:id="1103" w:name="bookmark1103"/>
      <w:bookmarkStart w:id="1104" w:name="bookmark1104"/>
      <w:r>
        <w:rPr>
          <w:color w:val="000000"/>
          <w:spacing w:val="0"/>
          <w:w w:val="100"/>
          <w:position w:val="0"/>
        </w:rPr>
        <w:t>(续上表)</w:t>
      </w:r>
      <w:bookmarkEnd w:id="1102"/>
      <w:bookmarkEnd w:id="1103"/>
      <w:bookmarkEnd w:id="1104"/>
    </w:p>
    <w:p>
      <w:pPr>
        <w:pStyle w:val="Style72"/>
        <w:keepNext w:val="0"/>
        <w:keepLines w:val="0"/>
        <w:widowControl w:val="0"/>
        <w:shd w:val="clear" w:color="auto" w:fill="auto"/>
        <w:tabs>
          <w:tab w:pos="8846" w:val="left"/>
        </w:tabs>
        <w:bidi w:val="0"/>
        <w:spacing w:before="0" w:after="0" w:line="134" w:lineRule="exact"/>
        <w:ind w:left="3340" w:right="420" w:firstLine="0"/>
        <w:jc w:val="right"/>
      </w:pPr>
      <w:r>
        <w:rPr>
          <w:color w:val="000000"/>
          <w:spacing w:val="0"/>
          <w:w w:val="100"/>
          <w:position w:val="0"/>
        </w:rPr>
        <w:t>在被投资在被投资在被投资单位持股</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也本期计工如可 减值</w:t>
        <w:tab/>
        <w:t>本期现</w:t>
      </w:r>
    </w:p>
    <w:p>
      <w:pPr>
        <w:pStyle w:val="Style72"/>
        <w:keepNext w:val="0"/>
        <w:keepLines w:val="0"/>
        <w:widowControl w:val="0"/>
        <w:shd w:val="clear" w:color="auto" w:fill="auto"/>
        <w:tabs>
          <w:tab w:pos="6438" w:val="left"/>
        </w:tabs>
        <w:bidi w:val="0"/>
        <w:spacing w:before="0" w:after="0" w:line="154" w:lineRule="exact"/>
        <w:ind w:left="1820" w:right="0" w:firstLine="0"/>
        <w:jc w:val="left"/>
      </w:pPr>
      <w:r>
        <mc:AlternateContent>
          <mc:Choice Requires="wps">
            <w:drawing>
              <wp:anchor distT="0" distB="0" distL="114300" distR="114300" simplePos="0" relativeHeight="125829419" behindDoc="0" locked="0" layoutInCell="1" allowOverlap="1">
                <wp:simplePos x="0" y="0"/>
                <wp:positionH relativeFrom="page">
                  <wp:posOffset>880110</wp:posOffset>
                </wp:positionH>
                <wp:positionV relativeFrom="paragraph">
                  <wp:posOffset>25400</wp:posOffset>
                </wp:positionV>
                <wp:extent cx="603250" cy="155575"/>
                <wp:wrapSquare wrapText="right"/>
                <wp:docPr id="757" name="Shape 757"/>
                <a:graphic xmlns:a="http://schemas.openxmlformats.org/drawingml/2006/main">
                  <a:graphicData uri="http://schemas.microsoft.com/office/word/2010/wordprocessingShape">
                    <wps:wsp>
                      <wps:cNvSpPr txBox="1"/>
                      <wps:spPr>
                        <a:xfrm>
                          <a:ext cx="603250" cy="1555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wps:txbx>
                      <wps:bodyPr wrap="none" lIns="0" tIns="0" rIns="0" bIns="0">
                        <a:noAutoFit/>
                      </wps:bodyPr>
                    </wps:wsp>
                  </a:graphicData>
                </a:graphic>
              </wp:anchor>
            </w:drawing>
          </mc:Choice>
          <mc:Fallback>
            <w:pict>
              <v:shape id="_x0000_s1783" type="#_x0000_t202" style="position:absolute;margin-left:69.299999999999997pt;margin-top:2.pt;width:47.5pt;height:12.25pt;z-index:-125829334;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xbxContent>
                </v:textbox>
                <w10:wrap type="square" side="right" anchorx="page"/>
              </v:shape>
            </w:pict>
          </mc:Fallback>
        </mc:AlternateContent>
      </w:r>
      <w:r>
        <w:rPr>
          <w:color w:val="000000"/>
          <w:spacing w:val="0"/>
          <w:w w:val="100"/>
          <w:position w:val="0"/>
        </w:rPr>
        <w:t>单位持股 单位表决 比例与表决权比例</w:t>
        <w:tab/>
        <w:t>提减值 :</w:t>
      </w:r>
    </w:p>
    <w:p>
      <w:pPr>
        <w:pStyle w:val="Style72"/>
        <w:keepNext w:val="0"/>
        <w:keepLines w:val="0"/>
        <w:widowControl w:val="0"/>
        <w:shd w:val="clear" w:color="auto" w:fill="auto"/>
        <w:tabs>
          <w:tab w:pos="4436" w:val="left"/>
          <w:tab w:pos="7978" w:val="left"/>
        </w:tabs>
        <w:bidi w:val="0"/>
        <w:spacing w:before="0" w:after="80" w:line="154" w:lineRule="exact"/>
        <w:ind w:left="3380" w:right="0" w:firstLine="3960"/>
        <w:jc w:val="left"/>
      </w:pPr>
      <w:r>
        <w:rPr>
          <w:color w:val="000000"/>
          <w:spacing w:val="0"/>
          <w:w w:val="100"/>
          <w:position w:val="0"/>
        </w:rPr>
        <w:t>金红利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不一致的说明</w:t>
        <w:tab/>
        <w:t>准备</w:t>
      </w:r>
    </w:p>
    <w:p>
      <w:pPr>
        <w:widowControl w:val="0"/>
        <w:spacing w:after="1570" w:line="1" w:lineRule="exact"/>
      </w:pPr>
      <w:r>
        <w:drawing>
          <wp:anchor distT="0" distB="0" distL="0" distR="0" simplePos="0" relativeHeight="62915285" behindDoc="1" locked="0" layoutInCell="1" allowOverlap="1">
            <wp:simplePos x="0" y="0"/>
            <wp:positionH relativeFrom="page">
              <wp:posOffset>5821045</wp:posOffset>
            </wp:positionH>
            <wp:positionV relativeFrom="paragraph">
              <wp:posOffset>0</wp:posOffset>
            </wp:positionV>
            <wp:extent cx="1737360" cy="999490"/>
            <wp:wrapNone/>
            <wp:docPr id="759" name="Shape 759"/>
            <a:graphic xmlns:a="http://schemas.openxmlformats.org/drawingml/2006/main">
              <a:graphicData uri="http://schemas.openxmlformats.org/drawingml/2006/picture">
                <pic:pic xmlns:pic="http://schemas.openxmlformats.org/drawingml/2006/picture">
                  <pic:nvPicPr>
                    <pic:cNvPr id="760" name="Picture box 760"/>
                    <pic:cNvPicPr/>
                  </pic:nvPicPr>
                  <pic:blipFill>
                    <a:blip r:embed="rId257"/>
                    <a:stretch/>
                  </pic:blipFill>
                  <pic:spPr>
                    <a:xfrm>
                      <a:ext cx="1737360" cy="999490"/>
                    </a:xfrm>
                    <a:prstGeom prst="rect"/>
                  </pic:spPr>
                </pic:pic>
              </a:graphicData>
            </a:graphic>
          </wp:anchor>
        </w:drawing>
      </w:r>
    </w:p>
    <w:tbl>
      <w:tblPr>
        <w:tblOverlap w:val="never"/>
        <w:jc w:val="center"/>
        <w:tblLayout w:type="fixed"/>
      </w:tblPr>
      <w:tblGrid>
        <w:gridCol w:w="3139"/>
        <w:gridCol w:w="883"/>
        <w:gridCol w:w="2424"/>
        <w:gridCol w:w="1930"/>
        <w:gridCol w:w="984"/>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唐山晶源电子有限公司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181" w:hRule="exact"/>
        </w:trPr>
        <w:tc>
          <w:tcPr>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北京晶源裕丰光学电子器件有限公</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司</w:t>
            </w:r>
          </w:p>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深圳市晶源健三电子有限公司</w:t>
            </w:r>
          </w:p>
        </w:tc>
        <w:tc>
          <w:tcPr>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北京同方微电子有限公司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深圳市国微电子有限公司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九江佳华压电晶体材料有限公司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、营业收入、营业成本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)营业收入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上期金额</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203,848,173.76</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206,160,753.71</w:t>
            </w:r>
          </w:p>
        </w:tc>
      </w:tr>
    </w:tbl>
    <w:p>
      <w:pPr>
        <w:widowControl w:val="0"/>
        <w:spacing w:line="1" w:lineRule="exact"/>
      </w:pPr>
      <w:r>
        <w:br w:type="page"/>
      </w:r>
    </w:p>
    <w:tbl>
      <w:tblPr>
        <w:tblOverlap w:val="never"/>
        <w:jc w:val="center"/>
        <w:tblLayout w:type="fixed"/>
      </w:tblPr>
      <w:tblGrid>
        <w:gridCol w:w="1397"/>
        <w:gridCol w:w="2606"/>
        <w:gridCol w:w="1661"/>
        <w:gridCol w:w="2030"/>
        <w:gridCol w:w="1565"/>
      </w:tblGrid>
      <w:tr>
        <w:trPr>
          <w:trHeight w:val="8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2,136,168.93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6,843,148.03</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205,984,342.69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213,003,901.74</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177,610,255.14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180,172,793.41</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1,037,774.18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5,515,268.31</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营业成本合计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178,648,029.32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185,688,061.72</w:t>
            </w:r>
          </w:p>
        </w:tc>
      </w:tr>
      <w:tr>
        <w:trPr>
          <w:trHeight w:val="610"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）主营业务（分产品）</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产品名称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1880" w:right="0" w:firstLine="0"/>
              <w:jc w:val="left"/>
            </w:pPr>
            <w:r>
              <w:rPr>
                <w:b/>
                <w:bCs/>
                <w:color w:val="000000"/>
                <w:spacing w:val="0"/>
                <w:w w:val="100"/>
                <w:position w:val="0"/>
              </w:rPr>
              <w:t>本期金额</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上期金额</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谐振器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152,755,768.13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132,927,396.90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167,765,707.65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151,854,991.00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振荡器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45,829,268.57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33,989,374.24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38,395,046.06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28,317,802.41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蓝宝石衬底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5,263,137.06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10,693,484.00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203,848,173.76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177,610,255.14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206,160,753.71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180,172,793.41</w:t>
            </w:r>
          </w:p>
        </w:tc>
      </w:tr>
    </w:tbl>
    <w:p>
      <w:pPr>
        <w:widowControl w:val="0"/>
        <w:spacing w:after="219" w:line="1" w:lineRule="exact"/>
      </w:pPr>
    </w:p>
    <w:p>
      <w:pPr>
        <w:pStyle w:val="Style55"/>
        <w:keepNext/>
        <w:keepLines/>
        <w:widowControl w:val="0"/>
        <w:pBdr>
          <w:bottom w:val="single" w:sz="4" w:space="0" w:color="auto"/>
        </w:pBdr>
        <w:shd w:val="clear" w:color="auto" w:fill="auto"/>
        <w:bidi w:val="0"/>
        <w:spacing w:before="0" w:after="220" w:line="240" w:lineRule="auto"/>
        <w:ind w:left="0" w:right="0" w:firstLine="48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）主营业务（分地区）</w:t>
      </w:r>
      <w:bookmarkEnd w:id="1105"/>
      <w:bookmarkEnd w:id="1106"/>
      <w:bookmarkEnd w:id="1108"/>
    </w:p>
    <w:tbl>
      <w:tblPr>
        <w:tblOverlap w:val="never"/>
        <w:jc w:val="center"/>
        <w:tblLayout w:type="fixed"/>
      </w:tblPr>
      <w:tblGrid>
        <w:gridCol w:w="1723"/>
        <w:gridCol w:w="2338"/>
        <w:gridCol w:w="1690"/>
        <w:gridCol w:w="2074"/>
        <w:gridCol w:w="1546"/>
      </w:tblGrid>
      <w:tr>
        <w:trPr>
          <w:trHeight w:val="8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地区名称</w:t>
            </w:r>
          </w:p>
        </w:tc>
        <w:tc>
          <w:tcPr>
            <w:tcBorders/>
            <w:shd w:val="clear" w:color="auto" w:fill="FFFFFF"/>
            <w:vAlign w:val="top"/>
          </w:tcPr>
          <w:p>
            <w:pPr>
              <w:pStyle w:val="Style2"/>
              <w:keepNext w:val="0"/>
              <w:keepLines w:val="0"/>
              <w:widowControl w:val="0"/>
              <w:shd w:val="clear" w:color="auto" w:fill="auto"/>
              <w:bidi w:val="0"/>
              <w:spacing w:before="0" w:after="260" w:line="240" w:lineRule="auto"/>
              <w:ind w:left="0" w:right="0" w:firstLine="0"/>
              <w:jc w:val="right"/>
            </w:pPr>
            <w:r>
              <w:rPr>
                <w:b/>
                <w:bCs/>
                <w:color w:val="000000"/>
                <w:spacing w:val="0"/>
                <w:w w:val="100"/>
                <w:position w:val="0"/>
              </w:rPr>
              <w:t>本期金额</w:t>
            </w:r>
          </w:p>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主营业务收入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c>
          <w:tcPr>
            <w:tcBorders/>
            <w:shd w:val="clear" w:color="auto" w:fill="FFFFFF"/>
            <w:vAlign w:val="top"/>
          </w:tcPr>
          <w:p>
            <w:pPr>
              <w:pStyle w:val="Style2"/>
              <w:keepNext w:val="0"/>
              <w:keepLines w:val="0"/>
              <w:widowControl w:val="0"/>
              <w:shd w:val="clear" w:color="auto" w:fill="auto"/>
              <w:bidi w:val="0"/>
              <w:spacing w:before="0" w:after="260" w:line="240" w:lineRule="auto"/>
              <w:ind w:left="1320" w:right="0" w:firstLine="0"/>
              <w:jc w:val="left"/>
            </w:pPr>
            <w:r>
              <w:rPr>
                <w:b/>
                <w:bCs/>
                <w:color w:val="000000"/>
                <w:spacing w:val="0"/>
                <w:w w:val="100"/>
                <w:position w:val="0"/>
              </w:rPr>
              <w:t>上期金额</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主营业务收入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28,652,043.70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18,561,704.69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19,743,071.43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16,608,089.46</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175,196,130.06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159,048,550.45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186,417,682.28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163,564,703.95</w:t>
            </w:r>
          </w:p>
        </w:tc>
      </w:tr>
      <w:tr>
        <w:trPr>
          <w:trHeight w:val="475"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b/>
                <w:bCs/>
                <w:color w:val="000000"/>
                <w:spacing w:val="0"/>
                <w:w w:val="100"/>
                <w:position w:val="0"/>
                <w:sz w:val="18"/>
                <w:szCs w:val="18"/>
              </w:rPr>
              <w:t>203,848,173.76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177,610,255.14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206,160,753.71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180,172,793.41</w:t>
            </w:r>
          </w:p>
        </w:tc>
      </w:tr>
    </w:tbl>
    <w:p>
      <w:pPr>
        <w:widowControl w:val="0"/>
        <w:spacing w:after="219" w:line="1" w:lineRule="exact"/>
      </w:pPr>
    </w:p>
    <w:p>
      <w:pPr>
        <w:pStyle w:val="Style55"/>
        <w:keepNext/>
        <w:keepLines/>
        <w:widowControl w:val="0"/>
        <w:shd w:val="clear" w:color="auto" w:fill="auto"/>
        <w:bidi w:val="0"/>
        <w:spacing w:before="0" w:after="100" w:line="240" w:lineRule="auto"/>
        <w:ind w:left="0" w:right="0" w:firstLine="48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w:t>
      </w:r>
      <w:bookmarkEnd w:id="1111"/>
      <w:r>
        <w:rPr>
          <w:rFonts w:ascii="Times New Roman" w:eastAsia="Times New Roman" w:hAnsi="Times New Roman" w:cs="Times New Roman"/>
          <w:color w:val="000000"/>
          <w:spacing w:val="0"/>
          <w:w w:val="100"/>
          <w:position w:val="0"/>
        </w:rPr>
        <w:t>4</w:t>
      </w:r>
      <w:r>
        <w:rPr>
          <w:color w:val="000000"/>
          <w:spacing w:val="0"/>
          <w:w w:val="100"/>
          <w:position w:val="0"/>
        </w:rPr>
        <w:t>）公司前五名客户的营业收入情况</w:t>
      </w:r>
      <w:bookmarkEnd w:id="1109"/>
      <w:bookmarkEnd w:id="1110"/>
      <w:bookmarkEnd w:id="1112"/>
    </w:p>
    <w:tbl>
      <w:tblPr>
        <w:tblOverlap w:val="never"/>
        <w:jc w:val="center"/>
        <w:tblLayout w:type="fixed"/>
      </w:tblPr>
      <w:tblGrid>
        <w:gridCol w:w="3120"/>
        <w:gridCol w:w="1930"/>
        <w:gridCol w:w="4459"/>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占公司全部营业收入的比例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收入第一名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30,725,668.19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收入第二名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28,906,441.05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14.03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收入第三名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24,190,014.39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收入第四名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21,326,093.42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收入第五名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20,324,785.68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125,473,002.73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b/>
                <w:bCs/>
                <w:color w:val="000000"/>
                <w:spacing w:val="0"/>
                <w:w w:val="100"/>
                <w:position w:val="0"/>
                <w:sz w:val="18"/>
                <w:szCs w:val="18"/>
              </w:rPr>
              <w:t>60.91</w:t>
            </w:r>
          </w:p>
        </w:tc>
      </w:tr>
      <w:tr>
        <w:trPr>
          <w:trHeight w:val="103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）投资收益明细情况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832" w:val="left"/>
              </w:tabs>
              <w:bidi w:val="0"/>
              <w:spacing w:before="0" w:after="0" w:line="240" w:lineRule="auto"/>
              <w:ind w:left="0" w:right="0" w:firstLine="240"/>
              <w:jc w:val="left"/>
            </w:pPr>
            <w:r>
              <w:rPr>
                <w:b/>
                <w:bCs/>
                <w:color w:val="000000"/>
                <w:spacing w:val="0"/>
                <w:w w:val="100"/>
                <w:position w:val="0"/>
              </w:rPr>
              <w:t>本期金额</w:t>
              <w:tab/>
              <w:t>上期金额</w:t>
            </w:r>
          </w:p>
        </w:tc>
      </w:tr>
    </w:tbl>
    <w:p>
      <w:pPr>
        <w:widowControl w:val="0"/>
        <w:spacing w:line="1" w:lineRule="exact"/>
      </w:pPr>
      <w:r>
        <w:br w:type="page"/>
      </w:r>
    </w:p>
    <w:tbl>
      <w:tblPr>
        <w:tblOverlap w:val="never"/>
        <w:jc w:val="center"/>
        <w:tblLayout w:type="fixed"/>
      </w:tblPr>
      <w:tblGrid>
        <w:gridCol w:w="4363"/>
        <w:gridCol w:w="3259"/>
        <w:gridCol w:w="1886"/>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-386,455.72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2,954,234.17</w:t>
            </w:r>
          </w:p>
        </w:tc>
        <w:tc>
          <w:tcPr>
            <w:tcBorders/>
            <w:shd w:val="clear" w:color="auto" w:fill="FFFFFF"/>
            <w:vAlign w:val="top"/>
          </w:tcPr>
          <w:p>
            <w:pPr>
              <w:widowControl w:val="0"/>
              <w:rPr>
                <w:sz w:val="10"/>
                <w:szCs w:val="10"/>
              </w:rPr>
            </w:pPr>
          </w:p>
        </w:tc>
      </w:tr>
      <w:tr>
        <w:trPr>
          <w:trHeight w:val="461"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52,567,778.45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59,788,573.81</w:t>
            </w:r>
          </w:p>
        </w:tc>
      </w:tr>
    </w:tbl>
    <w:p>
      <w:pPr>
        <w:widowControl w:val="0"/>
        <w:spacing w:after="239" w:line="1" w:lineRule="exact"/>
      </w:pPr>
    </w:p>
    <w:p>
      <w:pPr>
        <w:pStyle w:val="Style55"/>
        <w:keepNext/>
        <w:keepLines/>
        <w:widowControl w:val="0"/>
        <w:pBdr>
          <w:bottom w:val="single" w:sz="4" w:space="0" w:color="auto"/>
        </w:pBdr>
        <w:shd w:val="clear" w:color="auto" w:fill="auto"/>
        <w:bidi w:val="0"/>
        <w:spacing w:before="0" w:after="80" w:line="240" w:lineRule="auto"/>
        <w:ind w:left="0" w:right="0" w:firstLine="52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13"/>
      <w:bookmarkEnd w:id="1114"/>
      <w:bookmarkEnd w:id="1115"/>
    </w:p>
    <w:tbl>
      <w:tblPr>
        <w:tblOverlap w:val="never"/>
        <w:jc w:val="center"/>
        <w:tblLayout w:type="fixed"/>
      </w:tblPr>
      <w:tblGrid>
        <w:gridCol w:w="3682"/>
        <w:gridCol w:w="3778"/>
        <w:gridCol w:w="1954"/>
      </w:tblGrid>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北京同方微电子有限公司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b/>
                <w:bCs/>
                <w:color w:val="000000"/>
                <w:spacing w:val="0"/>
                <w:w w:val="100"/>
                <w:position w:val="0"/>
                <w:sz w:val="18"/>
                <w:szCs w:val="18"/>
              </w:rPr>
              <w:t>50,000,000.00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60,000,000.00</w:t>
            </w:r>
          </w:p>
        </w:tc>
      </w:tr>
    </w:tbl>
    <w:p>
      <w:pPr>
        <w:widowControl w:val="0"/>
        <w:spacing w:after="239" w:line="1" w:lineRule="exact"/>
      </w:pPr>
    </w:p>
    <w:p>
      <w:pPr>
        <w:pStyle w:val="Style55"/>
        <w:keepNext/>
        <w:keepLines/>
        <w:widowControl w:val="0"/>
        <w:shd w:val="clear" w:color="auto" w:fill="auto"/>
        <w:bidi w:val="0"/>
        <w:spacing w:before="0" w:after="80" w:line="240" w:lineRule="auto"/>
        <w:ind w:left="0" w:right="0" w:firstLine="52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116"/>
      <w:bookmarkEnd w:id="1117"/>
      <w:bookmarkEnd w:id="1119"/>
    </w:p>
    <w:tbl>
      <w:tblPr>
        <w:tblOverlap w:val="never"/>
        <w:jc w:val="center"/>
        <w:tblLayout w:type="fixed"/>
      </w:tblPr>
      <w:tblGrid>
        <w:gridCol w:w="4037"/>
        <w:gridCol w:w="3494"/>
        <w:gridCol w:w="2098"/>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九江佳华压电晶体材料有限公司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-386,455.72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-211,426.19</w:t>
            </w:r>
          </w:p>
        </w:tc>
      </w:tr>
      <w:tr>
        <w:trPr>
          <w:trHeight w:val="31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b/>
                <w:bCs/>
                <w:color w:val="000000"/>
                <w:spacing w:val="0"/>
                <w:w w:val="100"/>
                <w:position w:val="0"/>
                <w:sz w:val="18"/>
                <w:szCs w:val="18"/>
              </w:rPr>
              <w:t>-386,455.72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-211,426.19</w:t>
            </w:r>
          </w:p>
        </w:tc>
      </w:tr>
    </w:tbl>
    <w:p>
      <w:pPr>
        <w:widowControl w:val="0"/>
        <w:spacing w:after="599" w:line="1" w:lineRule="exact"/>
      </w:pPr>
    </w:p>
    <w:p>
      <w:pPr>
        <w:pStyle w:val="Style44"/>
        <w:keepNext/>
        <w:keepLines/>
        <w:widowControl w:val="0"/>
        <w:shd w:val="clear" w:color="auto" w:fill="auto"/>
        <w:bidi w:val="0"/>
        <w:spacing w:before="0" w:after="280" w:line="240" w:lineRule="auto"/>
        <w:ind w:left="0" w:right="0" w:firstLine="40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6</w:t>
      </w:r>
      <w:bookmarkEnd w:id="1122"/>
      <w:r>
        <w:rPr>
          <w:color w:val="000000"/>
          <w:spacing w:val="0"/>
          <w:w w:val="100"/>
          <w:position w:val="0"/>
        </w:rPr>
        <w:t>、现金流量表补充资料</w:t>
      </w:r>
      <w:bookmarkEnd w:id="1120"/>
      <w:bookmarkEnd w:id="1121"/>
      <w:bookmarkEnd w:id="1123"/>
    </w:p>
    <w:tbl>
      <w:tblPr>
        <w:tblOverlap w:val="never"/>
        <w:jc w:val="center"/>
        <w:tblLayout w:type="fixed"/>
      </w:tblPr>
      <w:tblGrid>
        <w:gridCol w:w="5774"/>
        <w:gridCol w:w="2006"/>
        <w:gridCol w:w="185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上期金额</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61,188,567.03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72,154,705.96</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加：资产减值准备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-154,077.17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-3,762,268.75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固定资产折旧、油气资产折耗、生产性生物资产折旧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32,735,927.93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28,035,653.38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646,408.05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555,355.32</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长期待摊费用摊销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766,425.85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12,403.62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处置固定资产</w:t>
            </w:r>
            <w:r>
              <w:rPr>
                <w:color w:val="000000"/>
                <w:spacing w:val="0"/>
                <w:w w:val="100"/>
                <w:position w:val="0"/>
                <w:sz w:val="18"/>
                <w:szCs w:val="18"/>
              </w:rPr>
              <w:t>，</w:t>
            </w:r>
            <w:r>
              <w:rPr>
                <w:color w:val="000000"/>
                <w:spacing w:val="0"/>
                <w:w w:val="100"/>
                <w:position w:val="0"/>
              </w:rPr>
              <w:t>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39,008.12</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填列）</w:t>
            </w:r>
          </w:p>
        </w:tc>
        <w:tc>
          <w:tcPr>
            <w:vMerge/>
            <w:tcBorders/>
            <w:shd w:val="clear" w:color="auto" w:fill="FFFFFF"/>
            <w:vAlign w:val="center"/>
          </w:tcPr>
          <w:p>
            <w:pPr/>
          </w:p>
        </w:tc>
        <w:tc>
          <w:tcPr>
            <w:vMerge/>
            <w:tcBorders/>
            <w:shd w:val="clear" w:color="auto" w:fill="FFFFFF"/>
            <w:vAlign w:val="center"/>
          </w:tcPr>
          <w:p>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1,588,197.95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280,052.93</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-52,567,778.45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-59,788,573.81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-542,285.38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585,465.34</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-8,342,669.87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-7,855,087.82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14,553,020.56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22,773,988.83</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8,516,035.16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9,042,012.55</w:t>
            </w:r>
          </w:p>
        </w:tc>
      </w:tr>
    </w:tbl>
    <w:p>
      <w:pPr>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11900" w:h="16840"/>
          <w:pgMar w:top="1105" w:right="881" w:bottom="1531" w:left="849" w:header="0" w:footer="3" w:gutter="0"/>
          <w:cols w:space="720"/>
          <w:noEndnote/>
          <w:titlePg/>
          <w:rtlGutter w:val="0"/>
          <w:docGrid w:linePitch="360"/>
        </w:sectPr>
      </w:pPr>
    </w:p>
    <w:p>
      <w:pPr>
        <w:widowControl w:val="0"/>
        <w:spacing w:line="1" w:lineRule="exact"/>
      </w:pPr>
      <w:r>
        <mc:AlternateContent>
          <mc:Choice Requires="wps">
            <w:drawing>
              <wp:anchor distT="0" distB="2957195" distL="0" distR="0" simplePos="0" relativeHeight="125829421" behindDoc="0" locked="0" layoutInCell="1" allowOverlap="1">
                <wp:simplePos x="0" y="0"/>
                <wp:positionH relativeFrom="page">
                  <wp:posOffset>1151890</wp:posOffset>
                </wp:positionH>
                <wp:positionV relativeFrom="paragraph">
                  <wp:posOffset>0</wp:posOffset>
                </wp:positionV>
                <wp:extent cx="255905" cy="149225"/>
                <wp:wrapTopAndBottom/>
                <wp:docPr id="780" name="Shape 780"/>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w:t>
                            </w:r>
                          </w:p>
                        </w:txbxContent>
                      </wps:txbx>
                      <wps:bodyPr wrap="none" lIns="0" tIns="0" rIns="0" bIns="0">
                        <a:noAutoFit/>
                      </wps:bodyPr>
                    </wps:wsp>
                  </a:graphicData>
                </a:graphic>
              </wp:anchor>
            </w:drawing>
          </mc:Choice>
          <mc:Fallback>
            <w:pict>
              <v:shape id="_x0000_s1806" type="#_x0000_t202" style="position:absolute;margin-left:90.700000000000003pt;margin-top:0;width:20.150000000000002pt;height:11.75pt;z-index:-125829332;mso-wrap-distance-left:0;mso-wrap-distance-right:0;mso-wrap-distance-bottom:232.84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w:t>
                      </w:r>
                    </w:p>
                  </w:txbxContent>
                </v:textbox>
                <w10:wrap type="topAndBottom" anchorx="page"/>
              </v:shape>
            </w:pict>
          </mc:Fallback>
        </mc:AlternateContent>
      </w:r>
      <w:r>
        <mc:AlternateContent>
          <mc:Choice Requires="wps">
            <w:drawing>
              <wp:anchor distT="250190" distB="2703830" distL="0" distR="0" simplePos="0" relativeHeight="125829423" behindDoc="0" locked="0" layoutInCell="1" allowOverlap="1">
                <wp:simplePos x="0" y="0"/>
                <wp:positionH relativeFrom="page">
                  <wp:posOffset>1148715</wp:posOffset>
                </wp:positionH>
                <wp:positionV relativeFrom="paragraph">
                  <wp:posOffset>250190</wp:posOffset>
                </wp:positionV>
                <wp:extent cx="1524000" cy="152400"/>
                <wp:wrapTopAndBottom/>
                <wp:docPr id="782" name="Shape 782"/>
                <a:graphic xmlns:a="http://schemas.openxmlformats.org/drawingml/2006/main">
                  <a:graphicData uri="http://schemas.microsoft.com/office/word/2010/wordprocessingShape">
                    <wps:wsp>
                      <wps:cNvSpPr txBox="1"/>
                      <wps:spPr>
                        <a:xfrm>
                          <a:ext cx="1524000"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xbxContent>
                      </wps:txbx>
                      <wps:bodyPr wrap="none" lIns="0" tIns="0" rIns="0" bIns="0">
                        <a:noAutoFit/>
                      </wps:bodyPr>
                    </wps:wsp>
                  </a:graphicData>
                </a:graphic>
              </wp:anchor>
            </w:drawing>
          </mc:Choice>
          <mc:Fallback>
            <w:pict>
              <v:shape id="_x0000_s1808" type="#_x0000_t202" style="position:absolute;margin-left:90.450000000000003pt;margin-top:19.699999999999999pt;width:120.pt;height:12.pt;z-index:-125829330;mso-wrap-distance-left:0;mso-wrap-distance-top:19.699999999999999pt;mso-wrap-distance-right:0;mso-wrap-distance-bottom:212.9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xbxContent>
                </v:textbox>
                <w10:wrap type="topAndBottom" anchorx="page"/>
              </v:shape>
            </w:pict>
          </mc:Fallback>
        </mc:AlternateContent>
      </w:r>
      <w:r>
        <mc:AlternateContent>
          <mc:Choice Requires="wps">
            <w:drawing>
              <wp:anchor distT="225425" distB="2737485" distL="0" distR="0" simplePos="0" relativeHeight="125829425" behindDoc="0" locked="0" layoutInCell="1" allowOverlap="1">
                <wp:simplePos x="0" y="0"/>
                <wp:positionH relativeFrom="page">
                  <wp:posOffset>4794250</wp:posOffset>
                </wp:positionH>
                <wp:positionV relativeFrom="paragraph">
                  <wp:posOffset>225425</wp:posOffset>
                </wp:positionV>
                <wp:extent cx="685800" cy="143510"/>
                <wp:wrapTopAndBottom/>
                <wp:docPr id="784" name="Shape 784"/>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58,426,779.78</w:t>
                            </w:r>
                          </w:p>
                        </w:txbxContent>
                      </wps:txbx>
                      <wps:bodyPr wrap="none" lIns="0" tIns="0" rIns="0" bIns="0">
                        <a:noAutoFit/>
                      </wps:bodyPr>
                    </wps:wsp>
                  </a:graphicData>
                </a:graphic>
              </wp:anchor>
            </w:drawing>
          </mc:Choice>
          <mc:Fallback>
            <w:pict>
              <v:shape id="_x0000_s1810" type="#_x0000_t202" style="position:absolute;margin-left:377.5pt;margin-top:17.75pt;width:54.pt;height:11.300000000000001pt;z-index:-125829328;mso-wrap-distance-left:0;mso-wrap-distance-top:17.75pt;mso-wrap-distance-right:0;mso-wrap-distance-bottom:215.55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58,426,779.78</w:t>
                      </w:r>
                    </w:p>
                  </w:txbxContent>
                </v:textbox>
                <w10:wrap type="topAndBottom" anchorx="page"/>
              </v:shape>
            </w:pict>
          </mc:Fallback>
        </mc:AlternateContent>
      </w:r>
      <w:r>
        <mc:AlternateContent>
          <mc:Choice Requires="wps">
            <w:drawing>
              <wp:anchor distT="225425" distB="2737485" distL="0" distR="0" simplePos="0" relativeHeight="125829427" behindDoc="0" locked="0" layoutInCell="1" allowOverlap="1">
                <wp:simplePos x="0" y="0"/>
                <wp:positionH relativeFrom="page">
                  <wp:posOffset>6141085</wp:posOffset>
                </wp:positionH>
                <wp:positionV relativeFrom="paragraph">
                  <wp:posOffset>225425</wp:posOffset>
                </wp:positionV>
                <wp:extent cx="685800" cy="143510"/>
                <wp:wrapTopAndBottom/>
                <wp:docPr id="786" name="Shape 786"/>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62,039,026.78</w:t>
                            </w:r>
                          </w:p>
                        </w:txbxContent>
                      </wps:txbx>
                      <wps:bodyPr wrap="none" lIns="0" tIns="0" rIns="0" bIns="0">
                        <a:noAutoFit/>
                      </wps:bodyPr>
                    </wps:wsp>
                  </a:graphicData>
                </a:graphic>
              </wp:anchor>
            </w:drawing>
          </mc:Choice>
          <mc:Fallback>
            <w:pict>
              <v:shape id="_x0000_s1812" type="#_x0000_t202" style="position:absolute;margin-left:483.55000000000001pt;margin-top:17.75pt;width:54.pt;height:11.300000000000001pt;z-index:-125829326;mso-wrap-distance-left:0;mso-wrap-distance-top:17.75pt;mso-wrap-distance-right:0;mso-wrap-distance-bottom:215.55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62,039,026.78</w:t>
                      </w:r>
                    </w:p>
                  </w:txbxContent>
                </v:textbox>
                <w10:wrap type="topAndBottom" anchorx="page"/>
              </v:shape>
            </w:pict>
          </mc:Fallback>
        </mc:AlternateContent>
      </w:r>
      <w:r>
        <mc:AlternateContent>
          <mc:Choice Requires="wps">
            <w:drawing>
              <wp:anchor distT="506095" distB="2447925" distL="0" distR="0" simplePos="0" relativeHeight="125829429" behindDoc="0" locked="0" layoutInCell="1" allowOverlap="1">
                <wp:simplePos x="0" y="0"/>
                <wp:positionH relativeFrom="page">
                  <wp:posOffset>859155</wp:posOffset>
                </wp:positionH>
                <wp:positionV relativeFrom="paragraph">
                  <wp:posOffset>506095</wp:posOffset>
                </wp:positionV>
                <wp:extent cx="2316480" cy="152400"/>
                <wp:wrapTopAndBottom/>
                <wp:docPr id="788" name="Shape 788"/>
                <a:graphic xmlns:a="http://schemas.openxmlformats.org/drawingml/2006/main">
                  <a:graphicData uri="http://schemas.microsoft.com/office/word/2010/wordprocessingShape">
                    <wps:wsp>
                      <wps:cNvSpPr txBox="1"/>
                      <wps:spPr>
                        <a:xfrm>
                          <a:ext cx="2316480"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、不涉及现金收支的重大投资和筹资活动:</w:t>
                            </w:r>
                          </w:p>
                        </w:txbxContent>
                      </wps:txbx>
                      <wps:bodyPr wrap="none" lIns="0" tIns="0" rIns="0" bIns="0">
                        <a:noAutoFit/>
                      </wps:bodyPr>
                    </wps:wsp>
                  </a:graphicData>
                </a:graphic>
              </wp:anchor>
            </w:drawing>
          </mc:Choice>
          <mc:Fallback>
            <w:pict>
              <v:shape id="_x0000_s1814" type="#_x0000_t202" style="position:absolute;margin-left:67.650000000000006pt;margin-top:39.850000000000001pt;width:182.40000000000001pt;height:12.pt;z-index:-125829324;mso-wrap-distance-left:0;mso-wrap-distance-top:39.850000000000001pt;mso-wrap-distance-right:0;mso-wrap-distance-bottom:192.7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、不涉及现金收支的重大投资和筹资活动:</w:t>
                      </w:r>
                    </w:p>
                  </w:txbxContent>
                </v:textbox>
                <w10:wrap type="topAndBottom" anchorx="page"/>
              </v:shape>
            </w:pict>
          </mc:Fallback>
        </mc:AlternateContent>
      </w:r>
      <w:r>
        <mc:AlternateContent>
          <mc:Choice Requires="wps">
            <w:drawing>
              <wp:anchor distT="762000" distB="2192020" distL="0" distR="0" simplePos="0" relativeHeight="125829431" behindDoc="0" locked="0" layoutInCell="1" allowOverlap="1">
                <wp:simplePos x="0" y="0"/>
                <wp:positionH relativeFrom="page">
                  <wp:posOffset>1090930</wp:posOffset>
                </wp:positionH>
                <wp:positionV relativeFrom="paragraph">
                  <wp:posOffset>762000</wp:posOffset>
                </wp:positionV>
                <wp:extent cx="713105" cy="152400"/>
                <wp:wrapTopAndBottom/>
                <wp:docPr id="790" name="Shape 790"/>
                <a:graphic xmlns:a="http://schemas.openxmlformats.org/drawingml/2006/main">
                  <a:graphicData uri="http://schemas.microsoft.com/office/word/2010/wordprocessingShape">
                    <wps:wsp>
                      <wps:cNvSpPr txBox="1"/>
                      <wps:spPr>
                        <a:xfrm>
                          <a:ext cx="71310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债务转为资本</w:t>
                            </w:r>
                          </w:p>
                        </w:txbxContent>
                      </wps:txbx>
                      <wps:bodyPr wrap="none" lIns="0" tIns="0" rIns="0" bIns="0">
                        <a:noAutoFit/>
                      </wps:bodyPr>
                    </wps:wsp>
                  </a:graphicData>
                </a:graphic>
              </wp:anchor>
            </w:drawing>
          </mc:Choice>
          <mc:Fallback>
            <w:pict>
              <v:shape id="_x0000_s1816" type="#_x0000_t202" style="position:absolute;margin-left:85.900000000000006pt;margin-top:60.pt;width:56.149999999999999pt;height:12.pt;z-index:-125829322;mso-wrap-distance-left:0;mso-wrap-distance-top:60.pt;mso-wrap-distance-right:0;mso-wrap-distance-bottom:172.59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债务转为资本</w:t>
                      </w:r>
                    </w:p>
                  </w:txbxContent>
                </v:textbox>
                <w10:wrap type="topAndBottom" anchorx="page"/>
              </v:shape>
            </w:pict>
          </mc:Fallback>
        </mc:AlternateContent>
      </w:r>
      <w:r>
        <mc:AlternateContent>
          <mc:Choice Requires="wps">
            <w:drawing>
              <wp:anchor distT="1014730" distB="1942465" distL="0" distR="0" simplePos="0" relativeHeight="125829433" behindDoc="0" locked="0" layoutInCell="1" allowOverlap="1">
                <wp:simplePos x="0" y="0"/>
                <wp:positionH relativeFrom="page">
                  <wp:posOffset>1094105</wp:posOffset>
                </wp:positionH>
                <wp:positionV relativeFrom="paragraph">
                  <wp:posOffset>1014730</wp:posOffset>
                </wp:positionV>
                <wp:extent cx="1511935" cy="149225"/>
                <wp:wrapTopAndBottom/>
                <wp:docPr id="792" name="Shape 792"/>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一年内到期的可转换公司债券</w:t>
                            </w:r>
                          </w:p>
                        </w:txbxContent>
                      </wps:txbx>
                      <wps:bodyPr wrap="none" lIns="0" tIns="0" rIns="0" bIns="0">
                        <a:noAutoFit/>
                      </wps:bodyPr>
                    </wps:wsp>
                  </a:graphicData>
                </a:graphic>
              </wp:anchor>
            </w:drawing>
          </mc:Choice>
          <mc:Fallback>
            <w:pict>
              <v:shape id="_x0000_s1818" type="#_x0000_t202" style="position:absolute;margin-left:86.150000000000006pt;margin-top:79.900000000000006pt;width:119.05pt;height:11.75pt;z-index:-125829320;mso-wrap-distance-left:0;mso-wrap-distance-top:79.900000000000006pt;mso-wrap-distance-right:0;mso-wrap-distance-bottom:152.95000000000002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一年内到期的可转换公司债券</w:t>
                      </w:r>
                    </w:p>
                  </w:txbxContent>
                </v:textbox>
                <w10:wrap type="topAndBottom" anchorx="page"/>
              </v:shape>
            </w:pict>
          </mc:Fallback>
        </mc:AlternateContent>
      </w:r>
      <w:r>
        <mc:AlternateContent>
          <mc:Choice Requires="wps">
            <w:drawing>
              <wp:anchor distT="1268095" distB="1692275" distL="0" distR="0" simplePos="0" relativeHeight="125829435" behindDoc="0" locked="0" layoutInCell="1" allowOverlap="1">
                <wp:simplePos x="0" y="0"/>
                <wp:positionH relativeFrom="page">
                  <wp:posOffset>1096645</wp:posOffset>
                </wp:positionH>
                <wp:positionV relativeFrom="paragraph">
                  <wp:posOffset>1268095</wp:posOffset>
                </wp:positionV>
                <wp:extent cx="935990" cy="146050"/>
                <wp:wrapTopAndBottom/>
                <wp:docPr id="794" name="Shape 794"/>
                <a:graphic xmlns:a="http://schemas.openxmlformats.org/drawingml/2006/main">
                  <a:graphicData uri="http://schemas.microsoft.com/office/word/2010/wordprocessingShape">
                    <wps:wsp>
                      <wps:cNvSpPr txBox="1"/>
                      <wps:spPr>
                        <a:xfrm>
                          <a:ext cx="935990" cy="1460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融资租入固定资产</w:t>
                            </w:r>
                          </w:p>
                        </w:txbxContent>
                      </wps:txbx>
                      <wps:bodyPr wrap="none" lIns="0" tIns="0" rIns="0" bIns="0">
                        <a:noAutoFit/>
                      </wps:bodyPr>
                    </wps:wsp>
                  </a:graphicData>
                </a:graphic>
              </wp:anchor>
            </w:drawing>
          </mc:Choice>
          <mc:Fallback>
            <w:pict>
              <v:shape id="_x0000_s1820" type="#_x0000_t202" style="position:absolute;margin-left:86.350000000000009pt;margin-top:99.850000000000009pt;width:73.700000000000003pt;height:11.5pt;z-index:-125829318;mso-wrap-distance-left:0;mso-wrap-distance-top:99.850000000000009pt;mso-wrap-distance-right:0;mso-wrap-distance-bottom:133.2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融资租入固定资产</w:t>
                      </w:r>
                    </w:p>
                  </w:txbxContent>
                </v:textbox>
                <w10:wrap type="topAndBottom" anchorx="page"/>
              </v:shape>
            </w:pict>
          </mc:Fallback>
        </mc:AlternateContent>
      </w:r>
      <w:r>
        <mc:AlternateContent>
          <mc:Choice Requires="wps">
            <w:drawing>
              <wp:anchor distT="1524000" distB="1430020" distL="0" distR="0" simplePos="0" relativeHeight="125829437" behindDoc="0" locked="0" layoutInCell="1" allowOverlap="1">
                <wp:simplePos x="0" y="0"/>
                <wp:positionH relativeFrom="page">
                  <wp:posOffset>865505</wp:posOffset>
                </wp:positionH>
                <wp:positionV relativeFrom="paragraph">
                  <wp:posOffset>1524000</wp:posOffset>
                </wp:positionV>
                <wp:extent cx="1795145" cy="152400"/>
                <wp:wrapTopAndBottom/>
                <wp:docPr id="796" name="Shape 796"/>
                <a:graphic xmlns:a="http://schemas.openxmlformats.org/drawingml/2006/main">
                  <a:graphicData uri="http://schemas.microsoft.com/office/word/2010/wordprocessingShape">
                    <wps:wsp>
                      <wps:cNvSpPr txBox="1"/>
                      <wps:spPr>
                        <a:xfrm>
                          <a:ext cx="1795145"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、现金及现金等价物净变动情况:</w:t>
                            </w:r>
                          </w:p>
                        </w:txbxContent>
                      </wps:txbx>
                      <wps:bodyPr wrap="none" lIns="0" tIns="0" rIns="0" bIns="0">
                        <a:noAutoFit/>
                      </wps:bodyPr>
                    </wps:wsp>
                  </a:graphicData>
                </a:graphic>
              </wp:anchor>
            </w:drawing>
          </mc:Choice>
          <mc:Fallback>
            <w:pict>
              <v:shape id="_x0000_s1822" type="#_x0000_t202" style="position:absolute;margin-left:68.150000000000006pt;margin-top:120.pt;width:141.34999999999999pt;height:12.pt;z-index:-125829316;mso-wrap-distance-left:0;mso-wrap-distance-top:120.pt;mso-wrap-distance-right:0;mso-wrap-distance-bottom:112.6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、现金及现金等价物净变动情况:</w:t>
                      </w:r>
                    </w:p>
                  </w:txbxContent>
                </v:textbox>
                <w10:wrap type="topAndBottom" anchorx="page"/>
              </v:shape>
            </w:pict>
          </mc:Fallback>
        </mc:AlternateContent>
      </w:r>
      <w:r>
        <mc:AlternateContent>
          <mc:Choice Requires="wps">
            <w:drawing>
              <wp:anchor distT="1776730" distB="1180465" distL="0" distR="0" simplePos="0" relativeHeight="125829439" behindDoc="0" locked="0" layoutInCell="1" allowOverlap="1">
                <wp:simplePos x="0" y="0"/>
                <wp:positionH relativeFrom="page">
                  <wp:posOffset>1090930</wp:posOffset>
                </wp:positionH>
                <wp:positionV relativeFrom="paragraph">
                  <wp:posOffset>1776730</wp:posOffset>
                </wp:positionV>
                <wp:extent cx="829310" cy="149225"/>
                <wp:wrapTopAndBottom/>
                <wp:docPr id="798" name="Shape 798"/>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现金的期末余额</w:t>
                            </w:r>
                          </w:p>
                        </w:txbxContent>
                      </wps:txbx>
                      <wps:bodyPr wrap="none" lIns="0" tIns="0" rIns="0" bIns="0">
                        <a:noAutoFit/>
                      </wps:bodyPr>
                    </wps:wsp>
                  </a:graphicData>
                </a:graphic>
              </wp:anchor>
            </w:drawing>
          </mc:Choice>
          <mc:Fallback>
            <w:pict>
              <v:shape id="_x0000_s1824" type="#_x0000_t202" style="position:absolute;margin-left:85.900000000000006pt;margin-top:139.90000000000001pt;width:65.299999999999997pt;height:11.75pt;z-index:-125829314;mso-wrap-distance-left:0;mso-wrap-distance-top:139.90000000000001pt;mso-wrap-distance-right:0;mso-wrap-distance-bottom:92.95000000000000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现金的期末余额</w:t>
                      </w:r>
                    </w:p>
                  </w:txbxContent>
                </v:textbox>
                <w10:wrap type="topAndBottom" anchorx="page"/>
              </v:shape>
            </w:pict>
          </mc:Fallback>
        </mc:AlternateContent>
      </w:r>
      <w:r>
        <mc:AlternateContent>
          <mc:Choice Requires="wps">
            <w:drawing>
              <wp:anchor distT="1746250" distB="1216660" distL="0" distR="0" simplePos="0" relativeHeight="125829441" behindDoc="0" locked="0" layoutInCell="1" allowOverlap="1">
                <wp:simplePos x="0" y="0"/>
                <wp:positionH relativeFrom="page">
                  <wp:posOffset>4794250</wp:posOffset>
                </wp:positionH>
                <wp:positionV relativeFrom="paragraph">
                  <wp:posOffset>1746250</wp:posOffset>
                </wp:positionV>
                <wp:extent cx="682625" cy="143510"/>
                <wp:wrapTopAndBottom/>
                <wp:docPr id="800" name="Shape 800"/>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68,936,730.53</w:t>
                            </w:r>
                          </w:p>
                        </w:txbxContent>
                      </wps:txbx>
                      <wps:bodyPr wrap="none" lIns="0" tIns="0" rIns="0" bIns="0">
                        <a:noAutoFit/>
                      </wps:bodyPr>
                    </wps:wsp>
                  </a:graphicData>
                </a:graphic>
              </wp:anchor>
            </w:drawing>
          </mc:Choice>
          <mc:Fallback>
            <w:pict>
              <v:shape id="_x0000_s1826" type="#_x0000_t202" style="position:absolute;margin-left:377.5pt;margin-top:137.5pt;width:53.75pt;height:11.300000000000001pt;z-index:-125829312;mso-wrap-distance-left:0;mso-wrap-distance-top:137.5pt;mso-wrap-distance-right:0;mso-wrap-distance-bottom:95.799999999999997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68,936,730.53</w:t>
                      </w:r>
                    </w:p>
                  </w:txbxContent>
                </v:textbox>
                <w10:wrap type="topAndBottom" anchorx="page"/>
              </v:shape>
            </w:pict>
          </mc:Fallback>
        </mc:AlternateContent>
      </w:r>
      <w:r>
        <mc:AlternateContent>
          <mc:Choice Requires="wps">
            <w:drawing>
              <wp:anchor distT="1746250" distB="1216660" distL="0" distR="0" simplePos="0" relativeHeight="125829443" behindDoc="0" locked="0" layoutInCell="1" allowOverlap="1">
                <wp:simplePos x="0" y="0"/>
                <wp:positionH relativeFrom="page">
                  <wp:posOffset>6138545</wp:posOffset>
                </wp:positionH>
                <wp:positionV relativeFrom="paragraph">
                  <wp:posOffset>1746250</wp:posOffset>
                </wp:positionV>
                <wp:extent cx="688975" cy="143510"/>
                <wp:wrapTopAndBottom/>
                <wp:docPr id="802" name="Shape 802"/>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22,825,444.42</w:t>
                            </w:r>
                          </w:p>
                        </w:txbxContent>
                      </wps:txbx>
                      <wps:bodyPr wrap="none" lIns="0" tIns="0" rIns="0" bIns="0">
                        <a:noAutoFit/>
                      </wps:bodyPr>
                    </wps:wsp>
                  </a:graphicData>
                </a:graphic>
              </wp:anchor>
            </w:drawing>
          </mc:Choice>
          <mc:Fallback>
            <w:pict>
              <v:shape id="_x0000_s1828" type="#_x0000_t202" style="position:absolute;margin-left:483.35000000000002pt;margin-top:137.5pt;width:54.25pt;height:11.300000000000001pt;z-index:-125829310;mso-wrap-distance-left:0;mso-wrap-distance-top:137.5pt;mso-wrap-distance-right:0;mso-wrap-distance-bottom:95.799999999999997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22,825,444.42</w:t>
                      </w:r>
                    </w:p>
                  </w:txbxContent>
                </v:textbox>
                <w10:wrap type="topAndBottom" anchorx="page"/>
              </v:shape>
            </w:pict>
          </mc:Fallback>
        </mc:AlternateContent>
      </w:r>
      <w:r>
        <mc:AlternateContent>
          <mc:Choice Requires="wps">
            <w:drawing>
              <wp:anchor distT="2033270" distB="923925" distL="0" distR="0" simplePos="0" relativeHeight="125829445" behindDoc="0" locked="0" layoutInCell="1" allowOverlap="1">
                <wp:simplePos x="0" y="0"/>
                <wp:positionH relativeFrom="page">
                  <wp:posOffset>865505</wp:posOffset>
                </wp:positionH>
                <wp:positionV relativeFrom="paragraph">
                  <wp:posOffset>2033270</wp:posOffset>
                </wp:positionV>
                <wp:extent cx="219710" cy="149225"/>
                <wp:wrapTopAndBottom/>
                <wp:docPr id="804" name="Shape 804"/>
                <a:graphic xmlns:a="http://schemas.openxmlformats.org/drawingml/2006/main">
                  <a:graphicData uri="http://schemas.microsoft.com/office/word/2010/wordprocessingShape">
                    <wps:wsp>
                      <wps:cNvSpPr txBox="1"/>
                      <wps:spPr>
                        <a:xfrm>
                          <a:ext cx="21971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w:t>
                            </w:r>
                          </w:p>
                        </w:txbxContent>
                      </wps:txbx>
                      <wps:bodyPr wrap="none" lIns="0" tIns="0" rIns="0" bIns="0">
                        <a:noAutoFit/>
                      </wps:bodyPr>
                    </wps:wsp>
                  </a:graphicData>
                </a:graphic>
              </wp:anchor>
            </w:drawing>
          </mc:Choice>
          <mc:Fallback>
            <w:pict>
              <v:shape id="_x0000_s1830" type="#_x0000_t202" style="position:absolute;margin-left:68.150000000000006pt;margin-top:160.09999999999999pt;width:17.300000000000001pt;height:11.75pt;z-index:-125829308;mso-wrap-distance-left:0;mso-wrap-distance-top:160.09999999999999pt;mso-wrap-distance-right:0;mso-wrap-distance-bottom:72.7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w:t>
                      </w:r>
                    </w:p>
                  </w:txbxContent>
                </v:textbox>
                <w10:wrap type="topAndBottom" anchorx="page"/>
              </v:shape>
            </w:pict>
          </mc:Fallback>
        </mc:AlternateContent>
      </w:r>
      <w:r>
        <mc:AlternateContent>
          <mc:Choice Requires="wps">
            <w:drawing>
              <wp:anchor distT="2030095" distB="927100" distL="0" distR="0" simplePos="0" relativeHeight="125829447" behindDoc="0" locked="0" layoutInCell="1" allowOverlap="1">
                <wp:simplePos x="0" y="0"/>
                <wp:positionH relativeFrom="page">
                  <wp:posOffset>1090930</wp:posOffset>
                </wp:positionH>
                <wp:positionV relativeFrom="paragraph">
                  <wp:posOffset>2030095</wp:posOffset>
                </wp:positionV>
                <wp:extent cx="829310" cy="149225"/>
                <wp:wrapTopAndBottom/>
                <wp:docPr id="806" name="Shape 806"/>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现金的期初余额</w:t>
                            </w:r>
                          </w:p>
                        </w:txbxContent>
                      </wps:txbx>
                      <wps:bodyPr wrap="none" lIns="0" tIns="0" rIns="0" bIns="0">
                        <a:noAutoFit/>
                      </wps:bodyPr>
                    </wps:wsp>
                  </a:graphicData>
                </a:graphic>
              </wp:anchor>
            </w:drawing>
          </mc:Choice>
          <mc:Fallback>
            <w:pict>
              <v:shape id="_x0000_s1832" type="#_x0000_t202" style="position:absolute;margin-left:85.900000000000006pt;margin-top:159.84999999999999pt;width:65.299999999999997pt;height:11.75pt;z-index:-125829306;mso-wrap-distance-left:0;mso-wrap-distance-top:159.84999999999999pt;mso-wrap-distance-right:0;mso-wrap-distance-bottom:7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现金的期初余额</w:t>
                      </w:r>
                    </w:p>
                  </w:txbxContent>
                </v:textbox>
                <w10:wrap type="topAndBottom" anchorx="page"/>
              </v:shape>
            </w:pict>
          </mc:Fallback>
        </mc:AlternateContent>
      </w:r>
      <w:r>
        <mc:AlternateContent>
          <mc:Choice Requires="wps">
            <w:drawing>
              <wp:anchor distT="1999615" distB="963295" distL="0" distR="0" simplePos="0" relativeHeight="125829449" behindDoc="0" locked="0" layoutInCell="1" allowOverlap="1">
                <wp:simplePos x="0" y="0"/>
                <wp:positionH relativeFrom="page">
                  <wp:posOffset>4791075</wp:posOffset>
                </wp:positionH>
                <wp:positionV relativeFrom="paragraph">
                  <wp:posOffset>1999615</wp:posOffset>
                </wp:positionV>
                <wp:extent cx="688975" cy="143510"/>
                <wp:wrapTopAndBottom/>
                <wp:docPr id="808" name="Shape 808"/>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22,825,444.42</w:t>
                            </w:r>
                          </w:p>
                        </w:txbxContent>
                      </wps:txbx>
                      <wps:bodyPr wrap="none" lIns="0" tIns="0" rIns="0" bIns="0">
                        <a:noAutoFit/>
                      </wps:bodyPr>
                    </wps:wsp>
                  </a:graphicData>
                </a:graphic>
              </wp:anchor>
            </w:drawing>
          </mc:Choice>
          <mc:Fallback>
            <w:pict>
              <v:shape id="_x0000_s1834" type="#_x0000_t202" style="position:absolute;margin-left:377.25pt;margin-top:157.45000000000002pt;width:54.25pt;height:11.300000000000001pt;z-index:-125829304;mso-wrap-distance-left:0;mso-wrap-distance-top:157.45000000000002pt;mso-wrap-distance-right:0;mso-wrap-distance-bottom:75.85000000000000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22,825,444.42</w:t>
                      </w:r>
                    </w:p>
                  </w:txbxContent>
                </v:textbox>
                <w10:wrap type="topAndBottom" anchorx="page"/>
              </v:shape>
            </w:pict>
          </mc:Fallback>
        </mc:AlternateContent>
      </w:r>
      <w:r>
        <mc:AlternateContent>
          <mc:Choice Requires="wps">
            <w:drawing>
              <wp:anchor distT="1999615" distB="963295" distL="0" distR="0" simplePos="0" relativeHeight="125829451" behindDoc="0" locked="0" layoutInCell="1" allowOverlap="1">
                <wp:simplePos x="0" y="0"/>
                <wp:positionH relativeFrom="page">
                  <wp:posOffset>6138545</wp:posOffset>
                </wp:positionH>
                <wp:positionV relativeFrom="paragraph">
                  <wp:posOffset>1999615</wp:posOffset>
                </wp:positionV>
                <wp:extent cx="688975" cy="143510"/>
                <wp:wrapTopAndBottom/>
                <wp:docPr id="810" name="Shape 810"/>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49,775,429.78</w:t>
                            </w:r>
                          </w:p>
                        </w:txbxContent>
                      </wps:txbx>
                      <wps:bodyPr wrap="none" lIns="0" tIns="0" rIns="0" bIns="0">
                        <a:noAutoFit/>
                      </wps:bodyPr>
                    </wps:wsp>
                  </a:graphicData>
                </a:graphic>
              </wp:anchor>
            </w:drawing>
          </mc:Choice>
          <mc:Fallback>
            <w:pict>
              <v:shape id="_x0000_s1836" type="#_x0000_t202" style="position:absolute;margin-left:483.35000000000002pt;margin-top:157.45000000000002pt;width:54.25pt;height:11.300000000000001pt;z-index:-125829302;mso-wrap-distance-left:0;mso-wrap-distance-top:157.45000000000002pt;mso-wrap-distance-right:0;mso-wrap-distance-bottom:75.85000000000000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49,775,429.78</w:t>
                      </w:r>
                    </w:p>
                  </w:txbxContent>
                </v:textbox>
                <w10:wrap type="topAndBottom" anchorx="page"/>
              </v:shape>
            </w:pict>
          </mc:Fallback>
        </mc:AlternateContent>
      </w:r>
      <w:r>
        <mc:AlternateContent>
          <mc:Choice Requires="wps">
            <w:drawing>
              <wp:anchor distT="2286000" distB="671195" distL="0" distR="0" simplePos="0" relativeHeight="125829453" behindDoc="0" locked="0" layoutInCell="1" allowOverlap="1">
                <wp:simplePos x="0" y="0"/>
                <wp:positionH relativeFrom="page">
                  <wp:posOffset>865505</wp:posOffset>
                </wp:positionH>
                <wp:positionV relativeFrom="paragraph">
                  <wp:posOffset>2286000</wp:posOffset>
                </wp:positionV>
                <wp:extent cx="219710" cy="149225"/>
                <wp:wrapTopAndBottom/>
                <wp:docPr id="812" name="Shape 812"/>
                <a:graphic xmlns:a="http://schemas.openxmlformats.org/drawingml/2006/main">
                  <a:graphicData uri="http://schemas.microsoft.com/office/word/2010/wordprocessingShape">
                    <wps:wsp>
                      <wps:cNvSpPr txBox="1"/>
                      <wps:spPr>
                        <a:xfrm>
                          <a:ext cx="21971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加:</w:t>
                            </w:r>
                          </w:p>
                        </w:txbxContent>
                      </wps:txbx>
                      <wps:bodyPr wrap="none" lIns="0" tIns="0" rIns="0" bIns="0">
                        <a:noAutoFit/>
                      </wps:bodyPr>
                    </wps:wsp>
                  </a:graphicData>
                </a:graphic>
              </wp:anchor>
            </w:drawing>
          </mc:Choice>
          <mc:Fallback>
            <w:pict>
              <v:shape id="_x0000_s1838" type="#_x0000_t202" style="position:absolute;margin-left:68.150000000000006pt;margin-top:180.pt;width:17.300000000000001pt;height:11.75pt;z-index:-125829300;mso-wrap-distance-left:0;mso-wrap-distance-top:180.pt;mso-wrap-distance-right:0;mso-wrap-distance-bottom:52.85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加:</w:t>
                      </w:r>
                    </w:p>
                  </w:txbxContent>
                </v:textbox>
                <w10:wrap type="topAndBottom" anchorx="page"/>
              </v:shape>
            </w:pict>
          </mc:Fallback>
        </mc:AlternateContent>
      </w:r>
      <w:r>
        <mc:AlternateContent>
          <mc:Choice Requires="wps">
            <w:drawing>
              <wp:anchor distT="2286000" distB="671195" distL="0" distR="0" simplePos="0" relativeHeight="125829455" behindDoc="0" locked="0" layoutInCell="1" allowOverlap="1">
                <wp:simplePos x="0" y="0"/>
                <wp:positionH relativeFrom="page">
                  <wp:posOffset>1090930</wp:posOffset>
                </wp:positionH>
                <wp:positionV relativeFrom="paragraph">
                  <wp:posOffset>2286000</wp:posOffset>
                </wp:positionV>
                <wp:extent cx="1170305" cy="149225"/>
                <wp:wrapTopAndBottom/>
                <wp:docPr id="814" name="Shape 81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现金等价物的期末余额</w:t>
                            </w:r>
                          </w:p>
                        </w:txbxContent>
                      </wps:txbx>
                      <wps:bodyPr wrap="none" lIns="0" tIns="0" rIns="0" bIns="0">
                        <a:noAutoFit/>
                      </wps:bodyPr>
                    </wps:wsp>
                  </a:graphicData>
                </a:graphic>
              </wp:anchor>
            </w:drawing>
          </mc:Choice>
          <mc:Fallback>
            <w:pict>
              <v:shape id="_x0000_s1840" type="#_x0000_t202" style="position:absolute;margin-left:85.900000000000006pt;margin-top:180.pt;width:92.150000000000006pt;height:11.75pt;z-index:-125829298;mso-wrap-distance-left:0;mso-wrap-distance-top:180.pt;mso-wrap-distance-right:0;mso-wrap-distance-bottom:52.85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现金等价物的期末余额</w:t>
                      </w:r>
                    </w:p>
                  </w:txbxContent>
                </v:textbox>
                <w10:wrap type="topAndBottom" anchorx="page"/>
              </v:shape>
            </w:pict>
          </mc:Fallback>
        </mc:AlternateContent>
      </w:r>
      <w:r>
        <mc:AlternateContent>
          <mc:Choice Requires="wps">
            <w:drawing>
              <wp:anchor distT="2541905" distB="415290" distL="0" distR="0" simplePos="0" relativeHeight="125829457" behindDoc="0" locked="0" layoutInCell="1" allowOverlap="1">
                <wp:simplePos x="0" y="0"/>
                <wp:positionH relativeFrom="page">
                  <wp:posOffset>865505</wp:posOffset>
                </wp:positionH>
                <wp:positionV relativeFrom="paragraph">
                  <wp:posOffset>2541905</wp:posOffset>
                </wp:positionV>
                <wp:extent cx="219710" cy="149225"/>
                <wp:wrapTopAndBottom/>
                <wp:docPr id="816" name="Shape 816"/>
                <a:graphic xmlns:a="http://schemas.openxmlformats.org/drawingml/2006/main">
                  <a:graphicData uri="http://schemas.microsoft.com/office/word/2010/wordprocessingShape">
                    <wps:wsp>
                      <wps:cNvSpPr txBox="1"/>
                      <wps:spPr>
                        <a:xfrm>
                          <a:ext cx="219710"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w:t>
                            </w:r>
                          </w:p>
                        </w:txbxContent>
                      </wps:txbx>
                      <wps:bodyPr wrap="none" lIns="0" tIns="0" rIns="0" bIns="0">
                        <a:noAutoFit/>
                      </wps:bodyPr>
                    </wps:wsp>
                  </a:graphicData>
                </a:graphic>
              </wp:anchor>
            </w:drawing>
          </mc:Choice>
          <mc:Fallback>
            <w:pict>
              <v:shape id="_x0000_s1842" type="#_x0000_t202" style="position:absolute;margin-left:68.150000000000006pt;margin-top:200.15000000000001pt;width:17.300000000000001pt;height:11.75pt;z-index:-125829296;mso-wrap-distance-left:0;mso-wrap-distance-top:200.15000000000001pt;mso-wrap-distance-right:0;mso-wrap-distance-bottom:32.70000000000000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w:t>
                      </w:r>
                    </w:p>
                  </w:txbxContent>
                </v:textbox>
                <w10:wrap type="topAndBottom" anchorx="page"/>
              </v:shape>
            </w:pict>
          </mc:Fallback>
        </mc:AlternateContent>
      </w:r>
      <w:r>
        <mc:AlternateContent>
          <mc:Choice Requires="wps">
            <w:drawing>
              <wp:anchor distT="2538730" distB="418465" distL="0" distR="0" simplePos="0" relativeHeight="125829459" behindDoc="0" locked="0" layoutInCell="1" allowOverlap="1">
                <wp:simplePos x="0" y="0"/>
                <wp:positionH relativeFrom="page">
                  <wp:posOffset>1090930</wp:posOffset>
                </wp:positionH>
                <wp:positionV relativeFrom="paragraph">
                  <wp:posOffset>2538730</wp:posOffset>
                </wp:positionV>
                <wp:extent cx="1170305" cy="149225"/>
                <wp:wrapTopAndBottom/>
                <wp:docPr id="818" name="Shape 81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现金等价物的期初余额</w:t>
                            </w:r>
                          </w:p>
                        </w:txbxContent>
                      </wps:txbx>
                      <wps:bodyPr wrap="none" lIns="0" tIns="0" rIns="0" bIns="0">
                        <a:noAutoFit/>
                      </wps:bodyPr>
                    </wps:wsp>
                  </a:graphicData>
                </a:graphic>
              </wp:anchor>
            </w:drawing>
          </mc:Choice>
          <mc:Fallback>
            <w:pict>
              <v:shape id="_x0000_s1844" type="#_x0000_t202" style="position:absolute;margin-left:85.900000000000006pt;margin-top:199.90000000000001pt;width:92.150000000000006pt;height:11.75pt;z-index:-125829294;mso-wrap-distance-left:0;mso-wrap-distance-top:199.90000000000001pt;mso-wrap-distance-right:0;mso-wrap-distance-bottom:32.95000000000000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现金等价物的期初余额</w:t>
                      </w:r>
                    </w:p>
                  </w:txbxContent>
                </v:textbox>
                <w10:wrap type="topAndBottom" anchorx="page"/>
              </v:shape>
            </w:pict>
          </mc:Fallback>
        </mc:AlternateContent>
      </w:r>
      <w:r>
        <mc:AlternateContent>
          <mc:Choice Requires="wps">
            <w:drawing>
              <wp:anchor distT="2788920" distB="165100" distL="0" distR="0" simplePos="0" relativeHeight="125829461" behindDoc="0" locked="0" layoutInCell="1" allowOverlap="1">
                <wp:simplePos x="0" y="0"/>
                <wp:positionH relativeFrom="page">
                  <wp:posOffset>1087755</wp:posOffset>
                </wp:positionH>
                <wp:positionV relativeFrom="paragraph">
                  <wp:posOffset>2788920</wp:posOffset>
                </wp:positionV>
                <wp:extent cx="1410970" cy="152400"/>
                <wp:wrapTopAndBottom/>
                <wp:docPr id="820" name="Shape 820"/>
                <a:graphic xmlns:a="http://schemas.openxmlformats.org/drawingml/2006/main">
                  <a:graphicData uri="http://schemas.microsoft.com/office/word/2010/wordprocessingShape">
                    <wps:wsp>
                      <wps:cNvSpPr txBox="1"/>
                      <wps:spPr>
                        <a:xfrm>
                          <a:ext cx="1410970" cy="15240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wps:txbx>
                      <wps:bodyPr wrap="none" lIns="0" tIns="0" rIns="0" bIns="0">
                        <a:noAutoFit/>
                      </wps:bodyPr>
                    </wps:wsp>
                  </a:graphicData>
                </a:graphic>
              </wp:anchor>
            </w:drawing>
          </mc:Choice>
          <mc:Fallback>
            <w:pict>
              <v:shape id="_x0000_s1846" type="#_x0000_t202" style="position:absolute;margin-left:85.650000000000006pt;margin-top:219.59999999999999pt;width:111.10000000000001pt;height:12.pt;z-index:-125829292;mso-wrap-distance-left:0;mso-wrap-distance-top:219.59999999999999pt;mso-wrap-distance-right:0;mso-wrap-distance-bottom:1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xbxContent>
                </v:textbox>
                <w10:wrap type="topAndBottom" anchorx="page"/>
              </v:shape>
            </w:pict>
          </mc:Fallback>
        </mc:AlternateContent>
      </w:r>
      <w:r>
        <mc:AlternateContent>
          <mc:Choice Requires="wps">
            <w:drawing>
              <wp:anchor distT="2764790" distB="198120" distL="0" distR="0" simplePos="0" relativeHeight="125829463" behindDoc="0" locked="0" layoutInCell="1" allowOverlap="1">
                <wp:simplePos x="0" y="0"/>
                <wp:positionH relativeFrom="page">
                  <wp:posOffset>4812665</wp:posOffset>
                </wp:positionH>
                <wp:positionV relativeFrom="paragraph">
                  <wp:posOffset>2764790</wp:posOffset>
                </wp:positionV>
                <wp:extent cx="664210" cy="143510"/>
                <wp:wrapTopAndBottom/>
                <wp:docPr id="822" name="Shape 822"/>
                <a:graphic xmlns:a="http://schemas.openxmlformats.org/drawingml/2006/main">
                  <a:graphicData uri="http://schemas.microsoft.com/office/word/2010/wordprocessingShape">
                    <wps:wsp>
                      <wps:cNvSpPr txBox="1"/>
                      <wps:spPr>
                        <a:xfrm>
                          <a:ext cx="66421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46,111,286.11</w:t>
                            </w:r>
                          </w:p>
                        </w:txbxContent>
                      </wps:txbx>
                      <wps:bodyPr wrap="none" lIns="0" tIns="0" rIns="0" bIns="0">
                        <a:noAutoFit/>
                      </wps:bodyPr>
                    </wps:wsp>
                  </a:graphicData>
                </a:graphic>
              </wp:anchor>
            </w:drawing>
          </mc:Choice>
          <mc:Fallback>
            <w:pict>
              <v:shape id="_x0000_s1848" type="#_x0000_t202" style="position:absolute;margin-left:378.94999999999999pt;margin-top:217.70000000000002pt;width:52.300000000000004pt;height:11.300000000000001pt;z-index:-125829290;mso-wrap-distance-left:0;mso-wrap-distance-top:217.70000000000002pt;mso-wrap-distance-right:0;mso-wrap-distance-bottom:15.6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46,111,286.11</w:t>
                      </w:r>
                    </w:p>
                  </w:txbxContent>
                </v:textbox>
                <w10:wrap type="topAndBottom" anchorx="page"/>
              </v:shape>
            </w:pict>
          </mc:Fallback>
        </mc:AlternateContent>
      </w:r>
      <w:r>
        <mc:AlternateContent>
          <mc:Choice Requires="wps">
            <w:drawing>
              <wp:anchor distT="2764790" distB="198120" distL="0" distR="0" simplePos="0" relativeHeight="125829465" behindDoc="0" locked="0" layoutInCell="1" allowOverlap="1">
                <wp:simplePos x="0" y="0"/>
                <wp:positionH relativeFrom="page">
                  <wp:posOffset>6101715</wp:posOffset>
                </wp:positionH>
                <wp:positionV relativeFrom="paragraph">
                  <wp:posOffset>2764790</wp:posOffset>
                </wp:positionV>
                <wp:extent cx="725170" cy="143510"/>
                <wp:wrapTopAndBottom/>
                <wp:docPr id="824" name="Shape 824"/>
                <a:graphic xmlns:a="http://schemas.openxmlformats.org/drawingml/2006/main">
                  <a:graphicData uri="http://schemas.microsoft.com/office/word/2010/wordprocessingShape">
                    <wps:wsp>
                      <wps:cNvSpPr txBox="1"/>
                      <wps:spPr>
                        <a:xfrm>
                          <a:ext cx="72517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-26,949,985.36</w:t>
                            </w:r>
                          </w:p>
                        </w:txbxContent>
                      </wps:txbx>
                      <wps:bodyPr wrap="none" lIns="0" tIns="0" rIns="0" bIns="0">
                        <a:noAutoFit/>
                      </wps:bodyPr>
                    </wps:wsp>
                  </a:graphicData>
                </a:graphic>
              </wp:anchor>
            </w:drawing>
          </mc:Choice>
          <mc:Fallback>
            <w:pict>
              <v:shape id="_x0000_s1850" type="#_x0000_t202" style="position:absolute;margin-left:480.44999999999999pt;margin-top:217.70000000000002pt;width:57.100000000000001pt;height:11.300000000000001pt;z-index:-125829288;mso-wrap-distance-left:0;mso-wrap-distance-top:217.70000000000002pt;mso-wrap-distance-right:0;mso-wrap-distance-bottom:15.6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-26,949,985.36</w:t>
                      </w:r>
                    </w:p>
                  </w:txbxContent>
                </v:textbox>
                <w10:wrap type="topAndBottom" anchorx="page"/>
              </v:shape>
            </w:pict>
          </mc:Fallback>
        </mc:AlternateContent>
      </w:r>
    </w:p>
    <w:p>
      <w:pPr>
        <w:pStyle w:val="Style23"/>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r>
        <w:rPr>
          <w:color w:val="000000"/>
          <w:spacing w:val="0"/>
          <w:w w:val="100"/>
          <w:position w:val="0"/>
        </w:rPr>
        <w:t>十四、补充资料</w:t>
      </w:r>
      <w:bookmarkEnd w:id="1124"/>
      <w:bookmarkEnd w:id="1125"/>
      <w:bookmarkEnd w:id="1126"/>
    </w:p>
    <w:p>
      <w:pPr>
        <w:pStyle w:val="Style44"/>
        <w:keepNext/>
        <w:keepLines/>
        <w:widowControl w:val="0"/>
        <w:pBdr>
          <w:bottom w:val="single" w:sz="4" w:space="0" w:color="auto"/>
        </w:pBdr>
        <w:shd w:val="clear" w:color="auto" w:fill="auto"/>
        <w:bidi w:val="0"/>
        <w:spacing w:before="0" w:after="260" w:line="240" w:lineRule="auto"/>
        <w:ind w:left="0" w:right="0" w:firstLine="54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27"/>
      <w:bookmarkEnd w:id="1128"/>
      <w:bookmarkEnd w:id="1129"/>
    </w:p>
    <w:p>
      <w:pPr>
        <w:pStyle w:val="Style72"/>
        <w:keepNext w:val="0"/>
        <w:keepLines w:val="0"/>
        <w:widowControl w:val="0"/>
        <w:pBdr>
          <w:bottom w:val="single" w:sz="4" w:space="0" w:color="auto"/>
        </w:pBdr>
        <w:shd w:val="clear" w:color="auto" w:fill="auto"/>
        <w:tabs>
          <w:tab w:pos="6528" w:val="left"/>
          <w:tab w:pos="8395" w:val="left"/>
        </w:tabs>
        <w:bidi w:val="0"/>
        <w:spacing w:before="0" w:after="100" w:line="240" w:lineRule="auto"/>
        <w:ind w:left="0" w:right="0" w:firstLine="0"/>
        <w:jc w:val="left"/>
      </w:pPr>
      <w:r>
        <w:rPr>
          <w:color w:val="000000"/>
          <w:spacing w:val="0"/>
          <w:w w:val="100"/>
          <w:position w:val="0"/>
          <w:u w:val="single"/>
        </w:rPr>
        <w:t>项目</w:t>
      </w:r>
      <w:r>
        <w:rPr>
          <w:color w:val="000000"/>
          <w:spacing w:val="0"/>
          <w:w w:val="100"/>
          <w:position w:val="0"/>
        </w:rPr>
        <w:tab/>
        <w:t>本期金额</w:t>
        <w:tab/>
        <w:t>上期金额</w:t>
      </w:r>
    </w:p>
    <w:p>
      <w:pPr>
        <w:pStyle w:val="Style72"/>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114300" distR="114300" simplePos="0" relativeHeight="125829467" behindDoc="0" locked="0" layoutInCell="1" allowOverlap="1">
                <wp:simplePos x="0" y="0"/>
                <wp:positionH relativeFrom="page">
                  <wp:posOffset>4918710</wp:posOffset>
                </wp:positionH>
                <wp:positionV relativeFrom="paragraph">
                  <wp:posOffset>12700</wp:posOffset>
                </wp:positionV>
                <wp:extent cx="1932305" cy="640080"/>
                <wp:wrapSquare wrapText="left"/>
                <wp:docPr id="826" name="Shape 826"/>
                <a:graphic xmlns:a="http://schemas.openxmlformats.org/drawingml/2006/main">
                  <a:graphicData uri="http://schemas.microsoft.com/office/word/2010/wordprocessingShape">
                    <wps:wsp>
                      <wps:cNvSpPr txBox="1"/>
                      <wps:spPr>
                        <a:xfrm>
                          <a:ext cx="1932305" cy="640080"/>
                        </a:xfrm>
                        <a:prstGeom prst="rect"/>
                        <a:noFill/>
                      </wps:spPr>
                      <wps:txbx>
                        <w:txbxContent>
                          <w:p>
                            <w:pPr>
                              <w:pStyle w:val="Style74"/>
                              <w:keepNext w:val="0"/>
                              <w:keepLines w:val="0"/>
                              <w:widowControl w:val="0"/>
                              <w:shd w:val="clear" w:color="auto" w:fill="auto"/>
                              <w:tabs>
                                <w:tab w:pos="2230" w:val="left"/>
                              </w:tabs>
                              <w:bidi w:val="0"/>
                              <w:spacing w:before="0" w:after="560" w:line="240" w:lineRule="auto"/>
                              <w:ind w:left="0" w:right="0" w:firstLine="180"/>
                              <w:jc w:val="left"/>
                            </w:pPr>
                            <w:r>
                              <w:rPr>
                                <w:b w:val="0"/>
                                <w:bCs w:val="0"/>
                                <w:color w:val="000000"/>
                                <w:spacing w:val="0"/>
                                <w:w w:val="100"/>
                                <w:position w:val="0"/>
                              </w:rPr>
                              <w:t>-318,298.88</w:t>
                              <w:tab/>
                              <w:t>-56,449.36</w:t>
                            </w:r>
                          </w:p>
                          <w:p>
                            <w:pPr>
                              <w:pStyle w:val="Style74"/>
                              <w:keepNext w:val="0"/>
                              <w:keepLines w:val="0"/>
                              <w:widowControl w:val="0"/>
                              <w:shd w:val="clear" w:color="auto" w:fill="auto"/>
                              <w:tabs>
                                <w:tab w:pos="1944" w:val="left"/>
                              </w:tabs>
                              <w:bidi w:val="0"/>
                              <w:spacing w:before="0" w:after="0" w:line="240" w:lineRule="auto"/>
                              <w:ind w:left="0" w:right="0" w:firstLine="0"/>
                              <w:jc w:val="right"/>
                            </w:pPr>
                            <w:r>
                              <w:rPr>
                                <w:b w:val="0"/>
                                <w:bCs w:val="0"/>
                                <w:color w:val="000000"/>
                                <w:spacing w:val="0"/>
                                <w:w w:val="100"/>
                                <w:position w:val="0"/>
                              </w:rPr>
                              <w:t>78,729,248.37</w:t>
                              <w:tab/>
                              <w:t>35,735,868.04</w:t>
                            </w:r>
                          </w:p>
                        </w:txbxContent>
                      </wps:txbx>
                      <wps:bodyPr lIns="0" tIns="0" rIns="0" bIns="0">
                        <a:noAutoFit/>
                      </wps:bodyPr>
                    </wps:wsp>
                  </a:graphicData>
                </a:graphic>
              </wp:anchor>
            </w:drawing>
          </mc:Choice>
          <mc:Fallback>
            <w:pict>
              <v:shape id="_x0000_s1852" type="#_x0000_t202" style="position:absolute;margin-left:387.30000000000001pt;margin-top:1.pt;width:152.15000000000001pt;height:50.399999999999999pt;z-index:-125829286;mso-wrap-distance-left:9.pt;mso-wrap-distance-right:9.pt;mso-position-horizontal-relative:page" filled="f" stroked="f">
                <v:textbox inset="0,0,0,0">
                  <w:txbxContent>
                    <w:p>
                      <w:pPr>
                        <w:pStyle w:val="Style74"/>
                        <w:keepNext w:val="0"/>
                        <w:keepLines w:val="0"/>
                        <w:widowControl w:val="0"/>
                        <w:shd w:val="clear" w:color="auto" w:fill="auto"/>
                        <w:tabs>
                          <w:tab w:pos="2230" w:val="left"/>
                        </w:tabs>
                        <w:bidi w:val="0"/>
                        <w:spacing w:before="0" w:after="560" w:line="240" w:lineRule="auto"/>
                        <w:ind w:left="0" w:right="0" w:firstLine="180"/>
                        <w:jc w:val="left"/>
                      </w:pPr>
                      <w:r>
                        <w:rPr>
                          <w:b w:val="0"/>
                          <w:bCs w:val="0"/>
                          <w:color w:val="000000"/>
                          <w:spacing w:val="0"/>
                          <w:w w:val="100"/>
                          <w:position w:val="0"/>
                        </w:rPr>
                        <w:t>-318,298.88</w:t>
                        <w:tab/>
                        <w:t>-56,449.36</w:t>
                      </w:r>
                    </w:p>
                    <w:p>
                      <w:pPr>
                        <w:pStyle w:val="Style74"/>
                        <w:keepNext w:val="0"/>
                        <w:keepLines w:val="0"/>
                        <w:widowControl w:val="0"/>
                        <w:shd w:val="clear" w:color="auto" w:fill="auto"/>
                        <w:tabs>
                          <w:tab w:pos="1944" w:val="left"/>
                        </w:tabs>
                        <w:bidi w:val="0"/>
                        <w:spacing w:before="0" w:after="0" w:line="240" w:lineRule="auto"/>
                        <w:ind w:left="0" w:right="0" w:firstLine="0"/>
                        <w:jc w:val="right"/>
                      </w:pPr>
                      <w:r>
                        <w:rPr>
                          <w:b w:val="0"/>
                          <w:bCs w:val="0"/>
                          <w:color w:val="000000"/>
                          <w:spacing w:val="0"/>
                          <w:w w:val="100"/>
                          <w:position w:val="0"/>
                        </w:rPr>
                        <w:t>78,729,248.37</w:t>
                        <w:tab/>
                        <w:t>35,735,868.04</w:t>
                      </w:r>
                    </w:p>
                  </w:txbxContent>
                </v:textbox>
                <w10:wrap type="square" side="left" anchorx="page"/>
              </v:shape>
            </w:pict>
          </mc:Fallback>
        </mc:AlternateContent>
      </w:r>
      <w:r>
        <w:rPr>
          <w:b w:val="0"/>
          <w:bCs w:val="0"/>
          <w:color w:val="000000"/>
          <w:spacing w:val="0"/>
          <w:w w:val="100"/>
          <w:position w:val="0"/>
        </w:rPr>
        <w:t>非流动资产处置损益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越权审批或无正式批准文件的税收返还、减免</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计入当期损益的政府补助（与企业业务密切相关，按照国家统一标准定额或</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定量享受的政府补助除外）</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计入当期损益的对非金融企业收取的资金占用费</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企业取得子公司、联营企业及合营企业的投资成本小于取得投资时应享有被</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投资单位可辨认净资产公允价值产生的收益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非货币性资产交换损益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委托他人投资或管理资产的损益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因不可抗力因素，如遭受自然灾害而计提的各项资产减值准备</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债务重组损益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企业重组费用，如安置职工的支出、整合费用等</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交易价格显失公允的交易产生的超过公允价值部分的损益</w:t>
      </w:r>
    </w:p>
    <w:p>
      <w:pPr>
        <w:pStyle w:val="Style72"/>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114300" distR="114300" simplePos="0" relativeHeight="125829469" behindDoc="0" locked="0" layoutInCell="1" allowOverlap="1">
                <wp:simplePos x="0" y="0"/>
                <wp:positionH relativeFrom="page">
                  <wp:posOffset>6232525</wp:posOffset>
                </wp:positionH>
                <wp:positionV relativeFrom="paragraph">
                  <wp:posOffset>12700</wp:posOffset>
                </wp:positionV>
                <wp:extent cx="618490" cy="143510"/>
                <wp:wrapSquare wrapText="left"/>
                <wp:docPr id="828" name="Shape 828"/>
                <a:graphic xmlns:a="http://schemas.openxmlformats.org/drawingml/2006/main">
                  <a:graphicData uri="http://schemas.microsoft.com/office/word/2010/wordprocessingShape">
                    <wps:wsp>
                      <wps:cNvSpPr txBox="1"/>
                      <wps:spPr>
                        <a:xfrm>
                          <a:ext cx="61849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1,304,887.96</w:t>
                            </w:r>
                          </w:p>
                        </w:txbxContent>
                      </wps:txbx>
                      <wps:bodyPr wrap="none" lIns="0" tIns="0" rIns="0" bIns="0">
                        <a:noAutoFit/>
                      </wps:bodyPr>
                    </wps:wsp>
                  </a:graphicData>
                </a:graphic>
              </wp:anchor>
            </w:drawing>
          </mc:Choice>
          <mc:Fallback>
            <w:pict>
              <v:shape id="_x0000_s1854" type="#_x0000_t202" style="position:absolute;margin-left:490.75pt;margin-top:1.pt;width:48.700000000000003pt;height:11.300000000000001pt;z-index:-125829284;mso-wrap-distance-left:9.pt;mso-wrap-distance-right: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1,304,887.96</w:t>
                      </w:r>
                    </w:p>
                  </w:txbxContent>
                </v:textbox>
                <w10:wrap type="square" side="left" anchorx="page"/>
              </v:shape>
            </w:pict>
          </mc:Fallback>
        </mc:AlternateContent>
      </w:r>
      <w:r>
        <w:rPr>
          <w:b w:val="0"/>
          <w:bCs w:val="0"/>
          <w:color w:val="000000"/>
          <w:spacing w:val="0"/>
          <w:w w:val="100"/>
          <w:position w:val="0"/>
        </w:rPr>
        <w:t>同一控制下企业合并产生的子公司期初至合并日的当期净损益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与公司正常经营业务无关的或有事项产生的损益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除同公司正常经营业务相关的有效套期保值业务外，持有交易性金融资产、</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交易性金融负债产生的公允价值变动损益，以及处置交易性金融资产、交易</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性金融负债和可供出售金融资产取得的投资收益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单独进行减值测试的应收款项减值准备转回</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对外委托贷款取得的损益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采用公允价值模式进行后续计量的投资性房地产公允价值变动产生的损益</w:t>
      </w:r>
    </w:p>
    <w:p>
      <w:pPr>
        <w:pStyle w:val="Style72"/>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根据税收、会计等法律、法规的要求对当期损益进行一次性调整对当期损益</w:t>
      </w:r>
    </w:p>
    <w:p>
      <w:pPr>
        <w:pStyle w:val="Style72"/>
        <w:keepNext w:val="0"/>
        <w:keepLines w:val="0"/>
        <w:widowControl w:val="0"/>
        <w:pBdr>
          <w:bottom w:val="single" w:sz="4" w:space="0" w:color="auto"/>
        </w:pBdr>
        <w:shd w:val="clear" w:color="auto" w:fill="auto"/>
        <w:bidi w:val="0"/>
        <w:spacing w:before="0" w:after="100" w:line="240" w:lineRule="auto"/>
        <w:ind w:left="0" w:right="0" w:firstLine="0"/>
        <w:jc w:val="left"/>
      </w:pPr>
      <w:r>
        <w:rPr>
          <w:b w:val="0"/>
          <w:bCs w:val="0"/>
          <w:color w:val="000000"/>
          <w:spacing w:val="0"/>
          <w:w w:val="100"/>
          <w:position w:val="0"/>
        </w:rPr>
        <w:t>的影响</w:t>
      </w:r>
      <w:r>
        <w:br w:type="page"/>
      </w:r>
    </w:p>
    <w:tbl>
      <w:tblPr>
        <w:tblOverlap w:val="never"/>
        <w:jc w:val="center"/>
        <w:tblLayout w:type="fixed"/>
      </w:tblPr>
      <w:tblGrid>
        <w:gridCol w:w="5035"/>
        <w:gridCol w:w="3211"/>
        <w:gridCol w:w="1608"/>
      </w:tblGrid>
      <w:tr>
        <w:trPr>
          <w:trHeight w:val="322"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-584,432.99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-2,347,512.56</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8,197,903.65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2,788,212.04</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少数股东损益影响额（税后）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940,872.16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-23,573.57</w:t>
            </w:r>
          </w:p>
        </w:tc>
      </w:tr>
      <w:tr>
        <w:trPr>
          <w:trHeight w:val="32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b/>
                <w:bCs/>
                <w:color w:val="000000"/>
                <w:spacing w:val="0"/>
                <w:w w:val="100"/>
                <w:position w:val="0"/>
                <w:sz w:val="18"/>
                <w:szCs w:val="18"/>
              </w:rPr>
              <w:t>68,687,740.69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31,872,155.61</w:t>
            </w:r>
          </w:p>
        </w:tc>
      </w:tr>
    </w:tbl>
    <w:p>
      <w:pPr>
        <w:widowControl w:val="0"/>
        <w:spacing w:after="259" w:line="1" w:lineRule="exact"/>
      </w:pPr>
    </w:p>
    <w:p>
      <w:pPr>
        <w:pStyle w:val="Style44"/>
        <w:keepNext/>
        <w:keepLines/>
        <w:widowControl w:val="0"/>
        <w:shd w:val="clear" w:color="auto" w:fill="auto"/>
        <w:bidi w:val="0"/>
        <w:spacing w:before="0" w:after="360" w:line="240" w:lineRule="auto"/>
        <w:ind w:left="0" w:right="0" w:firstLine="54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30"/>
      <w:bookmarkEnd w:id="1131"/>
      <w:bookmarkEnd w:id="1132"/>
    </w:p>
    <w:p>
      <w:pPr>
        <w:pStyle w:val="Style55"/>
        <w:keepNext/>
        <w:keepLines/>
        <w:widowControl w:val="0"/>
        <w:shd w:val="clear" w:color="auto" w:fill="auto"/>
        <w:bidi w:val="0"/>
        <w:spacing w:before="0" w:after="260" w:line="240" w:lineRule="auto"/>
        <w:ind w:left="0" w:right="0" w:firstLine="540"/>
        <w:jc w:val="left"/>
      </w:pPr>
      <w:bookmarkStart w:id="1133" w:name="bookmark1133"/>
      <w:bookmarkStart w:id="1134" w:name="bookmark1134"/>
      <w:bookmarkStart w:id="1135" w:name="bookmark1135"/>
      <w:r>
        <w:rPr>
          <w:color w:val="000000"/>
          <w:spacing w:val="0"/>
          <w:w w:val="100"/>
          <w:position w:val="0"/>
        </w:rPr>
        <w:t>根据中国证券监督管理委员会关于发布《公开发行证券公司信息披露编报规则》第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2010</w:t>
      </w:r>
      <w:r>
        <w:rPr>
          <w:color w:val="000000"/>
          <w:spacing w:val="0"/>
          <w:w w:val="100"/>
          <w:position w:val="0"/>
        </w:rPr>
        <w:t>年修订）</w:t>
      </w:r>
      <w:bookmarkEnd w:id="1133"/>
      <w:bookmarkEnd w:id="1134"/>
      <w:bookmarkEnd w:id="1135"/>
    </w:p>
    <w:p>
      <w:pPr>
        <w:pStyle w:val="Style55"/>
        <w:keepNext/>
        <w:keepLines/>
        <w:widowControl w:val="0"/>
        <w:pBdr>
          <w:bottom w:val="single" w:sz="4" w:space="0" w:color="auto"/>
        </w:pBdr>
        <w:shd w:val="clear" w:color="auto" w:fill="auto"/>
        <w:bidi w:val="0"/>
        <w:spacing w:before="0" w:after="200" w:line="240" w:lineRule="auto"/>
        <w:ind w:left="0" w:right="0" w:firstLine="0"/>
        <w:jc w:val="left"/>
        <w:rPr>
          <w:sz w:val="17"/>
          <w:szCs w:val="17"/>
        </w:rPr>
      </w:pPr>
      <w:bookmarkStart w:id="1136" w:name="bookmark1136"/>
      <w:bookmarkStart w:id="1137" w:name="bookmark1137"/>
      <w:bookmarkStart w:id="1138" w:name="bookmark1138"/>
      <w:r>
        <w:rPr>
          <w:color w:val="000000"/>
          <w:spacing w:val="0"/>
          <w:w w:val="100"/>
          <w:position w:val="0"/>
          <w:sz w:val="20"/>
          <w:szCs w:val="20"/>
        </w:rPr>
        <w:t>要求计算的净资产收益率和每股收益如下</w:t>
      </w:r>
      <w:r>
        <w:rPr>
          <w:color w:val="000000"/>
          <w:spacing w:val="0"/>
          <w:w w:val="100"/>
          <w:position w:val="0"/>
          <w:sz w:val="17"/>
          <w:szCs w:val="17"/>
        </w:rPr>
        <w:t>:</w:t>
      </w:r>
      <w:bookmarkEnd w:id="1136"/>
      <w:bookmarkEnd w:id="1137"/>
      <w:bookmarkEnd w:id="1138"/>
    </w:p>
    <w:tbl>
      <w:tblPr>
        <w:tblOverlap w:val="never"/>
        <w:jc w:val="center"/>
        <w:tblLayout w:type="fixed"/>
      </w:tblPr>
      <w:tblGrid>
        <w:gridCol w:w="2712"/>
        <w:gridCol w:w="1483"/>
        <w:gridCol w:w="984"/>
        <w:gridCol w:w="1056"/>
        <w:gridCol w:w="1536"/>
        <w:gridCol w:w="1066"/>
        <w:gridCol w:w="994"/>
      </w:tblGrid>
      <w:tr>
        <w:trPr>
          <w:trHeight w:val="3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r>
        <w:trPr>
          <w:trHeight w:val="336" w:hRule="exact"/>
        </w:trPr>
        <w:tc>
          <w:tcPr>
            <w:vMerge/>
            <w:tcBorders/>
            <w:shd w:val="clear" w:color="auto" w:fill="FFFFFF"/>
            <w:vAlign w:val="center"/>
          </w:tcPr>
          <w:p>
            <w:pPr/>
          </w:p>
        </w:tc>
        <w:tc>
          <w:tcPr>
            <w:vMerge w:val="restart"/>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加权平均净资产 收益率</w:t>
            </w:r>
          </w:p>
        </w:tc>
        <w:tc>
          <w:tcPr>
            <w:vMerge w:val="restart"/>
            <w:tcBorders/>
            <w:shd w:val="clear" w:color="auto" w:fill="FFFFFF"/>
            <w:vAlign w:val="bottom"/>
          </w:tcPr>
          <w:p>
            <w:pPr>
              <w:pStyle w:val="Style2"/>
              <w:keepNext w:val="0"/>
              <w:keepLines w:val="0"/>
              <w:widowControl w:val="0"/>
              <w:shd w:val="clear" w:color="auto" w:fill="auto"/>
              <w:bidi w:val="0"/>
              <w:spacing w:before="0" w:after="0" w:line="247" w:lineRule="exact"/>
              <w:ind w:left="0" w:right="0" w:firstLine="0"/>
              <w:jc w:val="right"/>
            </w:pPr>
            <w:r>
              <w:rPr>
                <w:b/>
                <w:bCs/>
                <w:color w:val="000000"/>
                <w:spacing w:val="0"/>
                <w:w w:val="100"/>
                <w:position w:val="0"/>
              </w:rPr>
              <w:t>每股 基本每 股收益</w:t>
            </w:r>
          </w:p>
        </w:tc>
        <w:tc>
          <w:tcPr>
            <w:vMerge w:val="restart"/>
            <w:tcBorders/>
            <w:shd w:val="clear" w:color="auto" w:fill="FFFFFF"/>
            <w:vAlign w:val="bottom"/>
          </w:tcPr>
          <w:p>
            <w:pPr>
              <w:pStyle w:val="Style2"/>
              <w:keepNext w:val="0"/>
              <w:keepLines w:val="0"/>
              <w:widowControl w:val="0"/>
              <w:shd w:val="clear" w:color="auto" w:fill="auto"/>
              <w:bidi w:val="0"/>
              <w:spacing w:before="0" w:after="40" w:line="226" w:lineRule="exact"/>
              <w:ind w:left="0" w:right="0" w:firstLine="0"/>
              <w:jc w:val="left"/>
            </w:pPr>
            <w:r>
              <w:rPr>
                <w:b/>
                <w:bCs/>
                <w:color w:val="000000"/>
                <w:spacing w:val="0"/>
                <w:w w:val="100"/>
                <w:position w:val="0"/>
              </w:rPr>
              <w:t>收益</w:t>
            </w:r>
          </w:p>
          <w:p>
            <w:pPr>
              <w:pStyle w:val="Style2"/>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稀释每股 收益</w:t>
            </w:r>
          </w:p>
        </w:tc>
        <w:tc>
          <w:tcPr>
            <w:vMerge w:val="restart"/>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加权平均净资产 收益率</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每股收益</w:t>
            </w:r>
          </w:p>
        </w:tc>
      </w:tr>
      <w:tr>
        <w:trPr>
          <w:trHeight w:val="42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基本每股 收益</w:t>
            </w:r>
          </w:p>
        </w:tc>
        <w:tc>
          <w:tcPr>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稀释每股 收益</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归属于公司普通股股东的净利 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0.5844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0.5844</w:t>
            </w:r>
          </w:p>
        </w:tc>
      </w:tr>
      <w:tr>
        <w:trPr>
          <w:trHeight w:val="739"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扣除非经常性损益后归属于公</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司普通股股东的净利润</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0.6742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0.6742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0.5306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0.5306</w:t>
            </w:r>
          </w:p>
        </w:tc>
      </w:tr>
    </w:tbl>
    <w:p>
      <w:pPr>
        <w:widowControl w:val="0"/>
        <w:spacing w:after="499" w:line="1" w:lineRule="exact"/>
      </w:pPr>
    </w:p>
    <w:p>
      <w:pPr>
        <w:pStyle w:val="Style44"/>
        <w:keepNext/>
        <w:keepLines/>
        <w:widowControl w:val="0"/>
        <w:shd w:val="clear" w:color="auto" w:fill="auto"/>
        <w:bidi w:val="0"/>
        <w:spacing w:before="0" w:after="260" w:line="240" w:lineRule="auto"/>
        <w:ind w:left="0" w:right="0" w:firstLine="54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、基本每股收益和稀释每股收益计算过程</w:t>
      </w:r>
      <w:bookmarkEnd w:id="1139"/>
      <w:bookmarkEnd w:id="1140"/>
      <w:bookmarkEnd w:id="1142"/>
    </w:p>
    <w:tbl>
      <w:tblPr>
        <w:tblOverlap w:val="never"/>
        <w:jc w:val="center"/>
        <w:tblLayout w:type="fixed"/>
      </w:tblPr>
      <w:tblGrid>
        <w:gridCol w:w="4411"/>
        <w:gridCol w:w="1397"/>
        <w:gridCol w:w="1858"/>
        <w:gridCol w:w="136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80" w:right="0" w:firstLine="0"/>
              <w:jc w:val="center"/>
            </w:pPr>
            <w:r>
              <w:rPr>
                <w:b/>
                <w:bCs/>
                <w:color w:val="000000"/>
                <w:spacing w:val="0"/>
                <w:w w:val="100"/>
                <w:position w:val="0"/>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本期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pPr>
            <w:r>
              <w:rPr>
                <w:b/>
                <w:bCs/>
                <w:color w:val="000000"/>
                <w:spacing w:val="0"/>
                <w:w w:val="100"/>
                <w:position w:val="0"/>
              </w:rPr>
              <w:t>上期</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归属于本公司普通股股东的净利润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272,515,185.89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141,275,120.01</w:t>
            </w:r>
          </w:p>
        </w:tc>
      </w:tr>
      <w:tr>
        <w:trPr>
          <w:trHeight w:val="710" w:hRule="exact"/>
        </w:trPr>
        <w:tc>
          <w:tcPr>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扣除所得税影响后归属于母公司普通股股东净利 润的非经常性损益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68,687,740.69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31,872,155.61</w:t>
            </w:r>
          </w:p>
        </w:tc>
      </w:tr>
      <w:tr>
        <w:trPr>
          <w:trHeight w:val="648" w:hRule="exact"/>
        </w:trPr>
        <w:tc>
          <w:tcPr>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扣除非经常性损益后的归属于本公司普通股股东 的净利润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203,827,445.20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109,402,964.40</w:t>
            </w: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年初股份总数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296,941,323.00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报告期因公积金转增股本或股票股利分配等增加 的股份数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报告期因发行新股或债转股等增加的股份数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6,467,661.00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161,941,323.00</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其中：同一控制下并购增发股份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106,753,049.00</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非同一控制下并购增发股份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6,467,661.00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55,188,274.00</w:t>
            </w: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发行新股或债转股等增加股份下一月份起至报告 期年末的月份数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其中：同一控制下并购增发股份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非同一控制下并购增发股份</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sectPr>
          <w:headerReference w:type="default" r:id="rId265"/>
          <w:footerReference w:type="default" r:id="rId266"/>
          <w:headerReference w:type="even" r:id="rId267"/>
          <w:footerReference w:type="even" r:id="rId268"/>
          <w:headerReference w:type="first" r:id="rId269"/>
          <w:footerReference w:type="first" r:id="rId270"/>
          <w:footnotePr>
            <w:pos w:val="pageBottom"/>
            <w:numFmt w:val="decimal"/>
            <w:numRestart w:val="continuous"/>
          </w:footnotePr>
          <w:pgSz w:w="11900" w:h="16840"/>
          <w:pgMar w:top="1105" w:right="881" w:bottom="1531" w:left="849" w:header="0" w:footer="3" w:gutter="0"/>
          <w:cols w:space="720"/>
          <w:noEndnote/>
          <w:titlePg/>
          <w:rtlGutter w:val="0"/>
          <w:docGrid w:linePitch="360"/>
        </w:sectPr>
      </w:pPr>
    </w:p>
    <w:tbl>
      <w:tblPr>
        <w:tblOverlap w:val="never"/>
        <w:jc w:val="center"/>
        <w:tblLayout w:type="fixed"/>
      </w:tblPr>
      <w:tblGrid>
        <w:gridCol w:w="4128"/>
        <w:gridCol w:w="2083"/>
        <w:gridCol w:w="1517"/>
        <w:gridCol w:w="144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本期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上期</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报告期因回购等减少的股份数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减少股份下一月份起至报告期年末的月份数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报告期缩股数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报告期月份数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发行在外的普通股加权平均数</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16=4+5+7x1075+8x11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-15-12x13-15-14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302,331,040.50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206,168,699.33</w:t>
            </w:r>
          </w:p>
        </w:tc>
      </w:tr>
      <w:tr>
        <w:trPr>
          <w:trHeight w:val="1056" w:hRule="exact"/>
        </w:trPr>
        <w:tc>
          <w:tcPr>
            <w:tcBorders/>
            <w:shd w:val="clear" w:color="auto" w:fill="FFFFFF"/>
            <w:vAlign w:val="center"/>
          </w:tcPr>
          <w:p>
            <w:pPr>
              <w:pStyle w:val="Style2"/>
              <w:keepNext w:val="0"/>
              <w:keepLines w:val="0"/>
              <w:widowControl w:val="0"/>
              <w:shd w:val="clear" w:color="auto" w:fill="auto"/>
              <w:bidi w:val="0"/>
              <w:spacing w:before="0" w:after="0" w:line="314" w:lineRule="exact"/>
              <w:ind w:left="140" w:right="0" w:firstLine="0"/>
              <w:jc w:val="left"/>
            </w:pPr>
            <w:r>
              <w:rPr>
                <w:b/>
                <w:bCs/>
                <w:color w:val="000000"/>
                <w:spacing w:val="0"/>
                <w:w w:val="100"/>
                <w:position w:val="0"/>
              </w:rPr>
              <w:t>因同一控制下企业合并而调整的用于计算扣除非 经常性损益后的每股收益的发行在外的普通股加 权平均数</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***17=4+5+7+8x11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-15-12x13-15-14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241,753,049.00</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基本每股收益（归属于公司普通股股东的净利润）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18=1-17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0.5844</w:t>
            </w:r>
          </w:p>
        </w:tc>
      </w:tr>
      <w:tr>
        <w:trPr>
          <w:trHeight w:val="744" w:hRule="exact"/>
        </w:trPr>
        <w:tc>
          <w:tcPr>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b/>
                <w:bCs/>
                <w:color w:val="000000"/>
                <w:spacing w:val="0"/>
                <w:w w:val="100"/>
                <w:position w:val="0"/>
              </w:rPr>
              <w:t>基本每股收益（扣除非经常性损益后归属于公司 普通股股东的净利润）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19=3-16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0.6742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0.5306</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已确认为费用的稀释性潜在普通股利息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所得税率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转换费用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b/>
                <w:bCs/>
                <w:color w:val="000000"/>
                <w:spacing w:val="0"/>
                <w:w w:val="100"/>
                <w:position w:val="0"/>
              </w:rPr>
              <w:t>可转换公司债券、认股权证、股份期权等转换或 行权而增加的股份数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4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稀释每股收益（归属于公司普通股股东的净利润）</w:t>
            </w:r>
          </w:p>
        </w:tc>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24=[1+(20-22)x(1-21)]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0.9014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0.5844</w:t>
            </w:r>
          </w:p>
        </w:tc>
      </w:tr>
      <w:tr>
        <w:trPr>
          <w:trHeight w:val="763"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both"/>
            </w:pPr>
            <w:r>
              <w:rPr>
                <w:b/>
                <w:bCs/>
                <w:color w:val="000000"/>
                <w:spacing w:val="0"/>
                <w:w w:val="100"/>
                <w:position w:val="0"/>
              </w:rPr>
              <w:t>稀释每股收益（扣除非经常性损益后归属于公司 普通股股东的净利润）</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25=[3+(20-22)x(1-21)]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0.6742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0.5306</w:t>
            </w:r>
          </w:p>
        </w:tc>
      </w:tr>
    </w:tbl>
    <w:p>
      <w:pPr>
        <w:pStyle w:val="Style30"/>
        <w:keepNext w:val="0"/>
        <w:keepLines w:val="0"/>
        <w:widowControl w:val="0"/>
        <w:shd w:val="clear" w:color="auto" w:fill="auto"/>
        <w:bidi w:val="0"/>
        <w:spacing w:before="0" w:after="0" w:line="240" w:lineRule="auto"/>
        <w:ind w:left="106" w:right="0" w:firstLine="0"/>
        <w:jc w:val="left"/>
        <w:rPr>
          <w:sz w:val="17"/>
          <w:szCs w:val="17"/>
        </w:rPr>
      </w:pPr>
      <w:r>
        <w:rPr>
          <w:b w:val="0"/>
          <w:bCs w:val="0"/>
          <w:color w:val="000000"/>
          <w:spacing w:val="0"/>
          <w:w w:val="100"/>
          <w:position w:val="0"/>
          <w:sz w:val="17"/>
          <w:szCs w:val="17"/>
        </w:rPr>
        <w:t>注：公司期末不存在稀释性潜在普通股，故稀释每股收益与基本每股收益一致。</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52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color w:val="000000"/>
          <w:spacing w:val="0"/>
          <w:w w:val="100"/>
          <w:position w:val="0"/>
        </w:rPr>
        <w:t>、公司主要会计报表项目的异常情况及原因的说明</w:t>
      </w:r>
      <w:bookmarkEnd w:id="1143"/>
      <w:bookmarkEnd w:id="1144"/>
      <w:bookmarkEnd w:id="1146"/>
    </w:p>
    <w:tbl>
      <w:tblPr>
        <w:tblOverlap w:val="never"/>
        <w:jc w:val="center"/>
        <w:tblLayout w:type="fixed"/>
      </w:tblPr>
      <w:tblGrid>
        <w:gridCol w:w="1738"/>
        <w:gridCol w:w="7104"/>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报表项目</w:t>
            </w:r>
          </w:p>
        </w:tc>
        <w:tc>
          <w:tcPr>
            <w:tcBorders/>
            <w:shd w:val="clear" w:color="auto" w:fill="FFFFFF"/>
            <w:vAlign w:val="top"/>
          </w:tcPr>
          <w:p>
            <w:pPr>
              <w:pStyle w:val="Style2"/>
              <w:keepNext w:val="0"/>
              <w:keepLines w:val="0"/>
              <w:widowControl w:val="0"/>
              <w:shd w:val="clear" w:color="auto" w:fill="auto"/>
              <w:tabs>
                <w:tab w:pos="3686" w:val="left"/>
              </w:tabs>
              <w:bidi w:val="0"/>
              <w:spacing w:before="0" w:after="0" w:line="240" w:lineRule="auto"/>
              <w:ind w:left="0" w:right="0" w:firstLine="360"/>
              <w:jc w:val="left"/>
            </w:pPr>
            <w:r>
              <w:rPr>
                <w:b/>
                <w:bCs/>
                <w:color w:val="000000"/>
                <w:spacing w:val="0"/>
                <w:w w:val="100"/>
                <w:position w:val="0"/>
              </w:rPr>
              <w:t>变动比例（%）</w:t>
              <w:tab/>
              <w:t>原因说明</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应收票据</w:t>
            </w:r>
          </w:p>
        </w:tc>
        <w:tc>
          <w:tcPr>
            <w:tcBorders>
              <w:top w:val="single" w:sz="4"/>
            </w:tcBorders>
            <w:shd w:val="clear" w:color="auto" w:fill="FFFFFF"/>
            <w:vAlign w:val="center"/>
          </w:tcPr>
          <w:p>
            <w:pPr>
              <w:pStyle w:val="Style2"/>
              <w:keepNext w:val="0"/>
              <w:keepLines w:val="0"/>
              <w:widowControl w:val="0"/>
              <w:shd w:val="clear" w:color="auto" w:fill="auto"/>
              <w:tabs>
                <w:tab w:pos="1667" w:val="left"/>
              </w:tabs>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366.18</w:t>
              <w:tab/>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年度国微电子以票据作为销售回款结算增加所致。</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预付款项</w:t>
            </w:r>
          </w:p>
        </w:tc>
        <w:tc>
          <w:tcPr>
            <w:tcBorders/>
            <w:shd w:val="clear" w:color="auto" w:fill="FFFFFF"/>
            <w:vAlign w:val="center"/>
          </w:tcPr>
          <w:p>
            <w:pPr>
              <w:pStyle w:val="Style2"/>
              <w:keepNext w:val="0"/>
              <w:keepLines w:val="0"/>
              <w:widowControl w:val="0"/>
              <w:shd w:val="clear" w:color="auto" w:fill="auto"/>
              <w:tabs>
                <w:tab w:pos="1619" w:val="left"/>
              </w:tabs>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35.81</w:t>
              <w:tab/>
            </w:r>
            <w:r>
              <w:rPr>
                <w:color w:val="000000"/>
                <w:spacing w:val="0"/>
                <w:w w:val="100"/>
                <w:position w:val="0"/>
              </w:rPr>
              <w:t>主要系公司之子公司国微电子预付材料款增加所致。</w:t>
            </w:r>
          </w:p>
        </w:tc>
      </w:tr>
      <w:tr>
        <w:trPr>
          <w:trHeight w:val="1070" w:hRule="exact"/>
        </w:trPr>
        <w:tc>
          <w:tcPr>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180"/>
              <w:jc w:val="left"/>
              <w:rPr>
                <w:sz w:val="20"/>
                <w:szCs w:val="20"/>
              </w:rPr>
            </w:pPr>
            <w:r>
              <w:rPr>
                <w:color w:val="000000"/>
                <w:spacing w:val="0"/>
                <w:w w:val="100"/>
                <w:position w:val="0"/>
                <w:sz w:val="20"/>
                <w:szCs w:val="20"/>
              </w:rPr>
              <w:t>无形资产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主要系公司之子公司国微电子报告期部分特种集成电路研发项目</w:t>
            </w:r>
          </w:p>
          <w:p>
            <w:pPr>
              <w:pStyle w:val="Style2"/>
              <w:keepNext w:val="0"/>
              <w:keepLines w:val="0"/>
              <w:widowControl w:val="0"/>
              <w:shd w:val="clear" w:color="auto" w:fill="auto"/>
              <w:bidi w:val="0"/>
              <w:spacing w:before="0" w:after="0" w:line="18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2,102.11</w:t>
            </w:r>
          </w:p>
          <w:p>
            <w:pPr>
              <w:pStyle w:val="Style2"/>
              <w:keepNext w:val="0"/>
              <w:keepLines w:val="0"/>
              <w:widowControl w:val="0"/>
              <w:shd w:val="clear" w:color="auto" w:fill="auto"/>
              <w:bidi w:val="0"/>
              <w:spacing w:before="0" w:after="180" w:line="240" w:lineRule="auto"/>
              <w:ind w:left="1700" w:right="0" w:firstLine="0"/>
              <w:jc w:val="left"/>
            </w:pPr>
            <w:r>
              <w:rPr>
                <w:color w:val="000000"/>
                <w:spacing w:val="0"/>
                <w:w w:val="100"/>
                <w:position w:val="0"/>
              </w:rPr>
              <w:t>验收及同方微电子移动通信项目转入无形资产所致。</w:t>
            </w:r>
          </w:p>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主要系公司之子公司国微电子报告期部分特种集成电路研发项目</w:t>
            </w:r>
          </w:p>
        </w:tc>
      </w:tr>
      <w:tr>
        <w:trPr>
          <w:trHeight w:val="52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开发支出</w:t>
            </w:r>
          </w:p>
        </w:tc>
        <w:tc>
          <w:tcPr>
            <w:tcBorders/>
            <w:shd w:val="clear" w:color="auto" w:fill="FFFFFF"/>
            <w:vAlign w:val="bottom"/>
          </w:tcPr>
          <w:p>
            <w:pPr>
              <w:pStyle w:val="Style2"/>
              <w:keepNext w:val="0"/>
              <w:keepLines w:val="0"/>
              <w:widowControl w:val="0"/>
              <w:shd w:val="clear" w:color="auto" w:fill="auto"/>
              <w:tabs>
                <w:tab w:pos="1653" w:val="left"/>
              </w:tabs>
              <w:bidi w:val="0"/>
              <w:spacing w:before="0" w:after="100" w:line="240" w:lineRule="auto"/>
              <w:ind w:left="0" w:right="0" w:firstLine="640"/>
              <w:jc w:val="left"/>
            </w:pPr>
            <w:r>
              <w:rPr>
                <w:rFonts w:ascii="Times New Roman" w:eastAsia="Times New Roman" w:hAnsi="Times New Roman" w:cs="Times New Roman"/>
                <w:color w:val="000000"/>
                <w:spacing w:val="0"/>
                <w:w w:val="100"/>
                <w:position w:val="0"/>
                <w:sz w:val="18"/>
                <w:szCs w:val="18"/>
              </w:rPr>
              <w:t>-50.12</w:t>
              <w:tab/>
            </w:r>
            <w:r>
              <w:rPr>
                <w:color w:val="000000"/>
                <w:spacing w:val="0"/>
                <w:w w:val="100"/>
                <w:position w:val="0"/>
              </w:rPr>
              <w:t>验收及同方微电子移动通信项目结题自开发支出转入无形资产所</w:t>
            </w:r>
          </w:p>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致。</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长期待摊费用</w:t>
            </w:r>
          </w:p>
        </w:tc>
        <w:tc>
          <w:tcPr>
            <w:tcBorders/>
            <w:shd w:val="clear" w:color="auto" w:fill="FFFFFF"/>
            <w:vAlign w:val="bottom"/>
          </w:tcPr>
          <w:p>
            <w:pPr>
              <w:pStyle w:val="Style2"/>
              <w:keepNext w:val="0"/>
              <w:keepLines w:val="0"/>
              <w:widowControl w:val="0"/>
              <w:shd w:val="clear" w:color="auto" w:fill="auto"/>
              <w:tabs>
                <w:tab w:pos="1653" w:val="left"/>
              </w:tabs>
              <w:bidi w:val="0"/>
              <w:spacing w:before="0" w:after="0" w:line="240" w:lineRule="auto"/>
              <w:ind w:left="0" w:right="0" w:firstLine="640"/>
              <w:jc w:val="both"/>
            </w:pPr>
            <w:r>
              <w:rPr>
                <w:rFonts w:ascii="Times New Roman" w:eastAsia="Times New Roman" w:hAnsi="Times New Roman" w:cs="Times New Roman"/>
                <w:color w:val="000000"/>
                <w:spacing w:val="0"/>
                <w:w w:val="100"/>
                <w:position w:val="0"/>
                <w:sz w:val="18"/>
                <w:szCs w:val="18"/>
              </w:rPr>
              <w:t>116.65</w:t>
              <w:tab/>
            </w:r>
            <w:r>
              <w:rPr>
                <w:color w:val="000000"/>
                <w:spacing w:val="0"/>
                <w:w w:val="100"/>
                <w:position w:val="0"/>
              </w:rPr>
              <w:t>主要系公司办公场所装修费增加所致。</w:t>
            </w:r>
          </w:p>
        </w:tc>
      </w:tr>
      <w:tr>
        <w:trPr>
          <w:trHeight w:val="49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短期借款</w:t>
            </w:r>
          </w:p>
        </w:tc>
        <w:tc>
          <w:tcPr>
            <w:tcBorders>
              <w:bottom w:val="single" w:sz="4"/>
            </w:tcBorders>
            <w:shd w:val="clear" w:color="auto" w:fill="FFFFFF"/>
            <w:vAlign w:val="center"/>
          </w:tcPr>
          <w:p>
            <w:pPr>
              <w:pStyle w:val="Style2"/>
              <w:keepNext w:val="0"/>
              <w:keepLines w:val="0"/>
              <w:widowControl w:val="0"/>
              <w:shd w:val="clear" w:color="auto" w:fill="auto"/>
              <w:tabs>
                <w:tab w:pos="1696" w:val="left"/>
              </w:tabs>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18"/>
                <w:szCs w:val="18"/>
              </w:rPr>
              <w:t>-100.00</w:t>
              <w:tab/>
            </w:r>
            <w:r>
              <w:rPr>
                <w:color w:val="000000"/>
                <w:spacing w:val="0"/>
                <w:w w:val="100"/>
                <w:position w:val="0"/>
              </w:rPr>
              <w:t>系公司之子公司国微电子偿还借款所致。</w:t>
            </w:r>
          </w:p>
        </w:tc>
      </w:tr>
    </w:tbl>
    <w:p>
      <w:p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105" w:right="881" w:bottom="1531" w:left="849" w:header="0" w:footer="3" w:gutter="0"/>
          <w:cols w:space="720"/>
          <w:noEndnote/>
          <w:rtlGutter w:val="0"/>
          <w:docGrid w:linePitch="360"/>
        </w:sectPr>
      </w:pPr>
    </w:p>
    <w:tbl>
      <w:tblPr>
        <w:tblOverlap w:val="never"/>
        <w:jc w:val="center"/>
        <w:tblLayout w:type="fixed"/>
      </w:tblPr>
      <w:tblGrid>
        <w:gridCol w:w="1954"/>
        <w:gridCol w:w="1325"/>
        <w:gridCol w:w="5462"/>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报表项目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原因说明</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主要系公司之子公司国微电子及同方微电子备货增加所致。</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主要系公司之子公司国微电子客户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年度预付货款减少所致。</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应付职工薪酬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主要系公司之子公司同方微电子期末计提奖金所致</w:t>
            </w:r>
          </w:p>
        </w:tc>
      </w:tr>
      <w:tr>
        <w:trPr>
          <w:trHeight w:val="71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应交税费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142.08</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主要系计提所得税增加及公司出口增值税退税因软件升级原因本 期集中办理所致。</w:t>
            </w:r>
          </w:p>
        </w:tc>
      </w:tr>
      <w:tr>
        <w:trPr>
          <w:trHeight w:val="7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-93.46</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主要系本报告期支付重组中介费和支付唐山晶源电子有限公司少 数股权款所致</w:t>
            </w:r>
          </w:p>
        </w:tc>
      </w:tr>
      <w:tr>
        <w:trPr>
          <w:trHeight w:val="70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专项应付款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-63.31</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系公司之子公司同方微电子收到的部分委托及合作开发的研发项 目验收转入当期损益所致。</w:t>
            </w: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系公司本期购买国微电子少数股权及处置晶源健三股权后，合并范 围内子公司全部为全资子公司。</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营业税金及附加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80.75</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主要系本报告期合并范围增加国微电子以及公司之子公司同方微 电子研发投入增加所致</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主要系报告期公司会计估计变更影响所致。</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638" w:hRule="exact"/>
        </w:trPr>
        <w:tc>
          <w:tcPr>
            <w:tcBorders/>
            <w:shd w:val="clear" w:color="auto" w:fill="FFFFFF"/>
            <w:vAlign w:val="bottom"/>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经营活动产生的现金 流量净额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主要系本报告期合并范围增加国微电子所致。</w:t>
            </w:r>
          </w:p>
        </w:tc>
      </w:tr>
      <w:tr>
        <w:trPr>
          <w:trHeight w:val="782" w:hRule="exact"/>
        </w:trPr>
        <w:tc>
          <w:tcPr>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投资活动产生的现金 流量净额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-281.37</w:t>
            </w:r>
          </w:p>
        </w:tc>
        <w:tc>
          <w:tcPr>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主要系本报告期合并范围增加国微电子以及上年同期因非同一控 制合并增加国微电子期末货币资金余额所致。</w:t>
            </w:r>
          </w:p>
        </w:tc>
      </w:tr>
      <w:tr>
        <w:trPr>
          <w:trHeight w:val="739"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筹资活动产生的现金</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流量净额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195.83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主要系本报告期筹集资金所致。</w:t>
            </w:r>
          </w:p>
        </w:tc>
      </w:tr>
    </w:tbl>
    <w:p>
      <w:pPr>
        <w:widowControl w:val="0"/>
        <w:spacing w:after="3119" w:line="1" w:lineRule="exact"/>
      </w:pPr>
    </w:p>
    <w:p>
      <w:pPr>
        <w:widowControl w:val="0"/>
        <w:jc w:val="center"/>
        <w:rPr>
          <w:sz w:val="2"/>
          <w:szCs w:val="2"/>
        </w:r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441" w:right="1023" w:bottom="125" w:left="994" w:header="0" w:footer="3" w:gutter="0"/>
          <w:cols w:space="720"/>
          <w:noEndnote/>
          <w:rtlGutter w:val="0"/>
          <w:docGrid w:linePitch="360"/>
        </w:sectPr>
      </w:pPr>
      <w:r>
        <w:drawing>
          <wp:inline>
            <wp:extent cx="1718945" cy="981710"/>
            <wp:docPr id="871" name="Picutre 871"/>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279"/>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520" w:line="240" w:lineRule="auto"/>
        <w:ind w:left="0" w:right="0" w:firstLine="0"/>
        <w:jc w:val="center"/>
      </w:pPr>
      <w:bookmarkStart w:id="1147" w:name="bookmark1147"/>
      <w:bookmarkStart w:id="1148" w:name="bookmark1148"/>
      <w:bookmarkStart w:id="1149" w:name="bookmark1149"/>
      <w:r>
        <w:rPr>
          <w:color w:val="000000"/>
          <w:spacing w:val="0"/>
          <w:w w:val="100"/>
          <w:position w:val="0"/>
        </w:rPr>
        <w:t>第十一节备查文件目录</w:t>
      </w:r>
      <w:bookmarkEnd w:id="1147"/>
      <w:bookmarkEnd w:id="1148"/>
      <w:bookmarkEnd w:id="1149"/>
    </w:p>
    <w:p>
      <w:pPr>
        <w:pStyle w:val="Style35"/>
        <w:keepNext w:val="0"/>
        <w:keepLines w:val="0"/>
        <w:widowControl w:val="0"/>
        <w:shd w:val="clear" w:color="auto" w:fill="auto"/>
        <w:tabs>
          <w:tab w:pos="1194" w:val="left"/>
        </w:tabs>
        <w:bidi w:val="0"/>
        <w:spacing w:before="0" w:after="100" w:line="312" w:lineRule="exact"/>
        <w:ind w:left="0" w:right="0" w:firstLine="440"/>
        <w:jc w:val="both"/>
      </w:pPr>
      <w:bookmarkStart w:id="1150" w:name="bookmark1150"/>
      <w:r>
        <w:rPr>
          <w:color w:val="000000"/>
          <w:spacing w:val="0"/>
          <w:w w:val="100"/>
          <w:position w:val="0"/>
        </w:rPr>
        <w:t>（</w:t>
      </w:r>
      <w:bookmarkEnd w:id="1150"/>
      <w:r>
        <w:rPr>
          <w:color w:val="000000"/>
          <w:spacing w:val="0"/>
          <w:w w:val="100"/>
          <w:position w:val="0"/>
        </w:rPr>
        <w:t>一）</w:t>
        <w:tab/>
        <w:t>载有公司负责人、主管会计工作负责人、会计机构负责人（会计主管人员）签名 并盖章的财务报表。</w:t>
      </w:r>
    </w:p>
    <w:p>
      <w:pPr>
        <w:pStyle w:val="Style35"/>
        <w:keepNext w:val="0"/>
        <w:keepLines w:val="0"/>
        <w:widowControl w:val="0"/>
        <w:shd w:val="clear" w:color="auto" w:fill="auto"/>
        <w:tabs>
          <w:tab w:pos="1105" w:val="left"/>
        </w:tabs>
        <w:bidi w:val="0"/>
        <w:spacing w:before="0" w:after="100" w:line="322" w:lineRule="exact"/>
        <w:ind w:left="0" w:right="0" w:firstLine="440"/>
        <w:jc w:val="left"/>
      </w:pPr>
      <w:bookmarkStart w:id="1151" w:name="bookmark1151"/>
      <w:r>
        <w:rPr>
          <w:color w:val="000000"/>
          <w:spacing w:val="0"/>
          <w:w w:val="100"/>
          <w:position w:val="0"/>
        </w:rPr>
        <w:t>（</w:t>
      </w:r>
      <w:bookmarkEnd w:id="1151"/>
      <w:r>
        <w:rPr>
          <w:color w:val="000000"/>
          <w:spacing w:val="0"/>
          <w:w w:val="100"/>
          <w:position w:val="0"/>
        </w:rPr>
        <w:t>二）</w:t>
        <w:tab/>
        <w:t>载有会计师事务所盖章、注册会计师签名并盖章的审计报告原件。</w:t>
      </w:r>
    </w:p>
    <w:p>
      <w:pPr>
        <w:pStyle w:val="Style35"/>
        <w:keepNext w:val="0"/>
        <w:keepLines w:val="0"/>
        <w:widowControl w:val="0"/>
        <w:shd w:val="clear" w:color="auto" w:fill="auto"/>
        <w:tabs>
          <w:tab w:pos="1203" w:val="left"/>
        </w:tabs>
        <w:bidi w:val="0"/>
        <w:spacing w:before="0" w:after="100" w:line="331" w:lineRule="exact"/>
        <w:ind w:left="0" w:right="0" w:firstLine="440"/>
        <w:jc w:val="both"/>
      </w:pPr>
      <w:bookmarkStart w:id="1152" w:name="bookmark1152"/>
      <w:r>
        <w:rPr>
          <w:color w:val="000000"/>
          <w:spacing w:val="0"/>
          <w:w w:val="100"/>
          <w:position w:val="0"/>
        </w:rPr>
        <w:t>（</w:t>
      </w:r>
      <w:bookmarkEnd w:id="1152"/>
      <w:r>
        <w:rPr>
          <w:color w:val="000000"/>
          <w:spacing w:val="0"/>
          <w:w w:val="100"/>
          <w:position w:val="0"/>
        </w:rPr>
        <w:t>三）</w:t>
        <w:tab/>
        <w:t>报告期内在中国证监会指定网站上公开披露过的所有公司文件的正本及公告的原 稿。</w:t>
      </w:r>
    </w:p>
    <w:p>
      <w:pPr>
        <w:pStyle w:val="Style35"/>
        <w:keepNext w:val="0"/>
        <w:keepLines w:val="0"/>
        <w:widowControl w:val="0"/>
        <w:shd w:val="clear" w:color="auto" w:fill="auto"/>
        <w:bidi w:val="0"/>
        <w:spacing w:before="0" w:after="1460" w:line="322" w:lineRule="exact"/>
        <w:ind w:left="0" w:right="0" w:firstLine="440"/>
        <w:jc w:val="both"/>
      </w:pPr>
      <w:r>
        <w:rPr>
          <w:color w:val="000000"/>
          <w:spacing w:val="0"/>
          <w:w w:val="100"/>
          <w:position w:val="0"/>
        </w:rPr>
        <w:t>以上文件均完整备置于公司董事会办公室。</w:t>
      </w:r>
    </w:p>
    <w:p>
      <w:pPr>
        <w:pStyle w:val="Style35"/>
        <w:keepNext w:val="0"/>
        <w:keepLines w:val="0"/>
        <w:widowControl w:val="0"/>
        <w:shd w:val="clear" w:color="auto" w:fill="auto"/>
        <w:bidi w:val="0"/>
        <w:spacing w:before="0" w:after="680" w:line="240" w:lineRule="auto"/>
        <w:ind w:left="0" w:right="960" w:firstLine="0"/>
        <w:jc w:val="right"/>
      </w:pPr>
      <w:r>
        <w:rPr>
          <w:color w:val="000000"/>
          <w:spacing w:val="0"/>
          <w:w w:val="100"/>
          <w:position w:val="0"/>
        </w:rPr>
        <w:t>同方国芯电子股份有限公司</w:t>
      </w:r>
    </w:p>
    <w:p>
      <w:pPr>
        <w:pStyle w:val="Style35"/>
        <w:keepNext w:val="0"/>
        <w:keepLines w:val="0"/>
        <w:widowControl w:val="0"/>
        <w:shd w:val="clear" w:color="auto" w:fill="auto"/>
        <w:bidi w:val="0"/>
        <w:spacing w:before="0" w:after="680" w:line="240" w:lineRule="auto"/>
        <w:ind w:left="6180" w:right="0" w:firstLine="0"/>
        <w:jc w:val="left"/>
      </w:pPr>
      <w:r>
        <w:rPr>
          <w:color w:val="000000"/>
          <w:spacing w:val="0"/>
          <w:w w:val="100"/>
          <w:position w:val="0"/>
        </w:rPr>
        <w:t>董事长：陆致成</w:t>
      </w:r>
    </w:p>
    <w:p>
      <w:pPr>
        <w:pStyle w:val="Style35"/>
        <w:keepNext w:val="0"/>
        <w:keepLines w:val="0"/>
        <w:widowControl w:val="0"/>
        <w:shd w:val="clear" w:color="auto" w:fill="auto"/>
        <w:bidi w:val="0"/>
        <w:spacing w:before="0" w:after="6960" w:line="240" w:lineRule="auto"/>
        <w:ind w:left="6180" w:right="0" w:firstLine="0"/>
        <w:jc w:val="left"/>
      </w:pPr>
      <w:r>
        <w:rPr>
          <w:color w:val="000000"/>
          <w:spacing w:val="0"/>
          <w:w w:val="100"/>
          <w:position w:val="0"/>
        </w:rPr>
        <w:t>二。一四年四月四日</w:t>
      </w:r>
    </w:p>
    <w:p>
      <w:pPr>
        <w:widowControl w:val="0"/>
        <w:jc w:val="center"/>
        <w:rPr>
          <w:sz w:val="2"/>
          <w:szCs w:val="2"/>
        </w:rPr>
      </w:pPr>
      <w:r>
        <w:drawing>
          <wp:inline>
            <wp:extent cx="1718945" cy="981710"/>
            <wp:docPr id="872" name="Picutre 872"/>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281"/>
                    <a:stretch/>
                  </pic:blipFill>
                  <pic:spPr>
                    <a:xfrm>
                      <a:ext cx="1718945" cy="981710"/>
                    </a:xfrm>
                    <a:prstGeom prst="rect"/>
                  </pic:spPr>
                </pic:pic>
              </a:graphicData>
            </a:graphic>
          </wp:inline>
        </w:drawing>
      </w:r>
    </w:p>
    <w:sectPr>
      <w:footnotePr>
        <w:pos w:val="pageBottom"/>
        <w:numFmt w:val="decimal"/>
        <w:numRestart w:val="continuous"/>
      </w:footnotePr>
      <w:pgSz w:w="11900" w:h="16840"/>
      <w:pgMar w:top="1590" w:right="1119" w:bottom="125"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6970395</wp:posOffset>
              </wp:positionH>
              <wp:positionV relativeFrom="page">
                <wp:posOffset>10436860</wp:posOffset>
              </wp:positionV>
              <wp:extent cx="45720" cy="97790"/>
              <wp:wrapNone/>
              <wp:docPr id="1" name="Shape 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8.85000000000002pt;margin-top:821.80000000000007pt;width:3.6000000000000001pt;height:7.7000000000000002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3766820</wp:posOffset>
              </wp:positionH>
              <wp:positionV relativeFrom="page">
                <wp:posOffset>9972040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6.60000000000002pt;margin-top:785.20000000000005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7004050</wp:posOffset>
              </wp:positionH>
              <wp:positionV relativeFrom="page">
                <wp:posOffset>10450830</wp:posOffset>
              </wp:positionV>
              <wp:extent cx="45720" cy="97790"/>
              <wp:wrapNone/>
              <wp:docPr id="48" name="Shape 4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4" type="#_x0000_t202" style="position:absolute;margin-left:551.5pt;margin-top:822.89999999999998pt;width:3.6000000000000001pt;height:7.7000000000000002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3721735</wp:posOffset>
              </wp:positionH>
              <wp:positionV relativeFrom="page">
                <wp:posOffset>9958705</wp:posOffset>
              </wp:positionV>
              <wp:extent cx="106680" cy="79375"/>
              <wp:wrapNone/>
              <wp:docPr id="712" name="Shape 7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8" type="#_x0000_t202" style="position:absolute;margin-left:293.05000000000001pt;margin-top:784.14999999999998pt;width:8.4000000000000004pt;height:6.25pt;z-index:-1887435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3721735</wp:posOffset>
              </wp:positionH>
              <wp:positionV relativeFrom="page">
                <wp:posOffset>9958705</wp:posOffset>
              </wp:positionV>
              <wp:extent cx="106680" cy="79375"/>
              <wp:wrapNone/>
              <wp:docPr id="717" name="Shape 7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3" type="#_x0000_t202" style="position:absolute;margin-left:293.05000000000001pt;margin-top:784.14999999999998pt;width:8.4000000000000004pt;height:6.25pt;z-index:-1887434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3703320</wp:posOffset>
              </wp:positionH>
              <wp:positionV relativeFrom="page">
                <wp:posOffset>9842500</wp:posOffset>
              </wp:positionV>
              <wp:extent cx="3148330" cy="194945"/>
              <wp:wrapNone/>
              <wp:docPr id="726" name="Shape 726"/>
              <a:graphic xmlns:a="http://schemas.openxmlformats.org/drawingml/2006/main">
                <a:graphicData uri="http://schemas.microsoft.com/office/word/2010/wordprocessingShape">
                  <wps:wsp>
                    <wps:cNvSpPr txBox="1"/>
                    <wps:spPr>
                      <a:xfrm>
                        <a:ext cx="3148330" cy="194945"/>
                      </a:xfrm>
                      <a:prstGeom prst="rect"/>
                      <a:noFill/>
                    </wps:spPr>
                    <wps:txbx>
                      <w:txbxContent>
                        <w:p>
                          <w:pPr>
                            <w:pStyle w:val="Style66"/>
                            <w:keepNext w:val="0"/>
                            <w:keepLines w:val="0"/>
                            <w:widowControl w:val="0"/>
                            <w:shd w:val="clear" w:color="auto" w:fill="auto"/>
                            <w:tabs>
                              <w:tab w:pos="487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752" type="#_x0000_t202" style="position:absolute;margin-left:291.60000000000002pt;margin-top:775.pt;width:247.90000000000001pt;height:15.35pt;z-index:-188743494;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487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3703320</wp:posOffset>
              </wp:positionH>
              <wp:positionV relativeFrom="page">
                <wp:posOffset>9842500</wp:posOffset>
              </wp:positionV>
              <wp:extent cx="3148330" cy="194945"/>
              <wp:wrapNone/>
              <wp:docPr id="731" name="Shape 731"/>
              <a:graphic xmlns:a="http://schemas.openxmlformats.org/drawingml/2006/main">
                <a:graphicData uri="http://schemas.microsoft.com/office/word/2010/wordprocessingShape">
                  <wps:wsp>
                    <wps:cNvSpPr txBox="1"/>
                    <wps:spPr>
                      <a:xfrm>
                        <a:ext cx="3148330" cy="194945"/>
                      </a:xfrm>
                      <a:prstGeom prst="rect"/>
                      <a:noFill/>
                    </wps:spPr>
                    <wps:txbx>
                      <w:txbxContent>
                        <w:p>
                          <w:pPr>
                            <w:pStyle w:val="Style66"/>
                            <w:keepNext w:val="0"/>
                            <w:keepLines w:val="0"/>
                            <w:widowControl w:val="0"/>
                            <w:shd w:val="clear" w:color="auto" w:fill="auto"/>
                            <w:tabs>
                              <w:tab w:pos="487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757" type="#_x0000_t202" style="position:absolute;margin-left:291.60000000000002pt;margin-top:775.pt;width:247.90000000000001pt;height:15.35pt;z-index:-188743490;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4877"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3699510</wp:posOffset>
              </wp:positionH>
              <wp:positionV relativeFrom="page">
                <wp:posOffset>9958705</wp:posOffset>
              </wp:positionV>
              <wp:extent cx="158750" cy="79375"/>
              <wp:wrapNone/>
              <wp:docPr id="735" name="Shape 73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291.30000000000001pt;margin-top:784.14999999999998pt;width:12.5pt;height:6.25pt;z-index:-18874348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9" behindDoc="1" locked="0" layoutInCell="1" allowOverlap="1">
              <wp:simplePos x="0" y="0"/>
              <wp:positionH relativeFrom="page">
                <wp:posOffset>6967220</wp:posOffset>
              </wp:positionH>
              <wp:positionV relativeFrom="page">
                <wp:posOffset>10437495</wp:posOffset>
              </wp:positionV>
              <wp:extent cx="45720" cy="97790"/>
              <wp:wrapNone/>
              <wp:docPr id="737" name="Shape 73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3" type="#_x0000_t202" style="position:absolute;margin-left:548.60000000000002pt;margin-top:821.85000000000002pt;width:3.6000000000000001pt;height:7.7000000000000002pt;z-index:-1887434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3721735</wp:posOffset>
              </wp:positionH>
              <wp:positionV relativeFrom="page">
                <wp:posOffset>9958705</wp:posOffset>
              </wp:positionV>
              <wp:extent cx="106680" cy="79375"/>
              <wp:wrapNone/>
              <wp:docPr id="742" name="Shape 7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8" type="#_x0000_t202" style="position:absolute;margin-left:293.05000000000001pt;margin-top:784.14999999999998pt;width:8.4000000000000004pt;height:6.25pt;z-index:-1887434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3702685</wp:posOffset>
              </wp:positionH>
              <wp:positionV relativeFrom="page">
                <wp:posOffset>9928860</wp:posOffset>
              </wp:positionV>
              <wp:extent cx="149225" cy="79375"/>
              <wp:wrapNone/>
              <wp:docPr id="764" name="Shape 76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0" type="#_x0000_t202" style="position:absolute;margin-left:291.55000000000001pt;margin-top:781.80000000000007pt;width:11.75pt;height:6.25pt;z-index:-18874346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5839460</wp:posOffset>
              </wp:positionH>
              <wp:positionV relativeFrom="page">
                <wp:posOffset>10407015</wp:posOffset>
              </wp:positionV>
              <wp:extent cx="133985" cy="103505"/>
              <wp:wrapNone/>
              <wp:docPr id="766" name="Shape 7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2" type="#_x0000_t202" style="position:absolute;margin-left:459.80000000000001pt;margin-top:819.45000000000005pt;width:10.550000000000001pt;height:8.1500000000000004pt;z-index:-1887434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3702685</wp:posOffset>
              </wp:positionH>
              <wp:positionV relativeFrom="page">
                <wp:posOffset>9928860</wp:posOffset>
              </wp:positionV>
              <wp:extent cx="149225" cy="79375"/>
              <wp:wrapNone/>
              <wp:docPr id="771" name="Shape 77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291.55000000000001pt;margin-top:781.80000000000007pt;width:11.75pt;height:6.25pt;z-index:-18874345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5839460</wp:posOffset>
              </wp:positionH>
              <wp:positionV relativeFrom="page">
                <wp:posOffset>10407015</wp:posOffset>
              </wp:positionV>
              <wp:extent cx="133985" cy="103505"/>
              <wp:wrapNone/>
              <wp:docPr id="773" name="Shape 7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9" type="#_x0000_t202" style="position:absolute;margin-left:459.80000000000001pt;margin-top:819.45000000000005pt;width:10.550000000000001pt;height:8.1500000000000004pt;z-index:-1887434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3721735</wp:posOffset>
              </wp:positionH>
              <wp:positionV relativeFrom="page">
                <wp:posOffset>9958705</wp:posOffset>
              </wp:positionV>
              <wp:extent cx="106680" cy="79375"/>
              <wp:wrapNone/>
              <wp:docPr id="778" name="Shape 7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4" type="#_x0000_t202" style="position:absolute;margin-left:293.05000000000001pt;margin-top:784.14999999999998pt;width:8.4000000000000004pt;height:6.25pt;z-index:-1887434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3699510</wp:posOffset>
              </wp:positionH>
              <wp:positionV relativeFrom="page">
                <wp:posOffset>9958705</wp:posOffset>
              </wp:positionV>
              <wp:extent cx="158750" cy="79375"/>
              <wp:wrapNone/>
              <wp:docPr id="832" name="Shape 8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8" type="#_x0000_t202" style="position:absolute;margin-left:291.30000000000001pt;margin-top:784.14999999999998pt;width:12.5pt;height:6.25pt;z-index:-18874344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6967220</wp:posOffset>
              </wp:positionH>
              <wp:positionV relativeFrom="page">
                <wp:posOffset>10437495</wp:posOffset>
              </wp:positionV>
              <wp:extent cx="45720" cy="97790"/>
              <wp:wrapNone/>
              <wp:docPr id="834" name="Shape 8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0" type="#_x0000_t202" style="position:absolute;margin-left:548.60000000000002pt;margin-top:821.85000000000002pt;width:3.6000000000000001pt;height:7.7000000000000002pt;z-index:-1887434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3766820</wp:posOffset>
              </wp:positionH>
              <wp:positionV relativeFrom="page">
                <wp:posOffset>9972040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6.60000000000002pt;margin-top:785.20000000000005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7004050</wp:posOffset>
              </wp:positionH>
              <wp:positionV relativeFrom="page">
                <wp:posOffset>10450830</wp:posOffset>
              </wp:positionV>
              <wp:extent cx="45720" cy="97790"/>
              <wp:wrapNone/>
              <wp:docPr id="55" name="Shape 5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551.5pt;margin-top:822.89999999999998pt;width:3.6000000000000001pt;height:7.7000000000000002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3699510</wp:posOffset>
              </wp:positionH>
              <wp:positionV relativeFrom="page">
                <wp:posOffset>9958705</wp:posOffset>
              </wp:positionV>
              <wp:extent cx="158750" cy="79375"/>
              <wp:wrapNone/>
              <wp:docPr id="838" name="Shape 83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291.30000000000001pt;margin-top:784.14999999999998pt;width:12.5pt;height:6.25pt;z-index:-18874344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6967220</wp:posOffset>
              </wp:positionH>
              <wp:positionV relativeFrom="page">
                <wp:posOffset>10437495</wp:posOffset>
              </wp:positionV>
              <wp:extent cx="45720" cy="97790"/>
              <wp:wrapNone/>
              <wp:docPr id="840" name="Shape 8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6" type="#_x0000_t202" style="position:absolute;margin-left:548.60000000000002pt;margin-top:821.85000000000002pt;width:3.6000000000000001pt;height:7.7000000000000002pt;z-index:-1887434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3721735</wp:posOffset>
              </wp:positionH>
              <wp:positionV relativeFrom="page">
                <wp:posOffset>9958705</wp:posOffset>
              </wp:positionV>
              <wp:extent cx="106680" cy="79375"/>
              <wp:wrapNone/>
              <wp:docPr id="845" name="Shape 8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293.05000000000001pt;margin-top:784.14999999999998pt;width:8.4000000000000004pt;height:6.25pt;z-index:-1887434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3702685</wp:posOffset>
              </wp:positionH>
              <wp:positionV relativeFrom="page">
                <wp:posOffset>9928860</wp:posOffset>
              </wp:positionV>
              <wp:extent cx="149225" cy="79375"/>
              <wp:wrapNone/>
              <wp:docPr id="850" name="Shape 85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291.55000000000001pt;margin-top:781.80000000000007pt;width:11.75pt;height:6.25pt;z-index:-18874343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5839460</wp:posOffset>
              </wp:positionH>
              <wp:positionV relativeFrom="page">
                <wp:posOffset>10407015</wp:posOffset>
              </wp:positionV>
              <wp:extent cx="133985" cy="103505"/>
              <wp:wrapNone/>
              <wp:docPr id="852" name="Shape 8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8" type="#_x0000_t202" style="position:absolute;margin-left:459.80000000000001pt;margin-top:819.45000000000005pt;width:10.550000000000001pt;height:8.1500000000000004pt;z-index:-1887434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3702685</wp:posOffset>
              </wp:positionH>
              <wp:positionV relativeFrom="page">
                <wp:posOffset>9928860</wp:posOffset>
              </wp:positionV>
              <wp:extent cx="149225" cy="79375"/>
              <wp:wrapNone/>
              <wp:docPr id="857" name="Shape 85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291.55000000000001pt;margin-top:781.80000000000007pt;width:11.75pt;height:6.25pt;z-index:-18874342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5839460</wp:posOffset>
              </wp:positionH>
              <wp:positionV relativeFrom="page">
                <wp:posOffset>10407015</wp:posOffset>
              </wp:positionV>
              <wp:extent cx="133985" cy="103505"/>
              <wp:wrapNone/>
              <wp:docPr id="859" name="Shape 8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5" type="#_x0000_t202" style="position:absolute;margin-left:459.80000000000001pt;margin-top:819.45000000000005pt;width:10.550000000000001pt;height:8.1500000000000004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3721735</wp:posOffset>
              </wp:positionH>
              <wp:positionV relativeFrom="page">
                <wp:posOffset>9958705</wp:posOffset>
              </wp:positionV>
              <wp:extent cx="106680" cy="79375"/>
              <wp:wrapNone/>
              <wp:docPr id="864" name="Shape 8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0" type="#_x0000_t202" style="position:absolute;margin-left:293.05000000000001pt;margin-top:784.14999999999998pt;width:8.4000000000000004pt;height:6.25pt;z-index:-1887434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3721735</wp:posOffset>
              </wp:positionH>
              <wp:positionV relativeFrom="page">
                <wp:posOffset>9958705</wp:posOffset>
              </wp:positionV>
              <wp:extent cx="106680" cy="79375"/>
              <wp:wrapNone/>
              <wp:docPr id="869" name="Shape 8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5" type="#_x0000_t202" style="position:absolute;margin-left:293.05000000000001pt;margin-top:784.14999999999998pt;width:8.4000000000000004pt;height:6.25pt;z-index:-1887434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3725545</wp:posOffset>
              </wp:positionH>
              <wp:positionV relativeFrom="page">
                <wp:posOffset>9972040</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3.35000000000002pt;margin-top:785.20000000000005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5835015</wp:posOffset>
              </wp:positionH>
              <wp:positionV relativeFrom="page">
                <wp:posOffset>10450830</wp:posOffset>
              </wp:positionV>
              <wp:extent cx="133985" cy="103505"/>
              <wp:wrapNone/>
              <wp:docPr id="62" name="Shape 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8" type="#_x0000_t202" style="position:absolute;margin-left:459.44999999999999pt;margin-top:822.89999999999998pt;width:10.550000000000001pt;height:8.1500000000000004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3725545</wp:posOffset>
              </wp:positionH>
              <wp:positionV relativeFrom="page">
                <wp:posOffset>9972040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3.35000000000002pt;margin-top:785.20000000000005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5835015</wp:posOffset>
              </wp:positionH>
              <wp:positionV relativeFrom="page">
                <wp:posOffset>10450830</wp:posOffset>
              </wp:positionV>
              <wp:extent cx="133985" cy="103505"/>
              <wp:wrapNone/>
              <wp:docPr id="69" name="Shape 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5" type="#_x0000_t202" style="position:absolute;margin-left:459.44999999999999pt;margin-top:822.89999999999998pt;width:10.550000000000001pt;height:8.1500000000000004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3725545</wp:posOffset>
              </wp:positionH>
              <wp:positionV relativeFrom="page">
                <wp:posOffset>9972040</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3.35000000000002pt;margin-top:785.20000000000005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5835015</wp:posOffset>
              </wp:positionH>
              <wp:positionV relativeFrom="page">
                <wp:posOffset>10450830</wp:posOffset>
              </wp:positionV>
              <wp:extent cx="133985" cy="103505"/>
              <wp:wrapNone/>
              <wp:docPr id="76" name="Shape 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459.44999999999999pt;margin-top:822.89999999999998pt;width:10.550000000000001pt;height:8.1500000000000004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3766820</wp:posOffset>
              </wp:positionH>
              <wp:positionV relativeFrom="page">
                <wp:posOffset>9972040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6.60000000000002pt;margin-top:785.20000000000005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7004050</wp:posOffset>
              </wp:positionH>
              <wp:positionV relativeFrom="page">
                <wp:posOffset>10450830</wp:posOffset>
              </wp:positionV>
              <wp:extent cx="45720" cy="97790"/>
              <wp:wrapNone/>
              <wp:docPr id="83" name="Shape 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551.5pt;margin-top:822.89999999999998pt;width:3.6000000000000001pt;height:7.7000000000000002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3766820</wp:posOffset>
              </wp:positionH>
              <wp:positionV relativeFrom="page">
                <wp:posOffset>9972040</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6.60000000000002pt;margin-top:785.20000000000005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7004050</wp:posOffset>
              </wp:positionH>
              <wp:positionV relativeFrom="page">
                <wp:posOffset>10450830</wp:posOffset>
              </wp:positionV>
              <wp:extent cx="45720" cy="97790"/>
              <wp:wrapNone/>
              <wp:docPr id="90" name="Shape 9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6" type="#_x0000_t202" style="position:absolute;margin-left:551.5pt;margin-top:822.89999999999998pt;width:3.60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3725545</wp:posOffset>
              </wp:positionH>
              <wp:positionV relativeFrom="page">
                <wp:posOffset>9972040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3.35000000000002pt;margin-top:785.2000000000000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5835015</wp:posOffset>
              </wp:positionH>
              <wp:positionV relativeFrom="page">
                <wp:posOffset>10450830</wp:posOffset>
              </wp:positionV>
              <wp:extent cx="133985" cy="103505"/>
              <wp:wrapNone/>
              <wp:docPr id="97" name="Shape 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3" type="#_x0000_t202" style="position:absolute;margin-left:459.44999999999999pt;margin-top:822.89999999999998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3766820</wp:posOffset>
              </wp:positionH>
              <wp:positionV relativeFrom="page">
                <wp:posOffset>9972040</wp:posOffset>
              </wp:positionV>
              <wp:extent cx="97790" cy="79375"/>
              <wp:wrapNone/>
              <wp:docPr id="102" name="Shape 1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6.60000000000002pt;margin-top:785.20000000000005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7004050</wp:posOffset>
              </wp:positionH>
              <wp:positionV relativeFrom="page">
                <wp:posOffset>10450830</wp:posOffset>
              </wp:positionV>
              <wp:extent cx="45720" cy="97790"/>
              <wp:wrapNone/>
              <wp:docPr id="104" name="Shape 10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0" type="#_x0000_t202" style="position:absolute;margin-left:551.5pt;margin-top:822.89999999999998pt;width:3.6000000000000001pt;height:7.7000000000000002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3766820</wp:posOffset>
              </wp:positionH>
              <wp:positionV relativeFrom="page">
                <wp:posOffset>9972040</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296.60000000000002pt;margin-top:785.20000000000005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7004050</wp:posOffset>
              </wp:positionH>
              <wp:positionV relativeFrom="page">
                <wp:posOffset>10450830</wp:posOffset>
              </wp:positionV>
              <wp:extent cx="45720" cy="97790"/>
              <wp:wrapNone/>
              <wp:docPr id="111" name="Shape 11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7" type="#_x0000_t202" style="position:absolute;margin-left:551.5pt;margin-top:822.89999999999998pt;width:3.6000000000000001pt;height:7.7000000000000002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6970395</wp:posOffset>
              </wp:positionH>
              <wp:positionV relativeFrom="page">
                <wp:posOffset>10436860</wp:posOffset>
              </wp:positionV>
              <wp:extent cx="45720" cy="97790"/>
              <wp:wrapNone/>
              <wp:docPr id="3" name="Shape 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29" type="#_x0000_t202" style="position:absolute;margin-left:548.85000000000002pt;margin-top:821.80000000000007pt;width:3.6000000000000001pt;height:7.7000000000000002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3721735</wp:posOffset>
              </wp:positionH>
              <wp:positionV relativeFrom="page">
                <wp:posOffset>9958705</wp:posOffset>
              </wp:positionV>
              <wp:extent cx="106680" cy="79375"/>
              <wp:wrapNone/>
              <wp:docPr id="116" name="Shape 1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3.05000000000001pt;margin-top:784.14999999999998pt;width:8.4000000000000004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3721735</wp:posOffset>
              </wp:positionH>
              <wp:positionV relativeFrom="page">
                <wp:posOffset>9958705</wp:posOffset>
              </wp:positionV>
              <wp:extent cx="106680" cy="79375"/>
              <wp:wrapNone/>
              <wp:docPr id="121" name="Shape 1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293.05000000000001pt;margin-top:784.14999999999998pt;width:8.4000000000000004pt;height:6.25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3766820</wp:posOffset>
              </wp:positionH>
              <wp:positionV relativeFrom="page">
                <wp:posOffset>9972040</wp:posOffset>
              </wp:positionV>
              <wp:extent cx="97790" cy="79375"/>
              <wp:wrapNone/>
              <wp:docPr id="127" name="Shape 1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296.60000000000002pt;margin-top:785.20000000000005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7004050</wp:posOffset>
              </wp:positionH>
              <wp:positionV relativeFrom="page">
                <wp:posOffset>10450830</wp:posOffset>
              </wp:positionV>
              <wp:extent cx="45720" cy="97790"/>
              <wp:wrapNone/>
              <wp:docPr id="129" name="Shape 1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5" type="#_x0000_t202" style="position:absolute;margin-left:551.5pt;margin-top:822.89999999999998pt;width:3.60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3766820</wp:posOffset>
              </wp:positionH>
              <wp:positionV relativeFrom="page">
                <wp:posOffset>9972040</wp:posOffset>
              </wp:positionV>
              <wp:extent cx="97790" cy="79375"/>
              <wp:wrapNone/>
              <wp:docPr id="134" name="Shape 1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6.60000000000002pt;margin-top:785.20000000000005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7004050</wp:posOffset>
              </wp:positionH>
              <wp:positionV relativeFrom="page">
                <wp:posOffset>10450830</wp:posOffset>
              </wp:positionV>
              <wp:extent cx="45720" cy="97790"/>
              <wp:wrapNone/>
              <wp:docPr id="136" name="Shape 1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2" type="#_x0000_t202" style="position:absolute;margin-left:551.5pt;margin-top:822.89999999999998pt;width:3.6000000000000001pt;height:7.7000000000000002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3694430</wp:posOffset>
              </wp:positionH>
              <wp:positionV relativeFrom="page">
                <wp:posOffset>9958070</wp:posOffset>
              </wp:positionV>
              <wp:extent cx="94615" cy="79375"/>
              <wp:wrapNone/>
              <wp:docPr id="141" name="Shape 1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0.90000000000003pt;margin-top:784.10000000000002pt;width:7.4500000000000002pt;height:6.25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5809615</wp:posOffset>
              </wp:positionH>
              <wp:positionV relativeFrom="page">
                <wp:posOffset>10436860</wp:posOffset>
              </wp:positionV>
              <wp:extent cx="133985" cy="103505"/>
              <wp:wrapNone/>
              <wp:docPr id="143" name="Shape 1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457.44999999999999pt;margin-top:821.80000000000007pt;width:10.550000000000001pt;height:8.1500000000000004pt;z-index:-1887439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3694430</wp:posOffset>
              </wp:positionH>
              <wp:positionV relativeFrom="page">
                <wp:posOffset>9958070</wp:posOffset>
              </wp:positionV>
              <wp:extent cx="94615" cy="79375"/>
              <wp:wrapNone/>
              <wp:docPr id="148" name="Shape 1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0.90000000000003pt;margin-top:784.10000000000002pt;width:7.4500000000000002pt;height:6.25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5809615</wp:posOffset>
              </wp:positionH>
              <wp:positionV relativeFrom="page">
                <wp:posOffset>10436860</wp:posOffset>
              </wp:positionV>
              <wp:extent cx="133985" cy="103505"/>
              <wp:wrapNone/>
              <wp:docPr id="150" name="Shape 1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6" type="#_x0000_t202" style="position:absolute;margin-left:457.44999999999999pt;margin-top:821.80000000000007pt;width:10.550000000000001pt;height:8.1500000000000004pt;z-index:-1887439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3721735</wp:posOffset>
              </wp:positionH>
              <wp:positionV relativeFrom="page">
                <wp:posOffset>9958705</wp:posOffset>
              </wp:positionV>
              <wp:extent cx="106680" cy="79375"/>
              <wp:wrapNone/>
              <wp:docPr id="156" name="Shape 1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293.05000000000001pt;margin-top:784.14999999999998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3721735</wp:posOffset>
              </wp:positionH>
              <wp:positionV relativeFrom="page">
                <wp:posOffset>9958705</wp:posOffset>
              </wp:positionV>
              <wp:extent cx="106680" cy="79375"/>
              <wp:wrapNone/>
              <wp:docPr id="161" name="Shape 1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3.05000000000001pt;margin-top:784.14999999999998pt;width:8.4000000000000004pt;height:6.25pt;z-index:-1887439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3694430</wp:posOffset>
              </wp:positionH>
              <wp:positionV relativeFrom="page">
                <wp:posOffset>9958070</wp:posOffset>
              </wp:positionV>
              <wp:extent cx="94615" cy="79375"/>
              <wp:wrapNone/>
              <wp:docPr id="167" name="Shape 16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290.90000000000003pt;margin-top:784.10000000000002pt;width:7.4500000000000002pt;height:6.25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5809615</wp:posOffset>
              </wp:positionH>
              <wp:positionV relativeFrom="page">
                <wp:posOffset>10436860</wp:posOffset>
              </wp:positionV>
              <wp:extent cx="133985" cy="103505"/>
              <wp:wrapNone/>
              <wp:docPr id="169" name="Shape 1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95" type="#_x0000_t202" style="position:absolute;margin-left:457.44999999999999pt;margin-top:821.80000000000007pt;width:10.550000000000001pt;height:8.1500000000000004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3699510</wp:posOffset>
              </wp:positionH>
              <wp:positionV relativeFrom="page">
                <wp:posOffset>9842500</wp:posOffset>
              </wp:positionV>
              <wp:extent cx="3121025" cy="194945"/>
              <wp:wrapNone/>
              <wp:docPr id="174" name="Shape 174"/>
              <a:graphic xmlns:a="http://schemas.openxmlformats.org/drawingml/2006/main">
                <a:graphicData uri="http://schemas.microsoft.com/office/word/2010/wordprocessingShape">
                  <wps:wsp>
                    <wps:cNvSpPr txBox="1"/>
                    <wps:spPr>
                      <a:xfrm>
                        <a:ext cx="3121025" cy="194945"/>
                      </a:xfrm>
                      <a:prstGeom prst="rect"/>
                      <a:noFill/>
                    </wps:spPr>
                    <wps:txbx>
                      <w:txbxContent>
                        <w:p>
                          <w:pPr>
                            <w:pStyle w:val="Style66"/>
                            <w:keepNext w:val="0"/>
                            <w:keepLines w:val="0"/>
                            <w:widowControl w:val="0"/>
                            <w:shd w:val="clear" w:color="auto" w:fill="auto"/>
                            <w:tabs>
                              <w:tab w:pos="4915"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D1D1D1"/>
                              <w:spacing w:val="0"/>
                              <w:w w:val="100"/>
                              <w:position w:val="0"/>
                              <w:sz w:val="18"/>
                              <w:szCs w:val="18"/>
                            </w:rPr>
                            <w:t>cnini</w:t>
                          </w:r>
                        </w:p>
                      </w:txbxContent>
                    </wps:txbx>
                    <wps:bodyPr lIns="0" tIns="0" rIns="0" bIns="0">
                      <a:spAutoFit/>
                    </wps:bodyPr>
                  </wps:wsp>
                </a:graphicData>
              </a:graphic>
            </wp:anchor>
          </w:drawing>
        </mc:Choice>
        <mc:Fallback>
          <w:pict>
            <v:shape id="_x0000_s1200" type="#_x0000_t202" style="position:absolute;margin-left:291.30000000000001pt;margin-top:775.pt;width:245.75pt;height:15.35pt;z-index:-188743919;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4915"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D1D1D1"/>
                        <w:spacing w:val="0"/>
                        <w:w w:val="100"/>
                        <w:position w:val="0"/>
                        <w:sz w:val="18"/>
                        <w:szCs w:val="18"/>
                      </w:rPr>
                      <w:t>cnini</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6863080</wp:posOffset>
              </wp:positionH>
              <wp:positionV relativeFrom="page">
                <wp:posOffset>10436860</wp:posOffset>
              </wp:positionV>
              <wp:extent cx="42545" cy="97790"/>
              <wp:wrapNone/>
              <wp:docPr id="176" name="Shape 1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2" type="#_x0000_t202" style="position:absolute;margin-left:540.39999999999998pt;margin-top:821.80000000000007pt;width:3.3500000000000001pt;height:7.7000000000000002pt;z-index:-1887439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3774440</wp:posOffset>
              </wp:positionH>
              <wp:positionV relativeFrom="page">
                <wp:posOffset>9972040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7.19999999999999pt;margin-top:785.2000000000000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6904990</wp:posOffset>
              </wp:positionH>
              <wp:positionV relativeFrom="page">
                <wp:posOffset>10450830</wp:posOffset>
              </wp:positionV>
              <wp:extent cx="42545" cy="97790"/>
              <wp:wrapNone/>
              <wp:docPr id="11" name="Shape 1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37" type="#_x0000_t202" style="position:absolute;margin-left:543.70000000000005pt;margin-top:822.89999999999998pt;width:3.3500000000000001pt;height:7.7000000000000002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3694430</wp:posOffset>
              </wp:positionH>
              <wp:positionV relativeFrom="page">
                <wp:posOffset>9958070</wp:posOffset>
              </wp:positionV>
              <wp:extent cx="94615" cy="79375"/>
              <wp:wrapNone/>
              <wp:docPr id="181" name="Shape 1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290.90000000000003pt;margin-top:784.10000000000002pt;width:7.4500000000000002pt;height:6.25pt;z-index:-1887439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5809615</wp:posOffset>
              </wp:positionH>
              <wp:positionV relativeFrom="page">
                <wp:posOffset>10436860</wp:posOffset>
              </wp:positionV>
              <wp:extent cx="133985" cy="103505"/>
              <wp:wrapNone/>
              <wp:docPr id="183" name="Shape 1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9" type="#_x0000_t202" style="position:absolute;margin-left:457.44999999999999pt;margin-top:821.80000000000007pt;width:10.550000000000001pt;height:8.1500000000000004pt;z-index:-1887439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3694430</wp:posOffset>
              </wp:positionH>
              <wp:positionV relativeFrom="page">
                <wp:posOffset>9958070</wp:posOffset>
              </wp:positionV>
              <wp:extent cx="94615" cy="79375"/>
              <wp:wrapNone/>
              <wp:docPr id="188" name="Shape 1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290.90000000000003pt;margin-top:784.10000000000002pt;width:7.4500000000000002pt;height:6.25pt;z-index:-1887439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5809615</wp:posOffset>
              </wp:positionH>
              <wp:positionV relativeFrom="page">
                <wp:posOffset>10436860</wp:posOffset>
              </wp:positionV>
              <wp:extent cx="133985" cy="103505"/>
              <wp:wrapNone/>
              <wp:docPr id="190" name="Shape 1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6" type="#_x0000_t202" style="position:absolute;margin-left:457.44999999999999pt;margin-top:821.80000000000007pt;width:10.550000000000001pt;height:8.1500000000000004pt;z-index:-1887439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3721735</wp:posOffset>
              </wp:positionH>
              <wp:positionV relativeFrom="page">
                <wp:posOffset>9958705</wp:posOffset>
              </wp:positionV>
              <wp:extent cx="106680" cy="79375"/>
              <wp:wrapNone/>
              <wp:docPr id="195" name="Shape 1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293.05000000000001pt;margin-top:784.14999999999998pt;width:8.4000000000000004pt;height:6.25pt;z-index:-1887439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3721735</wp:posOffset>
              </wp:positionH>
              <wp:positionV relativeFrom="page">
                <wp:posOffset>9958705</wp:posOffset>
              </wp:positionV>
              <wp:extent cx="106680" cy="79375"/>
              <wp:wrapNone/>
              <wp:docPr id="201" name="Shape 2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3.05000000000001pt;margin-top:784.14999999999998pt;width:8.4000000000000004pt;height:6.25pt;z-index:-1887438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3721735</wp:posOffset>
              </wp:positionH>
              <wp:positionV relativeFrom="page">
                <wp:posOffset>9958705</wp:posOffset>
              </wp:positionV>
              <wp:extent cx="106680" cy="79375"/>
              <wp:wrapNone/>
              <wp:docPr id="206" name="Shape 2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293.05000000000001pt;margin-top:784.14999999999998pt;width:8.4000000000000004pt;height:6.25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3721735</wp:posOffset>
              </wp:positionH>
              <wp:positionV relativeFrom="page">
                <wp:posOffset>9958705</wp:posOffset>
              </wp:positionV>
              <wp:extent cx="106680" cy="79375"/>
              <wp:wrapNone/>
              <wp:docPr id="214" name="Shape 2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293.05000000000001pt;margin-top:784.14999999999998pt;width:8.4000000000000004pt;height:6.25pt;z-index:-1887438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3694430</wp:posOffset>
              </wp:positionH>
              <wp:positionV relativeFrom="page">
                <wp:posOffset>9958070</wp:posOffset>
              </wp:positionV>
              <wp:extent cx="94615" cy="79375"/>
              <wp:wrapNone/>
              <wp:docPr id="219" name="Shape 2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290.90000000000003pt;margin-top:784.10000000000002pt;width:7.4500000000000002pt;height:6.25pt;z-index:-1887438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5809615</wp:posOffset>
              </wp:positionH>
              <wp:positionV relativeFrom="page">
                <wp:posOffset>10436860</wp:posOffset>
              </wp:positionV>
              <wp:extent cx="133985" cy="103505"/>
              <wp:wrapNone/>
              <wp:docPr id="221" name="Shape 2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7" type="#_x0000_t202" style="position:absolute;margin-left:457.44999999999999pt;margin-top:821.80000000000007pt;width:10.550000000000001pt;height:8.1500000000000004pt;z-index:-1887438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3711575</wp:posOffset>
              </wp:positionH>
              <wp:positionV relativeFrom="page">
                <wp:posOffset>9958070</wp:posOffset>
              </wp:positionV>
              <wp:extent cx="100330" cy="79375"/>
              <wp:wrapNone/>
              <wp:docPr id="226" name="Shape 2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292.25pt;margin-top:784.10000000000002pt;width:7.9000000000000004pt;height:6.25pt;z-index:-18874387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6960870</wp:posOffset>
              </wp:positionH>
              <wp:positionV relativeFrom="page">
                <wp:posOffset>10436860</wp:posOffset>
              </wp:positionV>
              <wp:extent cx="45720" cy="97790"/>
              <wp:wrapNone/>
              <wp:docPr id="228" name="Shape 22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548.10000000000002pt;margin-top:821.80000000000007pt;width:3.6000000000000001pt;height:7.7000000000000002pt;z-index:-1887438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3711575</wp:posOffset>
              </wp:positionH>
              <wp:positionV relativeFrom="page">
                <wp:posOffset>9958070</wp:posOffset>
              </wp:positionV>
              <wp:extent cx="100330" cy="79375"/>
              <wp:wrapNone/>
              <wp:docPr id="233" name="Shape 2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2.25pt;margin-top:784.10000000000002pt;width:7.9000000000000004pt;height:6.25pt;z-index:-18874387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6960870</wp:posOffset>
              </wp:positionH>
              <wp:positionV relativeFrom="page">
                <wp:posOffset>10436860</wp:posOffset>
              </wp:positionV>
              <wp:extent cx="45720" cy="97790"/>
              <wp:wrapNone/>
              <wp:docPr id="235" name="Shape 23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548.10000000000002pt;margin-top:821.80000000000007pt;width:3.6000000000000001pt;height:7.7000000000000002pt;z-index:-1887438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3711575</wp:posOffset>
              </wp:positionH>
              <wp:positionV relativeFrom="page">
                <wp:posOffset>9958070</wp:posOffset>
              </wp:positionV>
              <wp:extent cx="100330" cy="79375"/>
              <wp:wrapNone/>
              <wp:docPr id="240" name="Shape 2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292.25pt;margin-top:784.10000000000002pt;width:7.9000000000000004pt;height:6.25pt;z-index:-18874386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6960870</wp:posOffset>
              </wp:positionH>
              <wp:positionV relativeFrom="page">
                <wp:posOffset>10436860</wp:posOffset>
              </wp:positionV>
              <wp:extent cx="45720" cy="97790"/>
              <wp:wrapNone/>
              <wp:docPr id="242" name="Shape 2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548.10000000000002pt;margin-top:821.80000000000007pt;width:3.6000000000000001pt;height:7.7000000000000002pt;z-index:-1887438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3721735</wp:posOffset>
              </wp:positionH>
              <wp:positionV relativeFrom="page">
                <wp:posOffset>9958705</wp:posOffset>
              </wp:positionV>
              <wp:extent cx="106680" cy="79375"/>
              <wp:wrapNone/>
              <wp:docPr id="16" name="Shape 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3.05000000000001pt;margin-top:784.14999999999998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3694430</wp:posOffset>
              </wp:positionH>
              <wp:positionV relativeFrom="page">
                <wp:posOffset>9958070</wp:posOffset>
              </wp:positionV>
              <wp:extent cx="94615" cy="79375"/>
              <wp:wrapNone/>
              <wp:docPr id="247" name="Shape 2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290.90000000000003pt;margin-top:784.10000000000002pt;width:7.4500000000000002pt;height:6.25pt;z-index:-1887438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5809615</wp:posOffset>
              </wp:positionH>
              <wp:positionV relativeFrom="page">
                <wp:posOffset>10436860</wp:posOffset>
              </wp:positionV>
              <wp:extent cx="133985" cy="103505"/>
              <wp:wrapNone/>
              <wp:docPr id="249" name="Shape 2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5" type="#_x0000_t202" style="position:absolute;margin-left:457.44999999999999pt;margin-top:821.80000000000007pt;width:10.550000000000001pt;height:8.1500000000000004pt;z-index:-1887438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3694430</wp:posOffset>
              </wp:positionH>
              <wp:positionV relativeFrom="page">
                <wp:posOffset>9958070</wp:posOffset>
              </wp:positionV>
              <wp:extent cx="94615" cy="79375"/>
              <wp:wrapNone/>
              <wp:docPr id="254" name="Shape 25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290.90000000000003pt;margin-top:784.10000000000002pt;width:7.4500000000000002pt;height:6.25pt;z-index:-1887438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5809615</wp:posOffset>
              </wp:positionH>
              <wp:positionV relativeFrom="page">
                <wp:posOffset>10436860</wp:posOffset>
              </wp:positionV>
              <wp:extent cx="133985" cy="103505"/>
              <wp:wrapNone/>
              <wp:docPr id="256" name="Shape 2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457.44999999999999pt;margin-top:821.80000000000007pt;width:10.550000000000001pt;height:8.1500000000000004pt;z-index:-1887438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3719830</wp:posOffset>
              </wp:positionH>
              <wp:positionV relativeFrom="page">
                <wp:posOffset>9958070</wp:posOffset>
              </wp:positionV>
              <wp:extent cx="109855" cy="79375"/>
              <wp:wrapNone/>
              <wp:docPr id="261" name="Shape 26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292.90000000000003pt;margin-top:784.10000000000002pt;width:8.6500000000000004pt;height:6.25pt;z-index:-18874384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6889750</wp:posOffset>
              </wp:positionH>
              <wp:positionV relativeFrom="page">
                <wp:posOffset>10436860</wp:posOffset>
              </wp:positionV>
              <wp:extent cx="42545" cy="97790"/>
              <wp:wrapNone/>
              <wp:docPr id="263" name="Shape 2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9" type="#_x0000_t202" style="position:absolute;margin-left:542.5pt;margin-top:821.80000000000007pt;width:3.3500000000000001pt;height:7.7000000000000002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3721735</wp:posOffset>
              </wp:positionH>
              <wp:positionV relativeFrom="page">
                <wp:posOffset>9958705</wp:posOffset>
              </wp:positionV>
              <wp:extent cx="106680" cy="79375"/>
              <wp:wrapNone/>
              <wp:docPr id="268" name="Shape 2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293.05000000000001pt;margin-top:784.14999999999998pt;width:8.4000000000000004pt;height:6.25pt;z-index:-1887438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654050</wp:posOffset>
              </wp:positionH>
              <wp:positionV relativeFrom="page">
                <wp:posOffset>9710420</wp:posOffset>
              </wp:positionV>
              <wp:extent cx="5940425" cy="109855"/>
              <wp:wrapNone/>
              <wp:docPr id="298" name="Shape 298"/>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324" type="#_x0000_t202" style="position:absolute;margin-left:51.5pt;margin-top:764.60000000000002pt;width:467.75pt;height:8.6500000000000004pt;z-index:-188743834;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21" behindDoc="1" locked="0" layoutInCell="1" allowOverlap="1">
              <wp:simplePos x="0" y="0"/>
              <wp:positionH relativeFrom="page">
                <wp:posOffset>3696335</wp:posOffset>
              </wp:positionH>
              <wp:positionV relativeFrom="page">
                <wp:posOffset>10173335</wp:posOffset>
              </wp:positionV>
              <wp:extent cx="103505" cy="79375"/>
              <wp:wrapNone/>
              <wp:docPr id="300" name="Shape 3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291.05000000000001pt;margin-top:801.05000000000007pt;width:8.1500000000000004pt;height:6.25pt;z-index:-18874383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654050</wp:posOffset>
              </wp:positionH>
              <wp:positionV relativeFrom="page">
                <wp:posOffset>9710420</wp:posOffset>
              </wp:positionV>
              <wp:extent cx="5940425" cy="109855"/>
              <wp:wrapNone/>
              <wp:docPr id="305" name="Shape 305"/>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331" type="#_x0000_t202" style="position:absolute;margin-left:51.5pt;margin-top:764.60000000000002pt;width:467.75pt;height:8.6500000000000004pt;z-index:-188743828;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27" behindDoc="1" locked="0" layoutInCell="1" allowOverlap="1">
              <wp:simplePos x="0" y="0"/>
              <wp:positionH relativeFrom="page">
                <wp:posOffset>3696335</wp:posOffset>
              </wp:positionH>
              <wp:positionV relativeFrom="page">
                <wp:posOffset>10173335</wp:posOffset>
              </wp:positionV>
              <wp:extent cx="103505" cy="79375"/>
              <wp:wrapNone/>
              <wp:docPr id="307" name="Shape 3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291.05000000000001pt;margin-top:801.05000000000007pt;width:8.1500000000000004pt;height:6.25pt;z-index:-18874382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683260</wp:posOffset>
              </wp:positionH>
              <wp:positionV relativeFrom="page">
                <wp:posOffset>9718675</wp:posOffset>
              </wp:positionV>
              <wp:extent cx="1024255" cy="109855"/>
              <wp:wrapNone/>
              <wp:docPr id="312" name="Shape 312"/>
              <a:graphic xmlns:a="http://schemas.openxmlformats.org/drawingml/2006/main">
                <a:graphicData uri="http://schemas.microsoft.com/office/word/2010/wordprocessingShape">
                  <wps:wsp>
                    <wps:cNvSpPr txBox="1"/>
                    <wps:spPr>
                      <a:xfrm>
                        <a:ext cx="1024255" cy="1098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法定代表人：陆致成</w:t>
                          </w:r>
                        </w:p>
                      </w:txbxContent>
                    </wps:txbx>
                    <wps:bodyPr wrap="none" lIns="0" tIns="0" rIns="0" bIns="0">
                      <a:spAutoFit/>
                    </wps:bodyPr>
                  </wps:wsp>
                </a:graphicData>
              </a:graphic>
            </wp:anchor>
          </w:drawing>
        </mc:Choice>
        <mc:Fallback>
          <w:pict>
            <v:shape id="_x0000_s1338" type="#_x0000_t202" style="position:absolute;margin-left:53.800000000000004pt;margin-top:765.25pt;width:80.650000000000006pt;height:8.6500000000000004pt;z-index:-18874382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法定代表人：陆致成</w:t>
                    </w:r>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3724910</wp:posOffset>
              </wp:positionH>
              <wp:positionV relativeFrom="page">
                <wp:posOffset>9898380</wp:posOffset>
              </wp:positionV>
              <wp:extent cx="94615" cy="79375"/>
              <wp:wrapNone/>
              <wp:docPr id="314" name="Shape 3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0" type="#_x0000_t202" style="position:absolute;margin-left:293.30000000000001pt;margin-top:779.39999999999998pt;width:7.4500000000000002pt;height:6.25pt;z-index:-18874382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3721735</wp:posOffset>
              </wp:positionH>
              <wp:positionV relativeFrom="page">
                <wp:posOffset>9958705</wp:posOffset>
              </wp:positionV>
              <wp:extent cx="106680" cy="79375"/>
              <wp:wrapNone/>
              <wp:docPr id="319" name="Shape 3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293.05000000000001pt;margin-top:784.14999999999998pt;width:8.4000000000000004pt;height:6.25pt;z-index:-1887438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3721735</wp:posOffset>
              </wp:positionH>
              <wp:positionV relativeFrom="page">
                <wp:posOffset>9958705</wp:posOffset>
              </wp:positionV>
              <wp:extent cx="106680" cy="79375"/>
              <wp:wrapNone/>
              <wp:docPr id="324" name="Shape 3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293.05000000000001pt;margin-top:784.14999999999998pt;width:8.4000000000000004pt;height:6.25pt;z-index:-1887438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684530</wp:posOffset>
              </wp:positionH>
              <wp:positionV relativeFrom="page">
                <wp:posOffset>9654540</wp:posOffset>
              </wp:positionV>
              <wp:extent cx="5934710" cy="113030"/>
              <wp:wrapNone/>
              <wp:docPr id="329" name="Shape 329"/>
              <a:graphic xmlns:a="http://schemas.openxmlformats.org/drawingml/2006/main">
                <a:graphicData uri="http://schemas.microsoft.com/office/word/2010/wordprocessingShape">
                  <wps:wsp>
                    <wps:cNvSpPr txBox="1"/>
                    <wps:spPr>
                      <a:xfrm>
                        <a:ext cx="5934710" cy="113030"/>
                      </a:xfrm>
                      <a:prstGeom prst="rect"/>
                      <a:noFill/>
                    </wps:spPr>
                    <wps:txbx>
                      <w:txbxContent>
                        <w:p>
                          <w:pPr>
                            <w:pStyle w:val="Style66"/>
                            <w:keepNext w:val="0"/>
                            <w:keepLines w:val="0"/>
                            <w:widowControl w:val="0"/>
                            <w:shd w:val="clear" w:color="auto" w:fill="auto"/>
                            <w:tabs>
                              <w:tab w:pos="5938"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会计机构存害「彩曲、冶</w:t>
                          </w:r>
                        </w:p>
                      </w:txbxContent>
                    </wps:txbx>
                    <wps:bodyPr lIns="0" tIns="0" rIns="0" bIns="0">
                      <a:spAutoFit/>
                    </wps:bodyPr>
                  </wps:wsp>
                </a:graphicData>
              </a:graphic>
            </wp:anchor>
          </w:drawing>
        </mc:Choice>
        <mc:Fallback>
          <w:pict>
            <v:shape id="_x0000_s1355" type="#_x0000_t202" style="position:absolute;margin-left:53.899999999999999pt;margin-top:760.20000000000005pt;width:467.30000000000001pt;height:8.9000000000000004pt;z-index:-188743808;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会计机构存害「彩曲、冶</w:t>
                    </w:r>
                  </w:p>
                </w:txbxContent>
              </v:textbox>
              <w10:wrap anchorx="page" anchory="page"/>
            </v:shape>
          </w:pict>
        </mc:Fallback>
      </mc:AlternateContent>
    </w:r>
    <w:r>
      <mc:AlternateContent>
        <mc:Choice Requires="wps">
          <w:drawing>
            <wp:anchor distT="0" distB="0" distL="0" distR="0" simplePos="0" relativeHeight="62914947" behindDoc="1" locked="0" layoutInCell="1" allowOverlap="1">
              <wp:simplePos x="0" y="0"/>
              <wp:positionH relativeFrom="page">
                <wp:posOffset>3726815</wp:posOffset>
              </wp:positionH>
              <wp:positionV relativeFrom="page">
                <wp:posOffset>9962515</wp:posOffset>
              </wp:positionV>
              <wp:extent cx="100330" cy="79375"/>
              <wp:wrapNone/>
              <wp:docPr id="331" name="Shape 3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293.44999999999999pt;margin-top:784.45000000000005pt;width:7.9000000000000004pt;height:6.25pt;z-index:-18874380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3766820</wp:posOffset>
              </wp:positionH>
              <wp:positionV relativeFrom="page">
                <wp:posOffset>9972040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6.60000000000002pt;margin-top:785.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7004050</wp:posOffset>
              </wp:positionH>
              <wp:positionV relativeFrom="page">
                <wp:posOffset>10450830</wp:posOffset>
              </wp:positionV>
              <wp:extent cx="45720" cy="97790"/>
              <wp:wrapNone/>
              <wp:docPr id="23" name="Shape 2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49" type="#_x0000_t202" style="position:absolute;margin-left:551.5pt;margin-top:822.89999999999998pt;width:3.6000000000000001pt;height:7.7000000000000002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654050</wp:posOffset>
              </wp:positionH>
              <wp:positionV relativeFrom="page">
                <wp:posOffset>9710420</wp:posOffset>
              </wp:positionV>
              <wp:extent cx="5940425" cy="109855"/>
              <wp:wrapNone/>
              <wp:docPr id="344" name="Shape 344"/>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370" type="#_x0000_t202" style="position:absolute;margin-left:51.5pt;margin-top:764.60000000000002pt;width:467.75pt;height:8.6500000000000004pt;z-index:-188743802;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3696335</wp:posOffset>
              </wp:positionH>
              <wp:positionV relativeFrom="page">
                <wp:posOffset>10173335</wp:posOffset>
              </wp:positionV>
              <wp:extent cx="103505" cy="79375"/>
              <wp:wrapNone/>
              <wp:docPr id="346" name="Shape 34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291.05000000000001pt;margin-top:801.05000000000007pt;width:8.1500000000000004pt;height:6.25pt;z-index:-18874380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654050</wp:posOffset>
              </wp:positionH>
              <wp:positionV relativeFrom="page">
                <wp:posOffset>9710420</wp:posOffset>
              </wp:positionV>
              <wp:extent cx="5940425" cy="109855"/>
              <wp:wrapNone/>
              <wp:docPr id="351" name="Shape 351"/>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377" type="#_x0000_t202" style="position:absolute;margin-left:51.5pt;margin-top:764.60000000000002pt;width:467.75pt;height:8.6500000000000004pt;z-index:-188743796;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3696335</wp:posOffset>
              </wp:positionH>
              <wp:positionV relativeFrom="page">
                <wp:posOffset>10173335</wp:posOffset>
              </wp:positionV>
              <wp:extent cx="103505" cy="79375"/>
              <wp:wrapNone/>
              <wp:docPr id="353" name="Shape 3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291.05000000000001pt;margin-top:801.05000000000007pt;width:8.1500000000000004pt;height:6.25pt;z-index:-18874379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880110</wp:posOffset>
              </wp:positionH>
              <wp:positionV relativeFrom="page">
                <wp:posOffset>9799320</wp:posOffset>
              </wp:positionV>
              <wp:extent cx="5803265" cy="113030"/>
              <wp:wrapNone/>
              <wp:docPr id="358" name="Shape 358"/>
              <a:graphic xmlns:a="http://schemas.openxmlformats.org/drawingml/2006/main">
                <a:graphicData uri="http://schemas.microsoft.com/office/word/2010/wordprocessingShape">
                  <wps:wsp>
                    <wps:cNvSpPr txBox="1"/>
                    <wps:spPr>
                      <a:xfrm>
                        <a:ext cx="5803265" cy="113030"/>
                      </a:xfrm>
                      <a:prstGeom prst="rect"/>
                      <a:noFill/>
                    </wps:spPr>
                    <wps:txbx>
                      <w:txbxContent>
                        <w:p>
                          <w:pPr>
                            <w:pStyle w:val="Style66"/>
                            <w:keepNext w:val="0"/>
                            <w:keepLines w:val="0"/>
                            <w:widowControl w:val="0"/>
                            <w:shd w:val="clear" w:color="auto" w:fill="auto"/>
                            <w:tabs>
                              <w:tab w:pos="5630" w:val="right"/>
                              <w:tab w:pos="7819" w:val="right"/>
                              <w:tab w:pos="9120"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会计机芯</w:t>
                            <w:tab/>
                          </w:r>
                          <w:r>
                            <w:rPr>
                              <w:b/>
                              <w:bCs/>
                              <w:color w:val="535353"/>
                              <w:spacing w:val="0"/>
                              <w:w w:val="100"/>
                              <w:position w:val="0"/>
                            </w:rPr>
                            <w:t>、•穴其声</w:t>
                          </w:r>
                        </w:p>
                      </w:txbxContent>
                    </wps:txbx>
                    <wps:bodyPr lIns="0" tIns="0" rIns="0" bIns="0">
                      <a:spAutoFit/>
                    </wps:bodyPr>
                  </wps:wsp>
                </a:graphicData>
              </a:graphic>
            </wp:anchor>
          </w:drawing>
        </mc:Choice>
        <mc:Fallback>
          <w:pict>
            <v:shape id="_x0000_s1384" type="#_x0000_t202" style="position:absolute;margin-left:69.299999999999997pt;margin-top:771.60000000000002pt;width:456.94999999999999pt;height:8.9000000000000004pt;z-index:-188743790;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630" w:val="right"/>
                        <w:tab w:pos="7819" w:val="right"/>
                        <w:tab w:pos="9120"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会计机芯</w:t>
                      <w:tab/>
                    </w:r>
                    <w:r>
                      <w:rPr>
                        <w:b/>
                        <w:bCs/>
                        <w:color w:val="535353"/>
                        <w:spacing w:val="0"/>
                        <w:w w:val="100"/>
                        <w:position w:val="0"/>
                      </w:rPr>
                      <w:t>、•穴其声</w:t>
                    </w:r>
                  </w:p>
                </w:txbxContent>
              </v:textbox>
              <w10:wrap anchorx="page" anchory="page"/>
            </v:shape>
          </w:pict>
        </mc:Fallback>
      </mc:AlternateContent>
    </w:r>
    <w:r>
      <mc:AlternateContent>
        <mc:Choice Requires="wps">
          <w:drawing>
            <wp:anchor distT="0" distB="0" distL="0" distR="0" simplePos="0" relativeHeight="62914965" behindDoc="1" locked="0" layoutInCell="1" allowOverlap="1">
              <wp:simplePos x="0" y="0"/>
              <wp:positionH relativeFrom="page">
                <wp:posOffset>3726815</wp:posOffset>
              </wp:positionH>
              <wp:positionV relativeFrom="page">
                <wp:posOffset>9997440</wp:posOffset>
              </wp:positionV>
              <wp:extent cx="100330" cy="79375"/>
              <wp:wrapNone/>
              <wp:docPr id="360" name="Shape 3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293.44999999999999pt;margin-top:787.20000000000005pt;width:7.9000000000000004pt;height:6.25pt;z-index:-18874378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3721735</wp:posOffset>
              </wp:positionH>
              <wp:positionV relativeFrom="page">
                <wp:posOffset>9958705</wp:posOffset>
              </wp:positionV>
              <wp:extent cx="106680" cy="79375"/>
              <wp:wrapNone/>
              <wp:docPr id="375" name="Shape 3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293.05000000000001pt;margin-top:784.14999999999998pt;width:8.4000000000000004pt;height:6.25pt;z-index:-1887437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3721735</wp:posOffset>
              </wp:positionH>
              <wp:positionV relativeFrom="page">
                <wp:posOffset>9958705</wp:posOffset>
              </wp:positionV>
              <wp:extent cx="106680" cy="79375"/>
              <wp:wrapNone/>
              <wp:docPr id="380" name="Shape 3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293.05000000000001pt;margin-top:784.14999999999998pt;width:8.4000000000000004pt;height:6.25pt;z-index:-1887437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728345</wp:posOffset>
              </wp:positionH>
              <wp:positionV relativeFrom="page">
                <wp:posOffset>9598660</wp:posOffset>
              </wp:positionV>
              <wp:extent cx="5940425" cy="109855"/>
              <wp:wrapNone/>
              <wp:docPr id="385" name="Shape 385"/>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47"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411" type="#_x0000_t202" style="position:absolute;margin-left:57.350000000000001pt;margin-top:755.80000000000007pt;width:467.75pt;height:8.6500000000000004pt;z-index:-188743776;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47"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3733800</wp:posOffset>
              </wp:positionH>
              <wp:positionV relativeFrom="page">
                <wp:posOffset>10089515</wp:posOffset>
              </wp:positionV>
              <wp:extent cx="106680" cy="79375"/>
              <wp:wrapNone/>
              <wp:docPr id="387" name="Shape 3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294.pt;margin-top:794.45000000000005pt;width:8.4000000000000004pt;height:6.25pt;z-index:-18874377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1" behindDoc="1" locked="0" layoutInCell="1" allowOverlap="1">
              <wp:simplePos x="0" y="0"/>
              <wp:positionH relativeFrom="page">
                <wp:posOffset>5852160</wp:posOffset>
              </wp:positionH>
              <wp:positionV relativeFrom="page">
                <wp:posOffset>10568305</wp:posOffset>
              </wp:positionV>
              <wp:extent cx="133985" cy="103505"/>
              <wp:wrapNone/>
              <wp:docPr id="389" name="Shape 3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5" type="#_x0000_t202" style="position:absolute;margin-left:460.80000000000001pt;margin-top:832.14999999999998pt;width:10.550000000000001pt;height:8.1500000000000004pt;z-index:-1887437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728345</wp:posOffset>
              </wp:positionH>
              <wp:positionV relativeFrom="page">
                <wp:posOffset>9598660</wp:posOffset>
              </wp:positionV>
              <wp:extent cx="5940425" cy="109855"/>
              <wp:wrapNone/>
              <wp:docPr id="394" name="Shape 394"/>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47"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420" type="#_x0000_t202" style="position:absolute;margin-left:57.350000000000001pt;margin-top:755.80000000000007pt;width:467.75pt;height:8.6500000000000004pt;z-index:-188743768;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47" w:val="right"/>
                        <w:tab w:pos="9346"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3733800</wp:posOffset>
              </wp:positionH>
              <wp:positionV relativeFrom="page">
                <wp:posOffset>10089515</wp:posOffset>
              </wp:positionV>
              <wp:extent cx="106680" cy="79375"/>
              <wp:wrapNone/>
              <wp:docPr id="396" name="Shape 3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294.pt;margin-top:794.45000000000005pt;width:8.4000000000000004pt;height:6.25pt;z-index:-18874376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5852160</wp:posOffset>
              </wp:positionH>
              <wp:positionV relativeFrom="page">
                <wp:posOffset>10568305</wp:posOffset>
              </wp:positionV>
              <wp:extent cx="133985" cy="103505"/>
              <wp:wrapNone/>
              <wp:docPr id="398" name="Shape 3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4" type="#_x0000_t202" style="position:absolute;margin-left:460.80000000000001pt;margin-top:832.14999999999998pt;width:10.550000000000001pt;height:8.1500000000000004pt;z-index:-1887437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654050</wp:posOffset>
              </wp:positionH>
              <wp:positionV relativeFrom="page">
                <wp:posOffset>9710420</wp:posOffset>
              </wp:positionV>
              <wp:extent cx="5940425" cy="109855"/>
              <wp:wrapNone/>
              <wp:docPr id="403" name="Shape 403"/>
              <a:graphic xmlns:a="http://schemas.openxmlformats.org/drawingml/2006/main">
                <a:graphicData uri="http://schemas.microsoft.com/office/word/2010/wordprocessingShape">
                  <wps:wsp>
                    <wps:cNvSpPr txBox="1"/>
                    <wps:spPr>
                      <a:xfrm>
                        <a:ext cx="5940425" cy="109855"/>
                      </a:xfrm>
                      <a:prstGeom prst="rect"/>
                      <a:noFill/>
                    </wps:spPr>
                    <wps:txbx>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wps:txbx>
                    <wps:bodyPr lIns="0" tIns="0" rIns="0" bIns="0">
                      <a:spAutoFit/>
                    </wps:bodyPr>
                  </wps:wsp>
                </a:graphicData>
              </a:graphic>
            </wp:anchor>
          </w:drawing>
        </mc:Choice>
        <mc:Fallback>
          <w:pict>
            <v:shape id="_x0000_s1429" type="#_x0000_t202" style="position:absolute;margin-left:51.5pt;margin-top:764.60000000000002pt;width:467.75pt;height:8.6500000000000004pt;z-index:-188743760;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938" w:val="right"/>
                        <w:tab w:pos="9355" w:val="right"/>
                      </w:tabs>
                      <w:bidi w:val="0"/>
                      <w:spacing w:before="0" w:after="0" w:line="240" w:lineRule="auto"/>
                      <w:ind w:left="0" w:right="0" w:firstLine="0"/>
                      <w:jc w:val="left"/>
                    </w:pPr>
                    <w:r>
                      <w:rPr>
                        <w:b/>
                        <w:bCs/>
                        <w:color w:val="000000"/>
                        <w:spacing w:val="0"/>
                        <w:w w:val="100"/>
                        <w:position w:val="0"/>
                      </w:rPr>
                      <w:t>法定代表人：陆致成</w:t>
                      <w:tab/>
                      <w:t>主管会计工作的负责人：杨秋平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3696335</wp:posOffset>
              </wp:positionH>
              <wp:positionV relativeFrom="page">
                <wp:posOffset>10173335</wp:posOffset>
              </wp:positionV>
              <wp:extent cx="103505" cy="79375"/>
              <wp:wrapNone/>
              <wp:docPr id="405" name="Shape 40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291.05000000000001pt;margin-top:801.05000000000007pt;width:8.1500000000000004pt;height:6.25pt;z-index:-18874375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3706495</wp:posOffset>
              </wp:positionH>
              <wp:positionV relativeFrom="page">
                <wp:posOffset>9848850</wp:posOffset>
              </wp:positionV>
              <wp:extent cx="106680" cy="79375"/>
              <wp:wrapNone/>
              <wp:docPr id="414" name="Shape 4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291.85000000000002pt;margin-top:775.5pt;width:8.4000000000000004pt;height:6.25pt;z-index:-18874375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5824855</wp:posOffset>
              </wp:positionH>
              <wp:positionV relativeFrom="page">
                <wp:posOffset>10327640</wp:posOffset>
              </wp:positionV>
              <wp:extent cx="133985" cy="103505"/>
              <wp:wrapNone/>
              <wp:docPr id="416" name="Shape 4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58.65000000000003pt;margin-top:813.20000000000005pt;width:10.550000000000001pt;height:8.1500000000000004pt;z-index:-1887437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3706495</wp:posOffset>
              </wp:positionH>
              <wp:positionV relativeFrom="page">
                <wp:posOffset>9848850</wp:posOffset>
              </wp:positionV>
              <wp:extent cx="106680" cy="79375"/>
              <wp:wrapNone/>
              <wp:docPr id="421" name="Shape 4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291.85000000000002pt;margin-top:775.5pt;width:8.4000000000000004pt;height:6.25pt;z-index:-18874374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5824855</wp:posOffset>
              </wp:positionH>
              <wp:positionV relativeFrom="page">
                <wp:posOffset>10327640</wp:posOffset>
              </wp:positionV>
              <wp:extent cx="133985" cy="103505"/>
              <wp:wrapNone/>
              <wp:docPr id="423" name="Shape 4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9" type="#_x0000_t202" style="position:absolute;margin-left:458.65000000000003pt;margin-top:813.20000000000005pt;width:10.550000000000001pt;height:8.1500000000000004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3766820</wp:posOffset>
              </wp:positionH>
              <wp:positionV relativeFrom="page">
                <wp:posOffset>9972040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6.60000000000002pt;margin-top:785.20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7004050</wp:posOffset>
              </wp:positionH>
              <wp:positionV relativeFrom="page">
                <wp:posOffset>10450830</wp:posOffset>
              </wp:positionV>
              <wp:extent cx="45720" cy="97790"/>
              <wp:wrapNone/>
              <wp:docPr id="30" name="Shape 3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6" type="#_x0000_t202" style="position:absolute;margin-left:551.5pt;margin-top:822.89999999999998pt;width:3.6000000000000001pt;height:7.7000000000000002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3727450</wp:posOffset>
              </wp:positionH>
              <wp:positionV relativeFrom="page">
                <wp:posOffset>9848850</wp:posOffset>
              </wp:positionV>
              <wp:extent cx="97790" cy="79375"/>
              <wp:wrapNone/>
              <wp:docPr id="428" name="Shape 4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293.5pt;margin-top:775.5pt;width:7.7000000000000002pt;height:6.25pt;z-index:-18874374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6973570</wp:posOffset>
              </wp:positionH>
              <wp:positionV relativeFrom="page">
                <wp:posOffset>10327640</wp:posOffset>
              </wp:positionV>
              <wp:extent cx="45720" cy="97790"/>
              <wp:wrapNone/>
              <wp:docPr id="430" name="Shape 43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6" type="#_x0000_t202" style="position:absolute;margin-left:549.10000000000002pt;margin-top:813.20000000000005pt;width:3.6000000000000001pt;height:7.7000000000000002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3704590</wp:posOffset>
              </wp:positionH>
              <wp:positionV relativeFrom="page">
                <wp:posOffset>9958705</wp:posOffset>
              </wp:positionV>
              <wp:extent cx="106680" cy="79375"/>
              <wp:wrapNone/>
              <wp:docPr id="435" name="Shape 43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291.69999999999999pt;margin-top:784.14999999999998pt;width:8.4000000000000004pt;height:6.25pt;z-index:-18874373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6950710</wp:posOffset>
              </wp:positionH>
              <wp:positionV relativeFrom="page">
                <wp:posOffset>10437495</wp:posOffset>
              </wp:positionV>
              <wp:extent cx="45720" cy="97790"/>
              <wp:wrapNone/>
              <wp:docPr id="437" name="Shape 43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3" type="#_x0000_t202" style="position:absolute;margin-left:547.30000000000007pt;margin-top:821.85000000000002pt;width:3.6000000000000001pt;height:7.7000000000000002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3704590</wp:posOffset>
              </wp:positionH>
              <wp:positionV relativeFrom="page">
                <wp:posOffset>9958705</wp:posOffset>
              </wp:positionV>
              <wp:extent cx="106680" cy="79375"/>
              <wp:wrapNone/>
              <wp:docPr id="442" name="Shape 4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291.69999999999999pt;margin-top:784.14999999999998pt;width:8.4000000000000004pt;height:6.25pt;z-index:-18874373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6950710</wp:posOffset>
              </wp:positionH>
              <wp:positionV relativeFrom="page">
                <wp:posOffset>10437495</wp:posOffset>
              </wp:positionV>
              <wp:extent cx="45720" cy="97790"/>
              <wp:wrapNone/>
              <wp:docPr id="444" name="Shape 4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0" type="#_x0000_t202" style="position:absolute;margin-left:547.30000000000007pt;margin-top:821.85000000000002pt;width:3.60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3719830</wp:posOffset>
              </wp:positionH>
              <wp:positionV relativeFrom="page">
                <wp:posOffset>9848850</wp:posOffset>
              </wp:positionV>
              <wp:extent cx="103505" cy="79375"/>
              <wp:wrapNone/>
              <wp:docPr id="449" name="Shape 4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5" type="#_x0000_t202" style="position:absolute;margin-left:292.90000000000003pt;margin-top:775.5pt;width:8.1500000000000004pt;height:6.25pt;z-index:-18874372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6887210</wp:posOffset>
              </wp:positionH>
              <wp:positionV relativeFrom="page">
                <wp:posOffset>10327640</wp:posOffset>
              </wp:positionV>
              <wp:extent cx="42545" cy="97790"/>
              <wp:wrapNone/>
              <wp:docPr id="451" name="Shape 45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7" type="#_x0000_t202" style="position:absolute;margin-left:542.29999999999995pt;margin-top:813.20000000000005pt;width:3.3500000000000001pt;height:7.7000000000000002pt;z-index:-1887437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3752215</wp:posOffset>
              </wp:positionH>
              <wp:positionV relativeFrom="page">
                <wp:posOffset>9733280</wp:posOffset>
              </wp:positionV>
              <wp:extent cx="3127375" cy="194945"/>
              <wp:wrapNone/>
              <wp:docPr id="456" name="Shape 456"/>
              <a:graphic xmlns:a="http://schemas.openxmlformats.org/drawingml/2006/main">
                <a:graphicData uri="http://schemas.microsoft.com/office/word/2010/wordprocessingShape">
                  <wps:wsp>
                    <wps:cNvSpPr txBox="1"/>
                    <wps:spPr>
                      <a:xfrm>
                        <a:ext cx="3127375" cy="194945"/>
                      </a:xfrm>
                      <a:prstGeom prst="rect"/>
                      <a:noFill/>
                    </wps:spPr>
                    <wps:txbx>
                      <w:txbxContent>
                        <w:p>
                          <w:pPr>
                            <w:pStyle w:val="Style66"/>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482" type="#_x0000_t202" style="position:absolute;margin-left:295.44999999999999pt;margin-top:766.39999999999998pt;width:246.25pt;height:15.35pt;z-index:-188743718;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r>
      <mc:AlternateContent>
        <mc:Choice Requires="wps">
          <w:drawing>
            <wp:anchor distT="0" distB="0" distL="0" distR="0" simplePos="0" relativeHeight="62915037" behindDoc="1" locked="0" layoutInCell="1" allowOverlap="1">
              <wp:simplePos x="0" y="0"/>
              <wp:positionH relativeFrom="page">
                <wp:posOffset>5870575</wp:posOffset>
              </wp:positionH>
              <wp:positionV relativeFrom="page">
                <wp:posOffset>10327640</wp:posOffset>
              </wp:positionV>
              <wp:extent cx="133985" cy="103505"/>
              <wp:wrapNone/>
              <wp:docPr id="458" name="Shape 4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4" type="#_x0000_t202" style="position:absolute;margin-left:462.25pt;margin-top:813.20000000000005pt;width:10.550000000000001pt;height:8.1500000000000004pt;z-index:-1887437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3752215</wp:posOffset>
              </wp:positionH>
              <wp:positionV relativeFrom="page">
                <wp:posOffset>9733280</wp:posOffset>
              </wp:positionV>
              <wp:extent cx="3127375" cy="194945"/>
              <wp:wrapNone/>
              <wp:docPr id="463" name="Shape 463"/>
              <a:graphic xmlns:a="http://schemas.openxmlformats.org/drawingml/2006/main">
                <a:graphicData uri="http://schemas.microsoft.com/office/word/2010/wordprocessingShape">
                  <wps:wsp>
                    <wps:cNvSpPr txBox="1"/>
                    <wps:spPr>
                      <a:xfrm>
                        <a:ext cx="3127375" cy="194945"/>
                      </a:xfrm>
                      <a:prstGeom prst="rect"/>
                      <a:noFill/>
                    </wps:spPr>
                    <wps:txbx>
                      <w:txbxContent>
                        <w:p>
                          <w:pPr>
                            <w:pStyle w:val="Style66"/>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489" type="#_x0000_t202" style="position:absolute;margin-left:295.44999999999999pt;margin-top:766.39999999999998pt;width:246.25pt;height:15.35pt;z-index:-188743712;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4925"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5870575</wp:posOffset>
              </wp:positionH>
              <wp:positionV relativeFrom="page">
                <wp:posOffset>10327640</wp:posOffset>
              </wp:positionV>
              <wp:extent cx="133985" cy="103505"/>
              <wp:wrapNone/>
              <wp:docPr id="465" name="Shape 46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1" type="#_x0000_t202" style="position:absolute;margin-left:462.25pt;margin-top:813.20000000000005pt;width:10.550000000000001pt;height:8.1500000000000004pt;z-index:-1887437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3740150</wp:posOffset>
              </wp:positionH>
              <wp:positionV relativeFrom="page">
                <wp:posOffset>9928860</wp:posOffset>
              </wp:positionV>
              <wp:extent cx="106680" cy="79375"/>
              <wp:wrapNone/>
              <wp:docPr id="470" name="Shape 4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294.5pt;margin-top:781.80000000000007pt;width:8.4000000000000004pt;height:6.25pt;z-index:-18874370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9" behindDoc="1" locked="0" layoutInCell="1" allowOverlap="1">
              <wp:simplePos x="0" y="0"/>
              <wp:positionH relativeFrom="page">
                <wp:posOffset>5858510</wp:posOffset>
              </wp:positionH>
              <wp:positionV relativeFrom="page">
                <wp:posOffset>10407650</wp:posOffset>
              </wp:positionV>
              <wp:extent cx="133985" cy="103505"/>
              <wp:wrapNone/>
              <wp:docPr id="472" name="Shape 4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8" type="#_x0000_t202" style="position:absolute;margin-left:461.30000000000001pt;margin-top:819.5pt;width:10.550000000000001pt;height:8.1500000000000004pt;z-index:-1887437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3719830</wp:posOffset>
              </wp:positionH>
              <wp:positionV relativeFrom="page">
                <wp:posOffset>9848850</wp:posOffset>
              </wp:positionV>
              <wp:extent cx="106680" cy="79375"/>
              <wp:wrapNone/>
              <wp:docPr id="477" name="Shape 4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3" type="#_x0000_t202" style="position:absolute;margin-left:292.90000000000003pt;margin-top:775.5pt;width:8.4000000000000004pt;height:6.25pt;z-index:-18874370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6887210</wp:posOffset>
              </wp:positionH>
              <wp:positionV relativeFrom="page">
                <wp:posOffset>10327640</wp:posOffset>
              </wp:positionV>
              <wp:extent cx="42545" cy="97790"/>
              <wp:wrapNone/>
              <wp:docPr id="479" name="Shape 47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5" type="#_x0000_t202" style="position:absolute;margin-left:542.29999999999995pt;margin-top:813.20000000000005pt;width:3.3500000000000001pt;height:7.7000000000000002pt;z-index:-1887436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3719830</wp:posOffset>
              </wp:positionH>
              <wp:positionV relativeFrom="page">
                <wp:posOffset>9848850</wp:posOffset>
              </wp:positionV>
              <wp:extent cx="106680" cy="79375"/>
              <wp:wrapNone/>
              <wp:docPr id="484" name="Shape 4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0" type="#_x0000_t202" style="position:absolute;margin-left:292.90000000000003pt;margin-top:775.5pt;width:8.4000000000000004pt;height:6.25pt;z-index:-18874369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6887210</wp:posOffset>
              </wp:positionH>
              <wp:positionV relativeFrom="page">
                <wp:posOffset>10327640</wp:posOffset>
              </wp:positionV>
              <wp:extent cx="42545" cy="97790"/>
              <wp:wrapNone/>
              <wp:docPr id="486" name="Shape 48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2" type="#_x0000_t202" style="position:absolute;margin-left:542.29999999999995pt;margin-top:813.20000000000005pt;width:3.3500000000000001pt;height:7.7000000000000002pt;z-index:-1887436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3704590</wp:posOffset>
              </wp:positionH>
              <wp:positionV relativeFrom="page">
                <wp:posOffset>9958705</wp:posOffset>
              </wp:positionV>
              <wp:extent cx="106680" cy="79375"/>
              <wp:wrapNone/>
              <wp:docPr id="491" name="Shape 49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7" type="#_x0000_t202" style="position:absolute;margin-left:291.69999999999999pt;margin-top:784.14999999999998pt;width:8.4000000000000004pt;height:6.25pt;z-index:-18874368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7" behindDoc="1" locked="0" layoutInCell="1" allowOverlap="1">
              <wp:simplePos x="0" y="0"/>
              <wp:positionH relativeFrom="page">
                <wp:posOffset>6950710</wp:posOffset>
              </wp:positionH>
              <wp:positionV relativeFrom="page">
                <wp:posOffset>10437495</wp:posOffset>
              </wp:positionV>
              <wp:extent cx="45720" cy="97790"/>
              <wp:wrapNone/>
              <wp:docPr id="493" name="Shape 4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9" type="#_x0000_t202" style="position:absolute;margin-left:547.30000000000007pt;margin-top:821.85000000000002pt;width:3.6000000000000001pt;height:7.7000000000000002pt;z-index:-1887436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6970395</wp:posOffset>
              </wp:positionH>
              <wp:positionV relativeFrom="page">
                <wp:posOffset>10436860</wp:posOffset>
              </wp:positionV>
              <wp:extent cx="45720" cy="97790"/>
              <wp:wrapNone/>
              <wp:docPr id="32" name="Shape 3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8" type="#_x0000_t202" style="position:absolute;margin-left:548.85000000000002pt;margin-top:821.80000000000007pt;width:3.6000000000000001pt;height:7.7000000000000002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3719830</wp:posOffset>
              </wp:positionH>
              <wp:positionV relativeFrom="page">
                <wp:posOffset>9848850</wp:posOffset>
              </wp:positionV>
              <wp:extent cx="106680" cy="79375"/>
              <wp:wrapNone/>
              <wp:docPr id="498" name="Shape 4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4" type="#_x0000_t202" style="position:absolute;margin-left:292.90000000000003pt;margin-top:775.5pt;width:8.4000000000000004pt;height:6.25pt;z-index:-18874368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3" behindDoc="1" locked="0" layoutInCell="1" allowOverlap="1">
              <wp:simplePos x="0" y="0"/>
              <wp:positionH relativeFrom="page">
                <wp:posOffset>6887210</wp:posOffset>
              </wp:positionH>
              <wp:positionV relativeFrom="page">
                <wp:posOffset>10327640</wp:posOffset>
              </wp:positionV>
              <wp:extent cx="42545" cy="97790"/>
              <wp:wrapNone/>
              <wp:docPr id="500" name="Shape 50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6" type="#_x0000_t202" style="position:absolute;margin-left:542.29999999999995pt;margin-top:813.20000000000005pt;width:3.3500000000000001pt;height:7.7000000000000002pt;z-index:-1887436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3719830</wp:posOffset>
              </wp:positionH>
              <wp:positionV relativeFrom="page">
                <wp:posOffset>9848850</wp:posOffset>
              </wp:positionV>
              <wp:extent cx="106680" cy="79375"/>
              <wp:wrapNone/>
              <wp:docPr id="505" name="Shape 50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292.90000000000003pt;margin-top:775.5pt;width:8.4000000000000004pt;height:6.25pt;z-index:-18874367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6887210</wp:posOffset>
              </wp:positionH>
              <wp:positionV relativeFrom="page">
                <wp:posOffset>10327640</wp:posOffset>
              </wp:positionV>
              <wp:extent cx="42545" cy="97790"/>
              <wp:wrapNone/>
              <wp:docPr id="507" name="Shape 50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3" type="#_x0000_t202" style="position:absolute;margin-left:542.29999999999995pt;margin-top:813.20000000000005pt;width:3.3500000000000001pt;height:7.7000000000000002pt;z-index:-1887436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3740150</wp:posOffset>
              </wp:positionH>
              <wp:positionV relativeFrom="page">
                <wp:posOffset>9928860</wp:posOffset>
              </wp:positionV>
              <wp:extent cx="106680" cy="79375"/>
              <wp:wrapNone/>
              <wp:docPr id="512" name="Shape 5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294.5pt;margin-top:781.80000000000007pt;width:8.4000000000000004pt;height:6.25pt;z-index:-18874367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5" behindDoc="1" locked="0" layoutInCell="1" allowOverlap="1">
              <wp:simplePos x="0" y="0"/>
              <wp:positionH relativeFrom="page">
                <wp:posOffset>5858510</wp:posOffset>
              </wp:positionH>
              <wp:positionV relativeFrom="page">
                <wp:posOffset>10407650</wp:posOffset>
              </wp:positionV>
              <wp:extent cx="133985" cy="103505"/>
              <wp:wrapNone/>
              <wp:docPr id="514" name="Shape 5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0" type="#_x0000_t202" style="position:absolute;margin-left:461.30000000000001pt;margin-top:819.5pt;width:10.550000000000001pt;height:8.1500000000000004pt;z-index:-1887436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3704590</wp:posOffset>
              </wp:positionH>
              <wp:positionV relativeFrom="page">
                <wp:posOffset>9958705</wp:posOffset>
              </wp:positionV>
              <wp:extent cx="106680" cy="79375"/>
              <wp:wrapNone/>
              <wp:docPr id="519" name="Shape 5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5" type="#_x0000_t202" style="position:absolute;margin-left:291.69999999999999pt;margin-top:784.14999999999998pt;width:8.4000000000000004pt;height:6.25pt;z-index:-18874366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1" behindDoc="1" locked="0" layoutInCell="1" allowOverlap="1">
              <wp:simplePos x="0" y="0"/>
              <wp:positionH relativeFrom="page">
                <wp:posOffset>6950710</wp:posOffset>
              </wp:positionH>
              <wp:positionV relativeFrom="page">
                <wp:posOffset>10437495</wp:posOffset>
              </wp:positionV>
              <wp:extent cx="45720" cy="97790"/>
              <wp:wrapNone/>
              <wp:docPr id="521" name="Shape 52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7" type="#_x0000_t202" style="position:absolute;margin-left:547.30000000000007pt;margin-top:821.85000000000002pt;width:3.6000000000000001pt;height:7.7000000000000002pt;z-index:-1887436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3704590</wp:posOffset>
              </wp:positionH>
              <wp:positionV relativeFrom="page">
                <wp:posOffset>9958705</wp:posOffset>
              </wp:positionV>
              <wp:extent cx="106680" cy="79375"/>
              <wp:wrapNone/>
              <wp:docPr id="526" name="Shape 5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2" type="#_x0000_t202" style="position:absolute;margin-left:291.69999999999999pt;margin-top:784.14999999999998pt;width:8.4000000000000004pt;height:6.25pt;z-index:-18874365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6950710</wp:posOffset>
              </wp:positionH>
              <wp:positionV relativeFrom="page">
                <wp:posOffset>10437495</wp:posOffset>
              </wp:positionV>
              <wp:extent cx="45720" cy="97790"/>
              <wp:wrapNone/>
              <wp:docPr id="528" name="Shape 52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4" type="#_x0000_t202" style="position:absolute;margin-left:547.30000000000007pt;margin-top:821.85000000000002pt;width:3.6000000000000001pt;height:7.7000000000000002pt;z-index:-1887436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3740150</wp:posOffset>
              </wp:positionH>
              <wp:positionV relativeFrom="page">
                <wp:posOffset>9928860</wp:posOffset>
              </wp:positionV>
              <wp:extent cx="106680" cy="79375"/>
              <wp:wrapNone/>
              <wp:docPr id="533" name="Shape 5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9" type="#_x0000_t202" style="position:absolute;margin-left:294.5pt;margin-top:781.80000000000007pt;width:8.4000000000000004pt;height:6.25pt;z-index:-18874365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5858510</wp:posOffset>
              </wp:positionH>
              <wp:positionV relativeFrom="page">
                <wp:posOffset>10407650</wp:posOffset>
              </wp:positionV>
              <wp:extent cx="133985" cy="103505"/>
              <wp:wrapNone/>
              <wp:docPr id="535" name="Shape 5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1" type="#_x0000_t202" style="position:absolute;margin-left:461.30000000000001pt;margin-top:819.5pt;width:10.550000000000001pt;height:8.1500000000000004pt;z-index:-1887436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3740150</wp:posOffset>
              </wp:positionH>
              <wp:positionV relativeFrom="page">
                <wp:posOffset>9928860</wp:posOffset>
              </wp:positionV>
              <wp:extent cx="106680" cy="79375"/>
              <wp:wrapNone/>
              <wp:docPr id="540" name="Shape 5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6" type="#_x0000_t202" style="position:absolute;margin-left:294.5pt;margin-top:781.80000000000007pt;width:8.4000000000000004pt;height:6.25pt;z-index:-18874364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5858510</wp:posOffset>
              </wp:positionH>
              <wp:positionV relativeFrom="page">
                <wp:posOffset>10407650</wp:posOffset>
              </wp:positionV>
              <wp:extent cx="133985" cy="103505"/>
              <wp:wrapNone/>
              <wp:docPr id="542" name="Shape 5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8" type="#_x0000_t202" style="position:absolute;margin-left:461.30000000000001pt;margin-top:819.5pt;width:10.550000000000001pt;height:8.1500000000000004pt;z-index:-1887436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3721735</wp:posOffset>
              </wp:positionH>
              <wp:positionV relativeFrom="page">
                <wp:posOffset>9958705</wp:posOffset>
              </wp:positionV>
              <wp:extent cx="106680" cy="79375"/>
              <wp:wrapNone/>
              <wp:docPr id="547" name="Shape 5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293.05000000000001pt;margin-top:784.14999999999998pt;width:8.4000000000000004pt;height:6.25pt;z-index:-1887436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3721735</wp:posOffset>
              </wp:positionH>
              <wp:positionV relativeFrom="page">
                <wp:posOffset>9958705</wp:posOffset>
              </wp:positionV>
              <wp:extent cx="106680" cy="79375"/>
              <wp:wrapNone/>
              <wp:docPr id="552" name="Shape 5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8" type="#_x0000_t202" style="position:absolute;margin-left:293.05000000000001pt;margin-top:784.14999999999998pt;width:8.4000000000000004pt;height:6.25pt;z-index:-1887436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3704590</wp:posOffset>
              </wp:positionH>
              <wp:positionV relativeFrom="page">
                <wp:posOffset>9958705</wp:posOffset>
              </wp:positionV>
              <wp:extent cx="106680" cy="79375"/>
              <wp:wrapNone/>
              <wp:docPr id="558" name="Shape 5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4" type="#_x0000_t202" style="position:absolute;margin-left:291.69999999999999pt;margin-top:784.14999999999998pt;width:8.4000000000000004pt;height:6.25pt;z-index:-18874363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6950710</wp:posOffset>
              </wp:positionH>
              <wp:positionV relativeFrom="page">
                <wp:posOffset>10437495</wp:posOffset>
              </wp:positionV>
              <wp:extent cx="45720" cy="97790"/>
              <wp:wrapNone/>
              <wp:docPr id="560" name="Shape 5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6" type="#_x0000_t202" style="position:absolute;margin-left:547.30000000000007pt;margin-top:821.85000000000002pt;width:3.6000000000000001pt;height:7.7000000000000002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6970395</wp:posOffset>
              </wp:positionH>
              <wp:positionV relativeFrom="page">
                <wp:posOffset>10436860</wp:posOffset>
              </wp:positionV>
              <wp:extent cx="45720" cy="97790"/>
              <wp:wrapNone/>
              <wp:docPr id="34" name="Shape 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0" type="#_x0000_t202" style="position:absolute;margin-left:548.85000000000002pt;margin-top:821.80000000000007pt;width:3.60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3694430</wp:posOffset>
              </wp:positionH>
              <wp:positionV relativeFrom="page">
                <wp:posOffset>9770110</wp:posOffset>
              </wp:positionV>
              <wp:extent cx="3288665" cy="247015"/>
              <wp:wrapNone/>
              <wp:docPr id="564" name="Shape 564"/>
              <a:graphic xmlns:a="http://schemas.openxmlformats.org/drawingml/2006/main">
                <a:graphicData uri="http://schemas.microsoft.com/office/word/2010/wordprocessingShape">
                  <wps:wsp>
                    <wps:cNvSpPr txBox="1"/>
                    <wps:spPr>
                      <a:xfrm>
                        <a:ext cx="3288665" cy="247015"/>
                      </a:xfrm>
                      <a:prstGeom prst="rect"/>
                      <a:noFill/>
                    </wps:spPr>
                    <wps:txbx>
                      <w:txbxContent>
                        <w:p>
                          <w:pPr>
                            <w:pStyle w:val="Style66"/>
                            <w:keepNext w:val="0"/>
                            <w:keepLines w:val="0"/>
                            <w:widowControl w:val="0"/>
                            <w:shd w:val="clear" w:color="auto" w:fill="auto"/>
                            <w:tabs>
                              <w:tab w:pos="5179"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cninfS</w:t>
                          </w:r>
                        </w:p>
                      </w:txbxContent>
                    </wps:txbx>
                    <wps:bodyPr lIns="0" tIns="0" rIns="0" bIns="0">
                      <a:spAutoFit/>
                    </wps:bodyPr>
                  </wps:wsp>
                </a:graphicData>
              </a:graphic>
            </wp:anchor>
          </w:drawing>
        </mc:Choice>
        <mc:Fallback>
          <w:pict>
            <v:shape id="_x0000_s1590" type="#_x0000_t202" style="position:absolute;margin-left:290.90000000000003pt;margin-top:769.30000000000007pt;width:258.94999999999999pt;height:19.449999999999999pt;z-index:-188743626;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tabs>
                        <w:tab w:pos="5179"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cninfS</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3704590</wp:posOffset>
              </wp:positionH>
              <wp:positionV relativeFrom="page">
                <wp:posOffset>9958705</wp:posOffset>
              </wp:positionV>
              <wp:extent cx="106680" cy="79375"/>
              <wp:wrapNone/>
              <wp:docPr id="569" name="Shape 5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5" type="#_x0000_t202" style="position:absolute;margin-left:291.69999999999999pt;margin-top:784.14999999999998pt;width:8.4000000000000004pt;height:6.25pt;z-index:-18874362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3" behindDoc="1" locked="0" layoutInCell="1" allowOverlap="1">
              <wp:simplePos x="0" y="0"/>
              <wp:positionH relativeFrom="page">
                <wp:posOffset>6950710</wp:posOffset>
              </wp:positionH>
              <wp:positionV relativeFrom="page">
                <wp:posOffset>10437495</wp:posOffset>
              </wp:positionV>
              <wp:extent cx="45720" cy="97790"/>
              <wp:wrapNone/>
              <wp:docPr id="571" name="Shape 57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7" type="#_x0000_t202" style="position:absolute;margin-left:547.30000000000007pt;margin-top:821.85000000000002pt;width:3.6000000000000001pt;height:7.7000000000000002pt;z-index:-1887436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3704590</wp:posOffset>
              </wp:positionH>
              <wp:positionV relativeFrom="page">
                <wp:posOffset>9958705</wp:posOffset>
              </wp:positionV>
              <wp:extent cx="106680" cy="79375"/>
              <wp:wrapNone/>
              <wp:docPr id="576" name="Shape 57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291.69999999999999pt;margin-top:784.14999999999998pt;width:8.4000000000000004pt;height:6.25pt;z-index:-18874361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9" behindDoc="1" locked="0" layoutInCell="1" allowOverlap="1">
              <wp:simplePos x="0" y="0"/>
              <wp:positionH relativeFrom="page">
                <wp:posOffset>6950710</wp:posOffset>
              </wp:positionH>
              <wp:positionV relativeFrom="page">
                <wp:posOffset>10437495</wp:posOffset>
              </wp:positionV>
              <wp:extent cx="45720" cy="97790"/>
              <wp:wrapNone/>
              <wp:docPr id="578" name="Shape 5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4" type="#_x0000_t202" style="position:absolute;margin-left:547.30000000000007pt;margin-top:821.85000000000002pt;width:3.6000000000000001pt;height:7.7000000000000002pt;z-index:-1887436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3740150</wp:posOffset>
              </wp:positionH>
              <wp:positionV relativeFrom="page">
                <wp:posOffset>9928860</wp:posOffset>
              </wp:positionV>
              <wp:extent cx="106680" cy="79375"/>
              <wp:wrapNone/>
              <wp:docPr id="583" name="Shape 58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294.5pt;margin-top:781.80000000000007pt;width:8.4000000000000004pt;height:6.25pt;z-index:-18874361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5" behindDoc="1" locked="0" layoutInCell="1" allowOverlap="1">
              <wp:simplePos x="0" y="0"/>
              <wp:positionH relativeFrom="page">
                <wp:posOffset>5858510</wp:posOffset>
              </wp:positionH>
              <wp:positionV relativeFrom="page">
                <wp:posOffset>10407650</wp:posOffset>
              </wp:positionV>
              <wp:extent cx="133985" cy="103505"/>
              <wp:wrapNone/>
              <wp:docPr id="585" name="Shape 5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1" type="#_x0000_t202" style="position:absolute;margin-left:461.30000000000001pt;margin-top:819.5pt;width:10.550000000000001pt;height:8.1500000000000004pt;z-index:-1887436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3721735</wp:posOffset>
              </wp:positionH>
              <wp:positionV relativeFrom="page">
                <wp:posOffset>9958705</wp:posOffset>
              </wp:positionV>
              <wp:extent cx="106680" cy="79375"/>
              <wp:wrapNone/>
              <wp:docPr id="612" name="Shape 6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293.05000000000001pt;margin-top:784.14999999999998pt;width:8.4000000000000004pt;height:6.25pt;z-index:-1887435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3721735</wp:posOffset>
              </wp:positionH>
              <wp:positionV relativeFrom="page">
                <wp:posOffset>9958705</wp:posOffset>
              </wp:positionV>
              <wp:extent cx="106680" cy="79375"/>
              <wp:wrapNone/>
              <wp:docPr id="617" name="Shape 6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3" type="#_x0000_t202" style="position:absolute;margin-left:293.05000000000001pt;margin-top:784.14999999999998pt;width:8.4000000000000004pt;height:6.25pt;z-index:-1887435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3740150</wp:posOffset>
              </wp:positionH>
              <wp:positionV relativeFrom="page">
                <wp:posOffset>9928860</wp:posOffset>
              </wp:positionV>
              <wp:extent cx="106680" cy="79375"/>
              <wp:wrapNone/>
              <wp:docPr id="622" name="Shape 6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294.5pt;margin-top:781.80000000000007pt;width:8.4000000000000004pt;height:6.25pt;z-index:-18874357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5858510</wp:posOffset>
              </wp:positionH>
              <wp:positionV relativeFrom="page">
                <wp:posOffset>10407650</wp:posOffset>
              </wp:positionV>
              <wp:extent cx="133985" cy="103505"/>
              <wp:wrapNone/>
              <wp:docPr id="624" name="Shape 6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0" type="#_x0000_t202" style="position:absolute;margin-left:461.30000000000001pt;margin-top:819.5pt;width:10.550000000000001pt;height:8.1500000000000004pt;z-index:-1887435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3740150</wp:posOffset>
              </wp:positionH>
              <wp:positionV relativeFrom="page">
                <wp:posOffset>9928860</wp:posOffset>
              </wp:positionV>
              <wp:extent cx="106680" cy="79375"/>
              <wp:wrapNone/>
              <wp:docPr id="629" name="Shape 6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294.5pt;margin-top:781.80000000000007pt;width:8.4000000000000004pt;height:6.25pt;z-index:-18874357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5858510</wp:posOffset>
              </wp:positionH>
              <wp:positionV relativeFrom="page">
                <wp:posOffset>10407650</wp:posOffset>
              </wp:positionV>
              <wp:extent cx="133985" cy="103505"/>
              <wp:wrapNone/>
              <wp:docPr id="631" name="Shape 6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7" type="#_x0000_t202" style="position:absolute;margin-left:461.30000000000001pt;margin-top:819.5pt;width:10.550000000000001pt;height:8.1500000000000004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3721735</wp:posOffset>
              </wp:positionH>
              <wp:positionV relativeFrom="page">
                <wp:posOffset>9958705</wp:posOffset>
              </wp:positionV>
              <wp:extent cx="106680" cy="79375"/>
              <wp:wrapNone/>
              <wp:docPr id="636" name="Shape 6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293.05000000000001pt;margin-top:784.14999999999998pt;width:8.4000000000000004pt;height:6.25pt;z-index:-1887435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3721735</wp:posOffset>
              </wp:positionH>
              <wp:positionV relativeFrom="page">
                <wp:posOffset>9958705</wp:posOffset>
              </wp:positionV>
              <wp:extent cx="106680" cy="79375"/>
              <wp:wrapNone/>
              <wp:docPr id="641" name="Shape 6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293.05000000000001pt;margin-top:784.14999999999998pt;width:8.4000000000000004pt;height:6.25pt;z-index:-1887435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3725545</wp:posOffset>
              </wp:positionH>
              <wp:positionV relativeFrom="page">
                <wp:posOffset>9972040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3.35000000000002pt;margin-top:785.20000000000005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5835015</wp:posOffset>
              </wp:positionH>
              <wp:positionV relativeFrom="page">
                <wp:posOffset>10450830</wp:posOffset>
              </wp:positionV>
              <wp:extent cx="133985" cy="103505"/>
              <wp:wrapNone/>
              <wp:docPr id="41" name="Shape 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7" type="#_x0000_t202" style="position:absolute;margin-left:459.44999999999999pt;margin-top:822.89999999999998pt;width:10.550000000000001pt;height:8.1500000000000004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3704590</wp:posOffset>
              </wp:positionH>
              <wp:positionV relativeFrom="page">
                <wp:posOffset>9958705</wp:posOffset>
              </wp:positionV>
              <wp:extent cx="106680" cy="79375"/>
              <wp:wrapNone/>
              <wp:docPr id="647" name="Shape 6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291.69999999999999pt;margin-top:784.14999999999998pt;width:8.4000000000000004pt;height:6.25pt;z-index:-18874355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6950710</wp:posOffset>
              </wp:positionH>
              <wp:positionV relativeFrom="page">
                <wp:posOffset>10437495</wp:posOffset>
              </wp:positionV>
              <wp:extent cx="45720" cy="97790"/>
              <wp:wrapNone/>
              <wp:docPr id="649" name="Shape 6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547.30000000000007pt;margin-top:821.85000000000002pt;width:3.6000000000000001pt;height:7.7000000000000002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3704590</wp:posOffset>
              </wp:positionH>
              <wp:positionV relativeFrom="page">
                <wp:posOffset>9958705</wp:posOffset>
              </wp:positionV>
              <wp:extent cx="106680" cy="79375"/>
              <wp:wrapNone/>
              <wp:docPr id="654" name="Shape 6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291.69999999999999pt;margin-top:784.14999999999998pt;width:8.4000000000000004pt;height:6.25pt;z-index:-18874355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6950710</wp:posOffset>
              </wp:positionH>
              <wp:positionV relativeFrom="page">
                <wp:posOffset>10437495</wp:posOffset>
              </wp:positionV>
              <wp:extent cx="45720" cy="97790"/>
              <wp:wrapNone/>
              <wp:docPr id="656" name="Shape 6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2" type="#_x0000_t202" style="position:absolute;margin-left:547.30000000000007pt;margin-top:821.85000000000002pt;width:3.6000000000000001pt;height:7.7000000000000002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3721735</wp:posOffset>
              </wp:positionH>
              <wp:positionV relativeFrom="page">
                <wp:posOffset>9958705</wp:posOffset>
              </wp:positionV>
              <wp:extent cx="106680" cy="79375"/>
              <wp:wrapNone/>
              <wp:docPr id="662" name="Shape 6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8" type="#_x0000_t202" style="position:absolute;margin-left:293.05000000000001pt;margin-top:784.14999999999998pt;width:8.4000000000000004pt;height:6.25pt;z-index:-1887435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3721735</wp:posOffset>
              </wp:positionH>
              <wp:positionV relativeFrom="page">
                <wp:posOffset>9958705</wp:posOffset>
              </wp:positionV>
              <wp:extent cx="106680" cy="79375"/>
              <wp:wrapNone/>
              <wp:docPr id="667" name="Shape 66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3" type="#_x0000_t202" style="position:absolute;margin-left:293.05000000000001pt;margin-top:784.14999999999998pt;width:8.4000000000000004pt;height:6.25pt;z-index:-1887435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3703320</wp:posOffset>
              </wp:positionH>
              <wp:positionV relativeFrom="page">
                <wp:posOffset>9984105</wp:posOffset>
              </wp:positionV>
              <wp:extent cx="146050" cy="79375"/>
              <wp:wrapNone/>
              <wp:docPr id="673" name="Shape 67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9" type="#_x0000_t202" style="position:absolute;margin-left:291.60000000000002pt;margin-top:786.14999999999998pt;width:11.5pt;height:6.25pt;z-index:-18874353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5843270</wp:posOffset>
              </wp:positionH>
              <wp:positionV relativeFrom="page">
                <wp:posOffset>10462895</wp:posOffset>
              </wp:positionV>
              <wp:extent cx="133985" cy="103505"/>
              <wp:wrapNone/>
              <wp:docPr id="675" name="Shape 6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1" type="#_x0000_t202" style="position:absolute;margin-left:460.10000000000002pt;margin-top:823.85000000000002pt;width:10.550000000000001pt;height:8.1500000000000004pt;z-index:-1887435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3703320</wp:posOffset>
              </wp:positionH>
              <wp:positionV relativeFrom="page">
                <wp:posOffset>9984105</wp:posOffset>
              </wp:positionV>
              <wp:extent cx="146050" cy="79375"/>
              <wp:wrapNone/>
              <wp:docPr id="679" name="Shape 67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5" type="#_x0000_t202" style="position:absolute;margin-left:291.60000000000002pt;margin-top:786.14999999999998pt;width:11.5pt;height:6.25pt;z-index:-18874353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5843270</wp:posOffset>
              </wp:positionH>
              <wp:positionV relativeFrom="page">
                <wp:posOffset>10462895</wp:posOffset>
              </wp:positionV>
              <wp:extent cx="133985" cy="103505"/>
              <wp:wrapNone/>
              <wp:docPr id="681" name="Shape 6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7" type="#_x0000_t202" style="position:absolute;margin-left:460.10000000000002pt;margin-top:823.85000000000002pt;width:10.550000000000001pt;height:8.1500000000000004pt;z-index:-1887435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3704590</wp:posOffset>
              </wp:positionH>
              <wp:positionV relativeFrom="page">
                <wp:posOffset>9958705</wp:posOffset>
              </wp:positionV>
              <wp:extent cx="106680" cy="79375"/>
              <wp:wrapNone/>
              <wp:docPr id="686" name="Shape 68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2" type="#_x0000_t202" style="position:absolute;margin-left:291.69999999999999pt;margin-top:784.14999999999998pt;width:8.4000000000000004pt;height:6.25pt;z-index:-18874352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6950710</wp:posOffset>
              </wp:positionH>
              <wp:positionV relativeFrom="page">
                <wp:posOffset>10437495</wp:posOffset>
              </wp:positionV>
              <wp:extent cx="45720" cy="97790"/>
              <wp:wrapNone/>
              <wp:docPr id="688" name="Shape 6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4" type="#_x0000_t202" style="position:absolute;margin-left:547.30000000000007pt;margin-top:821.85000000000002pt;width:3.6000000000000001pt;height:7.7000000000000002pt;z-index:-1887435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3703320</wp:posOffset>
              </wp:positionH>
              <wp:positionV relativeFrom="page">
                <wp:posOffset>9984105</wp:posOffset>
              </wp:positionV>
              <wp:extent cx="146050" cy="79375"/>
              <wp:wrapNone/>
              <wp:docPr id="692" name="Shape 6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291.60000000000002pt;margin-top:786.14999999999998pt;width:11.5pt;height:6.25pt;z-index:-18874351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5843270</wp:posOffset>
              </wp:positionH>
              <wp:positionV relativeFrom="page">
                <wp:posOffset>10462895</wp:posOffset>
              </wp:positionV>
              <wp:extent cx="133985" cy="103505"/>
              <wp:wrapNone/>
              <wp:docPr id="694" name="Shape 6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0" type="#_x0000_t202" style="position:absolute;margin-left:460.10000000000002pt;margin-top:823.85000000000002pt;width:10.550000000000001pt;height:8.1500000000000004pt;z-index:-1887435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3721735</wp:posOffset>
              </wp:positionH>
              <wp:positionV relativeFrom="page">
                <wp:posOffset>9958705</wp:posOffset>
              </wp:positionV>
              <wp:extent cx="106680" cy="79375"/>
              <wp:wrapNone/>
              <wp:docPr id="699" name="Shape 6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293.05000000000001pt;margin-top:784.14999999999998pt;width:8.4000000000000004pt;height:6.25pt;z-index:-1887435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3704590</wp:posOffset>
              </wp:positionH>
              <wp:positionV relativeFrom="page">
                <wp:posOffset>9958705</wp:posOffset>
              </wp:positionV>
              <wp:extent cx="106680" cy="79375"/>
              <wp:wrapNone/>
              <wp:docPr id="704" name="Shape 7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291.69999999999999pt;margin-top:784.14999999999998pt;width:8.4000000000000004pt;height:6.25pt;z-index:-18874350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6950710</wp:posOffset>
              </wp:positionH>
              <wp:positionV relativeFrom="page">
                <wp:posOffset>10437495</wp:posOffset>
              </wp:positionV>
              <wp:extent cx="45720" cy="97790"/>
              <wp:wrapNone/>
              <wp:docPr id="706" name="Shape 7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547.30000000000007pt;margin-top:821.85000000000002pt;width:3.6000000000000001pt;height:7.7000000000000002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4521200</wp:posOffset>
              </wp:positionH>
              <wp:positionV relativeFrom="page">
                <wp:posOffset>575310</wp:posOffset>
              </wp:positionV>
              <wp:extent cx="2325370" cy="106680"/>
              <wp:wrapNone/>
              <wp:docPr id="6" name="Shape 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56.pt;margin-top:45.300000000000004pt;width:183.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720090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6.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4483100</wp:posOffset>
              </wp:positionH>
              <wp:positionV relativeFrom="page">
                <wp:posOffset>575310</wp:posOffset>
              </wp:positionV>
              <wp:extent cx="2325370" cy="106680"/>
              <wp:wrapNone/>
              <wp:docPr id="57" name="Shape 5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3" type="#_x0000_t202" style="position:absolute;margin-left:353.pt;margin-top:45.300000000000004pt;width:183.0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720090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6.700000000000003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4508500</wp:posOffset>
              </wp:positionH>
              <wp:positionV relativeFrom="page">
                <wp:posOffset>561340</wp:posOffset>
              </wp:positionV>
              <wp:extent cx="2325370" cy="106680"/>
              <wp:wrapNone/>
              <wp:docPr id="723" name="Shape 72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9" type="#_x0000_t202" style="position:absolute;margin-left:355.pt;margin-top:44.200000000000003pt;width:183.09999999999999pt;height:8.4000000000000004pt;z-index:-18874349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5" name="Shape 7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4508500</wp:posOffset>
              </wp:positionH>
              <wp:positionV relativeFrom="page">
                <wp:posOffset>561340</wp:posOffset>
              </wp:positionV>
              <wp:extent cx="2325370" cy="106680"/>
              <wp:wrapNone/>
              <wp:docPr id="728" name="Shape 72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4" type="#_x0000_t202" style="position:absolute;margin-left:355.pt;margin-top:44.200000000000003pt;width:183.09999999999999pt;height:8.4000000000000004pt;z-index:-18874349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0" name="Shape 7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4504055</wp:posOffset>
              </wp:positionH>
              <wp:positionV relativeFrom="page">
                <wp:posOffset>531495</wp:posOffset>
              </wp:positionV>
              <wp:extent cx="2325370" cy="106680"/>
              <wp:wrapNone/>
              <wp:docPr id="733" name="Shape 73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9" type="#_x0000_t202" style="position:absolute;margin-left:354.65000000000003pt;margin-top:41.850000000000001pt;width:183.09999999999999pt;height:8.4000000000000004pt;z-index:-18874348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4525645</wp:posOffset>
              </wp:positionH>
              <wp:positionV relativeFrom="page">
                <wp:posOffset>93980</wp:posOffset>
              </wp:positionV>
              <wp:extent cx="2325370" cy="106680"/>
              <wp:wrapNone/>
              <wp:docPr id="739" name="Shape 7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5" type="#_x0000_t202" style="position:absolute;margin-left:356.35000000000002pt;margin-top:7.4000000000000004pt;width:183.09999999999999pt;height:8.4000000000000004pt;z-index:-1887434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741" name="Shape 7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4504055</wp:posOffset>
              </wp:positionH>
              <wp:positionV relativeFrom="page">
                <wp:posOffset>531495</wp:posOffset>
              </wp:positionV>
              <wp:extent cx="2325370" cy="106680"/>
              <wp:wrapNone/>
              <wp:docPr id="761" name="Shape 76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7" type="#_x0000_t202" style="position:absolute;margin-left:354.65000000000003pt;margin-top:41.850000000000001pt;width:183.09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676275</wp:posOffset>
              </wp:positionV>
              <wp:extent cx="6163310" cy="0"/>
              <wp:wrapNone/>
              <wp:docPr id="763" name="Shape 7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3.25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4504055</wp:posOffset>
              </wp:positionH>
              <wp:positionV relativeFrom="page">
                <wp:posOffset>531495</wp:posOffset>
              </wp:positionV>
              <wp:extent cx="2325370" cy="106680"/>
              <wp:wrapNone/>
              <wp:docPr id="768" name="Shape 76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4" type="#_x0000_t202" style="position:absolute;margin-left:354.65000000000003pt;margin-top:41.850000000000001pt;width:183.09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676275</wp:posOffset>
              </wp:positionV>
              <wp:extent cx="6163310" cy="0"/>
              <wp:wrapNone/>
              <wp:docPr id="770" name="Shape 7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3.25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4525645</wp:posOffset>
              </wp:positionH>
              <wp:positionV relativeFrom="page">
                <wp:posOffset>93980</wp:posOffset>
              </wp:positionV>
              <wp:extent cx="2325370" cy="106680"/>
              <wp:wrapNone/>
              <wp:docPr id="775" name="Shape 77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1" type="#_x0000_t202" style="position:absolute;margin-left:356.35000000000002pt;margin-top:7.4000000000000004pt;width:183.09999999999999pt;height:8.4000000000000004pt;z-index:-1887434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4504055</wp:posOffset>
              </wp:positionH>
              <wp:positionV relativeFrom="page">
                <wp:posOffset>531495</wp:posOffset>
              </wp:positionV>
              <wp:extent cx="2325370" cy="106680"/>
              <wp:wrapNone/>
              <wp:docPr id="830" name="Shape 8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6" type="#_x0000_t202" style="position:absolute;margin-left:354.65000000000003pt;margin-top:41.850000000000001pt;width:183.0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4504055</wp:posOffset>
              </wp:positionH>
              <wp:positionV relativeFrom="page">
                <wp:posOffset>531495</wp:posOffset>
              </wp:positionV>
              <wp:extent cx="2325370" cy="106680"/>
              <wp:wrapNone/>
              <wp:docPr id="836" name="Shape 83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2" type="#_x0000_t202" style="position:absolute;margin-left:354.65000000000003pt;margin-top:41.850000000000001pt;width:183.09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4525645</wp:posOffset>
              </wp:positionH>
              <wp:positionV relativeFrom="page">
                <wp:posOffset>93980</wp:posOffset>
              </wp:positionV>
              <wp:extent cx="2325370" cy="106680"/>
              <wp:wrapNone/>
              <wp:docPr id="842" name="Shape 84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8" type="#_x0000_t202" style="position:absolute;margin-left:356.35000000000002pt;margin-top:7.4000000000000004pt;width:183.09999999999999pt;height:8.4000000000000004pt;z-index:-1887434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844" name="Shape 8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4483100</wp:posOffset>
              </wp:positionH>
              <wp:positionV relativeFrom="page">
                <wp:posOffset>575310</wp:posOffset>
              </wp:positionV>
              <wp:extent cx="2325370" cy="106680"/>
              <wp:wrapNone/>
              <wp:docPr id="64" name="Shape 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0" type="#_x0000_t202" style="position:absolute;margin-left:353.pt;margin-top:45.300000000000004pt;width:183.0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720090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6.700000000000003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4504055</wp:posOffset>
              </wp:positionH>
              <wp:positionV relativeFrom="page">
                <wp:posOffset>531495</wp:posOffset>
              </wp:positionV>
              <wp:extent cx="2325370" cy="106680"/>
              <wp:wrapNone/>
              <wp:docPr id="847" name="Shape 84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3" type="#_x0000_t202" style="position:absolute;margin-left:354.65000000000003pt;margin-top:41.850000000000001pt;width:183.09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676275</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3.25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4504055</wp:posOffset>
              </wp:positionH>
              <wp:positionV relativeFrom="page">
                <wp:posOffset>531495</wp:posOffset>
              </wp:positionV>
              <wp:extent cx="2325370" cy="106680"/>
              <wp:wrapNone/>
              <wp:docPr id="854" name="Shape 85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0" type="#_x0000_t202" style="position:absolute;margin-left:354.65000000000003pt;margin-top:41.850000000000001pt;width:183.09999999999999pt;height:8.4000000000000004pt;z-index:-18874342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676275</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3.25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4525645</wp:posOffset>
              </wp:positionH>
              <wp:positionV relativeFrom="page">
                <wp:posOffset>93980</wp:posOffset>
              </wp:positionV>
              <wp:extent cx="2325370" cy="106680"/>
              <wp:wrapNone/>
              <wp:docPr id="861" name="Shape 86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7" type="#_x0000_t202" style="position:absolute;margin-left:356.35000000000002pt;margin-top:7.4000000000000004pt;width:183.09999999999999pt;height:8.4000000000000004pt;z-index:-1887434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863" name="Shape 8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4525645</wp:posOffset>
              </wp:positionH>
              <wp:positionV relativeFrom="page">
                <wp:posOffset>93980</wp:posOffset>
              </wp:positionV>
              <wp:extent cx="2325370" cy="106680"/>
              <wp:wrapNone/>
              <wp:docPr id="866" name="Shape 86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92" type="#_x0000_t202" style="position:absolute;margin-left:356.35000000000002pt;margin-top:7.4000000000000004pt;width:183.09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868" name="Shape 8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4483100</wp:posOffset>
              </wp:positionH>
              <wp:positionV relativeFrom="page">
                <wp:posOffset>575310</wp:posOffset>
              </wp:positionV>
              <wp:extent cx="2325370" cy="106680"/>
              <wp:wrapNone/>
              <wp:docPr id="71" name="Shape 7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7" type="#_x0000_t202" style="position:absolute;margin-left:353.pt;margin-top:45.300000000000004pt;width:183.0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720090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6.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4498340</wp:posOffset>
              </wp:positionH>
              <wp:positionV relativeFrom="page">
                <wp:posOffset>561340</wp:posOffset>
              </wp:positionV>
              <wp:extent cx="2325370" cy="106680"/>
              <wp:wrapNone/>
              <wp:docPr id="78" name="Shape 7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4" type="#_x0000_t202" style="position:absolute;margin-left:354.19999999999999pt;margin-top:44.200000000000003pt;width:183.0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4498340</wp:posOffset>
              </wp:positionH>
              <wp:positionV relativeFrom="page">
                <wp:posOffset>561340</wp:posOffset>
              </wp:positionV>
              <wp:extent cx="2325370" cy="106680"/>
              <wp:wrapNone/>
              <wp:docPr id="85" name="Shape 8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54.19999999999999pt;margin-top:44.200000000000003pt;width:183.09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4483100</wp:posOffset>
              </wp:positionH>
              <wp:positionV relativeFrom="page">
                <wp:posOffset>575310</wp:posOffset>
              </wp:positionV>
              <wp:extent cx="2325370" cy="106680"/>
              <wp:wrapNone/>
              <wp:docPr id="92" name="Shape 9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53.pt;margin-top:45.300000000000004pt;width:183.09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720090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6.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4498340</wp:posOffset>
              </wp:positionH>
              <wp:positionV relativeFrom="page">
                <wp:posOffset>561340</wp:posOffset>
              </wp:positionV>
              <wp:extent cx="2325370" cy="106680"/>
              <wp:wrapNone/>
              <wp:docPr id="99" name="Shape 9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5" type="#_x0000_t202" style="position:absolute;margin-left:354.19999999999999pt;margin-top:44.200000000000003pt;width:183.0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101" name="Shape 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4498340</wp:posOffset>
              </wp:positionH>
              <wp:positionV relativeFrom="page">
                <wp:posOffset>561340</wp:posOffset>
              </wp:positionV>
              <wp:extent cx="2325370" cy="106680"/>
              <wp:wrapNone/>
              <wp:docPr id="106" name="Shape 10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2" type="#_x0000_t202" style="position:absolute;margin-left:354.19999999999999pt;margin-top:44.200000000000003pt;width:183.0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4525645</wp:posOffset>
              </wp:positionH>
              <wp:positionV relativeFrom="page">
                <wp:posOffset>93980</wp:posOffset>
              </wp:positionV>
              <wp:extent cx="2325370" cy="106680"/>
              <wp:wrapNone/>
              <wp:docPr id="113" name="Shape 11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56.35000000000002pt;margin-top:7.4000000000000004pt;width:183.0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4525645</wp:posOffset>
              </wp:positionH>
              <wp:positionV relativeFrom="page">
                <wp:posOffset>93980</wp:posOffset>
              </wp:positionV>
              <wp:extent cx="2325370" cy="106680"/>
              <wp:wrapNone/>
              <wp:docPr id="118" name="Shape 11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4" type="#_x0000_t202" style="position:absolute;margin-left:356.35000000000002pt;margin-top:7.4000000000000004pt;width:183.0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4525645</wp:posOffset>
              </wp:positionH>
              <wp:positionV relativeFrom="page">
                <wp:posOffset>93980</wp:posOffset>
              </wp:positionV>
              <wp:extent cx="2325370" cy="106680"/>
              <wp:wrapNone/>
              <wp:docPr id="13" name="Shape 1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356.35000000000002pt;margin-top:7.4000000000000004pt;width:183.09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4498340</wp:posOffset>
              </wp:positionH>
              <wp:positionV relativeFrom="page">
                <wp:posOffset>561340</wp:posOffset>
              </wp:positionV>
              <wp:extent cx="2325370" cy="106680"/>
              <wp:wrapNone/>
              <wp:docPr id="124" name="Shape 12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0" type="#_x0000_t202" style="position:absolute;margin-left:354.19999999999999pt;margin-top:44.200000000000003pt;width:183.0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4498340</wp:posOffset>
              </wp:positionH>
              <wp:positionV relativeFrom="page">
                <wp:posOffset>561340</wp:posOffset>
              </wp:positionV>
              <wp:extent cx="2325370" cy="106680"/>
              <wp:wrapNone/>
              <wp:docPr id="131" name="Shape 13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7" type="#_x0000_t202" style="position:absolute;margin-left:354.19999999999999pt;margin-top:44.200000000000003pt;width:183.09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4474845</wp:posOffset>
              </wp:positionH>
              <wp:positionV relativeFrom="page">
                <wp:posOffset>561340</wp:posOffset>
              </wp:positionV>
              <wp:extent cx="2325370" cy="106680"/>
              <wp:wrapNone/>
              <wp:docPr id="138" name="Shape 13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52.35000000000002pt;margin-top:44.200000000000003pt;width:183.09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4474845</wp:posOffset>
              </wp:positionH>
              <wp:positionV relativeFrom="page">
                <wp:posOffset>561340</wp:posOffset>
              </wp:positionV>
              <wp:extent cx="2325370" cy="106680"/>
              <wp:wrapNone/>
              <wp:docPr id="145" name="Shape 14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1" type="#_x0000_t202" style="position:absolute;margin-left:352.35000000000002pt;margin-top:44.200000000000003pt;width:183.0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4525645</wp:posOffset>
              </wp:positionH>
              <wp:positionV relativeFrom="page">
                <wp:posOffset>93980</wp:posOffset>
              </wp:positionV>
              <wp:extent cx="2325370" cy="106680"/>
              <wp:wrapNone/>
              <wp:docPr id="153" name="Shape 1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9" type="#_x0000_t202" style="position:absolute;margin-left:356.35000000000002pt;margin-top:7.4000000000000004pt;width:183.09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4525645</wp:posOffset>
              </wp:positionH>
              <wp:positionV relativeFrom="page">
                <wp:posOffset>93980</wp:posOffset>
              </wp:positionV>
              <wp:extent cx="2325370" cy="106680"/>
              <wp:wrapNone/>
              <wp:docPr id="158" name="Shape 15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4" type="#_x0000_t202" style="position:absolute;margin-left:356.35000000000002pt;margin-top:7.4000000000000004pt;width:183.09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4474845</wp:posOffset>
              </wp:positionH>
              <wp:positionV relativeFrom="page">
                <wp:posOffset>561340</wp:posOffset>
              </wp:positionV>
              <wp:extent cx="2325370" cy="106680"/>
              <wp:wrapNone/>
              <wp:docPr id="164" name="Shape 1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0" type="#_x0000_t202" style="position:absolute;margin-left:352.35000000000002pt;margin-top:44.200000000000003pt;width:183.09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4479290</wp:posOffset>
              </wp:positionH>
              <wp:positionV relativeFrom="page">
                <wp:posOffset>561340</wp:posOffset>
              </wp:positionV>
              <wp:extent cx="2325370" cy="106680"/>
              <wp:wrapNone/>
              <wp:docPr id="171" name="Shape 17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7" type="#_x0000_t202" style="position:absolute;margin-left:352.69999999999999pt;margin-top:44.200000000000003pt;width:183.09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666750</wp:posOffset>
              </wp:positionH>
              <wp:positionV relativeFrom="page">
                <wp:posOffset>706120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4474845</wp:posOffset>
              </wp:positionH>
              <wp:positionV relativeFrom="page">
                <wp:posOffset>561340</wp:posOffset>
              </wp:positionV>
              <wp:extent cx="2325370" cy="106680"/>
              <wp:wrapNone/>
              <wp:docPr id="178" name="Shape 17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4" type="#_x0000_t202" style="position:absolute;margin-left:352.35000000000002pt;margin-top:44.200000000000003pt;width:183.09999999999999pt;height:8.4000000000000004pt;z-index:-1887439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180" name="Shape 1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4474845</wp:posOffset>
              </wp:positionH>
              <wp:positionV relativeFrom="page">
                <wp:posOffset>561340</wp:posOffset>
              </wp:positionV>
              <wp:extent cx="2325370" cy="106680"/>
              <wp:wrapNone/>
              <wp:docPr id="185" name="Shape 18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1" type="#_x0000_t202" style="position:absolute;margin-left:352.35000000000002pt;margin-top:44.200000000000003pt;width:183.09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4498340</wp:posOffset>
              </wp:positionH>
              <wp:positionV relativeFrom="page">
                <wp:posOffset>561340</wp:posOffset>
              </wp:positionV>
              <wp:extent cx="2325370" cy="106680"/>
              <wp:wrapNone/>
              <wp:docPr id="18" name="Shape 1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54.19999999999999pt;margin-top:44.200000000000003pt;width:183.0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4525645</wp:posOffset>
              </wp:positionH>
              <wp:positionV relativeFrom="page">
                <wp:posOffset>93980</wp:posOffset>
              </wp:positionV>
              <wp:extent cx="2325370" cy="106680"/>
              <wp:wrapNone/>
              <wp:docPr id="192" name="Shape 19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8" type="#_x0000_t202" style="position:absolute;margin-left:356.35000000000002pt;margin-top:7.4000000000000004pt;width:183.09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194" name="Shape 1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4525645</wp:posOffset>
              </wp:positionH>
              <wp:positionV relativeFrom="page">
                <wp:posOffset>93980</wp:posOffset>
              </wp:positionV>
              <wp:extent cx="2325370" cy="106680"/>
              <wp:wrapNone/>
              <wp:docPr id="198" name="Shape 19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56.35000000000002pt;margin-top:7.4000000000000004pt;width:183.09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4525645</wp:posOffset>
              </wp:positionH>
              <wp:positionV relativeFrom="page">
                <wp:posOffset>93980</wp:posOffset>
              </wp:positionV>
              <wp:extent cx="2325370" cy="106680"/>
              <wp:wrapNone/>
              <wp:docPr id="203" name="Shape 20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9" type="#_x0000_t202" style="position:absolute;margin-left:356.35000000000002pt;margin-top:7.4000000000000004pt;width:183.09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4525645</wp:posOffset>
              </wp:positionH>
              <wp:positionV relativeFrom="page">
                <wp:posOffset>93980</wp:posOffset>
              </wp:positionV>
              <wp:extent cx="2325370" cy="106680"/>
              <wp:wrapNone/>
              <wp:docPr id="211" name="Shape 21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7" type="#_x0000_t202" style="position:absolute;margin-left:356.35000000000002pt;margin-top:7.4000000000000004pt;width:183.09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4474845</wp:posOffset>
              </wp:positionH>
              <wp:positionV relativeFrom="page">
                <wp:posOffset>561340</wp:posOffset>
              </wp:positionV>
              <wp:extent cx="2325370" cy="106680"/>
              <wp:wrapNone/>
              <wp:docPr id="216" name="Shape 21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2" type="#_x0000_t202" style="position:absolute;margin-left:352.35000000000002pt;margin-top:44.200000000000003pt;width:183.09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4497705</wp:posOffset>
              </wp:positionH>
              <wp:positionV relativeFrom="page">
                <wp:posOffset>561340</wp:posOffset>
              </wp:positionV>
              <wp:extent cx="2325370" cy="106680"/>
              <wp:wrapNone/>
              <wp:docPr id="223" name="Shape 22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9" type="#_x0000_t202" style="position:absolute;margin-left:354.15000000000003pt;margin-top:44.200000000000003pt;width:183.09999999999999pt;height:8.4000000000000004pt;z-index:-18874388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4497705</wp:posOffset>
              </wp:positionH>
              <wp:positionV relativeFrom="page">
                <wp:posOffset>561340</wp:posOffset>
              </wp:positionV>
              <wp:extent cx="2325370" cy="106680"/>
              <wp:wrapNone/>
              <wp:docPr id="230" name="Shape 2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6" type="#_x0000_t202" style="position:absolute;margin-left:354.15000000000003pt;margin-top:44.200000000000003pt;width:183.09999999999999pt;height:8.4000000000000004pt;z-index:-18874387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4497705</wp:posOffset>
              </wp:positionH>
              <wp:positionV relativeFrom="page">
                <wp:posOffset>561340</wp:posOffset>
              </wp:positionV>
              <wp:extent cx="2325370" cy="106680"/>
              <wp:wrapNone/>
              <wp:docPr id="237" name="Shape 23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54.15000000000003pt;margin-top:44.200000000000003pt;width:183.09999999999999pt;height:8.4000000000000004pt;z-index:-18874386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4474845</wp:posOffset>
              </wp:positionH>
              <wp:positionV relativeFrom="page">
                <wp:posOffset>561340</wp:posOffset>
              </wp:positionV>
              <wp:extent cx="2325370" cy="106680"/>
              <wp:wrapNone/>
              <wp:docPr id="244" name="Shape 2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0" type="#_x0000_t202" style="position:absolute;margin-left:352.35000000000002pt;margin-top:44.200000000000003pt;width:183.09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4474845</wp:posOffset>
              </wp:positionH>
              <wp:positionV relativeFrom="page">
                <wp:posOffset>561340</wp:posOffset>
              </wp:positionV>
              <wp:extent cx="2325370" cy="106680"/>
              <wp:wrapNone/>
              <wp:docPr id="251" name="Shape 25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7" type="#_x0000_t202" style="position:absolute;margin-left:352.35000000000002pt;margin-top:44.200000000000003pt;width:183.09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706120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0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4498340</wp:posOffset>
              </wp:positionH>
              <wp:positionV relativeFrom="page">
                <wp:posOffset>561340</wp:posOffset>
              </wp:positionV>
              <wp:extent cx="2325370" cy="106680"/>
              <wp:wrapNone/>
              <wp:docPr id="25" name="Shape 2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1" type="#_x0000_t202" style="position:absolute;margin-left:354.19999999999999pt;margin-top:44.200000000000003pt;width:183.0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4542790</wp:posOffset>
              </wp:positionH>
              <wp:positionV relativeFrom="page">
                <wp:posOffset>561340</wp:posOffset>
              </wp:positionV>
              <wp:extent cx="2325370" cy="106680"/>
              <wp:wrapNone/>
              <wp:docPr id="258" name="Shape 25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4" type="#_x0000_t202" style="position:absolute;margin-left:357.69999999999999pt;margin-top:44.200000000000003pt;width:183.09999999999999pt;height:8.4000000000000004pt;z-index:-18874385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706120</wp:posOffset>
              </wp:positionV>
              <wp:extent cx="6233160" cy="0"/>
              <wp:wrapNone/>
              <wp:docPr id="260" name="Shape 260"/>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51.950000000000003pt;margin-top:55.600000000000001pt;width:490.8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4525645</wp:posOffset>
              </wp:positionH>
              <wp:positionV relativeFrom="page">
                <wp:posOffset>93980</wp:posOffset>
              </wp:positionV>
              <wp:extent cx="2325370" cy="106680"/>
              <wp:wrapNone/>
              <wp:docPr id="265" name="Shape 26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1" type="#_x0000_t202" style="position:absolute;margin-left:356.35000000000002pt;margin-top:7.4000000000000004pt;width:183.09999999999999pt;height:8.4000000000000004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4512945</wp:posOffset>
              </wp:positionH>
              <wp:positionV relativeFrom="page">
                <wp:posOffset>643255</wp:posOffset>
              </wp:positionV>
              <wp:extent cx="2325370" cy="106680"/>
              <wp:wrapNone/>
              <wp:docPr id="295" name="Shape 29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1" type="#_x0000_t202" style="position:absolute;margin-left:355.35000000000002pt;margin-top:50.649999999999999pt;width:183.09999999999999pt;height:8.4000000000000004pt;z-index:-18874383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787400</wp:posOffset>
              </wp:positionV>
              <wp:extent cx="6233160" cy="0"/>
              <wp:wrapNone/>
              <wp:docPr id="297" name="Shape 297"/>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49.600000000000001pt;margin-top:62.pt;width:490.8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4512945</wp:posOffset>
              </wp:positionH>
              <wp:positionV relativeFrom="page">
                <wp:posOffset>643255</wp:posOffset>
              </wp:positionV>
              <wp:extent cx="2325370" cy="106680"/>
              <wp:wrapNone/>
              <wp:docPr id="302" name="Shape 30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8" type="#_x0000_t202" style="position:absolute;margin-left:355.35000000000002pt;margin-top:50.649999999999999pt;width:183.09999999999999pt;height:8.4000000000000004pt;z-index:-18874383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787400</wp:posOffset>
              </wp:positionV>
              <wp:extent cx="6233160" cy="0"/>
              <wp:wrapNone/>
              <wp:docPr id="304" name="Shape 304"/>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49.600000000000001pt;margin-top:62.pt;width:490.8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4542155</wp:posOffset>
              </wp:positionH>
              <wp:positionV relativeFrom="page">
                <wp:posOffset>501015</wp:posOffset>
              </wp:positionV>
              <wp:extent cx="2325370" cy="106680"/>
              <wp:wrapNone/>
              <wp:docPr id="309" name="Shape 30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5" type="#_x0000_t202" style="position:absolute;margin-left:357.65000000000003pt;margin-top:39.450000000000003pt;width:183.09999999999999pt;height:8.4000000000000004pt;z-index:-18874382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645795</wp:posOffset>
              </wp:positionV>
              <wp:extent cx="6233160" cy="0"/>
              <wp:wrapNone/>
              <wp:docPr id="311" name="Shape 311"/>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51.899999999999999pt;margin-top:50.850000000000001pt;width:490.8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4525645</wp:posOffset>
              </wp:positionH>
              <wp:positionV relativeFrom="page">
                <wp:posOffset>93980</wp:posOffset>
              </wp:positionV>
              <wp:extent cx="2325370" cy="106680"/>
              <wp:wrapNone/>
              <wp:docPr id="316" name="Shape 31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2" type="#_x0000_t202" style="position:absolute;margin-left:356.35000000000002pt;margin-top:7.4000000000000004pt;width:183.09999999999999pt;height:8.4000000000000004pt;z-index:-1887438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4525645</wp:posOffset>
              </wp:positionH>
              <wp:positionV relativeFrom="page">
                <wp:posOffset>93980</wp:posOffset>
              </wp:positionV>
              <wp:extent cx="2325370" cy="106680"/>
              <wp:wrapNone/>
              <wp:docPr id="321" name="Shape 32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7" type="#_x0000_t202" style="position:absolute;margin-left:356.35000000000002pt;margin-top:7.4000000000000004pt;width:183.09999999999999pt;height:8.4000000000000004pt;z-index:-1887438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4543425</wp:posOffset>
              </wp:positionH>
              <wp:positionV relativeFrom="page">
                <wp:posOffset>565150</wp:posOffset>
              </wp:positionV>
              <wp:extent cx="2325370" cy="106680"/>
              <wp:wrapNone/>
              <wp:docPr id="326" name="Shape 32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2" type="#_x0000_t202" style="position:absolute;margin-left:357.75pt;margin-top:44.5pt;width:183.09999999999999pt;height:8.4000000000000004pt;z-index:-18874381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709930</wp:posOffset>
              </wp:positionV>
              <wp:extent cx="6233160" cy="0"/>
              <wp:wrapNone/>
              <wp:docPr id="328" name="Shape 328"/>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52.pt;margin-top:55.899999999999999pt;width:490.8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4512945</wp:posOffset>
              </wp:positionH>
              <wp:positionV relativeFrom="page">
                <wp:posOffset>643255</wp:posOffset>
              </wp:positionV>
              <wp:extent cx="2325370" cy="106680"/>
              <wp:wrapNone/>
              <wp:docPr id="341" name="Shape 34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7" type="#_x0000_t202" style="position:absolute;margin-left:355.35000000000002pt;margin-top:50.649999999999999pt;width:183.09999999999999pt;height:8.4000000000000004pt;z-index:-18874380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787400</wp:posOffset>
              </wp:positionV>
              <wp:extent cx="6233160" cy="0"/>
              <wp:wrapNone/>
              <wp:docPr id="343" name="Shape 343"/>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49.600000000000001pt;margin-top:62.pt;width:490.8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4512945</wp:posOffset>
              </wp:positionH>
              <wp:positionV relativeFrom="page">
                <wp:posOffset>643255</wp:posOffset>
              </wp:positionV>
              <wp:extent cx="2325370" cy="106680"/>
              <wp:wrapNone/>
              <wp:docPr id="348" name="Shape 34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4" type="#_x0000_t202" style="position:absolute;margin-left:355.35000000000002pt;margin-top:50.649999999999999pt;width:183.09999999999999pt;height:8.4000000000000004pt;z-index:-18874379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787400</wp:posOffset>
              </wp:positionV>
              <wp:extent cx="6233160" cy="0"/>
              <wp:wrapNone/>
              <wp:docPr id="350" name="Shape 350"/>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49.600000000000001pt;margin-top:62.pt;width:490.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4543425</wp:posOffset>
              </wp:positionH>
              <wp:positionV relativeFrom="page">
                <wp:posOffset>438785</wp:posOffset>
              </wp:positionV>
              <wp:extent cx="2325370" cy="106680"/>
              <wp:wrapNone/>
              <wp:docPr id="355" name="Shape 35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1" type="#_x0000_t202" style="position:absolute;margin-left:357.75pt;margin-top:34.550000000000004pt;width:183.09999999999999pt;height:8.4000000000000004pt;z-index:-18874379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584835</wp:posOffset>
              </wp:positionV>
              <wp:extent cx="6233160" cy="0"/>
              <wp:wrapNone/>
              <wp:docPr id="357" name="Shape 357"/>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52.pt;margin-top:46.050000000000004pt;width:490.8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4525645</wp:posOffset>
              </wp:positionH>
              <wp:positionV relativeFrom="page">
                <wp:posOffset>93980</wp:posOffset>
              </wp:positionV>
              <wp:extent cx="2325370" cy="106680"/>
              <wp:wrapNone/>
              <wp:docPr id="372" name="Shape 37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8" type="#_x0000_t202" style="position:absolute;margin-left:356.35000000000002pt;margin-top:7.4000000000000004pt;width:183.09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374" name="Shape 3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4525645</wp:posOffset>
              </wp:positionH>
              <wp:positionV relativeFrom="page">
                <wp:posOffset>93980</wp:posOffset>
              </wp:positionV>
              <wp:extent cx="2325370" cy="106680"/>
              <wp:wrapNone/>
              <wp:docPr id="377" name="Shape 37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3" type="#_x0000_t202" style="position:absolute;margin-left:356.35000000000002pt;margin-top:7.4000000000000004pt;width:183.09999999999999pt;height:8.4000000000000004pt;z-index:-1887437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4517390</wp:posOffset>
              </wp:positionH>
              <wp:positionV relativeFrom="page">
                <wp:posOffset>692785</wp:posOffset>
              </wp:positionV>
              <wp:extent cx="2325370" cy="106680"/>
              <wp:wrapNone/>
              <wp:docPr id="382" name="Shape 38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8" type="#_x0000_t202" style="position:absolute;margin-left:355.69999999999999pt;margin-top:54.550000000000004pt;width:183.09999999999999pt;height:8.4000000000000004pt;z-index:-18874377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837565</wp:posOffset>
              </wp:positionV>
              <wp:extent cx="6163310" cy="0"/>
              <wp:wrapNone/>
              <wp:docPr id="384" name="Shape 3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65.95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4517390</wp:posOffset>
              </wp:positionH>
              <wp:positionV relativeFrom="page">
                <wp:posOffset>692785</wp:posOffset>
              </wp:positionV>
              <wp:extent cx="2325370" cy="106680"/>
              <wp:wrapNone/>
              <wp:docPr id="391" name="Shape 39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7" type="#_x0000_t202" style="position:absolute;margin-left:355.69999999999999pt;margin-top:54.550000000000004pt;width:183.09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837565</wp:posOffset>
              </wp:positionV>
              <wp:extent cx="6163310" cy="0"/>
              <wp:wrapNone/>
              <wp:docPr id="393" name="Shape 3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65.950000000000003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4512945</wp:posOffset>
              </wp:positionH>
              <wp:positionV relativeFrom="page">
                <wp:posOffset>643255</wp:posOffset>
              </wp:positionV>
              <wp:extent cx="2325370" cy="106680"/>
              <wp:wrapNone/>
              <wp:docPr id="400" name="Shape 40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6" type="#_x0000_t202" style="position:absolute;margin-left:355.35000000000002pt;margin-top:50.649999999999999pt;width:183.09999999999999pt;height:8.4000000000000004pt;z-index:-18874376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629920</wp:posOffset>
              </wp:positionH>
              <wp:positionV relativeFrom="page">
                <wp:posOffset>787400</wp:posOffset>
              </wp:positionV>
              <wp:extent cx="6233160" cy="0"/>
              <wp:wrapNone/>
              <wp:docPr id="402" name="Shape 402"/>
              <a:graphic xmlns:a="http://schemas.openxmlformats.org/drawingml/2006/main">
                <a:graphicData uri="http://schemas.microsoft.com/office/word/2010/wordprocessingShape">
                  <wps:wsp>
                    <wps:cNvCnPr/>
                    <wps:spPr>
                      <a:xfrm>
                        <a:ext cx="6233160" cy="0"/>
                      </a:xfrm>
                      <a:prstGeom prst="straightConnector1"/>
                      <a:ln w="12700">
                        <a:solidFill/>
                      </a:ln>
                    </wps:spPr>
                    <wps:bodyPr/>
                  </wps:wsp>
                </a:graphicData>
              </a:graphic>
            </wp:anchor>
          </w:drawing>
        </mc:Choice>
        <mc:Fallback>
          <w:pict>
            <v:shape o:spt="32" o:oned="true" path="m,l21600,21600e" style="position:absolute;margin-left:49.600000000000001pt;margin-top:62.pt;width:490.8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4489450</wp:posOffset>
              </wp:positionH>
              <wp:positionV relativeFrom="page">
                <wp:posOffset>452120</wp:posOffset>
              </wp:positionV>
              <wp:extent cx="2325370" cy="106680"/>
              <wp:wrapNone/>
              <wp:docPr id="411" name="Shape 41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7" type="#_x0000_t202" style="position:absolute;margin-left:353.5pt;margin-top:35.600000000000001pt;width:183.09999999999999pt;height:8.4000000000000004pt;z-index:-18874375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596265</wp:posOffset>
              </wp:positionV>
              <wp:extent cx="6163310" cy="0"/>
              <wp:wrapNone/>
              <wp:docPr id="413" name="Shape 4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46.95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4489450</wp:posOffset>
              </wp:positionH>
              <wp:positionV relativeFrom="page">
                <wp:posOffset>452120</wp:posOffset>
              </wp:positionV>
              <wp:extent cx="2325370" cy="106680"/>
              <wp:wrapNone/>
              <wp:docPr id="418" name="Shape 41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4" type="#_x0000_t202" style="position:absolute;margin-left:353.5pt;margin-top:35.600000000000001pt;width:183.09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596265</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46.950000000000003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4511040</wp:posOffset>
              </wp:positionH>
              <wp:positionV relativeFrom="page">
                <wp:posOffset>452120</wp:posOffset>
              </wp:positionV>
              <wp:extent cx="2325370" cy="106680"/>
              <wp:wrapNone/>
              <wp:docPr id="425" name="Shape 42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1" type="#_x0000_t202" style="position:absolute;margin-left:355.19999999999999pt;margin-top:35.600000000000001pt;width:183.09999999999999pt;height:8.4000000000000004pt;z-index:-18874374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596265</wp:posOffset>
              </wp:positionV>
              <wp:extent cx="6163310" cy="0"/>
              <wp:wrapNone/>
              <wp:docPr id="427" name="Shape 4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46.950000000000003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4488180</wp:posOffset>
              </wp:positionH>
              <wp:positionV relativeFrom="page">
                <wp:posOffset>452120</wp:posOffset>
              </wp:positionV>
              <wp:extent cx="2325370" cy="106680"/>
              <wp:wrapNone/>
              <wp:docPr id="432" name="Shape 43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8" type="#_x0000_t202" style="position:absolute;margin-left:353.40000000000003pt;margin-top:35.600000000000001pt;width:183.09999999999999pt;height:8.4000000000000004pt;z-index:-18874373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434" name="Shape 4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4488180</wp:posOffset>
              </wp:positionH>
              <wp:positionV relativeFrom="page">
                <wp:posOffset>452120</wp:posOffset>
              </wp:positionV>
              <wp:extent cx="2325370" cy="106680"/>
              <wp:wrapNone/>
              <wp:docPr id="439" name="Shape 43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5" type="#_x0000_t202" style="position:absolute;margin-left:353.40000000000003pt;margin-top:35.600000000000001pt;width:183.09999999999999pt;height:8.4000000000000004pt;z-index:-18874373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441" name="Shape 4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4503420</wp:posOffset>
              </wp:positionH>
              <wp:positionV relativeFrom="page">
                <wp:posOffset>452120</wp:posOffset>
              </wp:positionV>
              <wp:extent cx="2325370" cy="106680"/>
              <wp:wrapNone/>
              <wp:docPr id="446" name="Shape 44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2" type="#_x0000_t202" style="position:absolute;margin-left:354.60000000000002pt;margin-top:35.600000000000001pt;width:183.09999999999999pt;height:8.4000000000000004pt;z-index:-18874372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596265</wp:posOffset>
              </wp:positionV>
              <wp:extent cx="6163310" cy="0"/>
              <wp:wrapNone/>
              <wp:docPr id="448" name="Shape 4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6.950000000000003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4535170</wp:posOffset>
              </wp:positionH>
              <wp:positionV relativeFrom="page">
                <wp:posOffset>452120</wp:posOffset>
              </wp:positionV>
              <wp:extent cx="2325370" cy="106680"/>
              <wp:wrapNone/>
              <wp:docPr id="453" name="Shape 45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9" type="#_x0000_t202" style="position:absolute;margin-left:357.10000000000002pt;margin-top:35.600000000000001pt;width:183.09999999999999pt;height:8.4000000000000004pt;z-index:-18874372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596265</wp:posOffset>
              </wp:positionV>
              <wp:extent cx="6163310" cy="0"/>
              <wp:wrapNone/>
              <wp:docPr id="455" name="Shape 4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46.950000000000003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4535170</wp:posOffset>
              </wp:positionH>
              <wp:positionV relativeFrom="page">
                <wp:posOffset>452120</wp:posOffset>
              </wp:positionV>
              <wp:extent cx="2325370" cy="106680"/>
              <wp:wrapNone/>
              <wp:docPr id="460" name="Shape 46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6" type="#_x0000_t202" style="position:absolute;margin-left:357.10000000000002pt;margin-top:35.600000000000001pt;width:183.09999999999999pt;height:8.4000000000000004pt;z-index:-18874371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596265</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46.950000000000003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4523105</wp:posOffset>
              </wp:positionH>
              <wp:positionV relativeFrom="page">
                <wp:posOffset>452120</wp:posOffset>
              </wp:positionV>
              <wp:extent cx="2325370" cy="106680"/>
              <wp:wrapNone/>
              <wp:docPr id="467" name="Shape 46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3" type="#_x0000_t202" style="position:absolute;margin-left:356.15000000000003pt;margin-top:35.600000000000001pt;width:183.09999999999999pt;height:8.4000000000000004pt;z-index:-18874370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4503420</wp:posOffset>
              </wp:positionH>
              <wp:positionV relativeFrom="page">
                <wp:posOffset>452120</wp:posOffset>
              </wp:positionV>
              <wp:extent cx="2325370" cy="106680"/>
              <wp:wrapNone/>
              <wp:docPr id="474" name="Shape 47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0" type="#_x0000_t202" style="position:absolute;margin-left:354.60000000000002pt;margin-top:35.600000000000001pt;width:183.09999999999999pt;height:8.4000000000000004pt;z-index:-18874370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596265</wp:posOffset>
              </wp:positionV>
              <wp:extent cx="6163310" cy="0"/>
              <wp:wrapNone/>
              <wp:docPr id="476" name="Shape 4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6.95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4503420</wp:posOffset>
              </wp:positionH>
              <wp:positionV relativeFrom="page">
                <wp:posOffset>452120</wp:posOffset>
              </wp:positionV>
              <wp:extent cx="2325370" cy="106680"/>
              <wp:wrapNone/>
              <wp:docPr id="481" name="Shape 48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7" type="#_x0000_t202" style="position:absolute;margin-left:354.60000000000002pt;margin-top:35.600000000000001pt;width:183.09999999999999pt;height:8.4000000000000004pt;z-index:-18874369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596265</wp:posOffset>
              </wp:positionV>
              <wp:extent cx="6163310" cy="0"/>
              <wp:wrapNone/>
              <wp:docPr id="483" name="Shape 4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6.95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4488180</wp:posOffset>
              </wp:positionH>
              <wp:positionV relativeFrom="page">
                <wp:posOffset>452120</wp:posOffset>
              </wp:positionV>
              <wp:extent cx="2325370" cy="106680"/>
              <wp:wrapNone/>
              <wp:docPr id="488" name="Shape 48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4" type="#_x0000_t202" style="position:absolute;margin-left:353.40000000000003pt;margin-top:35.600000000000001pt;width:183.09999999999999pt;height:8.4000000000000004pt;z-index:-18874369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490" name="Shape 4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4503420</wp:posOffset>
              </wp:positionH>
              <wp:positionV relativeFrom="page">
                <wp:posOffset>452120</wp:posOffset>
              </wp:positionV>
              <wp:extent cx="2325370" cy="106680"/>
              <wp:wrapNone/>
              <wp:docPr id="495" name="Shape 49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1" type="#_x0000_t202" style="position:absolute;margin-left:354.60000000000002pt;margin-top:35.600000000000001pt;width:183.09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596265</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6.950000000000003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4503420</wp:posOffset>
              </wp:positionH>
              <wp:positionV relativeFrom="page">
                <wp:posOffset>452120</wp:posOffset>
              </wp:positionV>
              <wp:extent cx="2325370" cy="106680"/>
              <wp:wrapNone/>
              <wp:docPr id="502" name="Shape 50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8" type="#_x0000_t202" style="position:absolute;margin-left:354.60000000000002pt;margin-top:35.600000000000001pt;width:183.09999999999999pt;height:8.4000000000000004pt;z-index:-18874367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596265</wp:posOffset>
              </wp:positionV>
              <wp:extent cx="6163310" cy="0"/>
              <wp:wrapNone/>
              <wp:docPr id="504" name="Shape 5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6.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4483100</wp:posOffset>
              </wp:positionH>
              <wp:positionV relativeFrom="page">
                <wp:posOffset>575310</wp:posOffset>
              </wp:positionV>
              <wp:extent cx="2325370" cy="106680"/>
              <wp:wrapNone/>
              <wp:docPr id="36" name="Shape 3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2" type="#_x0000_t202" style="position:absolute;margin-left:353.pt;margin-top:45.300000000000004pt;width:183.0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720090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6.70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4523105</wp:posOffset>
              </wp:positionH>
              <wp:positionV relativeFrom="page">
                <wp:posOffset>452120</wp:posOffset>
              </wp:positionV>
              <wp:extent cx="2325370" cy="106680"/>
              <wp:wrapNone/>
              <wp:docPr id="509" name="Shape 50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5" type="#_x0000_t202" style="position:absolute;margin-left:356.15000000000003pt;margin-top:35.600000000000001pt;width:183.09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4488180</wp:posOffset>
              </wp:positionH>
              <wp:positionV relativeFrom="page">
                <wp:posOffset>452120</wp:posOffset>
              </wp:positionV>
              <wp:extent cx="2325370" cy="106680"/>
              <wp:wrapNone/>
              <wp:docPr id="516" name="Shape 51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2" type="#_x0000_t202" style="position:absolute;margin-left:353.40000000000003pt;margin-top:35.600000000000001pt;width:183.09999999999999pt;height:8.4000000000000004pt;z-index:-188743666;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518" name="Shape 5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4488180</wp:posOffset>
              </wp:positionH>
              <wp:positionV relativeFrom="page">
                <wp:posOffset>452120</wp:posOffset>
              </wp:positionV>
              <wp:extent cx="2325370" cy="106680"/>
              <wp:wrapNone/>
              <wp:docPr id="523" name="Shape 52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9" type="#_x0000_t202" style="position:absolute;margin-left:353.40000000000003pt;margin-top:35.600000000000001pt;width:183.09999999999999pt;height:8.4000000000000004pt;z-index:-188743660;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525" name="Shape 5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4523105</wp:posOffset>
              </wp:positionH>
              <wp:positionV relativeFrom="page">
                <wp:posOffset>452120</wp:posOffset>
              </wp:positionV>
              <wp:extent cx="2325370" cy="106680"/>
              <wp:wrapNone/>
              <wp:docPr id="530" name="Shape 53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6" type="#_x0000_t202" style="position:absolute;margin-left:356.15000000000003pt;margin-top:35.600000000000001pt;width:183.09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532" name="Shape 5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4523105</wp:posOffset>
              </wp:positionH>
              <wp:positionV relativeFrom="page">
                <wp:posOffset>452120</wp:posOffset>
              </wp:positionV>
              <wp:extent cx="2325370" cy="106680"/>
              <wp:wrapNone/>
              <wp:docPr id="537" name="Shape 53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3" type="#_x0000_t202" style="position:absolute;margin-left:356.15000000000003pt;margin-top:35.600000000000001pt;width:183.09999999999999pt;height:8.4000000000000004pt;z-index:-18874364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539" name="Shape 5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4525645</wp:posOffset>
              </wp:positionH>
              <wp:positionV relativeFrom="page">
                <wp:posOffset>93980</wp:posOffset>
              </wp:positionV>
              <wp:extent cx="2325370" cy="106680"/>
              <wp:wrapNone/>
              <wp:docPr id="544" name="Shape 5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0" type="#_x0000_t202" style="position:absolute;margin-left:356.35000000000002pt;margin-top:7.4000000000000004pt;width:183.09999999999999pt;height:8.4000000000000004pt;z-index:-1887436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4525645</wp:posOffset>
              </wp:positionH>
              <wp:positionV relativeFrom="page">
                <wp:posOffset>93980</wp:posOffset>
              </wp:positionV>
              <wp:extent cx="2325370" cy="106680"/>
              <wp:wrapNone/>
              <wp:docPr id="549" name="Shape 54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5" type="#_x0000_t202" style="position:absolute;margin-left:356.35000000000002pt;margin-top:7.4000000000000004pt;width:183.09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551" name="Shape 5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4488180</wp:posOffset>
              </wp:positionH>
              <wp:positionV relativeFrom="page">
                <wp:posOffset>452120</wp:posOffset>
              </wp:positionV>
              <wp:extent cx="2325370" cy="106680"/>
              <wp:wrapNone/>
              <wp:docPr id="555" name="Shape 555"/>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1" type="#_x0000_t202" style="position:absolute;margin-left:353.40000000000003pt;margin-top:35.600000000000001pt;width:183.09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557" name="Shape 5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4474845</wp:posOffset>
              </wp:positionH>
              <wp:positionV relativeFrom="page">
                <wp:posOffset>540385</wp:posOffset>
              </wp:positionV>
              <wp:extent cx="2325370" cy="106680"/>
              <wp:wrapNone/>
              <wp:docPr id="562" name="Shape 56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8" type="#_x0000_t202" style="position:absolute;margin-left:352.35000000000002pt;margin-top:42.550000000000004pt;width:183.09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4488180</wp:posOffset>
              </wp:positionH>
              <wp:positionV relativeFrom="page">
                <wp:posOffset>452120</wp:posOffset>
              </wp:positionV>
              <wp:extent cx="2325370" cy="106680"/>
              <wp:wrapNone/>
              <wp:docPr id="566" name="Shape 56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2" type="#_x0000_t202" style="position:absolute;margin-left:353.40000000000003pt;margin-top:35.600000000000001pt;width:183.09999999999999pt;height:8.4000000000000004pt;z-index:-188743624;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568" name="Shape 5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4498340</wp:posOffset>
              </wp:positionH>
              <wp:positionV relativeFrom="page">
                <wp:posOffset>561340</wp:posOffset>
              </wp:positionV>
              <wp:extent cx="2325370" cy="106680"/>
              <wp:wrapNone/>
              <wp:docPr id="43" name="Shape 4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9" type="#_x0000_t202" style="position:absolute;margin-left:354.19999999999999pt;margin-top:44.200000000000003pt;width:183.0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4488180</wp:posOffset>
              </wp:positionH>
              <wp:positionV relativeFrom="page">
                <wp:posOffset>452120</wp:posOffset>
              </wp:positionV>
              <wp:extent cx="2325370" cy="106680"/>
              <wp:wrapNone/>
              <wp:docPr id="573" name="Shape 57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9" type="#_x0000_t202" style="position:absolute;margin-left:353.40000000000003pt;margin-top:35.600000000000001pt;width:183.09999999999999pt;height:8.4000000000000004pt;z-index:-188743618;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4523105</wp:posOffset>
              </wp:positionH>
              <wp:positionV relativeFrom="page">
                <wp:posOffset>452120</wp:posOffset>
              </wp:positionV>
              <wp:extent cx="2325370" cy="106680"/>
              <wp:wrapNone/>
              <wp:docPr id="580" name="Shape 58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6" type="#_x0000_t202" style="position:absolute;margin-left:356.15000000000003pt;margin-top:35.600000000000001pt;width:183.09999999999999pt;height:8.4000000000000004pt;z-index:-188743612;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4525645</wp:posOffset>
              </wp:positionH>
              <wp:positionV relativeFrom="page">
                <wp:posOffset>93980</wp:posOffset>
              </wp:positionV>
              <wp:extent cx="2325370" cy="106680"/>
              <wp:wrapNone/>
              <wp:docPr id="609" name="Shape 60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5" type="#_x0000_t202" style="position:absolute;margin-left:356.35000000000002pt;margin-top:7.4000000000000004pt;width:183.09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4525645</wp:posOffset>
              </wp:positionH>
              <wp:positionV relativeFrom="page">
                <wp:posOffset>93980</wp:posOffset>
              </wp:positionV>
              <wp:extent cx="2325370" cy="106680"/>
              <wp:wrapNone/>
              <wp:docPr id="614" name="Shape 61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0" type="#_x0000_t202" style="position:absolute;margin-left:356.35000000000002pt;margin-top:7.4000000000000004pt;width:183.09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16" name="Shape 6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4523105</wp:posOffset>
              </wp:positionH>
              <wp:positionV relativeFrom="page">
                <wp:posOffset>452120</wp:posOffset>
              </wp:positionV>
              <wp:extent cx="2325370" cy="106680"/>
              <wp:wrapNone/>
              <wp:docPr id="619" name="Shape 61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5" type="#_x0000_t202" style="position:absolute;margin-left:356.15000000000003pt;margin-top:35.600000000000001pt;width:183.09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4523105</wp:posOffset>
              </wp:positionH>
              <wp:positionV relativeFrom="page">
                <wp:posOffset>452120</wp:posOffset>
              </wp:positionV>
              <wp:extent cx="2325370" cy="106680"/>
              <wp:wrapNone/>
              <wp:docPr id="626" name="Shape 62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2" type="#_x0000_t202" style="position:absolute;margin-left:356.15000000000003pt;margin-top:35.600000000000001pt;width:183.0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596265</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46.950000000000003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4525645</wp:posOffset>
              </wp:positionH>
              <wp:positionV relativeFrom="page">
                <wp:posOffset>93980</wp:posOffset>
              </wp:positionV>
              <wp:extent cx="2325370" cy="106680"/>
              <wp:wrapNone/>
              <wp:docPr id="633" name="Shape 63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9" type="#_x0000_t202" style="position:absolute;margin-left:356.35000000000002pt;margin-top:7.4000000000000004pt;width:183.09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4525645</wp:posOffset>
              </wp:positionH>
              <wp:positionV relativeFrom="page">
                <wp:posOffset>93980</wp:posOffset>
              </wp:positionV>
              <wp:extent cx="2325370" cy="106680"/>
              <wp:wrapNone/>
              <wp:docPr id="638" name="Shape 638"/>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4" type="#_x0000_t202" style="position:absolute;margin-left:356.35000000000002pt;margin-top:7.4000000000000004pt;width:183.09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4488180</wp:posOffset>
              </wp:positionH>
              <wp:positionV relativeFrom="page">
                <wp:posOffset>452120</wp:posOffset>
              </wp:positionV>
              <wp:extent cx="2325370" cy="106680"/>
              <wp:wrapNone/>
              <wp:docPr id="644" name="Shape 64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53.40000000000003pt;margin-top:35.600000000000001pt;width:183.09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4488180</wp:posOffset>
              </wp:positionH>
              <wp:positionV relativeFrom="page">
                <wp:posOffset>452120</wp:posOffset>
              </wp:positionV>
              <wp:extent cx="2325370" cy="106680"/>
              <wp:wrapNone/>
              <wp:docPr id="651" name="Shape 65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7" type="#_x0000_t202" style="position:absolute;margin-left:353.40000000000003pt;margin-top:35.600000000000001pt;width:183.0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4498340</wp:posOffset>
              </wp:positionH>
              <wp:positionV relativeFrom="page">
                <wp:posOffset>561340</wp:posOffset>
              </wp:positionV>
              <wp:extent cx="2325370" cy="106680"/>
              <wp:wrapNone/>
              <wp:docPr id="50" name="Shape 5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6" type="#_x0000_t202" style="position:absolute;margin-left:354.19999999999999pt;margin-top:44.200000000000003pt;width:183.0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720090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6.700000000000003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4525645</wp:posOffset>
              </wp:positionH>
              <wp:positionV relativeFrom="page">
                <wp:posOffset>93980</wp:posOffset>
              </wp:positionV>
              <wp:extent cx="2325370" cy="106680"/>
              <wp:wrapNone/>
              <wp:docPr id="659" name="Shape 65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85" type="#_x0000_t202" style="position:absolute;margin-left:356.35000000000002pt;margin-top:7.4000000000000004pt;width:183.09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4525645</wp:posOffset>
              </wp:positionH>
              <wp:positionV relativeFrom="page">
                <wp:posOffset>93980</wp:posOffset>
              </wp:positionV>
              <wp:extent cx="2325370" cy="106680"/>
              <wp:wrapNone/>
              <wp:docPr id="664" name="Shape 66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90" type="#_x0000_t202" style="position:absolute;margin-left:356.35000000000002pt;margin-top:7.4000000000000004pt;width:183.09999999999999pt;height:8.4000000000000004pt;z-index:-1887435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66" name="Shape 6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4509770</wp:posOffset>
              </wp:positionH>
              <wp:positionV relativeFrom="page">
                <wp:posOffset>556895</wp:posOffset>
              </wp:positionV>
              <wp:extent cx="2325370" cy="106680"/>
              <wp:wrapNone/>
              <wp:docPr id="671" name="Shape 67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7" type="#_x0000_t202" style="position:absolute;margin-left:355.10000000000002pt;margin-top:43.850000000000001pt;width:183.09999999999999pt;height:8.4000000000000004pt;z-index:-18874353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4509770</wp:posOffset>
              </wp:positionH>
              <wp:positionV relativeFrom="page">
                <wp:posOffset>556895</wp:posOffset>
              </wp:positionV>
              <wp:extent cx="2325370" cy="106680"/>
              <wp:wrapNone/>
              <wp:docPr id="677" name="Shape 67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3" type="#_x0000_t202" style="position:absolute;margin-left:355.10000000000002pt;margin-top:43.850000000000001pt;width:183.09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4488180</wp:posOffset>
              </wp:positionH>
              <wp:positionV relativeFrom="page">
                <wp:posOffset>452120</wp:posOffset>
              </wp:positionV>
              <wp:extent cx="2325370" cy="106680"/>
              <wp:wrapNone/>
              <wp:docPr id="683" name="Shape 683"/>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9" type="#_x0000_t202" style="position:absolute;margin-left:353.40000000000003pt;margin-top:35.600000000000001pt;width:183.09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685" name="Shape 6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4509770</wp:posOffset>
              </wp:positionH>
              <wp:positionV relativeFrom="page">
                <wp:posOffset>556895</wp:posOffset>
              </wp:positionV>
              <wp:extent cx="2325370" cy="106680"/>
              <wp:wrapNone/>
              <wp:docPr id="690" name="Shape 690"/>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6" type="#_x0000_t202" style="position:absolute;margin-left:355.10000000000002pt;margin-top:43.850000000000001pt;width:183.09999999999999pt;height:8.4000000000000004pt;z-index:-18874352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4525645</wp:posOffset>
              </wp:positionH>
              <wp:positionV relativeFrom="page">
                <wp:posOffset>93980</wp:posOffset>
              </wp:positionV>
              <wp:extent cx="2325370" cy="106680"/>
              <wp:wrapNone/>
              <wp:docPr id="696" name="Shape 696"/>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2" type="#_x0000_t202" style="position:absolute;margin-left:356.35000000000002pt;margin-top:7.4000000000000004pt;width:183.0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4488180</wp:posOffset>
              </wp:positionH>
              <wp:positionV relativeFrom="page">
                <wp:posOffset>452120</wp:posOffset>
              </wp:positionV>
              <wp:extent cx="2325370" cy="106680"/>
              <wp:wrapNone/>
              <wp:docPr id="701" name="Shape 701"/>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53.40000000000003pt;margin-top:35.600000000000001pt;width:183.09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同方国芯电子股份有限公司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596265</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6.95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4525645</wp:posOffset>
              </wp:positionH>
              <wp:positionV relativeFrom="page">
                <wp:posOffset>93980</wp:posOffset>
              </wp:positionV>
              <wp:extent cx="2325370" cy="106680"/>
              <wp:wrapNone/>
              <wp:docPr id="709" name="Shape 709"/>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5" type="#_x0000_t202" style="position:absolute;margin-left:356.35000000000002pt;margin-top:7.4000000000000004pt;width:183.09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711" name="Shape 7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4525645</wp:posOffset>
              </wp:positionH>
              <wp:positionV relativeFrom="page">
                <wp:posOffset>93980</wp:posOffset>
              </wp:positionV>
              <wp:extent cx="2325370" cy="106680"/>
              <wp:wrapNone/>
              <wp:docPr id="714" name="Shape 714"/>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0" type="#_x0000_t202" style="position:absolute;margin-left:356.35000000000002pt;margin-top:7.4000000000000004pt;width:183.09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同方国芯电子股份有限公司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238125</wp:posOffset>
              </wp:positionV>
              <wp:extent cx="6163310" cy="0"/>
              <wp:wrapNone/>
              <wp:docPr id="716" name="Shape 7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18.7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4"/>
      <w:szCs w:val="34"/>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6">
    <w:name w:val="标题 #5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67">
    <w:name w:val="页眉或页脚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正文文本 (5)_"/>
    <w:basedOn w:val="DefaultParagraphFont"/>
    <w:link w:val="Style72"/>
    <w:rPr>
      <w:rFonts w:ascii="SimSun" w:eastAsia="SimSun" w:hAnsi="SimSun" w:cs="SimSun"/>
      <w:b/>
      <w:bCs/>
      <w:i w:val="0"/>
      <w:iCs w:val="0"/>
      <w:smallCaps w:val="0"/>
      <w:strike w:val="0"/>
      <w:sz w:val="17"/>
      <w:szCs w:val="17"/>
      <w:u w:val="none"/>
      <w:shd w:val="clear" w:color="auto" w:fill="auto"/>
    </w:rPr>
  </w:style>
  <w:style w:type="character" w:customStyle="1" w:styleId="CharStyle75">
    <w:name w:val="正文文本 (6)_"/>
    <w:basedOn w:val="DefaultParagraphFont"/>
    <w:link w:val="Style74"/>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89">
    <w:name w:val="其他 (3)_"/>
    <w:basedOn w:val="DefaultParagraphFont"/>
    <w:link w:val="Style88"/>
    <w:rPr>
      <w:rFonts w:ascii="SimSun" w:eastAsia="SimSun" w:hAnsi="SimSun" w:cs="SimSun"/>
      <w:b w:val="0"/>
      <w:bCs w:val="0"/>
      <w:i w:val="0"/>
      <w:iCs w:val="0"/>
      <w:smallCaps w:val="0"/>
      <w:strike w:val="0"/>
      <w:sz w:val="16"/>
      <w:szCs w:val="16"/>
      <w:u w:val="none"/>
      <w:shd w:val="clear" w:color="auto" w:fill="auto"/>
    </w:rPr>
  </w:style>
  <w:style w:type="character" w:customStyle="1" w:styleId="CharStyle101">
    <w:name w:val="图片标题_"/>
    <w:basedOn w:val="DefaultParagraphFont"/>
    <w:link w:val="Style10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2"/>
    <w:basedOn w:val="Normal"/>
    <w:link w:val="CharStyle12"/>
    <w:pPr>
      <w:widowControl w:val="0"/>
      <w:shd w:val="clear" w:color="auto" w:fill="auto"/>
      <w:spacing w:after="51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标题 #1"/>
    <w:basedOn w:val="Normal"/>
    <w:link w:val="CharStyle19"/>
    <w:pPr>
      <w:widowControl w:val="0"/>
      <w:shd w:val="clear" w:color="auto" w:fill="auto"/>
      <w:spacing w:after="1520"/>
      <w:jc w:val="center"/>
      <w:outlineLvl w:val="0"/>
    </w:pPr>
    <w:rPr>
      <w:rFonts w:ascii="SimSun" w:eastAsia="SimSun" w:hAnsi="SimSun" w:cs="SimSun"/>
      <w:b/>
      <w:bCs/>
      <w:i w:val="0"/>
      <w:iCs w:val="0"/>
      <w:smallCaps w:val="0"/>
      <w:strike w:val="0"/>
      <w:sz w:val="34"/>
      <w:szCs w:val="34"/>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3"/>
    <w:basedOn w:val="Normal"/>
    <w:link w:val="CharStyle24"/>
    <w:pPr>
      <w:widowControl w:val="0"/>
      <w:shd w:val="clear" w:color="auto" w:fill="auto"/>
      <w:spacing w:after="29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35">
    <w:name w:val="正文文本"/>
    <w:basedOn w:val="Normal"/>
    <w:link w:val="CharStyle36"/>
    <w:pPr>
      <w:widowControl w:val="0"/>
      <w:shd w:val="clear" w:color="auto" w:fill="auto"/>
      <w:spacing w:after="12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4">
    <w:name w:val="标题 #4"/>
    <w:basedOn w:val="Normal"/>
    <w:link w:val="CharStyle45"/>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标题 #5"/>
    <w:basedOn w:val="Normal"/>
    <w:link w:val="CharStyle56"/>
    <w:pPr>
      <w:widowControl w:val="0"/>
      <w:shd w:val="clear" w:color="auto" w:fill="auto"/>
      <w:spacing w:after="340" w:line="307" w:lineRule="exact"/>
      <w:ind w:firstLine="34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66">
    <w:name w:val="页眉或页脚"/>
    <w:basedOn w:val="Normal"/>
    <w:link w:val="CharStyle6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正文文本 (5)"/>
    <w:basedOn w:val="Normal"/>
    <w:link w:val="CharStyle73"/>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74">
    <w:name w:val="正文文本 (6)"/>
    <w:basedOn w:val="Normal"/>
    <w:link w:val="CharStyle75"/>
    <w:pPr>
      <w:widowControl w:val="0"/>
      <w:shd w:val="clear" w:color="auto" w:fill="auto"/>
      <w:spacing w:after="12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88">
    <w:name w:val="其他 (3)"/>
    <w:basedOn w:val="Normal"/>
    <w:link w:val="CharStyle8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00">
    <w:name w:val="图片标题"/>
    <w:basedOn w:val="Normal"/>
    <w:link w:val="CharStyle101"/>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header" Target="header8.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footer" Target="footer11.xml"/><Relationship Id="rId27" Type="http://schemas.openxmlformats.org/officeDocument/2006/relationships/header" Target="header10.xml"/><Relationship Id="rId28" Type="http://schemas.openxmlformats.org/officeDocument/2006/relationships/footer" Target="footer12.xml"/><Relationship Id="rId29" Type="http://schemas.openxmlformats.org/officeDocument/2006/relationships/header" Target="header11.xml"/><Relationship Id="rId30" Type="http://schemas.openxmlformats.org/officeDocument/2006/relationships/footer" Target="footer13.xml"/><Relationship Id="rId31" Type="http://schemas.openxmlformats.org/officeDocument/2006/relationships/header" Target="header12.xml"/><Relationship Id="rId32" Type="http://schemas.openxmlformats.org/officeDocument/2006/relationships/footer" Target="footer14.xml"/><Relationship Id="rId33" Type="http://schemas.openxmlformats.org/officeDocument/2006/relationships/header" Target="header13.xml"/><Relationship Id="rId34" Type="http://schemas.openxmlformats.org/officeDocument/2006/relationships/footer" Target="footer15.xml"/><Relationship Id="rId35" Type="http://schemas.openxmlformats.org/officeDocument/2006/relationships/header" Target="header14.xml"/><Relationship Id="rId36" Type="http://schemas.openxmlformats.org/officeDocument/2006/relationships/footer" Target="footer16.xml"/><Relationship Id="rId37" Type="http://schemas.openxmlformats.org/officeDocument/2006/relationships/header" Target="header15.xml"/><Relationship Id="rId38" Type="http://schemas.openxmlformats.org/officeDocument/2006/relationships/footer" Target="footer17.xml"/><Relationship Id="rId39" Type="http://schemas.openxmlformats.org/officeDocument/2006/relationships/header" Target="header16.xml"/><Relationship Id="rId40" Type="http://schemas.openxmlformats.org/officeDocument/2006/relationships/footer" Target="footer18.xml"/><Relationship Id="rId41" Type="http://schemas.openxmlformats.org/officeDocument/2006/relationships/header" Target="header17.xml"/><Relationship Id="rId42" Type="http://schemas.openxmlformats.org/officeDocument/2006/relationships/footer" Target="footer19.xml"/><Relationship Id="rId43" Type="http://schemas.openxmlformats.org/officeDocument/2006/relationships/header" Target="header18.xml"/><Relationship Id="rId44" Type="http://schemas.openxmlformats.org/officeDocument/2006/relationships/footer" Target="footer20.xml"/><Relationship Id="rId45" Type="http://schemas.openxmlformats.org/officeDocument/2006/relationships/header" Target="header19.xml"/><Relationship Id="rId46" Type="http://schemas.openxmlformats.org/officeDocument/2006/relationships/footer" Target="footer21.xml"/><Relationship Id="rId47" Type="http://schemas.openxmlformats.org/officeDocument/2006/relationships/image" Target="media/image2.jpeg"/><Relationship Id="rId48" Type="http://schemas.openxmlformats.org/officeDocument/2006/relationships/image" Target="media/image2.jpeg" TargetMode="External"/><Relationship Id="rId49" Type="http://schemas.openxmlformats.org/officeDocument/2006/relationships/header" Target="header20.xml"/><Relationship Id="rId50" Type="http://schemas.openxmlformats.org/officeDocument/2006/relationships/footer" Target="footer22.xml"/><Relationship Id="rId51" Type="http://schemas.openxmlformats.org/officeDocument/2006/relationships/header" Target="header21.xml"/><Relationship Id="rId52" Type="http://schemas.openxmlformats.org/officeDocument/2006/relationships/footer" Target="footer23.xml"/><Relationship Id="rId53" Type="http://schemas.openxmlformats.org/officeDocument/2006/relationships/header" Target="header22.xml"/><Relationship Id="rId54" Type="http://schemas.openxmlformats.org/officeDocument/2006/relationships/footer" Target="footer24.xml"/><Relationship Id="rId55" Type="http://schemas.openxmlformats.org/officeDocument/2006/relationships/header" Target="header23.xml"/><Relationship Id="rId56" Type="http://schemas.openxmlformats.org/officeDocument/2006/relationships/footer" Target="footer25.xml"/><Relationship Id="rId57" Type="http://schemas.openxmlformats.org/officeDocument/2006/relationships/image" Target="media/image3.jpeg"/><Relationship Id="rId58" Type="http://schemas.openxmlformats.org/officeDocument/2006/relationships/image" Target="media/image3.jpeg" TargetMode="External"/><Relationship Id="rId59" Type="http://schemas.openxmlformats.org/officeDocument/2006/relationships/header" Target="header24.xml"/><Relationship Id="rId60" Type="http://schemas.openxmlformats.org/officeDocument/2006/relationships/footer" Target="footer26.xml"/><Relationship Id="rId61" Type="http://schemas.openxmlformats.org/officeDocument/2006/relationships/header" Target="header25.xml"/><Relationship Id="rId62" Type="http://schemas.openxmlformats.org/officeDocument/2006/relationships/footer" Target="footer27.xml"/><Relationship Id="rId63" Type="http://schemas.openxmlformats.org/officeDocument/2006/relationships/image" Target="media/image4.jpeg"/><Relationship Id="rId64" Type="http://schemas.openxmlformats.org/officeDocument/2006/relationships/image" Target="media/image4.jpeg" TargetMode="External"/><Relationship Id="rId65" Type="http://schemas.openxmlformats.org/officeDocument/2006/relationships/header" Target="header26.xml"/><Relationship Id="rId66" Type="http://schemas.openxmlformats.org/officeDocument/2006/relationships/footer" Target="footer28.xml"/><Relationship Id="rId67" Type="http://schemas.openxmlformats.org/officeDocument/2006/relationships/header" Target="header27.xml"/><Relationship Id="rId68" Type="http://schemas.openxmlformats.org/officeDocument/2006/relationships/footer" Target="footer29.xml"/><Relationship Id="rId69" Type="http://schemas.openxmlformats.org/officeDocument/2006/relationships/header" Target="header28.xml"/><Relationship Id="rId70" Type="http://schemas.openxmlformats.org/officeDocument/2006/relationships/footer" Target="footer30.xml"/><Relationship Id="rId71" Type="http://schemas.openxmlformats.org/officeDocument/2006/relationships/header" Target="header29.xml"/><Relationship Id="rId72" Type="http://schemas.openxmlformats.org/officeDocument/2006/relationships/footer" Target="footer31.xml"/><Relationship Id="rId73" Type="http://schemas.openxmlformats.org/officeDocument/2006/relationships/header" Target="header30.xml"/><Relationship Id="rId74" Type="http://schemas.openxmlformats.org/officeDocument/2006/relationships/footer" Target="footer32.xml"/><Relationship Id="rId75" Type="http://schemas.openxmlformats.org/officeDocument/2006/relationships/image" Target="media/image5.jpeg"/><Relationship Id="rId76" Type="http://schemas.openxmlformats.org/officeDocument/2006/relationships/image" Target="media/image5.jpeg" TargetMode="External"/><Relationship Id="rId77" Type="http://schemas.openxmlformats.org/officeDocument/2006/relationships/header" Target="header31.xml"/><Relationship Id="rId78" Type="http://schemas.openxmlformats.org/officeDocument/2006/relationships/footer" Target="footer33.xml"/><Relationship Id="rId79" Type="http://schemas.openxmlformats.org/officeDocument/2006/relationships/header" Target="header32.xml"/><Relationship Id="rId80" Type="http://schemas.openxmlformats.org/officeDocument/2006/relationships/footer" Target="footer34.xml"/><Relationship Id="rId81" Type="http://schemas.openxmlformats.org/officeDocument/2006/relationships/image" Target="media/image6.jpeg"/><Relationship Id="rId82" Type="http://schemas.openxmlformats.org/officeDocument/2006/relationships/image" Target="media/image6.jpeg" TargetMode="External"/><Relationship Id="rId83" Type="http://schemas.openxmlformats.org/officeDocument/2006/relationships/image" Target="media/image7.jpeg"/><Relationship Id="rId84" Type="http://schemas.openxmlformats.org/officeDocument/2006/relationships/image" Target="media/image7.jpeg" TargetMode="External"/><Relationship Id="rId85" Type="http://schemas.openxmlformats.org/officeDocument/2006/relationships/header" Target="header33.xml"/><Relationship Id="rId86" Type="http://schemas.openxmlformats.org/officeDocument/2006/relationships/footer" Target="footer35.xml"/><Relationship Id="rId87" Type="http://schemas.openxmlformats.org/officeDocument/2006/relationships/header" Target="header34.xml"/><Relationship Id="rId88" Type="http://schemas.openxmlformats.org/officeDocument/2006/relationships/footer" Target="footer36.xml"/><Relationship Id="rId89" Type="http://schemas.openxmlformats.org/officeDocument/2006/relationships/header" Target="header35.xml"/><Relationship Id="rId90" Type="http://schemas.openxmlformats.org/officeDocument/2006/relationships/footer" Target="footer37.xml"/><Relationship Id="rId91" Type="http://schemas.openxmlformats.org/officeDocument/2006/relationships/header" Target="header36.xml"/><Relationship Id="rId92" Type="http://schemas.openxmlformats.org/officeDocument/2006/relationships/footer" Target="footer38.xml"/><Relationship Id="rId93" Type="http://schemas.openxmlformats.org/officeDocument/2006/relationships/header" Target="header37.xml"/><Relationship Id="rId94" Type="http://schemas.openxmlformats.org/officeDocument/2006/relationships/footer" Target="footer39.xml"/><Relationship Id="rId95" Type="http://schemas.openxmlformats.org/officeDocument/2006/relationships/header" Target="header38.xml"/><Relationship Id="rId96" Type="http://schemas.openxmlformats.org/officeDocument/2006/relationships/footer" Target="footer40.xml"/><Relationship Id="rId97" Type="http://schemas.openxmlformats.org/officeDocument/2006/relationships/header" Target="header39.xml"/><Relationship Id="rId98" Type="http://schemas.openxmlformats.org/officeDocument/2006/relationships/footer" Target="footer41.xml"/><Relationship Id="rId99" Type="http://schemas.openxmlformats.org/officeDocument/2006/relationships/header" Target="header40.xml"/><Relationship Id="rId100" Type="http://schemas.openxmlformats.org/officeDocument/2006/relationships/footer" Target="footer42.xml"/><Relationship Id="rId101" Type="http://schemas.openxmlformats.org/officeDocument/2006/relationships/header" Target="header41.xml"/><Relationship Id="rId102" Type="http://schemas.openxmlformats.org/officeDocument/2006/relationships/footer" Target="footer43.xml"/><Relationship Id="rId103" Type="http://schemas.openxmlformats.org/officeDocument/2006/relationships/image" Target="media/image8.jpeg"/><Relationship Id="rId104" Type="http://schemas.openxmlformats.org/officeDocument/2006/relationships/image" Target="media/image8.jpeg" TargetMode="External"/><Relationship Id="rId105" Type="http://schemas.openxmlformats.org/officeDocument/2006/relationships/image" Target="media/image9.jpeg"/><Relationship Id="rId106" Type="http://schemas.openxmlformats.org/officeDocument/2006/relationships/image" Target="media/image9.jpeg" TargetMode="External"/><Relationship Id="rId107" Type="http://schemas.openxmlformats.org/officeDocument/2006/relationships/header" Target="header42.xml"/><Relationship Id="rId108" Type="http://schemas.openxmlformats.org/officeDocument/2006/relationships/footer" Target="footer44.xml"/><Relationship Id="rId109" Type="http://schemas.openxmlformats.org/officeDocument/2006/relationships/header" Target="header43.xml"/><Relationship Id="rId110" Type="http://schemas.openxmlformats.org/officeDocument/2006/relationships/footer" Target="footer45.xml"/><Relationship Id="rId111" Type="http://schemas.openxmlformats.org/officeDocument/2006/relationships/header" Target="header44.xml"/><Relationship Id="rId112" Type="http://schemas.openxmlformats.org/officeDocument/2006/relationships/footer" Target="footer46.xml"/><Relationship Id="rId113" Type="http://schemas.openxmlformats.org/officeDocument/2006/relationships/header" Target="header45.xml"/><Relationship Id="rId114" Type="http://schemas.openxmlformats.org/officeDocument/2006/relationships/footer" Target="footer47.xml"/><Relationship Id="rId115" Type="http://schemas.openxmlformats.org/officeDocument/2006/relationships/header" Target="header46.xml"/><Relationship Id="rId116" Type="http://schemas.openxmlformats.org/officeDocument/2006/relationships/footer" Target="footer48.xml"/><Relationship Id="rId117" Type="http://schemas.openxmlformats.org/officeDocument/2006/relationships/header" Target="header47.xml"/><Relationship Id="rId118" Type="http://schemas.openxmlformats.org/officeDocument/2006/relationships/footer" Target="footer49.xml"/><Relationship Id="rId119" Type="http://schemas.openxmlformats.org/officeDocument/2006/relationships/header" Target="header48.xml"/><Relationship Id="rId120" Type="http://schemas.openxmlformats.org/officeDocument/2006/relationships/footer" Target="footer50.xml"/><Relationship Id="rId121" Type="http://schemas.openxmlformats.org/officeDocument/2006/relationships/header" Target="header49.xml"/><Relationship Id="rId122" Type="http://schemas.openxmlformats.org/officeDocument/2006/relationships/footer" Target="footer51.xml"/><Relationship Id="rId123" Type="http://schemas.openxmlformats.org/officeDocument/2006/relationships/header" Target="header50.xml"/><Relationship Id="rId124" Type="http://schemas.openxmlformats.org/officeDocument/2006/relationships/footer" Target="footer52.xml"/><Relationship Id="rId125" Type="http://schemas.openxmlformats.org/officeDocument/2006/relationships/header" Target="header51.xml"/><Relationship Id="rId126" Type="http://schemas.openxmlformats.org/officeDocument/2006/relationships/footer" Target="footer53.xml"/><Relationship Id="rId127" Type="http://schemas.openxmlformats.org/officeDocument/2006/relationships/header" Target="header52.xml"/><Relationship Id="rId128" Type="http://schemas.openxmlformats.org/officeDocument/2006/relationships/footer" Target="footer54.xml"/><Relationship Id="rId129" Type="http://schemas.openxmlformats.org/officeDocument/2006/relationships/header" Target="header53.xml"/><Relationship Id="rId130" Type="http://schemas.openxmlformats.org/officeDocument/2006/relationships/footer" Target="footer55.xml"/><Relationship Id="rId131" Type="http://schemas.openxmlformats.org/officeDocument/2006/relationships/header" Target="header54.xml"/><Relationship Id="rId132" Type="http://schemas.openxmlformats.org/officeDocument/2006/relationships/footer" Target="footer56.xml"/><Relationship Id="rId133" Type="http://schemas.openxmlformats.org/officeDocument/2006/relationships/header" Target="header55.xml"/><Relationship Id="rId134" Type="http://schemas.openxmlformats.org/officeDocument/2006/relationships/footer" Target="footer57.xml"/><Relationship Id="rId135" Type="http://schemas.openxmlformats.org/officeDocument/2006/relationships/header" Target="header56.xml"/><Relationship Id="rId136" Type="http://schemas.openxmlformats.org/officeDocument/2006/relationships/footer" Target="footer58.xml"/><Relationship Id="rId137" Type="http://schemas.openxmlformats.org/officeDocument/2006/relationships/header" Target="header57.xml"/><Relationship Id="rId138" Type="http://schemas.openxmlformats.org/officeDocument/2006/relationships/footer" Target="footer59.xml"/><Relationship Id="rId139" Type="http://schemas.openxmlformats.org/officeDocument/2006/relationships/header" Target="header58.xml"/><Relationship Id="rId140" Type="http://schemas.openxmlformats.org/officeDocument/2006/relationships/footer" Target="footer60.xml"/><Relationship Id="rId141" Type="http://schemas.openxmlformats.org/officeDocument/2006/relationships/header" Target="header59.xml"/><Relationship Id="rId142" Type="http://schemas.openxmlformats.org/officeDocument/2006/relationships/footer" Target="footer61.xml"/><Relationship Id="rId143" Type="http://schemas.openxmlformats.org/officeDocument/2006/relationships/header" Target="header60.xml"/><Relationship Id="rId144" Type="http://schemas.openxmlformats.org/officeDocument/2006/relationships/footer" Target="footer62.xml"/><Relationship Id="rId145" Type="http://schemas.openxmlformats.org/officeDocument/2006/relationships/header" Target="header61.xml"/><Relationship Id="rId146" Type="http://schemas.openxmlformats.org/officeDocument/2006/relationships/footer" Target="footer63.xml"/><Relationship Id="rId147" Type="http://schemas.openxmlformats.org/officeDocument/2006/relationships/header" Target="header62.xml"/><Relationship Id="rId148" Type="http://schemas.openxmlformats.org/officeDocument/2006/relationships/footer" Target="footer64.xml"/><Relationship Id="rId149" Type="http://schemas.openxmlformats.org/officeDocument/2006/relationships/header" Target="header63.xml"/><Relationship Id="rId150" Type="http://schemas.openxmlformats.org/officeDocument/2006/relationships/footer" Target="footer65.xml"/><Relationship Id="rId151" Type="http://schemas.openxmlformats.org/officeDocument/2006/relationships/header" Target="header64.xml"/><Relationship Id="rId152" Type="http://schemas.openxmlformats.org/officeDocument/2006/relationships/footer" Target="footer66.xml"/><Relationship Id="rId153" Type="http://schemas.openxmlformats.org/officeDocument/2006/relationships/header" Target="header65.xml"/><Relationship Id="rId154" Type="http://schemas.openxmlformats.org/officeDocument/2006/relationships/footer" Target="footer67.xml"/><Relationship Id="rId155" Type="http://schemas.openxmlformats.org/officeDocument/2006/relationships/header" Target="header66.xml"/><Relationship Id="rId156" Type="http://schemas.openxmlformats.org/officeDocument/2006/relationships/footer" Target="footer68.xml"/><Relationship Id="rId157" Type="http://schemas.openxmlformats.org/officeDocument/2006/relationships/header" Target="header67.xml"/><Relationship Id="rId158" Type="http://schemas.openxmlformats.org/officeDocument/2006/relationships/footer" Target="footer69.xml"/><Relationship Id="rId159" Type="http://schemas.openxmlformats.org/officeDocument/2006/relationships/header" Target="header68.xml"/><Relationship Id="rId160" Type="http://schemas.openxmlformats.org/officeDocument/2006/relationships/footer" Target="footer70.xml"/><Relationship Id="rId161" Type="http://schemas.openxmlformats.org/officeDocument/2006/relationships/header" Target="header69.xml"/><Relationship Id="rId162" Type="http://schemas.openxmlformats.org/officeDocument/2006/relationships/footer" Target="footer71.xml"/><Relationship Id="rId163" Type="http://schemas.openxmlformats.org/officeDocument/2006/relationships/header" Target="header70.xml"/><Relationship Id="rId164" Type="http://schemas.openxmlformats.org/officeDocument/2006/relationships/footer" Target="footer72.xml"/><Relationship Id="rId165" Type="http://schemas.openxmlformats.org/officeDocument/2006/relationships/header" Target="header71.xml"/><Relationship Id="rId166" Type="http://schemas.openxmlformats.org/officeDocument/2006/relationships/footer" Target="footer73.xml"/><Relationship Id="rId167" Type="http://schemas.openxmlformats.org/officeDocument/2006/relationships/header" Target="header72.xml"/><Relationship Id="rId168" Type="http://schemas.openxmlformats.org/officeDocument/2006/relationships/footer" Target="footer74.xml"/><Relationship Id="rId169" Type="http://schemas.openxmlformats.org/officeDocument/2006/relationships/header" Target="header73.xml"/><Relationship Id="rId170" Type="http://schemas.openxmlformats.org/officeDocument/2006/relationships/footer" Target="footer75.xml"/><Relationship Id="rId171" Type="http://schemas.openxmlformats.org/officeDocument/2006/relationships/header" Target="header74.xml"/><Relationship Id="rId172" Type="http://schemas.openxmlformats.org/officeDocument/2006/relationships/footer" Target="footer76.xml"/><Relationship Id="rId173" Type="http://schemas.openxmlformats.org/officeDocument/2006/relationships/header" Target="header75.xml"/><Relationship Id="rId174" Type="http://schemas.openxmlformats.org/officeDocument/2006/relationships/footer" Target="footer77.xml"/><Relationship Id="rId175" Type="http://schemas.openxmlformats.org/officeDocument/2006/relationships/header" Target="header76.xml"/><Relationship Id="rId176" Type="http://schemas.openxmlformats.org/officeDocument/2006/relationships/footer" Target="footer78.xml"/><Relationship Id="rId177" Type="http://schemas.openxmlformats.org/officeDocument/2006/relationships/image" Target="media/image10.jpeg"/><Relationship Id="rId178" Type="http://schemas.openxmlformats.org/officeDocument/2006/relationships/image" Target="media/image10.jpeg" TargetMode="External"/><Relationship Id="rId179" Type="http://schemas.openxmlformats.org/officeDocument/2006/relationships/header" Target="header77.xml"/><Relationship Id="rId180" Type="http://schemas.openxmlformats.org/officeDocument/2006/relationships/footer" Target="footer79.xml"/><Relationship Id="rId181" Type="http://schemas.openxmlformats.org/officeDocument/2006/relationships/header" Target="header78.xml"/><Relationship Id="rId182" Type="http://schemas.openxmlformats.org/officeDocument/2006/relationships/footer" Target="footer80.xml"/><Relationship Id="rId183" Type="http://schemas.openxmlformats.org/officeDocument/2006/relationships/header" Target="header79.xml"/><Relationship Id="rId184" Type="http://schemas.openxmlformats.org/officeDocument/2006/relationships/footer" Target="footer81.xml"/><Relationship Id="rId185" Type="http://schemas.openxmlformats.org/officeDocument/2006/relationships/header" Target="header80.xml"/><Relationship Id="rId186" Type="http://schemas.openxmlformats.org/officeDocument/2006/relationships/footer" Target="footer82.xml"/><Relationship Id="rId187" Type="http://schemas.openxmlformats.org/officeDocument/2006/relationships/header" Target="header81.xml"/><Relationship Id="rId188" Type="http://schemas.openxmlformats.org/officeDocument/2006/relationships/footer" Target="footer83.xml"/><Relationship Id="rId189" Type="http://schemas.openxmlformats.org/officeDocument/2006/relationships/image" Target="media/image11.jpeg"/><Relationship Id="rId190" Type="http://schemas.openxmlformats.org/officeDocument/2006/relationships/image" Target="media/image11.jpeg" TargetMode="External"/><Relationship Id="rId191" Type="http://schemas.openxmlformats.org/officeDocument/2006/relationships/header" Target="header82.xml"/><Relationship Id="rId192" Type="http://schemas.openxmlformats.org/officeDocument/2006/relationships/footer" Target="footer84.xml"/><Relationship Id="rId193" Type="http://schemas.openxmlformats.org/officeDocument/2006/relationships/header" Target="header83.xml"/><Relationship Id="rId194" Type="http://schemas.openxmlformats.org/officeDocument/2006/relationships/footer" Target="footer85.xml"/><Relationship Id="rId195" Type="http://schemas.openxmlformats.org/officeDocument/2006/relationships/header" Target="header84.xml"/><Relationship Id="rId196" Type="http://schemas.openxmlformats.org/officeDocument/2006/relationships/footer" Target="footer86.xml"/><Relationship Id="rId197" Type="http://schemas.openxmlformats.org/officeDocument/2006/relationships/header" Target="header85.xml"/><Relationship Id="rId198" Type="http://schemas.openxmlformats.org/officeDocument/2006/relationships/footer" Target="footer87.xml"/><Relationship Id="rId199" Type="http://schemas.openxmlformats.org/officeDocument/2006/relationships/header" Target="header86.xml"/><Relationship Id="rId200" Type="http://schemas.openxmlformats.org/officeDocument/2006/relationships/footer" Target="footer88.xml"/><Relationship Id="rId201" Type="http://schemas.openxmlformats.org/officeDocument/2006/relationships/header" Target="header87.xml"/><Relationship Id="rId202" Type="http://schemas.openxmlformats.org/officeDocument/2006/relationships/footer" Target="footer89.xml"/><Relationship Id="rId203" Type="http://schemas.openxmlformats.org/officeDocument/2006/relationships/image" Target="media/image12.jpeg"/><Relationship Id="rId204" Type="http://schemas.openxmlformats.org/officeDocument/2006/relationships/image" Target="media/image12.jpeg" TargetMode="External"/><Relationship Id="rId205" Type="http://schemas.openxmlformats.org/officeDocument/2006/relationships/header" Target="header88.xml"/><Relationship Id="rId206" Type="http://schemas.openxmlformats.org/officeDocument/2006/relationships/footer" Target="footer90.xml"/><Relationship Id="rId207" Type="http://schemas.openxmlformats.org/officeDocument/2006/relationships/header" Target="header89.xml"/><Relationship Id="rId208" Type="http://schemas.openxmlformats.org/officeDocument/2006/relationships/footer" Target="footer91.xml"/><Relationship Id="rId209" Type="http://schemas.openxmlformats.org/officeDocument/2006/relationships/image" Target="media/image13.jpeg"/><Relationship Id="rId210" Type="http://schemas.openxmlformats.org/officeDocument/2006/relationships/image" Target="media/image13.jpeg" TargetMode="External"/><Relationship Id="rId211" Type="http://schemas.openxmlformats.org/officeDocument/2006/relationships/header" Target="header90.xml"/><Relationship Id="rId212" Type="http://schemas.openxmlformats.org/officeDocument/2006/relationships/footer" Target="footer92.xml"/><Relationship Id="rId213" Type="http://schemas.openxmlformats.org/officeDocument/2006/relationships/header" Target="header91.xml"/><Relationship Id="rId214" Type="http://schemas.openxmlformats.org/officeDocument/2006/relationships/footer" Target="footer93.xml"/><Relationship Id="rId215" Type="http://schemas.openxmlformats.org/officeDocument/2006/relationships/image" Target="media/image14.jpeg"/><Relationship Id="rId216" Type="http://schemas.openxmlformats.org/officeDocument/2006/relationships/image" Target="media/image14.jpeg" TargetMode="External"/><Relationship Id="rId217" Type="http://schemas.openxmlformats.org/officeDocument/2006/relationships/image" Target="media/image15.jpeg"/><Relationship Id="rId218" Type="http://schemas.openxmlformats.org/officeDocument/2006/relationships/image" Target="media/image15.jpeg" TargetMode="External"/><Relationship Id="rId219" Type="http://schemas.openxmlformats.org/officeDocument/2006/relationships/header" Target="header92.xml"/><Relationship Id="rId220" Type="http://schemas.openxmlformats.org/officeDocument/2006/relationships/footer" Target="footer94.xml"/><Relationship Id="rId221" Type="http://schemas.openxmlformats.org/officeDocument/2006/relationships/header" Target="header93.xml"/><Relationship Id="rId222" Type="http://schemas.openxmlformats.org/officeDocument/2006/relationships/footer" Target="footer95.xml"/><Relationship Id="rId223" Type="http://schemas.openxmlformats.org/officeDocument/2006/relationships/header" Target="header94.xml"/><Relationship Id="rId224" Type="http://schemas.openxmlformats.org/officeDocument/2006/relationships/footer" Target="footer96.xml"/><Relationship Id="rId225" Type="http://schemas.openxmlformats.org/officeDocument/2006/relationships/header" Target="header95.xml"/><Relationship Id="rId226" Type="http://schemas.openxmlformats.org/officeDocument/2006/relationships/footer" Target="footer97.xml"/><Relationship Id="rId227" Type="http://schemas.openxmlformats.org/officeDocument/2006/relationships/header" Target="header96.xml"/><Relationship Id="rId228" Type="http://schemas.openxmlformats.org/officeDocument/2006/relationships/footer" Target="footer98.xml"/><Relationship Id="rId229" Type="http://schemas.openxmlformats.org/officeDocument/2006/relationships/header" Target="header97.xml"/><Relationship Id="rId230" Type="http://schemas.openxmlformats.org/officeDocument/2006/relationships/footer" Target="footer99.xml"/><Relationship Id="rId231" Type="http://schemas.openxmlformats.org/officeDocument/2006/relationships/image" Target="media/image16.jpeg"/><Relationship Id="rId232" Type="http://schemas.openxmlformats.org/officeDocument/2006/relationships/image" Target="media/image16.jpeg" TargetMode="External"/><Relationship Id="rId233" Type="http://schemas.openxmlformats.org/officeDocument/2006/relationships/header" Target="header98.xml"/><Relationship Id="rId234" Type="http://schemas.openxmlformats.org/officeDocument/2006/relationships/footer" Target="footer100.xml"/><Relationship Id="rId235" Type="http://schemas.openxmlformats.org/officeDocument/2006/relationships/header" Target="header99.xml"/><Relationship Id="rId236" Type="http://schemas.openxmlformats.org/officeDocument/2006/relationships/footer" Target="footer101.xml"/><Relationship Id="rId237" Type="http://schemas.openxmlformats.org/officeDocument/2006/relationships/image" Target="media/image17.jpeg"/><Relationship Id="rId238" Type="http://schemas.openxmlformats.org/officeDocument/2006/relationships/image" Target="media/image17.jpeg" TargetMode="External"/><Relationship Id="rId239" Type="http://schemas.openxmlformats.org/officeDocument/2006/relationships/image" Target="media/image18.jpeg"/><Relationship Id="rId240" Type="http://schemas.openxmlformats.org/officeDocument/2006/relationships/image" Target="media/image18.jpeg" TargetMode="External"/><Relationship Id="rId241" Type="http://schemas.openxmlformats.org/officeDocument/2006/relationships/image" Target="media/image19.jpeg"/><Relationship Id="rId242" Type="http://schemas.openxmlformats.org/officeDocument/2006/relationships/image" Target="media/image19.jpeg" TargetMode="External"/><Relationship Id="rId243" Type="http://schemas.openxmlformats.org/officeDocument/2006/relationships/header" Target="header100.xml"/><Relationship Id="rId244" Type="http://schemas.openxmlformats.org/officeDocument/2006/relationships/footer" Target="footer102.xml"/><Relationship Id="rId245" Type="http://schemas.openxmlformats.org/officeDocument/2006/relationships/header" Target="header101.xml"/><Relationship Id="rId246" Type="http://schemas.openxmlformats.org/officeDocument/2006/relationships/footer" Target="footer103.xml"/><Relationship Id="rId247" Type="http://schemas.openxmlformats.org/officeDocument/2006/relationships/header" Target="header102.xml"/><Relationship Id="rId248" Type="http://schemas.openxmlformats.org/officeDocument/2006/relationships/footer" Target="footer104.xml"/><Relationship Id="rId249" Type="http://schemas.openxmlformats.org/officeDocument/2006/relationships/header" Target="header103.xml"/><Relationship Id="rId250" Type="http://schemas.openxmlformats.org/officeDocument/2006/relationships/footer" Target="footer105.xml"/><Relationship Id="rId251" Type="http://schemas.openxmlformats.org/officeDocument/2006/relationships/image" Target="media/image20.jpeg"/><Relationship Id="rId252" Type="http://schemas.openxmlformats.org/officeDocument/2006/relationships/image" Target="media/image20.jpeg" TargetMode="External"/><Relationship Id="rId253" Type="http://schemas.openxmlformats.org/officeDocument/2006/relationships/image" Target="media/image21.jpeg"/><Relationship Id="rId254" Type="http://schemas.openxmlformats.org/officeDocument/2006/relationships/image" Target="media/image21.jpeg" TargetMode="External"/><Relationship Id="rId255" Type="http://schemas.openxmlformats.org/officeDocument/2006/relationships/image" Target="media/image22.jpeg"/><Relationship Id="rId256" Type="http://schemas.openxmlformats.org/officeDocument/2006/relationships/image" Target="media/image22.jpeg" TargetMode="External"/><Relationship Id="rId257" Type="http://schemas.openxmlformats.org/officeDocument/2006/relationships/image" Target="media/image23.jpeg"/><Relationship Id="rId258" Type="http://schemas.openxmlformats.org/officeDocument/2006/relationships/image" Target="media/image23.jpeg" TargetMode="External"/><Relationship Id="rId259" Type="http://schemas.openxmlformats.org/officeDocument/2006/relationships/header" Target="header104.xml"/><Relationship Id="rId260" Type="http://schemas.openxmlformats.org/officeDocument/2006/relationships/footer" Target="footer106.xml"/><Relationship Id="rId261" Type="http://schemas.openxmlformats.org/officeDocument/2006/relationships/header" Target="header105.xml"/><Relationship Id="rId262" Type="http://schemas.openxmlformats.org/officeDocument/2006/relationships/footer" Target="footer107.xml"/><Relationship Id="rId263" Type="http://schemas.openxmlformats.org/officeDocument/2006/relationships/header" Target="header106.xml"/><Relationship Id="rId264" Type="http://schemas.openxmlformats.org/officeDocument/2006/relationships/footer" Target="footer108.xml"/><Relationship Id="rId265" Type="http://schemas.openxmlformats.org/officeDocument/2006/relationships/header" Target="header107.xml"/><Relationship Id="rId266" Type="http://schemas.openxmlformats.org/officeDocument/2006/relationships/footer" Target="footer109.xml"/><Relationship Id="rId267" Type="http://schemas.openxmlformats.org/officeDocument/2006/relationships/header" Target="header108.xml"/><Relationship Id="rId268" Type="http://schemas.openxmlformats.org/officeDocument/2006/relationships/footer" Target="footer110.xml"/><Relationship Id="rId269" Type="http://schemas.openxmlformats.org/officeDocument/2006/relationships/header" Target="header109.xml"/><Relationship Id="rId270" Type="http://schemas.openxmlformats.org/officeDocument/2006/relationships/footer" Target="footer111.xml"/><Relationship Id="rId271" Type="http://schemas.openxmlformats.org/officeDocument/2006/relationships/header" Target="header110.xml"/><Relationship Id="rId272" Type="http://schemas.openxmlformats.org/officeDocument/2006/relationships/footer" Target="footer112.xml"/><Relationship Id="rId273" Type="http://schemas.openxmlformats.org/officeDocument/2006/relationships/header" Target="header111.xml"/><Relationship Id="rId274" Type="http://schemas.openxmlformats.org/officeDocument/2006/relationships/footer" Target="footer113.xml"/><Relationship Id="rId275" Type="http://schemas.openxmlformats.org/officeDocument/2006/relationships/header" Target="header112.xml"/><Relationship Id="rId276" Type="http://schemas.openxmlformats.org/officeDocument/2006/relationships/footer" Target="footer114.xml"/><Relationship Id="rId277" Type="http://schemas.openxmlformats.org/officeDocument/2006/relationships/header" Target="header113.xml"/><Relationship Id="rId278" Type="http://schemas.openxmlformats.org/officeDocument/2006/relationships/footer" Target="footer115.xml"/><Relationship Id="rId279" Type="http://schemas.openxmlformats.org/officeDocument/2006/relationships/image" Target="media/image24.jpeg"/><Relationship Id="rId280" Type="http://schemas.openxmlformats.org/officeDocument/2006/relationships/image" Target="media/image24.jpeg" TargetMode="External"/><Relationship Id="rId281" Type="http://schemas.openxmlformats.org/officeDocument/2006/relationships/image" Target="media/image25.jpeg"/><Relationship Id="rId282" Type="http://schemas.openxmlformats.org/officeDocument/2006/relationships/image" Target="media/image25.jpeg" TargetMode="External"/></Relationships>
</file>