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60"/>
          <w:szCs w:val="60"/>
        </w:rPr>
      </w:pPr>
      <w:r>
        <w:rPr>
          <w:rFonts w:ascii="Times New Roman" w:eastAsia="Times New Roman" w:hAnsi="Times New Roman" w:cs="Times New Roman"/>
          <w:color w:val="8D0D7D"/>
          <w:spacing w:val="0"/>
          <w:w w:val="100"/>
          <w:position w:val="0"/>
          <w:sz w:val="76"/>
          <w:szCs w:val="76"/>
        </w:rPr>
        <w:t>[D]</w:t>
      </w:r>
      <w:r>
        <w:rPr>
          <w:rFonts w:ascii="SimHei" w:eastAsia="SimHei" w:hAnsi="SimHei" w:cs="SimHei"/>
          <w:color w:val="8D0D7D"/>
          <w:spacing w:val="0"/>
          <w:w w:val="100"/>
          <w:position w:val="0"/>
          <w:sz w:val="60"/>
          <w:szCs w:val="60"/>
        </w:rPr>
        <w:t>紫光国曲</w:t>
      </w:r>
    </w:p>
    <w:p>
      <w:pPr>
        <w:pStyle w:val="Style2"/>
        <w:keepNext w:val="0"/>
        <w:keepLines w:val="0"/>
        <w:widowControl w:val="0"/>
        <w:shd w:val="clear" w:color="auto" w:fill="auto"/>
        <w:bidi w:val="0"/>
        <w:spacing w:before="0" w:after="380" w:line="190" w:lineRule="auto"/>
        <w:ind w:left="4180" w:right="0" w:firstLine="0"/>
        <w:jc w:val="left"/>
        <w:rPr>
          <w:sz w:val="28"/>
          <w:szCs w:val="28"/>
        </w:rPr>
      </w:pPr>
      <w:r>
        <w:rPr>
          <w:rFonts w:ascii="Arial" w:eastAsia="Arial" w:hAnsi="Arial" w:cs="Arial"/>
          <w:b/>
          <w:bCs/>
          <w:smallCaps/>
          <w:color w:val="8D0D7D"/>
          <w:spacing w:val="0"/>
          <w:w w:val="100"/>
          <w:position w:val="0"/>
          <w:sz w:val="28"/>
          <w:szCs w:val="28"/>
        </w:rPr>
        <w:t>unigroup guoxin</w:t>
      </w:r>
    </w:p>
    <w:p>
      <w:pPr>
        <w:pStyle w:val="Style2"/>
        <w:keepNext w:val="0"/>
        <w:keepLines w:val="0"/>
        <w:widowControl w:val="0"/>
        <w:shd w:val="clear" w:color="auto" w:fill="auto"/>
        <w:bidi w:val="0"/>
        <w:spacing w:before="0" w:after="380" w:line="240" w:lineRule="auto"/>
        <w:ind w:left="0" w:right="0" w:firstLine="0"/>
        <w:jc w:val="center"/>
        <w:rPr>
          <w:sz w:val="36"/>
          <w:szCs w:val="36"/>
        </w:rPr>
      </w:pPr>
      <w:r>
        <w:rPr>
          <w:b/>
          <w:bCs/>
          <w:color w:val="000000"/>
          <w:spacing w:val="0"/>
          <w:w w:val="100"/>
          <w:position w:val="0"/>
          <w:sz w:val="36"/>
          <w:szCs w:val="36"/>
        </w:rPr>
        <w:t>紫光国芯股份有限公司</w:t>
      </w:r>
    </w:p>
    <w:p>
      <w:pPr>
        <w:pStyle w:val="Style2"/>
        <w:keepNext w:val="0"/>
        <w:keepLines w:val="0"/>
        <w:widowControl w:val="0"/>
        <w:shd w:val="clear" w:color="auto" w:fill="auto"/>
        <w:bidi w:val="0"/>
        <w:spacing w:before="0" w:after="60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564" w:right="1109" w:bottom="2564"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15"/>
        <w:keepNext/>
        <w:keepLines/>
        <w:widowControl w:val="0"/>
        <w:shd w:val="clear" w:color="auto" w:fill="auto"/>
        <w:bidi w:val="0"/>
        <w:spacing w:before="0" w:after="20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w:t>
      </w:r>
      <w:bookmarkEnd w:id="0"/>
      <w:bookmarkEnd w:id="1"/>
      <w:bookmarkEnd w:id="2"/>
    </w:p>
    <w:p>
      <w:pPr>
        <w:pStyle w:val="Style17"/>
        <w:keepNext w:val="0"/>
        <w:keepLines w:val="0"/>
        <w:widowControl w:val="0"/>
        <w:shd w:val="clear" w:color="auto" w:fill="auto"/>
        <w:bidi w:val="0"/>
        <w:spacing w:before="0"/>
        <w:ind w:left="0" w:right="0"/>
        <w:jc w:val="both"/>
      </w:pPr>
      <w:bookmarkStart w:id="3" w:name="bookmark3"/>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3"/>
    </w:p>
    <w:p>
      <w:pPr>
        <w:pStyle w:val="Style17"/>
        <w:keepNext w:val="0"/>
        <w:keepLines w:val="0"/>
        <w:widowControl w:val="0"/>
        <w:shd w:val="clear" w:color="auto" w:fill="auto"/>
        <w:bidi w:val="0"/>
        <w:spacing w:before="0" w:line="634" w:lineRule="exact"/>
        <w:ind w:left="0" w:right="0"/>
        <w:jc w:val="both"/>
      </w:pPr>
      <w:r>
        <w:rPr>
          <w:color w:val="000000"/>
          <w:spacing w:val="0"/>
          <w:w w:val="100"/>
          <w:position w:val="0"/>
        </w:rPr>
        <w:t>公司负责人赵伟国、主管会计工作负责人杨秋平及会计机构负责人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张典洪声明：保证年度报告中财务报告的真实、准确、完整。</w:t>
      </w:r>
    </w:p>
    <w:p>
      <w:pPr>
        <w:pStyle w:val="Style17"/>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line="622" w:lineRule="exact"/>
        <w:ind w:left="0" w:right="0"/>
        <w:jc w:val="both"/>
        <w:sectPr>
          <w:headerReference w:type="default" r:id="rId7"/>
          <w:footerReference w:type="default" r:id="rId8"/>
          <w:footnotePr>
            <w:pos w:val="pageBottom"/>
            <w:numFmt w:val="decimal"/>
            <w:numRestart w:val="continuous"/>
          </w:footnotePr>
          <w:pgSz w:w="11900" w:h="16840"/>
          <w:pgMar w:top="1810" w:right="1109" w:bottom="1810" w:left="1104" w:header="0" w:footer="3" w:gutter="0"/>
          <w:cols w:space="720"/>
          <w:noEndnote/>
          <w:rtlGutter w:val="0"/>
          <w:docGrid w:linePitch="360"/>
        </w:sectPr>
      </w:pPr>
      <w:r>
        <w:rPr>
          <w:color w:val="000000"/>
          <w:spacing w:val="0"/>
          <w:w w:val="100"/>
          <w:position w:val="0"/>
        </w:rPr>
        <w:t>公司经本次董事会审议通过的利润分配预案为：以公司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年末总股本 </w:t>
      </w:r>
      <w:r>
        <w:rPr>
          <w:rFonts w:ascii="Times New Roman" w:eastAsia="Times New Roman" w:hAnsi="Times New Roman" w:cs="Times New Roman"/>
          <w:color w:val="000000"/>
          <w:spacing w:val="0"/>
          <w:w w:val="100"/>
          <w:position w:val="0"/>
        </w:rPr>
        <w:t>606,817,968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0.56</w:t>
      </w:r>
      <w:r>
        <w:rPr>
          <w:color w:val="000000"/>
          <w:spacing w:val="0"/>
          <w:w w:val="100"/>
          <w:position w:val="0"/>
        </w:rPr>
        <w:t>元（含税），送红 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股（含税），不以公积金转增股本。</w:t>
      </w:r>
    </w:p>
    <w:p>
      <w:pPr>
        <w:pStyle w:val="Style2"/>
        <w:keepNext w:val="0"/>
        <w:keepLines w:val="0"/>
        <w:widowControl w:val="0"/>
        <w:shd w:val="clear" w:color="auto" w:fill="auto"/>
        <w:bidi w:val="0"/>
        <w:spacing w:before="1440" w:after="1520" w:line="240" w:lineRule="auto"/>
        <w:ind w:left="0" w:right="0" w:firstLine="0"/>
        <w:jc w:val="center"/>
        <w:rPr>
          <w:sz w:val="36"/>
          <w:szCs w:val="36"/>
        </w:rPr>
      </w:pPr>
      <w:r>
        <w:rPr>
          <w:b/>
          <w:bCs/>
          <w:color w:val="000000"/>
          <w:spacing w:val="0"/>
          <w:w w:val="100"/>
          <w:position w:val="0"/>
          <w:sz w:val="36"/>
          <w:szCs w:val="36"/>
        </w:rPr>
        <w:t>目录</w:t>
      </w:r>
    </w:p>
    <w:p>
      <w:pPr>
        <w:pStyle w:val="Style20"/>
        <w:keepNext w:val="0"/>
        <w:keepLines w:val="0"/>
        <w:widowControl w:val="0"/>
        <w:shd w:val="clear" w:color="auto" w:fill="auto"/>
        <w:tabs>
          <w:tab w:pos="829" w:val="left"/>
          <w:tab w:leader="dot" w:pos="9617"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0"/>
        <w:keepNext w:val="0"/>
        <w:keepLines w:val="0"/>
        <w:widowControl w:val="0"/>
        <w:shd w:val="clear" w:color="auto" w:fill="auto"/>
        <w:tabs>
          <w:tab w:leader="dot" w:pos="9617" w:val="right"/>
        </w:tabs>
        <w:bidi w:val="0"/>
        <w:spacing w:before="0" w:line="240" w:lineRule="auto"/>
        <w:ind w:left="0" w:right="0" w:firstLine="0"/>
        <w:jc w:val="left"/>
      </w:pPr>
      <w:hyperlink w:anchor="bookmark5"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0"/>
        <w:keepNext w:val="0"/>
        <w:keepLines w:val="0"/>
        <w:widowControl w:val="0"/>
        <w:shd w:val="clear" w:color="auto" w:fill="auto"/>
        <w:tabs>
          <w:tab w:leader="dot" w:pos="9617" w:val="right"/>
        </w:tabs>
        <w:bidi w:val="0"/>
        <w:spacing w:before="0" w:line="240" w:lineRule="auto"/>
        <w:ind w:left="0" w:right="0" w:firstLine="0"/>
        <w:jc w:val="left"/>
      </w:pPr>
      <w:hyperlink w:anchor="bookmark52"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20"/>
        <w:keepNext w:val="0"/>
        <w:keepLines w:val="0"/>
        <w:widowControl w:val="0"/>
        <w:shd w:val="clear" w:color="auto" w:fill="auto"/>
        <w:tabs>
          <w:tab w:leader="dot" w:pos="9617" w:val="right"/>
        </w:tabs>
        <w:bidi w:val="0"/>
        <w:spacing w:before="0" w:line="240" w:lineRule="auto"/>
        <w:ind w:left="0" w:right="0" w:firstLine="0"/>
        <w:jc w:val="left"/>
      </w:pPr>
      <w:hyperlink w:anchor="bookmark74" w:tooltip="Current Document">
        <w:r>
          <w:rPr>
            <w:color w:val="000000"/>
            <w:spacing w:val="0"/>
            <w:w w:val="100"/>
            <w:position w:val="0"/>
          </w:rPr>
          <w:t>第四节管理层讨论与分析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20"/>
        <w:keepNext w:val="0"/>
        <w:keepLines w:val="0"/>
        <w:widowControl w:val="0"/>
        <w:shd w:val="clear" w:color="auto" w:fill="auto"/>
        <w:tabs>
          <w:tab w:leader="dot" w:pos="9617" w:val="right"/>
        </w:tabs>
        <w:bidi w:val="0"/>
        <w:spacing w:before="0" w:line="240" w:lineRule="auto"/>
        <w:ind w:left="0" w:right="0" w:firstLine="0"/>
        <w:jc w:val="left"/>
      </w:pPr>
      <w:hyperlink w:anchor="bookmark197"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21</w:t>
        </w:r>
      </w:hyperlink>
    </w:p>
    <w:p>
      <w:pPr>
        <w:pStyle w:val="Style20"/>
        <w:keepNext w:val="0"/>
        <w:keepLines w:val="0"/>
        <w:widowControl w:val="0"/>
        <w:shd w:val="clear" w:color="auto" w:fill="auto"/>
        <w:tabs>
          <w:tab w:leader="dot" w:pos="9617" w:val="right"/>
        </w:tabs>
        <w:bidi w:val="0"/>
        <w:spacing w:before="0" w:line="240" w:lineRule="auto"/>
        <w:ind w:left="0" w:right="0" w:firstLine="0"/>
        <w:jc w:val="left"/>
      </w:pPr>
      <w:hyperlink w:anchor="bookmark351"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30</w:t>
        </w:r>
      </w:hyperlink>
    </w:p>
    <w:p>
      <w:pPr>
        <w:pStyle w:val="Style20"/>
        <w:keepNext w:val="0"/>
        <w:keepLines w:val="0"/>
        <w:widowControl w:val="0"/>
        <w:shd w:val="clear" w:color="auto" w:fill="auto"/>
        <w:tabs>
          <w:tab w:leader="dot" w:pos="9617" w:val="right"/>
        </w:tabs>
        <w:bidi w:val="0"/>
        <w:spacing w:before="0" w:line="240" w:lineRule="auto"/>
        <w:ind w:left="0" w:right="0" w:firstLine="0"/>
        <w:jc w:val="left"/>
      </w:pPr>
      <w:hyperlink w:anchor="bookmark395"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34</w:t>
        </w:r>
      </w:hyperlink>
    </w:p>
    <w:p>
      <w:pPr>
        <w:pStyle w:val="Style20"/>
        <w:keepNext w:val="0"/>
        <w:keepLines w:val="0"/>
        <w:widowControl w:val="0"/>
        <w:shd w:val="clear" w:color="auto" w:fill="auto"/>
        <w:tabs>
          <w:tab w:leader="dot" w:pos="9617" w:val="right"/>
        </w:tabs>
        <w:bidi w:val="0"/>
        <w:spacing w:before="0" w:line="240" w:lineRule="auto"/>
        <w:ind w:left="0" w:right="0" w:firstLine="0"/>
        <w:jc w:val="left"/>
      </w:pPr>
      <w:hyperlink w:anchor="bookmark399" w:tooltip="Current Document">
        <w:r>
          <w:rPr>
            <w:color w:val="000000"/>
            <w:spacing w:val="0"/>
            <w:w w:val="100"/>
            <w:position w:val="0"/>
          </w:rPr>
          <w:t>第八节董事、监事、高级管理人员和员工情况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35</w:t>
        </w:r>
      </w:hyperlink>
    </w:p>
    <w:p>
      <w:pPr>
        <w:pStyle w:val="Style20"/>
        <w:keepNext w:val="0"/>
        <w:keepLines w:val="0"/>
        <w:widowControl w:val="0"/>
        <w:shd w:val="clear" w:color="auto" w:fill="auto"/>
        <w:tabs>
          <w:tab w:leader="dot" w:pos="9617" w:val="right"/>
        </w:tabs>
        <w:bidi w:val="0"/>
        <w:spacing w:before="0" w:line="240" w:lineRule="auto"/>
        <w:ind w:left="0" w:right="0" w:firstLine="0"/>
        <w:jc w:val="left"/>
      </w:pPr>
      <w:hyperlink w:anchor="bookmark432" w:tooltip="Current Document">
        <w:r>
          <w:rPr>
            <w:color w:val="000000"/>
            <w:spacing w:val="0"/>
            <w:w w:val="100"/>
            <w:position w:val="0"/>
          </w:rPr>
          <w:t>第九节公司治理</w:t>
        </w:r>
        <w:r>
          <w:rPr>
            <w:color w:val="000000"/>
            <w:spacing w:val="0"/>
            <w:w w:val="100"/>
            <w:position w:val="0"/>
          </w:rPr>
          <w:tab/>
        </w:r>
        <w:r>
          <w:rPr>
            <w:rFonts w:ascii="Times New Roman" w:eastAsia="Times New Roman" w:hAnsi="Times New Roman" w:cs="Times New Roman"/>
            <w:color w:val="000000"/>
            <w:spacing w:val="0"/>
            <w:w w:val="100"/>
            <w:position w:val="0"/>
          </w:rPr>
          <w:t>42</w:t>
        </w:r>
      </w:hyperlink>
    </w:p>
    <w:p>
      <w:pPr>
        <w:pStyle w:val="Style20"/>
        <w:keepNext w:val="0"/>
        <w:keepLines w:val="0"/>
        <w:widowControl w:val="0"/>
        <w:shd w:val="clear" w:color="auto" w:fill="auto"/>
        <w:tabs>
          <w:tab w:pos="829" w:val="left"/>
          <w:tab w:leader="dot" w:pos="9617" w:val="right"/>
        </w:tabs>
        <w:bidi w:val="0"/>
        <w:spacing w:before="0" w:line="240" w:lineRule="auto"/>
        <w:ind w:left="0" w:right="0" w:firstLine="0"/>
        <w:jc w:val="left"/>
      </w:pPr>
      <w:hyperlink w:anchor="bookmark517" w:tooltip="Current Document">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48</w:t>
        </w:r>
      </w:hyperlink>
    </w:p>
    <w:p>
      <w:pPr>
        <w:pStyle w:val="Style20"/>
        <w:keepNext w:val="0"/>
        <w:keepLines w:val="0"/>
        <w:widowControl w:val="0"/>
        <w:shd w:val="clear" w:color="auto" w:fill="auto"/>
        <w:tabs>
          <w:tab w:leader="dot" w:pos="9617" w:val="right"/>
        </w:tabs>
        <w:bidi w:val="0"/>
        <w:spacing w:before="0" w:line="240" w:lineRule="auto"/>
        <w:ind w:left="0" w:right="0" w:firstLine="0"/>
        <w:jc w:val="left"/>
      </w:pPr>
      <w:hyperlink w:anchor="bookmark1238" w:tooltip="Current Document">
        <w:r>
          <w:rPr>
            <w:color w:val="000000"/>
            <w:spacing w:val="0"/>
            <w:w w:val="100"/>
            <w:position w:val="0"/>
          </w:rPr>
          <w:t>第十一节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121</w:t>
        </w:r>
      </w:hyperlink>
      <w:r>
        <w:br w:type="page"/>
      </w:r>
      <w:r>
        <w:fldChar w:fldCharType="end"/>
      </w:r>
    </w:p>
    <w:p>
      <w:pPr>
        <w:pStyle w:val="Style15"/>
        <w:keepNext/>
        <w:keepLines/>
        <w:widowControl w:val="0"/>
        <w:shd w:val="clear" w:color="auto" w:fill="auto"/>
        <w:bidi w:val="0"/>
        <w:spacing w:before="0" w:after="58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3"/>
        <w:keepNext/>
        <w:keepLines/>
        <w:widowControl w:val="0"/>
        <w:shd w:val="clear" w:color="auto" w:fill="auto"/>
        <w:bidi w:val="0"/>
        <w:spacing w:before="0" w:line="240" w:lineRule="auto"/>
        <w:ind w:left="0" w:right="0" w:firstLine="240"/>
        <w:jc w:val="left"/>
      </w:pPr>
      <w:bookmarkStart w:id="10" w:name="bookmark10"/>
      <w:bookmarkStart w:id="7" w:name="bookmark7"/>
      <w:bookmarkStart w:id="8" w:name="bookmark8"/>
      <w:bookmarkStart w:id="9" w:name="bookmark9"/>
      <w:r>
        <w:rPr>
          <w:color w:val="000000"/>
          <w:spacing w:val="0"/>
          <w:w w:val="100"/>
          <w:position w:val="0"/>
        </w:rPr>
        <w:t>、公司信息</w:t>
      </w:r>
      <w:bookmarkEnd w:id="10"/>
      <w:bookmarkEnd w:id="8"/>
      <w:bookmarkEnd w:id="9"/>
      <w:bookmarkEnd w:id="7"/>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紫光国芯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002049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股票上市证券交易所</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深圳证券交易所</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紫光国芯股份有限公司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紫光国芯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公司的外文名称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Unigroup Guoxin Co.,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公司的外文名称缩写</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UGC</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赵伟国</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河北省玉田县无终西街</w:t>
            </w:r>
            <w:r>
              <w:rPr>
                <w:rFonts w:ascii="Times New Roman" w:eastAsia="Times New Roman" w:hAnsi="Times New Roman" w:cs="Times New Roman"/>
                <w:color w:val="000000"/>
                <w:spacing w:val="0"/>
                <w:w w:val="100"/>
                <w:position w:val="0"/>
                <w:sz w:val="20"/>
                <w:szCs w:val="20"/>
              </w:rPr>
              <w:t>3129</w:t>
            </w:r>
            <w:r>
              <w:rPr>
                <w:color w:val="000000"/>
                <w:spacing w:val="0"/>
                <w:w w:val="100"/>
                <w:position w:val="0"/>
                <w:sz w:val="20"/>
                <w:szCs w:val="2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064100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河北省玉田县无终西街</w:t>
            </w:r>
            <w:r>
              <w:rPr>
                <w:rFonts w:ascii="Times New Roman" w:eastAsia="Times New Roman" w:hAnsi="Times New Roman" w:cs="Times New Roman"/>
                <w:color w:val="000000"/>
                <w:spacing w:val="0"/>
                <w:w w:val="100"/>
                <w:position w:val="0"/>
                <w:sz w:val="20"/>
                <w:szCs w:val="20"/>
              </w:rPr>
              <w:t>3129</w:t>
            </w:r>
            <w:r>
              <w:rPr>
                <w:color w:val="000000"/>
                <w:spacing w:val="0"/>
                <w:w w:val="100"/>
                <w:position w:val="0"/>
                <w:sz w:val="20"/>
                <w:szCs w:val="20"/>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064100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"http://www.gosinoic.com" </w:instrText>
            </w:r>
            <w:r>
              <w:fldChar w:fldCharType="separate"/>
            </w:r>
            <w:r>
              <w:rPr>
                <w:rFonts w:ascii="Times New Roman" w:eastAsia="Times New Roman" w:hAnsi="Times New Roman" w:cs="Times New Roman"/>
                <w:color w:val="000000"/>
                <w:spacing w:val="0"/>
                <w:w w:val="100"/>
                <w:position w:val="0"/>
                <w:sz w:val="20"/>
                <w:szCs w:val="20"/>
              </w:rPr>
              <w:t>www.gosinoic.com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"mailto:zhengquan@gosinoic.com" </w:instrText>
            </w:r>
            <w:r>
              <w:fldChar w:fldCharType="separate"/>
            </w:r>
            <w:r>
              <w:rPr>
                <w:rFonts w:ascii="Times New Roman" w:eastAsia="Times New Roman" w:hAnsi="Times New Roman" w:cs="Times New Roman"/>
                <w:color w:val="000000"/>
                <w:spacing w:val="0"/>
                <w:w w:val="100"/>
                <w:position w:val="0"/>
                <w:sz w:val="20"/>
                <w:szCs w:val="20"/>
              </w:rPr>
              <w:t>zhengquan@gosinoic.com</w:t>
            </w:r>
            <w:r>
              <w:fldChar w:fldCharType="end"/>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rPr>
        <w:t>二</w:t>
      </w:r>
      <w:bookmarkEnd w:id="13"/>
      <w:r>
        <w:rPr>
          <w:color w:val="000000"/>
          <w:spacing w:val="0"/>
          <w:w w:val="100"/>
          <w:position w:val="0"/>
        </w:rPr>
        <w:t>、联系人和联系方式</w:t>
      </w:r>
      <w:bookmarkEnd w:id="11"/>
      <w:bookmarkEnd w:id="12"/>
      <w:bookmarkEnd w:id="14"/>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杜林虎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董玉沾</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河北省玉田县无终西街</w:t>
            </w:r>
            <w:r>
              <w:rPr>
                <w:rFonts w:ascii="Times New Roman" w:eastAsia="Times New Roman" w:hAnsi="Times New Roman" w:cs="Times New Roman"/>
                <w:color w:val="000000"/>
                <w:spacing w:val="0"/>
                <w:w w:val="100"/>
                <w:position w:val="0"/>
                <w:sz w:val="20"/>
                <w:szCs w:val="20"/>
              </w:rPr>
              <w:t>3129</w:t>
            </w:r>
            <w:r>
              <w:rPr>
                <w:color w:val="000000"/>
                <w:spacing w:val="0"/>
                <w:w w:val="100"/>
                <w:position w:val="0"/>
                <w:sz w:val="20"/>
                <w:szCs w:val="2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河北省玉田县无终西街</w:t>
            </w:r>
            <w:r>
              <w:rPr>
                <w:rFonts w:ascii="Times New Roman" w:eastAsia="Times New Roman" w:hAnsi="Times New Roman" w:cs="Times New Roman"/>
                <w:color w:val="000000"/>
                <w:spacing w:val="0"/>
                <w:w w:val="100"/>
                <w:position w:val="0"/>
                <w:sz w:val="20"/>
                <w:szCs w:val="20"/>
              </w:rPr>
              <w:t>3129</w:t>
            </w:r>
            <w:r>
              <w:rPr>
                <w:color w:val="000000"/>
                <w:spacing w:val="0"/>
                <w:w w:val="100"/>
                <w:position w:val="0"/>
                <w:sz w:val="20"/>
                <w:szCs w:val="2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0315-6198161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0315-6198181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0315-6198179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0315-6198179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"mailto:dulh@gosinoic.com" </w:instrText>
            </w:r>
            <w:r>
              <w:fldChar w:fldCharType="separate"/>
            </w:r>
            <w:r>
              <w:rPr>
                <w:rFonts w:ascii="Times New Roman" w:eastAsia="Times New Roman" w:hAnsi="Times New Roman" w:cs="Times New Roman"/>
                <w:color w:val="000000"/>
                <w:spacing w:val="0"/>
                <w:w w:val="100"/>
                <w:position w:val="0"/>
                <w:sz w:val="20"/>
                <w:szCs w:val="20"/>
              </w:rPr>
              <w:t>dulh@gosinoic.com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"mailto:zhengquan@gosinoic.com" </w:instrText>
            </w:r>
            <w:r>
              <w:fldChar w:fldCharType="separate"/>
            </w:r>
            <w:r>
              <w:rPr>
                <w:rFonts w:ascii="Times New Roman" w:eastAsia="Times New Roman" w:hAnsi="Times New Roman" w:cs="Times New Roman"/>
                <w:color w:val="000000"/>
                <w:spacing w:val="0"/>
                <w:w w:val="100"/>
                <w:position w:val="0"/>
                <w:sz w:val="20"/>
                <w:szCs w:val="20"/>
              </w:rPr>
              <w:t>zhengquan@gosinoic.com</w:t>
            </w:r>
            <w:r>
              <w:fldChar w:fldCharType="end"/>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三</w:t>
      </w:r>
      <w:bookmarkEnd w:id="17"/>
      <w:r>
        <w:rPr>
          <w:color w:val="000000"/>
          <w:spacing w:val="0"/>
          <w:w w:val="100"/>
          <w:position w:val="0"/>
        </w:rPr>
        <w:t>、信息披露及备置地点</w:t>
      </w:r>
      <w:bookmarkEnd w:id="15"/>
      <w:bookmarkEnd w:id="16"/>
      <w:bookmarkEnd w:id="18"/>
    </w:p>
    <w:tbl>
      <w:tblPr>
        <w:tblOverlap w:val="never"/>
        <w:jc w:val="center"/>
        <w:tblLayout w:type="fixed"/>
      </w:tblPr>
      <w:tblGrid>
        <w:gridCol w:w="4824"/>
        <w:gridCol w:w="475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《中国证券报》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20"/>
                <w:szCs w:val="20"/>
              </w:rPr>
              <w:t>http://www.cninfo</w:t>
            </w:r>
            <w:r>
              <w:fldChar w:fldCharType="end"/>
            </w:r>
            <w:r>
              <w:rPr>
                <w:rFonts w:ascii="Times New Roman" w:eastAsia="Times New Roman" w:hAnsi="Times New Roman" w:cs="Times New Roman"/>
                <w:color w:val="000000"/>
                <w:spacing w:val="0"/>
                <w:w w:val="100"/>
                <w:position w:val="0"/>
                <w:sz w:val="20"/>
                <w:szCs w:val="20"/>
              </w:rPr>
              <w:t>. com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公司董事会办公室</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四</w:t>
      </w:r>
      <w:bookmarkEnd w:id="21"/>
      <w:r>
        <w:rPr>
          <w:color w:val="000000"/>
          <w:spacing w:val="0"/>
          <w:w w:val="100"/>
          <w:position w:val="0"/>
        </w:rPr>
        <w:t>、注册变更情况</w:t>
      </w:r>
      <w:bookmarkEnd w:id="19"/>
      <w:bookmarkEnd w:id="20"/>
      <w:bookmarkEnd w:id="22"/>
    </w:p>
    <w:tbl>
      <w:tblPr>
        <w:tblOverlap w:val="never"/>
        <w:jc w:val="center"/>
        <w:tblLayout w:type="fixed"/>
      </w:tblPr>
      <w:tblGrid>
        <w:gridCol w:w="3264"/>
        <w:gridCol w:w="631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统一社会信用代码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911302006010646915</w:t>
            </w:r>
          </w:p>
        </w:tc>
      </w:tr>
    </w:tbl>
    <w:p>
      <w:pPr>
        <w:spacing w:lineRule="exact" w:line="1"/>
        <w:rPr>
          <w:sz w:val="2"/>
          <w:szCs w:val="2"/>
        </w:rPr>
      </w:pPr>
      <w:r>
        <w:br w:type="page"/>
      </w:r>
    </w:p>
    <w:tbl>
      <w:tblPr>
        <w:tblOverlap w:val="never"/>
        <w:jc w:val="center"/>
        <w:tblLayout w:type="fixed"/>
      </w:tblPr>
      <w:tblGrid>
        <w:gridCol w:w="3264"/>
        <w:gridCol w:w="6317"/>
      </w:tblGrid>
      <w:tr>
        <w:trPr>
          <w:trHeight w:val="141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公司上市以来主营业务的变化情况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76"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年公司上市时，主营业务为压电石英晶体元器件的开发、生产和 销售。</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年起，公司开始自筹资金建设</w:t>
            </w:r>
            <w:r>
              <w:rPr>
                <w:rFonts w:ascii="Times New Roman" w:eastAsia="Times New Roman" w:hAnsi="Times New Roman" w:cs="Times New Roman"/>
                <w:color w:val="000000"/>
                <w:spacing w:val="0"/>
                <w:w w:val="100"/>
                <w:position w:val="0"/>
                <w:sz w:val="20"/>
                <w:szCs w:val="20"/>
              </w:rPr>
              <w:t>LED</w:t>
            </w:r>
            <w:r>
              <w:rPr>
                <w:color w:val="000000"/>
                <w:spacing w:val="0"/>
                <w:w w:val="100"/>
                <w:position w:val="0"/>
                <w:sz w:val="20"/>
                <w:szCs w:val="20"/>
              </w:rPr>
              <w:t>蓝宝石衬底生产线， 进入</w:t>
            </w:r>
            <w:r>
              <w:rPr>
                <w:rFonts w:ascii="Times New Roman" w:eastAsia="Times New Roman" w:hAnsi="Times New Roman" w:cs="Times New Roman"/>
                <w:color w:val="000000"/>
                <w:spacing w:val="0"/>
                <w:w w:val="100"/>
                <w:position w:val="0"/>
                <w:sz w:val="20"/>
                <w:szCs w:val="20"/>
              </w:rPr>
              <w:t>LED</w:t>
            </w:r>
            <w:r>
              <w:rPr>
                <w:color w:val="000000"/>
                <w:spacing w:val="0"/>
                <w:w w:val="100"/>
                <w:position w:val="0"/>
                <w:sz w:val="20"/>
                <w:szCs w:val="20"/>
              </w:rPr>
              <w:t>产业领域。</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年，公司实施重大资产重组，收购了北京 同方微电子有限公司和深圳市国微电子有限公司，将主营业务拓展至 集成电路领域。</w:t>
            </w:r>
          </w:p>
        </w:tc>
      </w:tr>
      <w:tr>
        <w:trPr>
          <w:trHeight w:val="130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历次控股股东的变更情况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月，公司控股股东由唐山晶源科技有限公司变更为同方股份 有限公司，实际控制人由自然人阎永江先生变更为清华控股有限公 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月，公司控股股东由同方股份有限公司变更为西藏紫光 春华投资有限公司，公司实际控制人不变，仍为清华控股有限公司。</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五</w:t>
      </w:r>
      <w:bookmarkEnd w:id="25"/>
      <w:r>
        <w:rPr>
          <w:color w:val="000000"/>
          <w:spacing w:val="0"/>
          <w:w w:val="100"/>
          <w:position w:val="0"/>
        </w:rPr>
        <w:t>、其他有关资料</w:t>
      </w:r>
      <w:bookmarkEnd w:id="23"/>
      <w:bookmarkEnd w:id="24"/>
      <w:bookmarkEnd w:id="26"/>
    </w:p>
    <w:p>
      <w:pPr>
        <w:pStyle w:val="Style23"/>
        <w:keepNext/>
        <w:keepLines/>
        <w:widowControl w:val="0"/>
        <w:shd w:val="clear" w:color="auto" w:fill="auto"/>
        <w:bidi w:val="0"/>
        <w:spacing w:before="0" w:after="40" w:line="240" w:lineRule="auto"/>
        <w:ind w:left="0" w:right="0" w:firstLine="0"/>
        <w:jc w:val="left"/>
      </w:pPr>
      <w:bookmarkStart w:id="23" w:name="bookmark23"/>
      <w:bookmarkStart w:id="24" w:name="bookmark24"/>
      <w:r>
        <w:rPr>
          <w:color w:val="000000"/>
          <w:spacing w:val="0"/>
          <w:w w:val="100"/>
          <w:position w:val="0"/>
        </w:rPr>
        <w:t>公司聘请的会计师事务所</w:t>
      </w:r>
      <w:bookmarkEnd w:id="23"/>
      <w:bookmarkEnd w:id="24"/>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北京兴华会计师事务所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特殊普通合伙</w:t>
            </w:r>
            <w:r>
              <w:rPr>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北京市西城区裕民路</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号北环中心</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时彦禄、张娟</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六</w:t>
      </w:r>
      <w:bookmarkEnd w:id="29"/>
      <w:r>
        <w:rPr>
          <w:color w:val="000000"/>
          <w:spacing w:val="0"/>
          <w:w w:val="100"/>
          <w:position w:val="0"/>
        </w:rPr>
        <w:t>、主要会计数据和财务指标</w:t>
      </w:r>
      <w:bookmarkEnd w:id="27"/>
      <w:bookmarkEnd w:id="28"/>
      <w:bookmarkEnd w:id="30"/>
    </w:p>
    <w:tbl>
      <w:tblPr>
        <w:tblOverlap w:val="never"/>
        <w:jc w:val="center"/>
        <w:tblLayout w:type="fixed"/>
      </w:tblPr>
      <w:tblGrid>
        <w:gridCol w:w="2626"/>
        <w:gridCol w:w="1738"/>
        <w:gridCol w:w="1738"/>
        <w:gridCol w:w="1843"/>
        <w:gridCol w:w="163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2014 </w:t>
            </w:r>
            <w:r>
              <w:rPr>
                <w:color w:val="000000"/>
                <w:spacing w:val="0"/>
                <w:w w:val="100"/>
                <w:position w:val="0"/>
                <w:sz w:val="20"/>
                <w:szCs w:val="2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1,418,572,250.23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1,249,795,034.31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1,086,561,897.87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归属于上市公司股东的净利 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336,106,379.14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335,480,068.17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304,356,692.84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归属于上市公司股东的扣除 非经常性损益的净利润（元）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237,988,649.86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259,581,229.90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248,192,642.10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经营活动产生的现金流量净 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129,983,021.66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403,034,480.39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253,305,547.33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0.5539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0.5529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0.5016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0.5539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0.5529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0.5016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-1.15</w:t>
            </w:r>
            <w:r>
              <w:rPr>
                <w:color w:val="000000"/>
                <w:spacing w:val="0"/>
                <w:w w:val="100"/>
                <w:position w:val="0"/>
                <w:sz w:val="20"/>
                <w:szCs w:val="20"/>
              </w:rPr>
              <w:t>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12.25%</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本年末比上年末增 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4,466,612,123.14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4,129,445,552.21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3,489,986,598.89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归属于上市公司股东的净资 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3,192,844,461.90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2,875,145,130.39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2,616,396,592.06</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七</w:t>
      </w:r>
      <w:bookmarkEnd w:id="33"/>
      <w:r>
        <w:rPr>
          <w:color w:val="000000"/>
          <w:spacing w:val="0"/>
          <w:w w:val="100"/>
          <w:position w:val="0"/>
        </w:rPr>
        <w:t>、境内外会计准则下会计数据差异</w:t>
      </w:r>
      <w:bookmarkEnd w:id="31"/>
      <w:bookmarkEnd w:id="32"/>
      <w:bookmarkEnd w:id="34"/>
    </w:p>
    <w:p>
      <w:pPr>
        <w:pStyle w:val="Style28"/>
        <w:keepNext/>
        <w:keepLines/>
        <w:widowControl w:val="0"/>
        <w:shd w:val="clear" w:color="auto" w:fill="auto"/>
        <w:bidi w:val="0"/>
        <w:spacing w:before="0" w:after="260" w:line="240" w:lineRule="auto"/>
        <w:ind w:left="0" w:right="0" w:firstLine="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、同时按照国际会计准则与按照中国会计准则披露的财务报告中净利润和净资产差异情况</w:t>
      </w:r>
      <w:bookmarkEnd w:id="35"/>
      <w:bookmarkEnd w:id="36"/>
      <w:bookmarkEnd w:id="38"/>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公司报告期不存在按照国际会计准则与按照中国会计准则披露的财务报告中净利润和净资产</w:t>
        <w:br w:type="page"/>
      </w:r>
      <w:r>
        <w:rPr>
          <w:color w:val="000000"/>
          <w:spacing w:val="0"/>
          <w:w w:val="100"/>
          <w:position w:val="0"/>
        </w:rPr>
        <w:t>差异情况。</w:t>
      </w:r>
    </w:p>
    <w:p>
      <w:pPr>
        <w:pStyle w:val="Style28"/>
        <w:keepNext/>
        <w:keepLines/>
        <w:widowControl w:val="0"/>
        <w:shd w:val="clear" w:color="auto" w:fill="auto"/>
        <w:bidi w:val="0"/>
        <w:spacing w:before="0" w:after="22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、同时按照境外会计准则与按照中国会计准则披露的财务报告中净利润和净资产差异情况</w:t>
      </w:r>
      <w:bookmarkEnd w:id="39"/>
      <w:bookmarkEnd w:id="40"/>
      <w:bookmarkEnd w:id="42"/>
    </w:p>
    <w:p>
      <w:pPr>
        <w:pStyle w:val="Style31"/>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公司报告期不存在按照境外会计准则与按照中国会计准则披露的财务报告中净利润和净资产 差异情况。</w:t>
      </w:r>
    </w:p>
    <w:p>
      <w:pPr>
        <w:pStyle w:val="Style23"/>
        <w:keepNext/>
        <w:keepLines/>
        <w:widowControl w:val="0"/>
        <w:shd w:val="clear" w:color="auto" w:fill="auto"/>
        <w:bidi w:val="0"/>
        <w:spacing w:before="0" w:after="360" w:line="312" w:lineRule="exact"/>
        <w:ind w:left="0" w:right="0" w:firstLine="0"/>
        <w:jc w:val="left"/>
      </w:pPr>
      <w:bookmarkStart w:id="43" w:name="bookmark43"/>
      <w:bookmarkStart w:id="44" w:name="bookmark44"/>
      <w:bookmarkStart w:id="45" w:name="bookmark45"/>
      <w:bookmarkStart w:id="46" w:name="bookmark46"/>
      <w:r>
        <w:rPr>
          <w:color w:val="000000"/>
          <w:spacing w:val="0"/>
          <w:w w:val="100"/>
          <w:position w:val="0"/>
        </w:rPr>
        <w:t>八</w:t>
      </w:r>
      <w:bookmarkEnd w:id="45"/>
      <w:r>
        <w:rPr>
          <w:color w:val="000000"/>
          <w:spacing w:val="0"/>
          <w:w w:val="100"/>
          <w:position w:val="0"/>
        </w:rPr>
        <w:t>、分季度主要财务指标</w:t>
      </w:r>
      <w:bookmarkEnd w:id="43"/>
      <w:bookmarkEnd w:id="44"/>
      <w:bookmarkEnd w:id="4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1646"/>
        <w:gridCol w:w="1651"/>
        <w:gridCol w:w="1646"/>
        <w:gridCol w:w="165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281,982,086.58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363,578,821.58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350,240,130.32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422,771,211.75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62,800,559.59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87,522,120.27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126,034,027.62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59,749,671.66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归属于上市公司股东的扣除非 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59,023,114.53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77,708,192.84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74,656,226.66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26,601,115.83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-150,894,018.05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105,983,935.47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55,129,561.33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119,763,542.91</w:t>
            </w:r>
          </w:p>
        </w:tc>
      </w:tr>
    </w:tbl>
    <w:p>
      <w:pPr>
        <w:widowControl w:val="0"/>
        <w:spacing w:after="39" w:line="1" w:lineRule="exact"/>
      </w:pPr>
    </w:p>
    <w:p>
      <w:pPr>
        <w:pStyle w:val="Style31"/>
        <w:keepNext w:val="0"/>
        <w:keepLines w:val="0"/>
        <w:widowControl w:val="0"/>
        <w:shd w:val="clear" w:color="auto" w:fill="auto"/>
        <w:bidi w:val="0"/>
        <w:spacing w:before="0" w:line="202" w:lineRule="exact"/>
        <w:ind w:left="0" w:right="0" w:firstLine="0"/>
        <w:jc w:val="left"/>
      </w:pPr>
      <w:r>
        <w:rPr>
          <w:b/>
          <w:bCs/>
          <w:color w:val="000000"/>
          <w:spacing w:val="0"/>
          <w:w w:val="100"/>
          <w:position w:val="0"/>
        </w:rPr>
        <w:t>上述财务指标或其加总数是否与公司已披露季度报告、半年度报告相关财务指标存在重大差 异</w:t>
      </w:r>
    </w:p>
    <w:p>
      <w:pPr>
        <w:pStyle w:val="Style31"/>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是/否</w:t>
      </w:r>
    </w:p>
    <w:p>
      <w:pPr>
        <w:pStyle w:val="Style23"/>
        <w:keepNext/>
        <w:keepLines/>
        <w:widowControl w:val="0"/>
        <w:shd w:val="clear" w:color="auto" w:fill="auto"/>
        <w:bidi w:val="0"/>
        <w:spacing w:before="0" w:after="360" w:line="202" w:lineRule="exact"/>
        <w:ind w:left="0" w:right="0" w:firstLine="0"/>
        <w:jc w:val="both"/>
      </w:pPr>
      <w:bookmarkStart w:id="47" w:name="bookmark47"/>
      <w:bookmarkStart w:id="48" w:name="bookmark48"/>
      <w:bookmarkStart w:id="49" w:name="bookmark49"/>
      <w:bookmarkStart w:id="50" w:name="bookmark50"/>
      <w:r>
        <w:rPr>
          <w:color w:val="000000"/>
          <w:spacing w:val="0"/>
          <w:w w:val="100"/>
          <w:position w:val="0"/>
        </w:rPr>
        <w:t>九</w:t>
      </w:r>
      <w:bookmarkEnd w:id="49"/>
      <w:r>
        <w:rPr>
          <w:color w:val="000000"/>
          <w:spacing w:val="0"/>
          <w:w w:val="100"/>
          <w:position w:val="0"/>
        </w:rPr>
        <w:t>、非经常性损益项目及金额</w:t>
      </w:r>
      <w:bookmarkEnd w:id="47"/>
      <w:bookmarkEnd w:id="48"/>
      <w:bookmarkEnd w:id="5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74"/>
        <w:gridCol w:w="1416"/>
        <w:gridCol w:w="1421"/>
        <w:gridCol w:w="1555"/>
        <w:gridCol w:w="12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非流动资产处置损益（包括己计提资产减值 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-184,451.41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15,967.68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174,564.43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计入当期损益的政府补助（与企业业务密切 相关，按照国家统一标准定额或定量享受的 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120,901,928.10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94,687,926.16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62,063,232.20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企业取得子公司、联营企业及合营企业的投 资成本小于取得投资时应享有被投资单位 可辨认净资产公允价值产生的收益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38,613.71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-7,653,807.36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-5,504,263.36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-168,967.43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11,748,091.98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13,297,368.73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5,943,392.17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3,197,848.07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3,423.48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98,117,729.28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75,898,838.27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56,164,050.74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39" w:line="1" w:lineRule="exact"/>
      </w:pPr>
    </w:p>
    <w:p>
      <w:pPr>
        <w:pStyle w:val="Style31"/>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w:t>
      </w:r>
      <w:r>
        <w:rPr>
          <w:color w:val="000000"/>
          <w:spacing w:val="0"/>
          <w:w w:val="100"/>
          <w:position w:val="0"/>
          <w:sz w:val="24"/>
          <w:szCs w:val="24"/>
        </w:rPr>
        <w:t>一一</w:t>
      </w:r>
      <w:r>
        <w:rPr>
          <w:color w:val="000000"/>
          <w:spacing w:val="0"/>
          <w:w w:val="100"/>
          <w:position w:val="0"/>
        </w:rPr>
        <w:t>非经常性损 益》定义、列举的非经常性损益项目界定为经常性损益的项目的情形。</w:t>
      </w:r>
    </w:p>
    <w:p>
      <w:pPr>
        <w:pStyle w:val="Style15"/>
        <w:keepNext/>
        <w:keepLines/>
        <w:widowControl w:val="0"/>
        <w:shd w:val="clear" w:color="auto" w:fill="auto"/>
        <w:bidi w:val="0"/>
        <w:spacing w:before="0" w:after="36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3"/>
        <w:keepNext/>
        <w:keepLines/>
        <w:widowControl w:val="0"/>
        <w:shd w:val="clear" w:color="auto" w:fill="auto"/>
        <w:tabs>
          <w:tab w:pos="515" w:val="left"/>
        </w:tabs>
        <w:bidi w:val="0"/>
        <w:spacing w:before="0" w:after="240" w:line="315" w:lineRule="exact"/>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rPr>
        <w:t>一</w:t>
      </w:r>
      <w:bookmarkEnd w:id="57"/>
      <w:r>
        <w:rPr>
          <w:color w:val="000000"/>
          <w:spacing w:val="0"/>
          <w:w w:val="100"/>
          <w:position w:val="0"/>
        </w:rPr>
        <w:t>、</w:t>
        <w:tab/>
        <w:t>报告期内公司从事的主要业务</w:t>
      </w:r>
      <w:bookmarkEnd w:id="55"/>
      <w:bookmarkEnd w:id="56"/>
      <w:bookmarkEnd w:id="58"/>
      <w:bookmarkEnd w:id="54"/>
    </w:p>
    <w:p>
      <w:pPr>
        <w:pStyle w:val="Style31"/>
        <w:keepNext w:val="0"/>
        <w:keepLines w:val="0"/>
        <w:widowControl w:val="0"/>
        <w:shd w:val="clear" w:color="auto" w:fill="auto"/>
        <w:bidi w:val="0"/>
        <w:spacing w:before="0" w:line="314" w:lineRule="exact"/>
        <w:ind w:left="0" w:right="0" w:firstLine="480"/>
        <w:jc w:val="both"/>
      </w:pPr>
      <w:r>
        <w:rPr>
          <w:color w:val="000000"/>
          <w:spacing w:val="0"/>
          <w:w w:val="100"/>
          <w:position w:val="0"/>
        </w:rPr>
        <w:t>报告期内，公司的主要业务为集成电路芯片设计与销售，包括智能芯片产品、特种集成 电路产品和存储器芯片产品，分别由北京同方微电子有限公司（简称“同方微电子”）、深 圳市国微电子有限公司（简称“国微电子”）和西安紫光国芯半导体有限公司（简称“西安 紫光国芯”）三个核心子公司承担。石英晶体元器件及蓝宝石衬底材料业务原由母公司下属 的晶体事业部承担，本年度内已调整至全资子公司唐山国芯晶源电子有限公司（简称“国芯 晶源”）。</w:t>
      </w:r>
    </w:p>
    <w:p>
      <w:pPr>
        <w:pStyle w:val="Style31"/>
        <w:keepNext w:val="0"/>
        <w:keepLines w:val="0"/>
        <w:widowControl w:val="0"/>
        <w:shd w:val="clear" w:color="auto" w:fill="auto"/>
        <w:bidi w:val="0"/>
        <w:spacing w:before="0" w:after="300" w:line="316" w:lineRule="exact"/>
        <w:ind w:left="0" w:right="0" w:firstLine="480"/>
        <w:jc w:val="both"/>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i/>
          <w:iCs/>
          <w:color w:val="000000"/>
          <w:spacing w:val="0"/>
          <w:w w:val="100"/>
          <w:position w:val="0"/>
        </w:rPr>
        <w:t>4</w:t>
      </w:r>
      <w:r>
        <w:rPr>
          <w:color w:val="000000"/>
          <w:spacing w:val="0"/>
          <w:w w:val="100"/>
          <w:position w:val="0"/>
        </w:rPr>
        <w:t>日，公司董事会审议通过公司非公开发行股票事项，拟通过募投项目的 实施，涉足存储器芯片制造领域，为完善公司集成电路产业链创造有利条件。报告期内，公 司结合项目实施情况对上述方案进行了调整，目前仍在推进中。未来，公司将继续积极布局 半导体芯片产业领域，形成控股公司、参股公司协同发展的业务架构，推动公司长期战略目 标的实现。</w:t>
      </w:r>
    </w:p>
    <w:p>
      <w:pPr>
        <w:pStyle w:val="Style23"/>
        <w:keepNext/>
        <w:keepLines/>
        <w:widowControl w:val="0"/>
        <w:shd w:val="clear" w:color="auto" w:fill="auto"/>
        <w:tabs>
          <w:tab w:pos="515" w:val="left"/>
        </w:tabs>
        <w:bidi w:val="0"/>
        <w:spacing w:before="0" w:after="360" w:line="315" w:lineRule="exact"/>
        <w:ind w:left="0" w:right="0" w:firstLine="0"/>
        <w:jc w:val="left"/>
      </w:pPr>
      <w:bookmarkStart w:id="59" w:name="bookmark59"/>
      <w:bookmarkStart w:id="60" w:name="bookmark60"/>
      <w:bookmarkStart w:id="61" w:name="bookmark61"/>
      <w:bookmarkStart w:id="62" w:name="bookmark62"/>
      <w:r>
        <w:rPr>
          <w:color w:val="000000"/>
          <w:spacing w:val="0"/>
          <w:w w:val="100"/>
          <w:position w:val="0"/>
        </w:rPr>
        <w:t>二</w:t>
      </w:r>
      <w:bookmarkEnd w:id="61"/>
      <w:r>
        <w:rPr>
          <w:color w:val="000000"/>
          <w:spacing w:val="0"/>
          <w:w w:val="100"/>
          <w:position w:val="0"/>
        </w:rPr>
        <w:t>、</w:t>
        <w:tab/>
        <w:t>主要资产重大变化情况</w:t>
      </w:r>
      <w:bookmarkEnd w:id="59"/>
      <w:bookmarkEnd w:id="60"/>
      <w:bookmarkEnd w:id="62"/>
    </w:p>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63" w:name="bookmark6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bookmarkEnd w:id="63"/>
    </w:p>
    <w:tbl>
      <w:tblPr>
        <w:tblOverlap w:val="never"/>
        <w:jc w:val="center"/>
        <w:tblLayout w:type="fixed"/>
      </w:tblPr>
      <w:tblGrid>
        <w:gridCol w:w="3058"/>
        <w:gridCol w:w="65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无重大变化。</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无重大变化。</w:t>
            </w:r>
          </w:p>
        </w:tc>
      </w:tr>
    </w:tbl>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64" w:name="bookmark6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、主要境外资产情况</w:t>
      </w:r>
      <w:bookmarkEnd w:id="64"/>
    </w:p>
    <w:p>
      <w:pPr>
        <w:widowControl w:val="0"/>
        <w:spacing w:after="359" w:line="1" w:lineRule="exact"/>
      </w:pPr>
    </w:p>
    <w:p>
      <w:pPr>
        <w:pStyle w:val="Style31"/>
        <w:keepNext w:val="0"/>
        <w:keepLines w:val="0"/>
        <w:widowControl w:val="0"/>
        <w:shd w:val="clear" w:color="auto" w:fill="auto"/>
        <w:bidi w:val="0"/>
        <w:spacing w:before="0" w:after="300" w:line="240" w:lineRule="auto"/>
        <w:ind w:left="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适用/不适用</w:t>
      </w:r>
    </w:p>
    <w:p>
      <w:pPr>
        <w:pStyle w:val="Style23"/>
        <w:keepNext/>
        <w:keepLines/>
        <w:widowControl w:val="0"/>
        <w:shd w:val="clear" w:color="auto" w:fill="auto"/>
        <w:bidi w:val="0"/>
        <w:spacing w:before="0" w:after="300" w:line="315" w:lineRule="exact"/>
        <w:ind w:left="0" w:right="0" w:firstLine="0"/>
        <w:jc w:val="left"/>
      </w:pPr>
      <w:bookmarkStart w:id="65" w:name="bookmark65"/>
      <w:bookmarkStart w:id="66" w:name="bookmark66"/>
      <w:bookmarkStart w:id="67" w:name="bookmark67"/>
      <w:bookmarkStart w:id="68" w:name="bookmark68"/>
      <w:r>
        <w:rPr>
          <w:color w:val="000000"/>
          <w:spacing w:val="0"/>
          <w:w w:val="100"/>
          <w:position w:val="0"/>
        </w:rPr>
        <w:t>三</w:t>
      </w:r>
      <w:bookmarkEnd w:id="67"/>
      <w:r>
        <w:rPr>
          <w:color w:val="000000"/>
          <w:spacing w:val="0"/>
          <w:w w:val="100"/>
          <w:position w:val="0"/>
        </w:rPr>
        <w:t>、核心竞争力分析</w:t>
      </w:r>
      <w:bookmarkEnd w:id="65"/>
      <w:bookmarkEnd w:id="66"/>
      <w:bookmarkEnd w:id="68"/>
    </w:p>
    <w:p>
      <w:pPr>
        <w:pStyle w:val="Style31"/>
        <w:keepNext w:val="0"/>
        <w:keepLines w:val="0"/>
        <w:widowControl w:val="0"/>
        <w:shd w:val="clear" w:color="auto" w:fill="auto"/>
        <w:bidi w:val="0"/>
        <w:spacing w:before="0" w:after="0" w:line="317" w:lineRule="exact"/>
        <w:ind w:left="0" w:right="0" w:firstLine="480"/>
        <w:jc w:val="both"/>
      </w:pPr>
      <w:r>
        <w:rPr>
          <w:color w:val="000000"/>
          <w:spacing w:val="0"/>
          <w:w w:val="100"/>
          <w:position w:val="0"/>
        </w:rPr>
        <w:t>报告期内，公司在战略布局存储器芯片产业链的同时，通过集团内资源优化配置及相关 业务的协同合作，推动现有核心业务的健康发展，核心竞争力不断增强。主要体现在以下方 面：</w:t>
      </w:r>
    </w:p>
    <w:p>
      <w:pPr>
        <w:pStyle w:val="Style31"/>
        <w:keepNext w:val="0"/>
        <w:keepLines w:val="0"/>
        <w:widowControl w:val="0"/>
        <w:shd w:val="clear" w:color="auto" w:fill="auto"/>
        <w:bidi w:val="0"/>
        <w:spacing w:before="0" w:after="0" w:line="315" w:lineRule="exact"/>
        <w:ind w:left="0" w:right="0" w:firstLine="480"/>
        <w:jc w:val="both"/>
      </w:pPr>
      <w:bookmarkStart w:id="69" w:name="bookmark69"/>
      <w:r>
        <w:rPr>
          <w:rFonts w:ascii="Times New Roman" w:eastAsia="Times New Roman" w:hAnsi="Times New Roman" w:cs="Times New Roman"/>
          <w:color w:val="000000"/>
          <w:spacing w:val="0"/>
          <w:w w:val="100"/>
          <w:position w:val="0"/>
          <w:sz w:val="24"/>
          <w:szCs w:val="24"/>
        </w:rPr>
        <w:t>1</w:t>
      </w:r>
      <w:bookmarkEnd w:id="69"/>
      <w:r>
        <w:rPr>
          <w:color w:val="000000"/>
          <w:spacing w:val="0"/>
          <w:w w:val="100"/>
          <w:position w:val="0"/>
        </w:rPr>
        <w:t>、人才与技术优势</w:t>
      </w:r>
    </w:p>
    <w:p>
      <w:pPr>
        <w:pStyle w:val="Style31"/>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公司拥有集成电路行业内优秀的技术、研发和管理团队，为公司健康持续发展提供了有 力保障。公司的管理团队具有平均超过</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年的集成电路从业经历，在业内有广泛的资源和影 响力；公司的技术、研发团队在数字、模拟及数模混合集成电路的设计和产业化方面积累了 丰富经验。</w:t>
      </w:r>
    </w:p>
    <w:p>
      <w:pPr>
        <w:pStyle w:val="Style31"/>
        <w:keepNext w:val="0"/>
        <w:keepLines w:val="0"/>
        <w:widowControl w:val="0"/>
        <w:shd w:val="clear" w:color="auto" w:fill="auto"/>
        <w:bidi w:val="0"/>
        <w:spacing w:before="0" w:after="80" w:line="315" w:lineRule="exact"/>
        <w:ind w:left="0" w:right="0" w:firstLine="480"/>
        <w:jc w:val="both"/>
      </w:pPr>
      <w:r>
        <w:rPr>
          <w:color w:val="000000"/>
          <w:spacing w:val="0"/>
          <w:w w:val="100"/>
          <w:position w:val="0"/>
        </w:rPr>
        <w:t xml:space="preserve">公司深耕于集成电路相关领域多年，凭借不断的技术积累和历练，在智能卡与智能终端 </w:t>
      </w:r>
      <w:r>
        <w:rPr>
          <w:color w:val="000000"/>
          <w:spacing w:val="0"/>
          <w:w w:val="100"/>
          <w:position w:val="0"/>
        </w:rPr>
        <w:t>芯片、特种集成电路、存储器芯片等核心产品方面已形成业内领先的技术优势，为产品核心 竞争力的形成奠定了坚实基础。</w:t>
      </w:r>
    </w:p>
    <w:p>
      <w:pPr>
        <w:pStyle w:val="Style31"/>
        <w:keepNext w:val="0"/>
        <w:keepLines w:val="0"/>
        <w:widowControl w:val="0"/>
        <w:shd w:val="clear" w:color="auto" w:fill="auto"/>
        <w:tabs>
          <w:tab w:pos="856" w:val="left"/>
        </w:tabs>
        <w:bidi w:val="0"/>
        <w:spacing w:before="0" w:after="0" w:line="276" w:lineRule="auto"/>
        <w:ind w:left="0" w:right="0" w:firstLine="480"/>
        <w:jc w:val="both"/>
      </w:pPr>
      <w:bookmarkStart w:id="70" w:name="bookmark70"/>
      <w:r>
        <w:rPr>
          <w:rFonts w:ascii="Times New Roman" w:eastAsia="Times New Roman" w:hAnsi="Times New Roman" w:cs="Times New Roman"/>
          <w:color w:val="000000"/>
          <w:spacing w:val="0"/>
          <w:w w:val="100"/>
          <w:position w:val="0"/>
          <w:sz w:val="24"/>
          <w:szCs w:val="24"/>
        </w:rPr>
        <w:t>2</w:t>
      </w:r>
      <w:bookmarkEnd w:id="70"/>
      <w:r>
        <w:rPr>
          <w:color w:val="000000"/>
          <w:spacing w:val="0"/>
          <w:w w:val="100"/>
          <w:position w:val="0"/>
        </w:rPr>
        <w:t>、</w:t>
        <w:tab/>
        <w:t>研发与创新优势</w:t>
      </w:r>
    </w:p>
    <w:p>
      <w:pPr>
        <w:pStyle w:val="Style31"/>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公司始终重视技术创新和研发投入，注重科研创新能力与产品开发能力的结合，努力提 高“自主可控”能力，不断提升公司的综合技术实力，致力于提供差异化的高性价比产品与 服务。</w:t>
      </w:r>
    </w:p>
    <w:p>
      <w:pPr>
        <w:pStyle w:val="Style31"/>
        <w:keepNext w:val="0"/>
        <w:keepLines w:val="0"/>
        <w:widowControl w:val="0"/>
        <w:shd w:val="clear" w:color="auto" w:fill="auto"/>
        <w:bidi w:val="0"/>
        <w:spacing w:before="0" w:after="80" w:line="317" w:lineRule="exact"/>
        <w:ind w:left="0" w:right="0" w:firstLine="480"/>
        <w:jc w:val="both"/>
      </w:pPr>
      <w:r>
        <w:rPr>
          <w:color w:val="000000"/>
          <w:spacing w:val="0"/>
          <w:w w:val="100"/>
          <w:position w:val="0"/>
        </w:rPr>
        <w:t>报告期内，公司新申请专利</w:t>
      </w:r>
      <w:r>
        <w:rPr>
          <w:rFonts w:ascii="Times New Roman" w:eastAsia="Times New Roman" w:hAnsi="Times New Roman" w:cs="Times New Roman"/>
          <w:color w:val="000000"/>
          <w:spacing w:val="0"/>
          <w:w w:val="100"/>
          <w:position w:val="0"/>
          <w:sz w:val="24"/>
          <w:szCs w:val="24"/>
        </w:rPr>
        <w:t>261</w:t>
      </w:r>
      <w:r>
        <w:rPr>
          <w:color w:val="000000"/>
          <w:spacing w:val="0"/>
          <w:w w:val="100"/>
          <w:position w:val="0"/>
        </w:rPr>
        <w:t>项，新获授权专利</w:t>
      </w:r>
      <w:r>
        <w:rPr>
          <w:rFonts w:ascii="Times New Roman" w:eastAsia="Times New Roman" w:hAnsi="Times New Roman" w:cs="Times New Roman"/>
          <w:color w:val="000000"/>
          <w:spacing w:val="0"/>
          <w:w w:val="100"/>
          <w:position w:val="0"/>
          <w:sz w:val="24"/>
          <w:szCs w:val="24"/>
        </w:rPr>
        <w:t>106</w:t>
      </w:r>
      <w:r>
        <w:rPr>
          <w:color w:val="000000"/>
          <w:spacing w:val="0"/>
          <w:w w:val="100"/>
          <w:position w:val="0"/>
        </w:rPr>
        <w:t>项，新获得软件著作权</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项。公 司承担完成了集成电路领域的多个国家重大专项和新产品开发项目，在产品开发和产业化技 术方面取得突破，进一步提升了公司核心产品的技术与研发优势。子公司国微电子参与完成 的“高能效动态可重构计算及其系统芯片关键技术”荣获国家技术发明奖二等奖。</w:t>
      </w:r>
    </w:p>
    <w:p>
      <w:pPr>
        <w:pStyle w:val="Style31"/>
        <w:keepNext w:val="0"/>
        <w:keepLines w:val="0"/>
        <w:widowControl w:val="0"/>
        <w:shd w:val="clear" w:color="auto" w:fill="auto"/>
        <w:tabs>
          <w:tab w:pos="856" w:val="left"/>
        </w:tabs>
        <w:bidi w:val="0"/>
        <w:spacing w:before="0" w:after="0" w:line="276" w:lineRule="auto"/>
        <w:ind w:left="0" w:right="0" w:firstLine="480"/>
        <w:jc w:val="both"/>
      </w:pPr>
      <w:bookmarkStart w:id="71" w:name="bookmark71"/>
      <w:r>
        <w:rPr>
          <w:rFonts w:ascii="Times New Roman" w:eastAsia="Times New Roman" w:hAnsi="Times New Roman" w:cs="Times New Roman"/>
          <w:color w:val="000000"/>
          <w:spacing w:val="0"/>
          <w:w w:val="100"/>
          <w:position w:val="0"/>
          <w:sz w:val="24"/>
          <w:szCs w:val="24"/>
        </w:rPr>
        <w:t>3</w:t>
      </w:r>
      <w:bookmarkEnd w:id="71"/>
      <w:r>
        <w:rPr>
          <w:color w:val="000000"/>
          <w:spacing w:val="0"/>
          <w:w w:val="100"/>
          <w:position w:val="0"/>
        </w:rPr>
        <w:t>、</w:t>
        <w:tab/>
        <w:t>资质与产品优势</w:t>
      </w:r>
    </w:p>
    <w:p>
      <w:pPr>
        <w:pStyle w:val="Style3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在集成电路设计方面，目前公司涉足的智能卡与智能终端芯片、特种集成电路设计和大 容量存储器芯片核心设计及测试领域所需相关资质完备，有三家子公司为“国家规划布局内 集成电路设计企业”。</w:t>
      </w:r>
    </w:p>
    <w:p>
      <w:pPr>
        <w:pStyle w:val="Style31"/>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报告期内，公司的双界面金融</w:t>
      </w:r>
      <w:r>
        <w:rPr>
          <w:rFonts w:ascii="Times New Roman" w:eastAsia="Times New Roman" w:hAnsi="Times New Roman" w:cs="Times New Roman"/>
          <w:color w:val="000000"/>
          <w:spacing w:val="0"/>
          <w:w w:val="100"/>
          <w:position w:val="0"/>
          <w:sz w:val="24"/>
          <w:szCs w:val="24"/>
        </w:rPr>
        <w:t>IC</w:t>
      </w:r>
      <w:r>
        <w:rPr>
          <w:color w:val="000000"/>
          <w:spacing w:val="0"/>
          <w:w w:val="100"/>
          <w:position w:val="0"/>
        </w:rPr>
        <w:t>卡芯片</w:t>
      </w:r>
      <w:r>
        <w:rPr>
          <w:rFonts w:ascii="Times New Roman" w:eastAsia="Times New Roman" w:hAnsi="Times New Roman" w:cs="Times New Roman"/>
          <w:color w:val="000000"/>
          <w:spacing w:val="0"/>
          <w:w w:val="100"/>
          <w:position w:val="0"/>
          <w:sz w:val="24"/>
          <w:szCs w:val="24"/>
        </w:rPr>
        <w:t>THD88</w:t>
      </w:r>
      <w:r>
        <w:rPr>
          <w:color w:val="000000"/>
          <w:spacing w:val="0"/>
          <w:w w:val="100"/>
          <w:position w:val="0"/>
        </w:rPr>
        <w:t>获得国际</w:t>
      </w:r>
      <w:r>
        <w:rPr>
          <w:rFonts w:ascii="Times New Roman" w:eastAsia="Times New Roman" w:hAnsi="Times New Roman" w:cs="Times New Roman"/>
          <w:color w:val="000000"/>
          <w:spacing w:val="0"/>
          <w:w w:val="100"/>
          <w:position w:val="0"/>
          <w:sz w:val="24"/>
          <w:szCs w:val="24"/>
        </w:rPr>
        <w:t>CC EAL5+</w:t>
      </w:r>
      <w:r>
        <w:rPr>
          <w:color w:val="000000"/>
          <w:spacing w:val="0"/>
          <w:w w:val="100"/>
          <w:position w:val="0"/>
        </w:rPr>
        <w:t xml:space="preserve">安全认证及国际 </w:t>
      </w:r>
      <w:r>
        <w:rPr>
          <w:rFonts w:ascii="Times New Roman" w:eastAsia="Times New Roman" w:hAnsi="Times New Roman" w:cs="Times New Roman"/>
          <w:color w:val="000000"/>
          <w:spacing w:val="0"/>
          <w:w w:val="100"/>
          <w:position w:val="0"/>
          <w:sz w:val="24"/>
          <w:szCs w:val="24"/>
        </w:rPr>
        <w:t>EMVC</w:t>
      </w:r>
      <w:r>
        <w:rPr>
          <w:color w:val="000000"/>
          <w:spacing w:val="0"/>
          <w:w w:val="100"/>
          <w:position w:val="0"/>
          <w:sz w:val="24"/>
          <w:szCs w:val="24"/>
        </w:rPr>
        <w:t>。</w:t>
      </w:r>
      <w:r>
        <w:rPr>
          <w:color w:val="000000"/>
          <w:spacing w:val="0"/>
          <w:w w:val="100"/>
          <w:position w:val="0"/>
        </w:rPr>
        <w:t>安全资质认证，强化了公司在信息安全类芯片产品方面的资质优势。</w:t>
      </w:r>
    </w:p>
    <w:p>
      <w:pPr>
        <w:pStyle w:val="Style31"/>
        <w:keepNext w:val="0"/>
        <w:keepLines w:val="0"/>
        <w:widowControl w:val="0"/>
        <w:shd w:val="clear" w:color="auto" w:fill="auto"/>
        <w:tabs>
          <w:tab w:pos="856" w:val="left"/>
        </w:tabs>
        <w:bidi w:val="0"/>
        <w:spacing w:before="0" w:after="0" w:line="276" w:lineRule="auto"/>
        <w:ind w:left="0" w:right="0" w:firstLine="480"/>
        <w:jc w:val="both"/>
      </w:pPr>
      <w:bookmarkStart w:id="72" w:name="bookmark72"/>
      <w:r>
        <w:rPr>
          <w:rFonts w:ascii="Times New Roman" w:eastAsia="Times New Roman" w:hAnsi="Times New Roman" w:cs="Times New Roman"/>
          <w:color w:val="000000"/>
          <w:spacing w:val="0"/>
          <w:w w:val="100"/>
          <w:position w:val="0"/>
          <w:sz w:val="24"/>
          <w:szCs w:val="24"/>
        </w:rPr>
        <w:t>4</w:t>
      </w:r>
      <w:bookmarkEnd w:id="72"/>
      <w:r>
        <w:rPr>
          <w:color w:val="000000"/>
          <w:spacing w:val="0"/>
          <w:w w:val="100"/>
          <w:position w:val="0"/>
        </w:rPr>
        <w:t>、</w:t>
        <w:tab/>
        <w:t>市场与渠道优势</w:t>
      </w:r>
    </w:p>
    <w:p>
      <w:pPr>
        <w:pStyle w:val="Style3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通过多年的市场耕耘，公司积累了深厚的客户资源，目前公司智能卡芯片业务的客户包 括了法国金雅拓公司和德国捷德公司在内的全球前六大智能卡卡商，产品销往全球市场；公 司特种集成电路业务的客户包括了多家国家重点特种装备研制单位，产品广泛用于国家重点 项目等各类特种装备。大容量存储器芯片业务的客户包括美国、日本和台湾地区的知名半导 体公司，测试服务已达到世界主流水平。</w:t>
      </w:r>
    </w:p>
    <w:p>
      <w:pPr>
        <w:pStyle w:val="Style31"/>
        <w:keepNext w:val="0"/>
        <w:keepLines w:val="0"/>
        <w:widowControl w:val="0"/>
        <w:shd w:val="clear" w:color="auto" w:fill="auto"/>
        <w:bidi w:val="0"/>
        <w:spacing w:before="0" w:after="40" w:line="317" w:lineRule="exact"/>
        <w:ind w:left="0" w:right="0" w:firstLine="480"/>
        <w:jc w:val="both"/>
        <w:sectPr>
          <w:footnotePr>
            <w:pos w:val="pageBottom"/>
            <w:numFmt w:val="decimal"/>
            <w:numRestart w:val="continuous"/>
          </w:footnotePr>
          <w:pgSz w:w="11900" w:h="16840"/>
          <w:pgMar w:top="1412" w:right="1115" w:bottom="1518" w:left="1094" w:header="0" w:footer="3" w:gutter="0"/>
          <w:cols w:space="720"/>
          <w:noEndnote/>
          <w:rtlGutter w:val="0"/>
          <w:docGrid w:linePitch="360"/>
        </w:sectPr>
      </w:pPr>
      <w:r>
        <w:rPr>
          <w:color w:val="000000"/>
          <w:spacing w:val="0"/>
          <w:w w:val="100"/>
          <w:position w:val="0"/>
        </w:rPr>
        <w:t>未来，公司将继续密切跟踪市场需求，结合自主创新和技术人才方面的优势，提供差异 化产品与服务，同时积极开拓集成电路产业链上下游市场，借助资本市场力量，实现公司战 略目标。</w:t>
      </w:r>
    </w:p>
    <w:p>
      <w:pPr>
        <w:pStyle w:val="Style15"/>
        <w:keepNext/>
        <w:keepLines/>
        <w:widowControl w:val="0"/>
        <w:shd w:val="clear" w:color="auto" w:fill="auto"/>
        <w:bidi w:val="0"/>
        <w:spacing w:before="560" w:after="500" w:line="240" w:lineRule="auto"/>
        <w:ind w:left="0" w:right="0" w:firstLine="0"/>
        <w:jc w:val="center"/>
      </w:pPr>
      <w:bookmarkStart w:id="73" w:name="bookmark73"/>
      <w:bookmarkStart w:id="74" w:name="bookmark74"/>
      <w:bookmarkStart w:id="75" w:name="bookmark75"/>
      <w:r>
        <w:rPr>
          <w:color w:val="000000"/>
          <w:spacing w:val="0"/>
          <w:w w:val="100"/>
          <w:position w:val="0"/>
        </w:rPr>
        <w:t>第四节管理层讨论与分析</w:t>
      </w:r>
      <w:bookmarkEnd w:id="73"/>
      <w:bookmarkEnd w:id="74"/>
      <w:bookmarkEnd w:id="75"/>
    </w:p>
    <w:p>
      <w:pPr>
        <w:pStyle w:val="Style23"/>
        <w:keepNext/>
        <w:keepLines/>
        <w:widowControl w:val="0"/>
        <w:shd w:val="clear" w:color="auto" w:fill="auto"/>
        <w:tabs>
          <w:tab w:pos="508" w:val="left"/>
        </w:tabs>
        <w:bidi w:val="0"/>
        <w:spacing w:before="0" w:after="280" w:line="314" w:lineRule="exact"/>
        <w:ind w:left="0" w:right="0" w:firstLine="0"/>
        <w:jc w:val="left"/>
      </w:pPr>
      <w:bookmarkStart w:id="76" w:name="bookmark76"/>
      <w:bookmarkStart w:id="77" w:name="bookmark77"/>
      <w:bookmarkStart w:id="78" w:name="bookmark78"/>
      <w:bookmarkStart w:id="79" w:name="bookmark79"/>
      <w:bookmarkStart w:id="80" w:name="bookmark80"/>
      <w:r>
        <w:rPr>
          <w:color w:val="000000"/>
          <w:spacing w:val="0"/>
          <w:w w:val="100"/>
          <w:position w:val="0"/>
        </w:rPr>
        <w:t>一</w:t>
      </w:r>
      <w:bookmarkEnd w:id="79"/>
      <w:r>
        <w:rPr>
          <w:color w:val="000000"/>
          <w:spacing w:val="0"/>
          <w:w w:val="100"/>
          <w:position w:val="0"/>
        </w:rPr>
        <w:t>、</w:t>
        <w:tab/>
        <w:t>概述</w:t>
      </w:r>
      <w:bookmarkEnd w:id="77"/>
      <w:bookmarkEnd w:id="78"/>
      <w:bookmarkEnd w:id="80"/>
      <w:bookmarkEnd w:id="76"/>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随着国家集成电路产业政策的系统实施，更有利于产业发展的政策环境和投融资环境已 基本形成。在政策导向、市场需求的共同推动下，我国集成电路产业继续保持了平稳快速的 发展态势。报告期内，在董事会的领导下，公司一方面围绕“打造行业领先”的目标，保持 各项经营业务的健康发展和整体经营业绩的稳步提升。另一方面,在紫光集团的统一部署下， 积极推进非公开发行股票项目，规划在存储器芯片领域的战略布局。</w:t>
      </w:r>
    </w:p>
    <w:p>
      <w:pPr>
        <w:pStyle w:val="Style31"/>
        <w:keepNext w:val="0"/>
        <w:keepLines w:val="0"/>
        <w:widowControl w:val="0"/>
        <w:shd w:val="clear" w:color="auto" w:fill="auto"/>
        <w:bidi w:val="0"/>
        <w:spacing w:before="0" w:after="280" w:line="312" w:lineRule="exact"/>
        <w:ind w:left="0" w:right="0" w:firstLine="46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年度，公司实现营业收入</w:t>
      </w:r>
      <w:r>
        <w:rPr>
          <w:rFonts w:ascii="Times New Roman" w:eastAsia="Times New Roman" w:hAnsi="Times New Roman" w:cs="Times New Roman"/>
          <w:color w:val="000000"/>
          <w:spacing w:val="0"/>
          <w:w w:val="100"/>
          <w:position w:val="0"/>
          <w:sz w:val="24"/>
          <w:szCs w:val="24"/>
        </w:rPr>
        <w:t>141,857.22</w:t>
      </w:r>
      <w:r>
        <w:rPr>
          <w:color w:val="000000"/>
          <w:spacing w:val="0"/>
          <w:w w:val="100"/>
          <w:position w:val="0"/>
        </w:rPr>
        <w:t>万元，较上年同期增加</w:t>
      </w:r>
      <w:r>
        <w:rPr>
          <w:rFonts w:ascii="Times New Roman" w:eastAsia="Times New Roman" w:hAnsi="Times New Roman" w:cs="Times New Roman"/>
          <w:color w:val="000000"/>
          <w:spacing w:val="0"/>
          <w:w w:val="100"/>
          <w:position w:val="0"/>
          <w:sz w:val="24"/>
          <w:szCs w:val="24"/>
        </w:rPr>
        <w:t>13.50%</w:t>
      </w:r>
      <w:r>
        <w:rPr>
          <w:color w:val="000000"/>
          <w:spacing w:val="0"/>
          <w:w w:val="100"/>
          <w:position w:val="0"/>
        </w:rPr>
        <w:t>；归属于上市公 司股东的净利润</w:t>
      </w:r>
      <w:r>
        <w:rPr>
          <w:rFonts w:ascii="Times New Roman" w:eastAsia="Times New Roman" w:hAnsi="Times New Roman" w:cs="Times New Roman"/>
          <w:color w:val="000000"/>
          <w:spacing w:val="0"/>
          <w:w w:val="100"/>
          <w:position w:val="0"/>
          <w:sz w:val="24"/>
          <w:szCs w:val="24"/>
        </w:rPr>
        <w:t>33,610.64</w:t>
      </w:r>
      <w:r>
        <w:rPr>
          <w:color w:val="000000"/>
          <w:spacing w:val="0"/>
          <w:w w:val="100"/>
          <w:position w:val="0"/>
        </w:rPr>
        <w:t xml:space="preserve">万元，较上年同期增加了 </w:t>
      </w:r>
      <w:r>
        <w:rPr>
          <w:rFonts w:ascii="Times New Roman" w:eastAsia="Times New Roman" w:hAnsi="Times New Roman" w:cs="Times New Roman"/>
          <w:color w:val="000000"/>
          <w:spacing w:val="0"/>
          <w:w w:val="100"/>
          <w:position w:val="0"/>
          <w:sz w:val="24"/>
          <w:szCs w:val="24"/>
        </w:rPr>
        <w:t>0.19%</w:t>
      </w: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 总资产</w:t>
      </w:r>
      <w:r>
        <w:rPr>
          <w:rFonts w:ascii="Times New Roman" w:eastAsia="Times New Roman" w:hAnsi="Times New Roman" w:cs="Times New Roman"/>
          <w:color w:val="000000"/>
          <w:spacing w:val="0"/>
          <w:w w:val="100"/>
          <w:position w:val="0"/>
          <w:sz w:val="24"/>
          <w:szCs w:val="24"/>
        </w:rPr>
        <w:t>446,661.21</w:t>
      </w:r>
      <w:r>
        <w:rPr>
          <w:color w:val="000000"/>
          <w:spacing w:val="0"/>
          <w:w w:val="100"/>
          <w:position w:val="0"/>
        </w:rPr>
        <w:t>万元，同比增长</w:t>
      </w:r>
      <w:r>
        <w:rPr>
          <w:rFonts w:ascii="Times New Roman" w:eastAsia="Times New Roman" w:hAnsi="Times New Roman" w:cs="Times New Roman"/>
          <w:color w:val="000000"/>
          <w:spacing w:val="0"/>
          <w:w w:val="100"/>
          <w:position w:val="0"/>
          <w:sz w:val="24"/>
          <w:szCs w:val="24"/>
        </w:rPr>
        <w:t>8.16%</w:t>
      </w:r>
      <w:r>
        <w:rPr>
          <w:color w:val="000000"/>
          <w:spacing w:val="0"/>
          <w:w w:val="100"/>
          <w:position w:val="0"/>
        </w:rPr>
        <w:t>；归属于上市公司股东的所有者权益</w:t>
      </w:r>
      <w:r>
        <w:rPr>
          <w:rFonts w:ascii="Times New Roman" w:eastAsia="Times New Roman" w:hAnsi="Times New Roman" w:cs="Times New Roman"/>
          <w:color w:val="000000"/>
          <w:spacing w:val="0"/>
          <w:w w:val="100"/>
          <w:position w:val="0"/>
          <w:sz w:val="24"/>
          <w:szCs w:val="24"/>
        </w:rPr>
        <w:t>319,284.45</w:t>
      </w:r>
      <w:r>
        <w:rPr>
          <w:color w:val="000000"/>
          <w:spacing w:val="0"/>
          <w:w w:val="100"/>
          <w:position w:val="0"/>
        </w:rPr>
        <w:t>万 元，同比增长</w:t>
      </w:r>
      <w:r>
        <w:rPr>
          <w:rFonts w:ascii="Times New Roman" w:eastAsia="Times New Roman" w:hAnsi="Times New Roman" w:cs="Times New Roman"/>
          <w:color w:val="000000"/>
          <w:spacing w:val="0"/>
          <w:w w:val="100"/>
          <w:position w:val="0"/>
          <w:sz w:val="24"/>
          <w:szCs w:val="24"/>
        </w:rPr>
        <w:t>11.05%</w:t>
      </w:r>
      <w:r>
        <w:rPr>
          <w:color w:val="000000"/>
          <w:spacing w:val="0"/>
          <w:w w:val="100"/>
          <w:position w:val="0"/>
        </w:rPr>
        <w:t>。其中，集成电路业务实现营业收入</w:t>
      </w:r>
      <w:r>
        <w:rPr>
          <w:rFonts w:ascii="Times New Roman" w:eastAsia="Times New Roman" w:hAnsi="Times New Roman" w:cs="Times New Roman"/>
          <w:color w:val="000000"/>
          <w:spacing w:val="0"/>
          <w:w w:val="100"/>
          <w:position w:val="0"/>
          <w:sz w:val="24"/>
          <w:szCs w:val="24"/>
        </w:rPr>
        <w:t>127,489.41</w:t>
      </w:r>
      <w:r>
        <w:rPr>
          <w:color w:val="000000"/>
          <w:spacing w:val="0"/>
          <w:w w:val="100"/>
          <w:position w:val="0"/>
        </w:rPr>
        <w:t>万元，占公司营业收入 的</w:t>
      </w:r>
      <w:r>
        <w:rPr>
          <w:rFonts w:ascii="Times New Roman" w:eastAsia="Times New Roman" w:hAnsi="Times New Roman" w:cs="Times New Roman"/>
          <w:color w:val="000000"/>
          <w:spacing w:val="0"/>
          <w:w w:val="100"/>
          <w:position w:val="0"/>
          <w:sz w:val="24"/>
          <w:szCs w:val="24"/>
        </w:rPr>
        <w:t>89.87%</w:t>
      </w:r>
      <w:r>
        <w:rPr>
          <w:color w:val="000000"/>
          <w:spacing w:val="0"/>
          <w:w w:val="100"/>
          <w:position w:val="0"/>
        </w:rPr>
        <w:t>，晶体业务实现营业收入</w:t>
      </w:r>
      <w:r>
        <w:rPr>
          <w:rFonts w:ascii="Times New Roman" w:eastAsia="Times New Roman" w:hAnsi="Times New Roman" w:cs="Times New Roman"/>
          <w:color w:val="000000"/>
          <w:spacing w:val="0"/>
          <w:w w:val="100"/>
          <w:position w:val="0"/>
          <w:sz w:val="24"/>
          <w:szCs w:val="24"/>
        </w:rPr>
        <w:t>14,138.16</w:t>
      </w:r>
      <w:r>
        <w:rPr>
          <w:color w:val="000000"/>
          <w:spacing w:val="0"/>
          <w:w w:val="100"/>
          <w:position w:val="0"/>
        </w:rPr>
        <w:t>万元，占公司营业收入的</w:t>
      </w:r>
      <w:r>
        <w:rPr>
          <w:rFonts w:ascii="Times New Roman" w:eastAsia="Times New Roman" w:hAnsi="Times New Roman" w:cs="Times New Roman"/>
          <w:color w:val="000000"/>
          <w:spacing w:val="0"/>
          <w:w w:val="100"/>
          <w:position w:val="0"/>
          <w:sz w:val="24"/>
          <w:szCs w:val="24"/>
        </w:rPr>
        <w:t>9.97%</w:t>
      </w:r>
      <w:r>
        <w:rPr>
          <w:color w:val="000000"/>
          <w:spacing w:val="0"/>
          <w:w w:val="100"/>
          <w:position w:val="0"/>
        </w:rPr>
        <w:t>。</w:t>
      </w:r>
    </w:p>
    <w:p>
      <w:pPr>
        <w:pStyle w:val="Style23"/>
        <w:keepNext/>
        <w:keepLines/>
        <w:widowControl w:val="0"/>
        <w:shd w:val="clear" w:color="auto" w:fill="auto"/>
        <w:tabs>
          <w:tab w:pos="508" w:val="left"/>
        </w:tabs>
        <w:bidi w:val="0"/>
        <w:spacing w:before="0" w:after="280" w:line="314" w:lineRule="exact"/>
        <w:ind w:left="0" w:right="0" w:firstLine="0"/>
        <w:jc w:val="left"/>
      </w:pPr>
      <w:bookmarkStart w:id="81" w:name="bookmark81"/>
      <w:bookmarkStart w:id="82" w:name="bookmark82"/>
      <w:bookmarkStart w:id="83" w:name="bookmark83"/>
      <w:bookmarkStart w:id="84" w:name="bookmark84"/>
      <w:r>
        <w:rPr>
          <w:color w:val="000000"/>
          <w:spacing w:val="0"/>
          <w:w w:val="100"/>
          <w:position w:val="0"/>
        </w:rPr>
        <w:t>二</w:t>
      </w:r>
      <w:bookmarkEnd w:id="83"/>
      <w:r>
        <w:rPr>
          <w:color w:val="000000"/>
          <w:spacing w:val="0"/>
          <w:w w:val="100"/>
          <w:position w:val="0"/>
        </w:rPr>
        <w:t>、</w:t>
        <w:tab/>
        <w:t>主营业务分析</w:t>
      </w:r>
      <w:bookmarkEnd w:id="81"/>
      <w:bookmarkEnd w:id="82"/>
      <w:bookmarkEnd w:id="84"/>
    </w:p>
    <w:p>
      <w:pPr>
        <w:pStyle w:val="Style28"/>
        <w:keepNext/>
        <w:keepLines/>
        <w:widowControl w:val="0"/>
        <w:shd w:val="clear" w:color="auto" w:fill="auto"/>
        <w:bidi w:val="0"/>
        <w:spacing w:before="0" w:after="280" w:line="314" w:lineRule="exact"/>
        <w:ind w:left="0" w:right="0" w:firstLine="0"/>
        <w:jc w:val="both"/>
        <w:rPr>
          <w:sz w:val="22"/>
          <w:szCs w:val="22"/>
        </w:rPr>
      </w:pPr>
      <w:bookmarkStart w:id="85" w:name="bookmark85"/>
      <w:bookmarkStart w:id="86" w:name="bookmark86"/>
      <w:bookmarkStart w:id="87" w:name="bookmark87"/>
      <w:bookmarkStart w:id="88" w:name="bookmark88"/>
      <w:r>
        <w:rPr>
          <w:color w:val="000000"/>
          <w:spacing w:val="0"/>
          <w:w w:val="100"/>
          <w:position w:val="0"/>
          <w:sz w:val="22"/>
          <w:szCs w:val="22"/>
        </w:rPr>
        <w:t>1</w:t>
      </w:r>
      <w:bookmarkEnd w:id="87"/>
      <w:r>
        <w:rPr>
          <w:color w:val="000000"/>
          <w:spacing w:val="0"/>
          <w:w w:val="100"/>
          <w:position w:val="0"/>
          <w:sz w:val="22"/>
          <w:szCs w:val="22"/>
        </w:rPr>
        <w:t>、概述</w:t>
      </w:r>
      <w:bookmarkEnd w:id="85"/>
      <w:bookmarkEnd w:id="86"/>
      <w:bookmarkEnd w:id="88"/>
    </w:p>
    <w:p>
      <w:pPr>
        <w:pStyle w:val="Style31"/>
        <w:keepNext w:val="0"/>
        <w:keepLines w:val="0"/>
        <w:widowControl w:val="0"/>
        <w:shd w:val="clear" w:color="auto" w:fill="auto"/>
        <w:bidi w:val="0"/>
        <w:spacing w:before="0" w:line="317" w:lineRule="exact"/>
        <w:ind w:left="0" w:right="0" w:firstLine="460"/>
        <w:jc w:val="both"/>
      </w:pPr>
      <w:r>
        <w:rPr>
          <w:color w:val="000000"/>
          <w:spacing w:val="0"/>
          <w:w w:val="100"/>
          <w:position w:val="0"/>
        </w:rPr>
        <w:t>报告期内，公司集成电路业务总体保持了稳定发展，其中特种集成电路的营业收入和利 润同比都实现了快速增长，行业地位进一步增强。晶体业务受行业景气度不高的影响，经营 压力仍然较大，但继续保持了稳定收益。</w:t>
      </w:r>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公司各主要业务的具体发展情况如下：</w:t>
      </w:r>
    </w:p>
    <w:p>
      <w:pPr>
        <w:pStyle w:val="Style31"/>
        <w:keepNext w:val="0"/>
        <w:keepLines w:val="0"/>
        <w:widowControl w:val="0"/>
        <w:shd w:val="clear" w:color="auto" w:fill="auto"/>
        <w:bidi w:val="0"/>
        <w:spacing w:before="0" w:line="314" w:lineRule="exact"/>
        <w:ind w:left="0" w:right="0" w:firstLine="460"/>
        <w:jc w:val="both"/>
      </w:pPr>
      <w:r>
        <w:rPr>
          <w:b/>
          <w:bCs/>
          <w:color w:val="000000"/>
          <w:spacing w:val="0"/>
          <w:w w:val="100"/>
          <w:position w:val="0"/>
        </w:rPr>
        <w:t>集成电路业务：</w:t>
      </w:r>
    </w:p>
    <w:p>
      <w:pPr>
        <w:pStyle w:val="Style31"/>
        <w:keepNext w:val="0"/>
        <w:keepLines w:val="0"/>
        <w:widowControl w:val="0"/>
        <w:shd w:val="clear" w:color="auto" w:fill="auto"/>
        <w:bidi w:val="0"/>
        <w:spacing w:before="0" w:line="314" w:lineRule="exact"/>
        <w:ind w:left="0" w:right="0" w:firstLine="460"/>
        <w:jc w:val="both"/>
      </w:pPr>
      <w:bookmarkStart w:id="89" w:name="bookmark89"/>
      <w:r>
        <w:rPr>
          <w:b/>
          <w:bCs/>
          <w:color w:val="000000"/>
          <w:spacing w:val="0"/>
          <w:w w:val="100"/>
          <w:position w:val="0"/>
        </w:rPr>
        <w:t>1</w:t>
      </w:r>
      <w:bookmarkEnd w:id="89"/>
      <w:r>
        <w:rPr>
          <w:b/>
          <w:bCs/>
          <w:color w:val="000000"/>
          <w:spacing w:val="0"/>
          <w:w w:val="100"/>
          <w:position w:val="0"/>
        </w:rPr>
        <w:t>）智能芯片业务</w:t>
      </w:r>
    </w:p>
    <w:p>
      <w:pPr>
        <w:pStyle w:val="Style31"/>
        <w:keepNext w:val="0"/>
        <w:keepLines w:val="0"/>
        <w:widowControl w:val="0"/>
        <w:shd w:val="clear" w:color="auto" w:fill="auto"/>
        <w:bidi w:val="0"/>
        <w:spacing w:before="0" w:line="315" w:lineRule="exact"/>
        <w:ind w:left="0" w:right="0" w:firstLine="46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年度，公司的智能芯片业务受市场竞争加剧的影响，产品销量及利润贡献均有明显 下滑，实现营业收入</w:t>
      </w:r>
      <w:r>
        <w:rPr>
          <w:rFonts w:ascii="Times New Roman" w:eastAsia="Times New Roman" w:hAnsi="Times New Roman" w:cs="Times New Roman"/>
          <w:color w:val="000000"/>
          <w:spacing w:val="0"/>
          <w:w w:val="100"/>
          <w:position w:val="0"/>
          <w:sz w:val="24"/>
          <w:szCs w:val="24"/>
        </w:rPr>
        <w:t>5.48</w:t>
      </w:r>
      <w:r>
        <w:rPr>
          <w:color w:val="000000"/>
          <w:spacing w:val="0"/>
          <w:w w:val="100"/>
          <w:position w:val="0"/>
        </w:rPr>
        <w:t>亿元。报告期内，产品开发平台化工作持续推进，研发效率明显提 高。多款先进工艺的产品完成开发定型，性能达到国际先进水平，综合竞争力大幅提升。此 外，国际安全认证取得重大突破，在安全领域的实力进一步增强。</w:t>
      </w:r>
    </w:p>
    <w:p>
      <w:pPr>
        <w:pStyle w:val="Style31"/>
        <w:keepNext w:val="0"/>
        <w:keepLines w:val="0"/>
        <w:widowControl w:val="0"/>
        <w:shd w:val="clear" w:color="auto" w:fill="auto"/>
        <w:bidi w:val="0"/>
        <w:spacing w:before="0" w:line="314" w:lineRule="exact"/>
        <w:ind w:left="0" w:right="0" w:firstLine="460"/>
        <w:jc w:val="both"/>
      </w:pPr>
      <w:bookmarkStart w:id="90" w:name="bookmark90"/>
      <w:r>
        <w:rPr>
          <w:color w:val="000000"/>
          <w:spacing w:val="0"/>
          <w:w w:val="100"/>
          <w:position w:val="0"/>
        </w:rPr>
        <w:t>（</w:t>
      </w:r>
      <w:bookmarkEnd w:id="90"/>
      <w:r>
        <w:rPr>
          <w:rFonts w:ascii="Times New Roman" w:eastAsia="Times New Roman" w:hAnsi="Times New Roman" w:cs="Times New Roman"/>
          <w:color w:val="000000"/>
          <w:spacing w:val="0"/>
          <w:w w:val="100"/>
          <w:position w:val="0"/>
          <w:sz w:val="24"/>
          <w:szCs w:val="24"/>
        </w:rPr>
        <w:t>1</w:t>
      </w:r>
      <w:r>
        <w:rPr>
          <w:color w:val="000000"/>
          <w:spacing w:val="0"/>
          <w:w w:val="100"/>
          <w:position w:val="0"/>
        </w:rPr>
        <w:t>）智能卡芯片</w:t>
      </w:r>
    </w:p>
    <w:p>
      <w:pPr>
        <w:pStyle w:val="Style31"/>
        <w:keepNext w:val="0"/>
        <w:keepLines w:val="0"/>
        <w:widowControl w:val="0"/>
        <w:shd w:val="clear" w:color="auto" w:fill="auto"/>
        <w:bidi w:val="0"/>
        <w:spacing w:before="0" w:line="316" w:lineRule="exact"/>
        <w:ind w:left="0" w:right="0" w:firstLine="46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年，全球</w:t>
      </w:r>
      <w:r>
        <w:rPr>
          <w:rFonts w:ascii="Times New Roman" w:eastAsia="Times New Roman" w:hAnsi="Times New Roman" w:cs="Times New Roman"/>
          <w:color w:val="000000"/>
          <w:spacing w:val="0"/>
          <w:w w:val="100"/>
          <w:position w:val="0"/>
          <w:sz w:val="24"/>
          <w:szCs w:val="24"/>
        </w:rPr>
        <w:t>SIM</w:t>
      </w:r>
      <w:r>
        <w:rPr>
          <w:color w:val="000000"/>
          <w:spacing w:val="0"/>
          <w:w w:val="100"/>
          <w:position w:val="0"/>
        </w:rPr>
        <w:t>卡市场基本保持稳定，低端</w:t>
      </w:r>
      <w:r>
        <w:rPr>
          <w:rFonts w:ascii="Times New Roman" w:eastAsia="Times New Roman" w:hAnsi="Times New Roman" w:cs="Times New Roman"/>
          <w:color w:val="000000"/>
          <w:spacing w:val="0"/>
          <w:w w:val="100"/>
          <w:position w:val="0"/>
          <w:sz w:val="24"/>
          <w:szCs w:val="24"/>
        </w:rPr>
        <w:t>Native</w:t>
      </w:r>
      <w:r>
        <w:rPr>
          <w:color w:val="000000"/>
          <w:spacing w:val="0"/>
          <w:w w:val="100"/>
          <w:position w:val="0"/>
        </w:rPr>
        <w:t>卡仍占据</w:t>
      </w:r>
      <w:r>
        <w:rPr>
          <w:rFonts w:ascii="Times New Roman" w:eastAsia="Times New Roman" w:hAnsi="Times New Roman" w:cs="Times New Roman"/>
          <w:color w:val="000000"/>
          <w:spacing w:val="0"/>
          <w:w w:val="100"/>
          <w:position w:val="0"/>
          <w:sz w:val="24"/>
          <w:szCs w:val="24"/>
        </w:rPr>
        <w:t>40%</w:t>
      </w:r>
      <w:r>
        <w:rPr>
          <w:color w:val="000000"/>
          <w:spacing w:val="0"/>
          <w:w w:val="100"/>
          <w:position w:val="0"/>
        </w:rPr>
        <w:t>左右的比重，市场集中 于东南亚、非洲等发展中国家。国内市场产品同质化严重，在中端产品市场上形成激烈的竞 争。公司凭借丰富的产品和广泛的客户资源等优势，继续保持着领先的市场地位。但由于市 场竞争激烈，产品毛利率出现明显下降，利润贡献下滑。公司积极开拓高端产品市场，同时 加快工艺技术升级，未来仍将占据重要市场地位。</w:t>
      </w:r>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身份识别产品包括第二代居民身份证芯片、居住证芯片和交通卡芯片等，</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 xml:space="preserve">年，公司 身份识别产品销量保持稳定。其中，第二代居民身份证芯片继续稳定供货；居住证市场增长 迅速，公司芯片已成为主流产品；交通卡市场已进入平稳期，主要市场向中等城市转移。目 前公司的市场占比不大。交通部标准的交通卡已经实现批量应用，成为了新的增长点，将给 </w:t>
      </w:r>
      <w:r>
        <w:rPr>
          <w:color w:val="000000"/>
          <w:spacing w:val="0"/>
          <w:w w:val="100"/>
          <w:position w:val="0"/>
        </w:rPr>
        <w:t>公司带来机会；此外，</w:t>
      </w:r>
      <w:r>
        <w:rPr>
          <w:rFonts w:ascii="Times New Roman" w:eastAsia="Times New Roman" w:hAnsi="Times New Roman" w:cs="Times New Roman"/>
          <w:color w:val="000000"/>
          <w:spacing w:val="0"/>
          <w:w w:val="100"/>
          <w:position w:val="0"/>
          <w:sz w:val="24"/>
          <w:szCs w:val="24"/>
        </w:rPr>
        <w:t>ETC</w:t>
      </w:r>
      <w:r>
        <w:rPr>
          <w:color w:val="000000"/>
          <w:spacing w:val="0"/>
          <w:w w:val="100"/>
          <w:position w:val="0"/>
        </w:rPr>
        <w:t>、电子护照等新应用正在市场推广过程中。</w:t>
      </w:r>
    </w:p>
    <w:p>
      <w:pPr>
        <w:pStyle w:val="Style31"/>
        <w:keepNext w:val="0"/>
        <w:keepLines w:val="0"/>
        <w:widowControl w:val="0"/>
        <w:shd w:val="clear" w:color="auto" w:fill="auto"/>
        <w:bidi w:val="0"/>
        <w:spacing w:before="0" w:line="312" w:lineRule="exact"/>
        <w:ind w:left="0" w:right="0" w:firstLine="480"/>
        <w:jc w:val="both"/>
      </w:pPr>
      <w:r>
        <w:rPr>
          <w:color w:val="000000"/>
          <w:spacing w:val="0"/>
          <w:w w:val="100"/>
          <w:position w:val="0"/>
        </w:rPr>
        <w:t>金融支付产品包括银行</w:t>
      </w:r>
      <w:r>
        <w:rPr>
          <w:rFonts w:ascii="Times New Roman" w:eastAsia="Times New Roman" w:hAnsi="Times New Roman" w:cs="Times New Roman"/>
          <w:color w:val="000000"/>
          <w:spacing w:val="0"/>
          <w:w w:val="100"/>
          <w:position w:val="0"/>
          <w:sz w:val="24"/>
          <w:szCs w:val="24"/>
        </w:rPr>
        <w:t>IC</w:t>
      </w:r>
      <w:r>
        <w:rPr>
          <w:color w:val="000000"/>
          <w:spacing w:val="0"/>
          <w:w w:val="100"/>
          <w:position w:val="0"/>
        </w:rPr>
        <w:t>卡芯片、居民健康卡芯片、社保卡芯片和移动支付芯片等。</w:t>
      </w:r>
      <w:r>
        <w:rPr>
          <w:rFonts w:ascii="Times New Roman" w:eastAsia="Times New Roman" w:hAnsi="Times New Roman" w:cs="Times New Roman"/>
          <w:color w:val="000000"/>
          <w:spacing w:val="0"/>
          <w:w w:val="100"/>
          <w:position w:val="0"/>
          <w:sz w:val="24"/>
          <w:szCs w:val="24"/>
        </w:rPr>
        <w:t xml:space="preserve">2016 </w:t>
      </w:r>
      <w:r>
        <w:rPr>
          <w:color w:val="000000"/>
          <w:spacing w:val="0"/>
          <w:w w:val="100"/>
          <w:position w:val="0"/>
        </w:rPr>
        <w:t>年，公司金融支付产品销量实现了快速增长，特别是银行</w:t>
      </w:r>
      <w:r>
        <w:rPr>
          <w:rFonts w:ascii="Times New Roman" w:eastAsia="Times New Roman" w:hAnsi="Times New Roman" w:cs="Times New Roman"/>
          <w:color w:val="000000"/>
          <w:spacing w:val="0"/>
          <w:w w:val="100"/>
          <w:position w:val="0"/>
          <w:sz w:val="24"/>
          <w:szCs w:val="24"/>
        </w:rPr>
        <w:t>IC</w:t>
      </w:r>
      <w:r>
        <w:rPr>
          <w:color w:val="000000"/>
          <w:spacing w:val="0"/>
          <w:w w:val="100"/>
          <w:position w:val="0"/>
        </w:rPr>
        <w:t>卡芯片。尽管银行</w:t>
      </w:r>
      <w:r>
        <w:rPr>
          <w:rFonts w:ascii="Times New Roman" w:eastAsia="Times New Roman" w:hAnsi="Times New Roman" w:cs="Times New Roman"/>
          <w:color w:val="000000"/>
          <w:spacing w:val="0"/>
          <w:w w:val="100"/>
          <w:position w:val="0"/>
          <w:sz w:val="24"/>
          <w:szCs w:val="24"/>
        </w:rPr>
        <w:t>IC</w:t>
      </w:r>
      <w:r>
        <w:rPr>
          <w:color w:val="000000"/>
          <w:spacing w:val="0"/>
          <w:w w:val="100"/>
          <w:position w:val="0"/>
        </w:rPr>
        <w:t>卡芯片市场 中进口芯片仍为主流，但国产芯片已经开始全面进入市场，市场份额不断攀升，同时芯片价 格面临进一步下降的压力。公司银行</w:t>
      </w:r>
      <w:r>
        <w:rPr>
          <w:rFonts w:ascii="Times New Roman" w:eastAsia="Times New Roman" w:hAnsi="Times New Roman" w:cs="Times New Roman"/>
          <w:color w:val="000000"/>
          <w:spacing w:val="0"/>
          <w:w w:val="100"/>
          <w:position w:val="0"/>
          <w:sz w:val="24"/>
          <w:szCs w:val="24"/>
        </w:rPr>
        <w:t>IC</w:t>
      </w:r>
      <w:r>
        <w:rPr>
          <w:color w:val="000000"/>
          <w:spacing w:val="0"/>
          <w:w w:val="100"/>
          <w:position w:val="0"/>
        </w:rPr>
        <w:t>卡芯片已经在各主要商业银行实现了规模供货，完成 近千万颗的出货量。新一代</w:t>
      </w:r>
      <w:r>
        <w:rPr>
          <w:rFonts w:ascii="Times New Roman" w:eastAsia="Times New Roman" w:hAnsi="Times New Roman" w:cs="Times New Roman"/>
          <w:color w:val="000000"/>
          <w:spacing w:val="0"/>
          <w:w w:val="100"/>
          <w:position w:val="0"/>
          <w:sz w:val="24"/>
          <w:szCs w:val="24"/>
        </w:rPr>
        <w:t>THD88</w:t>
      </w:r>
      <w:r>
        <w:rPr>
          <w:color w:val="000000"/>
          <w:spacing w:val="0"/>
          <w:w w:val="100"/>
          <w:position w:val="0"/>
        </w:rPr>
        <w:t>产品成为国内首款通过国际</w:t>
      </w:r>
      <w:r>
        <w:rPr>
          <w:rFonts w:ascii="Times New Roman" w:eastAsia="Times New Roman" w:hAnsi="Times New Roman" w:cs="Times New Roman"/>
          <w:color w:val="000000"/>
          <w:spacing w:val="0"/>
          <w:w w:val="100"/>
          <w:position w:val="0"/>
          <w:sz w:val="24"/>
          <w:szCs w:val="24"/>
        </w:rPr>
        <w:t>CC EAL5+</w:t>
      </w:r>
      <w:r>
        <w:rPr>
          <w:color w:val="000000"/>
          <w:spacing w:val="0"/>
          <w:w w:val="100"/>
          <w:position w:val="0"/>
        </w:rPr>
        <w:t>认证的智能卡安全芯 片，并已在迪拜银行发行的首批银联卡中应用。</w:t>
      </w:r>
    </w:p>
    <w:p>
      <w:pPr>
        <w:pStyle w:val="Style31"/>
        <w:keepNext w:val="0"/>
        <w:keepLines w:val="0"/>
        <w:widowControl w:val="0"/>
        <w:shd w:val="clear" w:color="auto" w:fill="auto"/>
        <w:bidi w:val="0"/>
        <w:spacing w:before="0" w:line="302" w:lineRule="exact"/>
        <w:ind w:left="0" w:right="0" w:firstLine="480"/>
        <w:jc w:val="both"/>
      </w:pPr>
      <w:r>
        <w:rPr>
          <w:color w:val="000000"/>
          <w:spacing w:val="0"/>
          <w:w w:val="100"/>
          <w:position w:val="0"/>
        </w:rPr>
        <w:t>受到“两保合一”政策影响，居民健康卡市场增长趋稳。公司凭借大容量</w:t>
      </w:r>
      <w:r>
        <w:rPr>
          <w:rFonts w:ascii="Times New Roman" w:eastAsia="Times New Roman" w:hAnsi="Times New Roman" w:cs="Times New Roman"/>
          <w:color w:val="000000"/>
          <w:spacing w:val="0"/>
          <w:w w:val="100"/>
          <w:position w:val="0"/>
          <w:sz w:val="24"/>
          <w:szCs w:val="24"/>
        </w:rPr>
        <w:t>Java</w:t>
      </w:r>
      <w:r>
        <w:rPr>
          <w:color w:val="000000"/>
          <w:spacing w:val="0"/>
          <w:w w:val="100"/>
          <w:position w:val="0"/>
        </w:rPr>
        <w:t>卡芯片的 产品优势及与客户的良好合作，继续保持了卫生行业市场第一品牌的领军地位，全国项目覆 盖率达到</w:t>
      </w:r>
      <w:r>
        <w:rPr>
          <w:rFonts w:ascii="Times New Roman" w:eastAsia="Times New Roman" w:hAnsi="Times New Roman" w:cs="Times New Roman"/>
          <w:color w:val="000000"/>
          <w:spacing w:val="0"/>
          <w:w w:val="100"/>
          <w:position w:val="0"/>
          <w:sz w:val="24"/>
          <w:szCs w:val="24"/>
        </w:rPr>
        <w:t>75%</w:t>
      </w:r>
      <w:r>
        <w:rPr>
          <w:color w:val="000000"/>
          <w:spacing w:val="0"/>
          <w:w w:val="100"/>
          <w:position w:val="0"/>
        </w:rPr>
        <w:t>，芯片销量过千万颗。</w:t>
      </w:r>
    </w:p>
    <w:p>
      <w:pPr>
        <w:pStyle w:val="Style31"/>
        <w:keepNext w:val="0"/>
        <w:keepLines w:val="0"/>
        <w:widowControl w:val="0"/>
        <w:shd w:val="clear" w:color="auto" w:fill="auto"/>
        <w:bidi w:val="0"/>
        <w:spacing w:before="0" w:line="302" w:lineRule="exact"/>
        <w:ind w:left="0" w:right="0" w:firstLine="480"/>
        <w:jc w:val="both"/>
      </w:pPr>
      <w:r>
        <w:rPr>
          <w:color w:val="000000"/>
          <w:spacing w:val="0"/>
          <w:w w:val="100"/>
          <w:position w:val="0"/>
        </w:rPr>
        <w:t>社保卡市场趋于平稳，公司产品在多个省市项目中稳定出货，产品销量稳定增长，未来 双界面社保卡的推出将给公司带来更多市场机会。</w:t>
      </w:r>
    </w:p>
    <w:p>
      <w:pPr>
        <w:pStyle w:val="Style31"/>
        <w:keepNext w:val="0"/>
        <w:keepLines w:val="0"/>
        <w:widowControl w:val="0"/>
        <w:shd w:val="clear" w:color="auto" w:fill="auto"/>
        <w:bidi w:val="0"/>
        <w:spacing w:before="0" w:line="312" w:lineRule="exact"/>
        <w:ind w:left="0" w:right="0" w:firstLine="480"/>
        <w:jc w:val="both"/>
      </w:pPr>
      <w:bookmarkStart w:id="91" w:name="bookmark91"/>
      <w:r>
        <w:rPr>
          <w:color w:val="000000"/>
          <w:spacing w:val="0"/>
          <w:w w:val="100"/>
          <w:position w:val="0"/>
        </w:rPr>
        <w:t>（</w:t>
      </w:r>
      <w:bookmarkEnd w:id="91"/>
      <w:r>
        <w:rPr>
          <w:rFonts w:ascii="Times New Roman" w:eastAsia="Times New Roman" w:hAnsi="Times New Roman" w:cs="Times New Roman"/>
          <w:color w:val="000000"/>
          <w:spacing w:val="0"/>
          <w:w w:val="100"/>
          <w:position w:val="0"/>
          <w:sz w:val="24"/>
          <w:szCs w:val="24"/>
        </w:rPr>
        <w:t>2</w:t>
      </w:r>
      <w:r>
        <w:rPr>
          <w:color w:val="000000"/>
          <w:spacing w:val="0"/>
          <w:w w:val="100"/>
          <w:position w:val="0"/>
        </w:rPr>
        <w:t>）智能终端芯片</w:t>
      </w:r>
    </w:p>
    <w:p>
      <w:pPr>
        <w:pStyle w:val="Style31"/>
        <w:keepNext w:val="0"/>
        <w:keepLines w:val="0"/>
        <w:widowControl w:val="0"/>
        <w:shd w:val="clear" w:color="auto" w:fill="auto"/>
        <w:bidi w:val="0"/>
        <w:spacing w:before="0" w:line="317" w:lineRule="exact"/>
        <w:ind w:left="0" w:right="0" w:firstLine="480"/>
        <w:jc w:val="both"/>
      </w:pPr>
      <w:r>
        <w:rPr>
          <w:color w:val="000000"/>
          <w:spacing w:val="0"/>
          <w:w w:val="100"/>
          <w:position w:val="0"/>
        </w:rPr>
        <w:t>公司智能终端芯片产品包括</w:t>
      </w:r>
      <w:r>
        <w:rPr>
          <w:rFonts w:ascii="Times New Roman" w:eastAsia="Times New Roman" w:hAnsi="Times New Roman" w:cs="Times New Roman"/>
          <w:color w:val="000000"/>
          <w:spacing w:val="0"/>
          <w:w w:val="100"/>
          <w:position w:val="0"/>
          <w:sz w:val="24"/>
          <w:szCs w:val="24"/>
        </w:rPr>
        <w:t>USB-Key</w:t>
      </w:r>
      <w:r>
        <w:rPr>
          <w:color w:val="000000"/>
          <w:spacing w:val="0"/>
          <w:w w:val="100"/>
          <w:position w:val="0"/>
        </w:rPr>
        <w:t>芯片和非接触读写器芯片，</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年，产品销量保持 稳定。</w:t>
      </w:r>
      <w:r>
        <w:rPr>
          <w:rFonts w:ascii="Times New Roman" w:eastAsia="Times New Roman" w:hAnsi="Times New Roman" w:cs="Times New Roman"/>
          <w:color w:val="000000"/>
          <w:spacing w:val="0"/>
          <w:w w:val="100"/>
          <w:position w:val="0"/>
          <w:sz w:val="24"/>
          <w:szCs w:val="24"/>
        </w:rPr>
        <w:t>USB-Key</w:t>
      </w:r>
      <w:r>
        <w:rPr>
          <w:color w:val="000000"/>
          <w:spacing w:val="0"/>
          <w:w w:val="100"/>
          <w:position w:val="0"/>
        </w:rPr>
        <w:t>芯片整体市场规模呈下滑趋势，蓝牙</w:t>
      </w:r>
      <w:r>
        <w:rPr>
          <w:rFonts w:ascii="Times New Roman" w:eastAsia="Times New Roman" w:hAnsi="Times New Roman" w:cs="Times New Roman"/>
          <w:color w:val="000000"/>
          <w:spacing w:val="0"/>
          <w:w w:val="100"/>
          <w:position w:val="0"/>
          <w:sz w:val="24"/>
          <w:szCs w:val="24"/>
        </w:rPr>
        <w:t>Key</w:t>
      </w:r>
      <w:r>
        <w:rPr>
          <w:color w:val="000000"/>
          <w:spacing w:val="0"/>
          <w:w w:val="100"/>
          <w:position w:val="0"/>
        </w:rPr>
        <w:t xml:space="preserve">产品已开始逐步替代传统二代 </w:t>
      </w:r>
      <w:r>
        <w:rPr>
          <w:rFonts w:ascii="Times New Roman" w:eastAsia="Times New Roman" w:hAnsi="Times New Roman" w:cs="Times New Roman"/>
          <w:color w:val="000000"/>
          <w:spacing w:val="0"/>
          <w:w w:val="100"/>
          <w:position w:val="0"/>
          <w:sz w:val="24"/>
          <w:szCs w:val="24"/>
        </w:rPr>
        <w:t>USB-Key</w:t>
      </w:r>
      <w:r>
        <w:rPr>
          <w:color w:val="000000"/>
          <w:spacing w:val="0"/>
          <w:w w:val="100"/>
          <w:position w:val="0"/>
        </w:rPr>
        <w:t>产品。公司的</w:t>
      </w:r>
      <w:r>
        <w:rPr>
          <w:rFonts w:ascii="Times New Roman" w:eastAsia="Times New Roman" w:hAnsi="Times New Roman" w:cs="Times New Roman"/>
          <w:color w:val="000000"/>
          <w:spacing w:val="0"/>
          <w:w w:val="100"/>
          <w:position w:val="0"/>
          <w:sz w:val="24"/>
          <w:szCs w:val="24"/>
        </w:rPr>
        <w:t>THK88</w:t>
      </w:r>
      <w:r>
        <w:rPr>
          <w:color w:val="000000"/>
          <w:spacing w:val="0"/>
          <w:w w:val="100"/>
          <w:position w:val="0"/>
        </w:rPr>
        <w:t>芯片已成为市场主流产品，年销售量达千万颗，新开辟的</w:t>
      </w:r>
      <w:r>
        <w:rPr>
          <w:rFonts w:ascii="Times New Roman" w:eastAsia="Times New Roman" w:hAnsi="Times New Roman" w:cs="Times New Roman"/>
          <w:color w:val="000000"/>
          <w:spacing w:val="0"/>
          <w:w w:val="100"/>
          <w:position w:val="0"/>
          <w:sz w:val="24"/>
          <w:szCs w:val="24"/>
        </w:rPr>
        <w:t xml:space="preserve">POS </w:t>
      </w:r>
      <w:r>
        <w:rPr>
          <w:color w:val="000000"/>
          <w:spacing w:val="0"/>
          <w:w w:val="100"/>
          <w:position w:val="0"/>
        </w:rPr>
        <w:t>安全模块市场也实现了规模出货。</w:t>
      </w:r>
    </w:p>
    <w:p>
      <w:pPr>
        <w:pStyle w:val="Style31"/>
        <w:keepNext w:val="0"/>
        <w:keepLines w:val="0"/>
        <w:widowControl w:val="0"/>
        <w:shd w:val="clear" w:color="auto" w:fill="auto"/>
        <w:bidi w:val="0"/>
        <w:spacing w:before="0" w:line="299" w:lineRule="exact"/>
        <w:ind w:left="0" w:right="0" w:firstLine="480"/>
        <w:jc w:val="both"/>
      </w:pPr>
      <w:r>
        <w:rPr>
          <w:color w:val="000000"/>
          <w:spacing w:val="0"/>
          <w:w w:val="100"/>
          <w:position w:val="0"/>
        </w:rPr>
        <w:t>随着非接触卡、双界面卡的普及应用，读写器产品市场持续增长，尤其是金融</w:t>
      </w:r>
      <w:r>
        <w:rPr>
          <w:rFonts w:ascii="Times New Roman" w:eastAsia="Times New Roman" w:hAnsi="Times New Roman" w:cs="Times New Roman"/>
          <w:color w:val="000000"/>
          <w:spacing w:val="0"/>
          <w:w w:val="100"/>
          <w:position w:val="0"/>
          <w:sz w:val="24"/>
          <w:szCs w:val="24"/>
        </w:rPr>
        <w:t>POS</w:t>
      </w:r>
      <w:r>
        <w:rPr>
          <w:color w:val="000000"/>
          <w:spacing w:val="0"/>
          <w:w w:val="100"/>
          <w:position w:val="0"/>
        </w:rPr>
        <w:t>、</w:t>
      </w:r>
      <w:r>
        <w:rPr>
          <w:color w:val="000000"/>
          <w:spacing w:val="0"/>
          <w:w w:val="100"/>
          <w:position w:val="0"/>
        </w:rPr>
        <w:t>支 付终端产品、</w:t>
      </w:r>
      <w:r>
        <w:rPr>
          <w:rFonts w:ascii="Times New Roman" w:eastAsia="Times New Roman" w:hAnsi="Times New Roman" w:cs="Times New Roman"/>
          <w:color w:val="000000"/>
          <w:spacing w:val="0"/>
          <w:w w:val="100"/>
          <w:position w:val="0"/>
          <w:sz w:val="24"/>
          <w:szCs w:val="24"/>
        </w:rPr>
        <w:t>ETC</w:t>
      </w:r>
      <w:r>
        <w:rPr>
          <w:color w:val="000000"/>
          <w:spacing w:val="0"/>
          <w:w w:val="100"/>
          <w:position w:val="0"/>
        </w:rPr>
        <w:t>及非接水电煤表等通用读写器应用领域，需求大且保持较快增长速度。公 司的非接触读写器芯片产品在二代证读卡器芯片市场仍保持领先地位，并不断拓展产品在通 用读写器市场的应用。</w:t>
      </w:r>
    </w:p>
    <w:p>
      <w:pPr>
        <w:pStyle w:val="Style31"/>
        <w:keepNext w:val="0"/>
        <w:keepLines w:val="0"/>
        <w:widowControl w:val="0"/>
        <w:shd w:val="clear" w:color="auto" w:fill="auto"/>
        <w:tabs>
          <w:tab w:pos="841" w:val="left"/>
        </w:tabs>
        <w:bidi w:val="0"/>
        <w:spacing w:before="0" w:line="312" w:lineRule="exact"/>
        <w:ind w:left="0" w:right="0" w:firstLine="480"/>
        <w:jc w:val="both"/>
      </w:pPr>
      <w:bookmarkStart w:id="92" w:name="bookmark92"/>
      <w:r>
        <w:rPr>
          <w:b/>
          <w:bCs/>
          <w:color w:val="000000"/>
          <w:spacing w:val="0"/>
          <w:w w:val="100"/>
          <w:position w:val="0"/>
        </w:rPr>
        <w:t>2</w:t>
      </w:r>
      <w:bookmarkEnd w:id="92"/>
      <w:r>
        <w:rPr>
          <w:b/>
          <w:bCs/>
          <w:color w:val="000000"/>
          <w:spacing w:val="0"/>
          <w:w w:val="100"/>
          <w:position w:val="0"/>
        </w:rPr>
        <w:t>）</w:t>
        <w:tab/>
        <w:t>特种集成电路业务</w:t>
      </w:r>
    </w:p>
    <w:p>
      <w:pPr>
        <w:pStyle w:val="Style31"/>
        <w:keepNext w:val="0"/>
        <w:keepLines w:val="0"/>
        <w:widowControl w:val="0"/>
        <w:shd w:val="clear" w:color="auto" w:fill="auto"/>
        <w:bidi w:val="0"/>
        <w:spacing w:before="0" w:line="314" w:lineRule="exact"/>
        <w:ind w:left="0" w:right="0" w:firstLine="480"/>
        <w:jc w:val="both"/>
      </w:pPr>
      <w:r>
        <w:rPr>
          <w:color w:val="000000"/>
          <w:spacing w:val="0"/>
          <w:w w:val="100"/>
          <w:position w:val="0"/>
        </w:rPr>
        <w:t>公司特种集成电路业务主要产品包括：特种微处理器、特种可编程器件、特种存储器、 特种定制芯片、特种电源电路、特种</w:t>
      </w:r>
      <w:r>
        <w:rPr>
          <w:rFonts w:ascii="Times New Roman" w:eastAsia="Times New Roman" w:hAnsi="Times New Roman" w:cs="Times New Roman"/>
          <w:color w:val="000000"/>
          <w:spacing w:val="0"/>
          <w:w w:val="100"/>
          <w:position w:val="0"/>
          <w:sz w:val="24"/>
          <w:szCs w:val="24"/>
        </w:rPr>
        <w:t>SoPC</w:t>
      </w:r>
      <w:r>
        <w:rPr>
          <w:color w:val="000000"/>
          <w:spacing w:val="0"/>
          <w:w w:val="100"/>
          <w:position w:val="0"/>
        </w:rPr>
        <w:t>芯片等几大类。</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年度，该业务实现了产品销量、 销售收入和销售回款的大幅增长，全年实现营业收入</w:t>
      </w:r>
      <w:r>
        <w:rPr>
          <w:rFonts w:ascii="Times New Roman" w:eastAsia="Times New Roman" w:hAnsi="Times New Roman" w:cs="Times New Roman"/>
          <w:color w:val="000000"/>
          <w:spacing w:val="0"/>
          <w:w w:val="100"/>
          <w:position w:val="0"/>
          <w:sz w:val="24"/>
          <w:szCs w:val="24"/>
        </w:rPr>
        <w:t>5.10</w:t>
      </w:r>
      <w:r>
        <w:rPr>
          <w:color w:val="000000"/>
          <w:spacing w:val="0"/>
          <w:w w:val="100"/>
          <w:position w:val="0"/>
        </w:rPr>
        <w:t>亿元。市场开拓工作取得喜人成绩， 客户数量及大客户数量逐年增加。</w:t>
      </w:r>
    </w:p>
    <w:p>
      <w:pPr>
        <w:pStyle w:val="Style31"/>
        <w:keepNext w:val="0"/>
        <w:keepLines w:val="0"/>
        <w:widowControl w:val="0"/>
        <w:shd w:val="clear" w:color="auto" w:fill="auto"/>
        <w:bidi w:val="0"/>
        <w:spacing w:before="0" w:line="312" w:lineRule="exact"/>
        <w:ind w:left="0" w:right="0" w:firstLine="480"/>
        <w:jc w:val="both"/>
      </w:pPr>
      <w:r>
        <w:rPr>
          <w:color w:val="000000"/>
          <w:spacing w:val="0"/>
          <w:w w:val="100"/>
          <w:position w:val="0"/>
        </w:rPr>
        <w:t>科研和产品开发工作方面，</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年度新立项项目</w:t>
      </w:r>
      <w:r>
        <w:rPr>
          <w:rFonts w:ascii="Times New Roman" w:eastAsia="Times New Roman" w:hAnsi="Times New Roman" w:cs="Times New Roman"/>
          <w:color w:val="000000"/>
          <w:spacing w:val="0"/>
          <w:w w:val="100"/>
          <w:position w:val="0"/>
          <w:sz w:val="24"/>
          <w:szCs w:val="24"/>
        </w:rPr>
        <w:t>60</w:t>
      </w:r>
      <w:r>
        <w:rPr>
          <w:color w:val="000000"/>
          <w:spacing w:val="0"/>
          <w:w w:val="100"/>
          <w:position w:val="0"/>
        </w:rPr>
        <w:t xml:space="preserve">余项，并完成了 </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项新产品的设计定 型工作。第</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代特种</w:t>
      </w:r>
      <w:r>
        <w:rPr>
          <w:rFonts w:ascii="Times New Roman" w:eastAsia="Times New Roman" w:hAnsi="Times New Roman" w:cs="Times New Roman"/>
          <w:color w:val="000000"/>
          <w:spacing w:val="0"/>
          <w:w w:val="100"/>
          <w:position w:val="0"/>
          <w:sz w:val="24"/>
          <w:szCs w:val="24"/>
        </w:rPr>
        <w:t>FPGA</w:t>
      </w:r>
      <w:r>
        <w:rPr>
          <w:color w:val="000000"/>
          <w:spacing w:val="0"/>
          <w:w w:val="100"/>
          <w:position w:val="0"/>
        </w:rPr>
        <w:t>已经顺利通过用户试用，在多个用户单位通过应用验证和小批量订 货，预计</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年起可获得批量使用，将带动</w:t>
      </w:r>
      <w:r>
        <w:rPr>
          <w:rFonts w:ascii="Times New Roman" w:eastAsia="Times New Roman" w:hAnsi="Times New Roman" w:cs="Times New Roman"/>
          <w:color w:val="000000"/>
          <w:spacing w:val="0"/>
          <w:w w:val="100"/>
          <w:position w:val="0"/>
          <w:sz w:val="24"/>
          <w:szCs w:val="24"/>
        </w:rPr>
        <w:t>FPGA</w:t>
      </w:r>
      <w:r>
        <w:rPr>
          <w:color w:val="000000"/>
          <w:spacing w:val="0"/>
          <w:w w:val="100"/>
          <w:position w:val="0"/>
        </w:rPr>
        <w:t>产品的整体销售。特种存储器方面，公司重 点推广的高可靠存储器产品已获得超过千万的订单，同时也获得了航天领域的产品认证；公 司的特种</w:t>
      </w:r>
      <w:r>
        <w:rPr>
          <w:rFonts w:ascii="Times New Roman" w:eastAsia="Times New Roman" w:hAnsi="Times New Roman" w:cs="Times New Roman"/>
          <w:color w:val="000000"/>
          <w:spacing w:val="0"/>
          <w:w w:val="100"/>
          <w:position w:val="0"/>
          <w:sz w:val="24"/>
          <w:szCs w:val="24"/>
        </w:rPr>
        <w:t>DRAM</w:t>
      </w:r>
      <w:r>
        <w:rPr>
          <w:color w:val="000000"/>
          <w:spacing w:val="0"/>
          <w:w w:val="100"/>
          <w:position w:val="0"/>
        </w:rPr>
        <w:t>产品填补了国内空白，获得多家用户的试用和订货。公司还推出了</w:t>
      </w:r>
      <w:r>
        <w:rPr>
          <w:rFonts w:ascii="Times New Roman" w:eastAsia="Times New Roman" w:hAnsi="Times New Roman" w:cs="Times New Roman"/>
          <w:color w:val="000000"/>
          <w:spacing w:val="0"/>
          <w:w w:val="100"/>
          <w:position w:val="0"/>
          <w:sz w:val="24"/>
          <w:szCs w:val="24"/>
        </w:rPr>
        <w:t>3D</w:t>
      </w:r>
      <w:r>
        <w:rPr>
          <w:color w:val="000000"/>
          <w:spacing w:val="0"/>
          <w:w w:val="100"/>
          <w:position w:val="0"/>
        </w:rPr>
        <w:t xml:space="preserve">封装的 </w:t>
      </w:r>
      <w:r>
        <w:rPr>
          <w:rFonts w:ascii="Times New Roman" w:eastAsia="Times New Roman" w:hAnsi="Times New Roman" w:cs="Times New Roman"/>
          <w:color w:val="000000"/>
          <w:spacing w:val="0"/>
          <w:w w:val="100"/>
          <w:position w:val="0"/>
          <w:sz w:val="24"/>
          <w:szCs w:val="24"/>
        </w:rPr>
        <w:t>DRAM</w:t>
      </w:r>
      <w:r>
        <w:rPr>
          <w:color w:val="000000"/>
          <w:spacing w:val="0"/>
          <w:w w:val="100"/>
          <w:position w:val="0"/>
        </w:rPr>
        <w:t>产品，在提升存储容量的同时，缩小了产品的体积。</w:t>
      </w:r>
    </w:p>
    <w:p>
      <w:pPr>
        <w:pStyle w:val="Style31"/>
        <w:keepNext w:val="0"/>
        <w:keepLines w:val="0"/>
        <w:widowControl w:val="0"/>
        <w:shd w:val="clear" w:color="auto" w:fill="auto"/>
        <w:bidi w:val="0"/>
        <w:spacing w:before="0" w:line="314" w:lineRule="exact"/>
        <w:ind w:left="0" w:right="0" w:firstLine="480"/>
        <w:jc w:val="both"/>
      </w:pPr>
      <w:r>
        <w:rPr>
          <w:color w:val="000000"/>
          <w:spacing w:val="0"/>
          <w:w w:val="100"/>
          <w:position w:val="0"/>
        </w:rPr>
        <w:t>为更好满足特种装备行业小型化的发展趋势，公司提出芯片集成和封装集成两种解决方 案。公司的第二代可编程系统集成芯片</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SoPC</w:t>
      </w:r>
      <w:r>
        <w:rPr>
          <w:color w:val="000000"/>
          <w:spacing w:val="0"/>
          <w:w w:val="100"/>
          <w:position w:val="0"/>
        </w:rPr>
        <w:t>）</w:t>
      </w:r>
      <w:r>
        <w:rPr>
          <w:color w:val="000000"/>
          <w:spacing w:val="0"/>
          <w:w w:val="100"/>
          <w:position w:val="0"/>
        </w:rPr>
        <w:t>已获得批量订货，多数用户将</w:t>
      </w:r>
      <w:r>
        <w:rPr>
          <w:rFonts w:ascii="Times New Roman" w:eastAsia="Times New Roman" w:hAnsi="Times New Roman" w:cs="Times New Roman"/>
          <w:color w:val="000000"/>
          <w:spacing w:val="0"/>
          <w:w w:val="100"/>
          <w:position w:val="0"/>
          <w:sz w:val="24"/>
          <w:szCs w:val="24"/>
        </w:rPr>
        <w:t>SoPC</w:t>
      </w:r>
      <w:r>
        <w:rPr>
          <w:color w:val="000000"/>
          <w:spacing w:val="0"/>
          <w:w w:val="100"/>
          <w:position w:val="0"/>
        </w:rPr>
        <w:t>作为新一 代产品的通用平台芯片，围绕该芯片构建整个系统。封装集成方面，公司已推出集成</w:t>
      </w:r>
      <w:r>
        <w:rPr>
          <w:rFonts w:ascii="Times New Roman" w:eastAsia="Times New Roman" w:hAnsi="Times New Roman" w:cs="Times New Roman"/>
          <w:color w:val="000000"/>
          <w:spacing w:val="0"/>
          <w:w w:val="100"/>
          <w:position w:val="0"/>
          <w:sz w:val="24"/>
          <w:szCs w:val="24"/>
        </w:rPr>
        <w:t>C PU/DSP</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FPGA</w:t>
      </w:r>
      <w:r>
        <w:rPr>
          <w:color w:val="000000"/>
          <w:spacing w:val="0"/>
          <w:w w:val="100"/>
          <w:position w:val="0"/>
        </w:rPr>
        <w:t>、</w:t>
      </w:r>
      <w:r>
        <w:rPr>
          <w:color w:val="000000"/>
          <w:spacing w:val="0"/>
          <w:w w:val="100"/>
          <w:position w:val="0"/>
        </w:rPr>
        <w:t>接口、存储等多个芯片的</w:t>
      </w:r>
      <w:r>
        <w:rPr>
          <w:rFonts w:ascii="Times New Roman" w:eastAsia="Times New Roman" w:hAnsi="Times New Roman" w:cs="Times New Roman"/>
          <w:color w:val="000000"/>
          <w:spacing w:val="0"/>
          <w:w w:val="100"/>
          <w:position w:val="0"/>
          <w:sz w:val="24"/>
          <w:szCs w:val="24"/>
        </w:rPr>
        <w:t xml:space="preserve">SIP </w:t>
      </w:r>
      <w:r>
        <w:rPr>
          <w:color w:val="000000"/>
          <w:spacing w:val="0"/>
          <w:w w:val="100"/>
          <w:position w:val="0"/>
        </w:rPr>
        <w:t>（系统级封装）产品，预期可以帮助用户实现多个特种 计算机的小型化替换。另外，公司打破国外垄断，推出了多款集成化的小型电源模组，成功 解决了特种装备二次电源小型化问题。</w:t>
      </w:r>
    </w:p>
    <w:p>
      <w:pPr>
        <w:pStyle w:val="Style31"/>
        <w:keepNext w:val="0"/>
        <w:keepLines w:val="0"/>
        <w:widowControl w:val="0"/>
        <w:shd w:val="clear" w:color="auto" w:fill="auto"/>
        <w:tabs>
          <w:tab w:pos="841" w:val="left"/>
        </w:tabs>
        <w:bidi w:val="0"/>
        <w:spacing w:before="0" w:line="312" w:lineRule="exact"/>
        <w:ind w:left="0" w:right="0" w:firstLine="480"/>
        <w:jc w:val="both"/>
      </w:pPr>
      <w:bookmarkStart w:id="93" w:name="bookmark93"/>
      <w:r>
        <w:rPr>
          <w:b/>
          <w:bCs/>
          <w:color w:val="000000"/>
          <w:spacing w:val="0"/>
          <w:w w:val="100"/>
          <w:position w:val="0"/>
        </w:rPr>
        <w:t>3</w:t>
      </w:r>
      <w:bookmarkEnd w:id="93"/>
      <w:r>
        <w:rPr>
          <w:b/>
          <w:bCs/>
          <w:color w:val="000000"/>
          <w:spacing w:val="0"/>
          <w:w w:val="100"/>
          <w:position w:val="0"/>
        </w:rPr>
        <w:t>）</w:t>
        <w:tab/>
        <w:t>存储器芯片业务</w:t>
      </w:r>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DRAM</w:t>
      </w:r>
      <w:r>
        <w:rPr>
          <w:color w:val="000000"/>
          <w:spacing w:val="0"/>
          <w:w w:val="100"/>
          <w:position w:val="0"/>
        </w:rPr>
        <w:t>存储器芯片已形成较完整的系列，产品接口覆盖</w:t>
      </w:r>
      <w:r>
        <w:rPr>
          <w:rFonts w:ascii="Times New Roman" w:eastAsia="Times New Roman" w:hAnsi="Times New Roman" w:cs="Times New Roman"/>
          <w:color w:val="000000"/>
          <w:spacing w:val="0"/>
          <w:w w:val="100"/>
          <w:position w:val="0"/>
          <w:sz w:val="24"/>
          <w:szCs w:val="24"/>
        </w:rPr>
        <w:t>SDR</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DDR</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DDR</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和</w:t>
      </w:r>
      <w:r>
        <w:rPr>
          <w:rFonts w:ascii="Times New Roman" w:eastAsia="Times New Roman" w:hAnsi="Times New Roman" w:cs="Times New Roman"/>
          <w:color w:val="000000"/>
          <w:spacing w:val="0"/>
          <w:w w:val="100"/>
          <w:position w:val="0"/>
          <w:sz w:val="24"/>
          <w:szCs w:val="24"/>
        </w:rPr>
        <w:t xml:space="preserve">DDR3 </w:t>
      </w:r>
      <w:r>
        <w:rPr>
          <w:rFonts w:ascii="Times New Roman" w:eastAsia="Times New Roman" w:hAnsi="Times New Roman" w:cs="Times New Roman"/>
          <w:color w:val="000000"/>
          <w:spacing w:val="0"/>
          <w:w w:val="100"/>
          <w:position w:val="0"/>
          <w:sz w:val="24"/>
          <w:szCs w:val="24"/>
        </w:rPr>
        <w:t>DRAM</w:t>
      </w:r>
      <w:r>
        <w:rPr>
          <w:color w:val="000000"/>
          <w:spacing w:val="0"/>
          <w:w w:val="100"/>
          <w:position w:val="0"/>
        </w:rPr>
        <w:t>,</w:t>
      </w:r>
      <w:r>
        <w:rPr>
          <w:color w:val="000000"/>
          <w:spacing w:val="0"/>
          <w:w w:val="100"/>
          <w:position w:val="0"/>
        </w:rPr>
        <w:t>并开发相关的内存模组产品。</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年度，国际大厂进行制程转换以及资本投入缩减， 但市场需求快速增长，下半年存储器市场出现供不应求，行业整体趋好，产品价格大幅攀升。 另外，基于先进技术的集成电路集成和验证服务需求也很旺盛。受益于行业景气度的提升， 公司存储器业务</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年实现营收</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.93</w:t>
      </w:r>
      <w:r>
        <w:rPr>
          <w:color w:val="000000"/>
          <w:spacing w:val="0"/>
          <w:w w:val="100"/>
          <w:position w:val="0"/>
        </w:rPr>
        <w:t>亿元，同比增长超过</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w:t>
      </w:r>
    </w:p>
    <w:p>
      <w:pPr>
        <w:pStyle w:val="Style31"/>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报告期内，公司的存储器产品在服务器、个人计算机和机顶盒等方面稳定出货，深耕国 产计算机的应用需求，继续加强了国产</w:t>
      </w:r>
      <w:r>
        <w:rPr>
          <w:rFonts w:ascii="Times New Roman" w:eastAsia="Times New Roman" w:hAnsi="Times New Roman" w:cs="Times New Roman"/>
          <w:color w:val="000000"/>
          <w:spacing w:val="0"/>
          <w:w w:val="100"/>
          <w:position w:val="0"/>
          <w:sz w:val="24"/>
          <w:szCs w:val="24"/>
        </w:rPr>
        <w:t>DRAM</w:t>
      </w:r>
      <w:r>
        <w:rPr>
          <w:color w:val="000000"/>
          <w:spacing w:val="0"/>
          <w:w w:val="100"/>
          <w:position w:val="0"/>
        </w:rPr>
        <w:t>存储器供应商的领导地位。在集成电路系统集 成和验证方面，利用现有技术积累和人才团队的优势，加大已有大客户的合作规模，同时积 极开拓新的战略型客户，业务发展迅速。</w:t>
      </w:r>
    </w:p>
    <w:p>
      <w:pPr>
        <w:pStyle w:val="Style31"/>
        <w:keepNext w:val="0"/>
        <w:keepLines w:val="0"/>
        <w:widowControl w:val="0"/>
        <w:shd w:val="clear" w:color="auto" w:fill="auto"/>
        <w:bidi w:val="0"/>
        <w:spacing w:before="0" w:after="100" w:line="318" w:lineRule="exact"/>
        <w:ind w:left="0" w:right="0" w:firstLine="480"/>
        <w:jc w:val="both"/>
      </w:pPr>
      <w:r>
        <w:rPr>
          <w:color w:val="000000"/>
          <w:spacing w:val="0"/>
          <w:w w:val="100"/>
          <w:position w:val="0"/>
        </w:rPr>
        <w:t>公司自主创新的内嵌</w:t>
      </w:r>
      <w:r>
        <w:rPr>
          <w:rFonts w:ascii="Times New Roman" w:eastAsia="Times New Roman" w:hAnsi="Times New Roman" w:cs="Times New Roman"/>
          <w:color w:val="000000"/>
          <w:spacing w:val="0"/>
          <w:w w:val="100"/>
          <w:position w:val="0"/>
          <w:sz w:val="24"/>
          <w:szCs w:val="24"/>
        </w:rPr>
        <w:t>ECC DRAM</w:t>
      </w:r>
      <w:r>
        <w:rPr>
          <w:color w:val="000000"/>
          <w:spacing w:val="0"/>
          <w:w w:val="100"/>
          <w:position w:val="0"/>
        </w:rPr>
        <w:t>存储器产品，在有高可靠性要求的工业应用等领域实现 批量销售，在汽车电子领域获得小批量应用。新型存储技术</w:t>
      </w:r>
      <w:r>
        <w:rPr>
          <w:rFonts w:ascii="Times New Roman" w:eastAsia="Times New Roman" w:hAnsi="Times New Roman" w:cs="Times New Roman"/>
          <w:color w:val="000000"/>
          <w:spacing w:val="0"/>
          <w:w w:val="100"/>
          <w:position w:val="0"/>
          <w:sz w:val="24"/>
          <w:szCs w:val="24"/>
        </w:rPr>
        <w:t>RRAM</w:t>
      </w:r>
      <w:r>
        <w:rPr>
          <w:color w:val="000000"/>
          <w:spacing w:val="0"/>
          <w:w w:val="100"/>
          <w:position w:val="0"/>
        </w:rPr>
        <w:t>的研究方面，成功完成存 储芯片样片开发及系统验证。新开发的</w:t>
      </w:r>
      <w:r>
        <w:rPr>
          <w:rFonts w:ascii="Times New Roman" w:eastAsia="Times New Roman" w:hAnsi="Times New Roman" w:cs="Times New Roman"/>
          <w:color w:val="000000"/>
          <w:spacing w:val="0"/>
          <w:w w:val="100"/>
          <w:position w:val="0"/>
          <w:sz w:val="24"/>
          <w:szCs w:val="24"/>
        </w:rPr>
        <w:t>Nand Flash</w:t>
      </w:r>
      <w:r>
        <w:rPr>
          <w:color w:val="000000"/>
          <w:spacing w:val="0"/>
          <w:w w:val="100"/>
          <w:position w:val="0"/>
        </w:rPr>
        <w:t>产品、下一代新接口的</w:t>
      </w:r>
      <w:r>
        <w:rPr>
          <w:rFonts w:ascii="Times New Roman" w:eastAsia="Times New Roman" w:hAnsi="Times New Roman" w:cs="Times New Roman"/>
          <w:color w:val="000000"/>
          <w:spacing w:val="0"/>
          <w:w w:val="100"/>
          <w:position w:val="0"/>
          <w:sz w:val="24"/>
          <w:szCs w:val="24"/>
        </w:rPr>
        <w:t>DRAM</w:t>
      </w:r>
      <w:r>
        <w:rPr>
          <w:color w:val="000000"/>
          <w:spacing w:val="0"/>
          <w:w w:val="100"/>
          <w:position w:val="0"/>
        </w:rPr>
        <w:t>产品按计划顺 利推进，部分产品已经完成流片验证，正在进行质量和可靠性认证。</w:t>
      </w:r>
    </w:p>
    <w:p>
      <w:pPr>
        <w:pStyle w:val="Style31"/>
        <w:keepNext w:val="0"/>
        <w:keepLines w:val="0"/>
        <w:widowControl w:val="0"/>
        <w:shd w:val="clear" w:color="auto" w:fill="auto"/>
        <w:tabs>
          <w:tab w:pos="840" w:val="left"/>
        </w:tabs>
        <w:bidi w:val="0"/>
        <w:spacing w:before="0" w:after="100" w:line="315" w:lineRule="exact"/>
        <w:ind w:left="0" w:right="0" w:firstLine="480"/>
        <w:jc w:val="both"/>
      </w:pPr>
      <w:bookmarkStart w:id="94" w:name="bookmark94"/>
      <w:r>
        <w:rPr>
          <w:b/>
          <w:bCs/>
          <w:color w:val="000000"/>
          <w:spacing w:val="0"/>
          <w:w w:val="100"/>
          <w:position w:val="0"/>
        </w:rPr>
        <w:t>4</w:t>
      </w:r>
      <w:bookmarkEnd w:id="94"/>
      <w:r>
        <w:rPr>
          <w:b/>
          <w:bCs/>
          <w:color w:val="000000"/>
          <w:spacing w:val="0"/>
          <w:w w:val="100"/>
          <w:position w:val="0"/>
        </w:rPr>
        <w:t>）</w:t>
        <w:tab/>
        <w:t>可重构系统芯片业务</w:t>
      </w:r>
    </w:p>
    <w:p>
      <w:pPr>
        <w:pStyle w:val="Style31"/>
        <w:keepNext w:val="0"/>
        <w:keepLines w:val="0"/>
        <w:widowControl w:val="0"/>
        <w:shd w:val="clear" w:color="auto" w:fill="auto"/>
        <w:bidi w:val="0"/>
        <w:spacing w:before="0" w:after="100" w:line="315" w:lineRule="exact"/>
        <w:ind w:left="0" w:right="0" w:firstLine="480"/>
        <w:jc w:val="both"/>
      </w:pPr>
      <w:r>
        <w:rPr>
          <w:color w:val="000000"/>
          <w:spacing w:val="0"/>
          <w:w w:val="100"/>
          <w:position w:val="0"/>
        </w:rPr>
        <w:t>报告期内，公司的商用可编程系统芯片的开发进展顺利，在</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月正式推出国内首款 内嵌高速接口</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serdes</w:t>
      </w:r>
      <w:r>
        <w:rPr>
          <w:color w:val="000000"/>
          <w:spacing w:val="0"/>
          <w:w w:val="100"/>
          <w:position w:val="0"/>
        </w:rPr>
        <w:t>）</w:t>
      </w:r>
      <w:r>
        <w:rPr>
          <w:color w:val="000000"/>
          <w:spacing w:val="0"/>
          <w:w w:val="100"/>
          <w:position w:val="0"/>
        </w:rPr>
        <w:t>的千万门级高性能</w:t>
      </w:r>
      <w:r>
        <w:rPr>
          <w:rFonts w:ascii="Times New Roman" w:eastAsia="Times New Roman" w:hAnsi="Times New Roman" w:cs="Times New Roman"/>
          <w:color w:val="000000"/>
          <w:spacing w:val="0"/>
          <w:w w:val="100"/>
          <w:position w:val="0"/>
          <w:sz w:val="24"/>
          <w:szCs w:val="24"/>
        </w:rPr>
        <w:t>FPGA</w:t>
      </w:r>
      <w:r>
        <w:rPr>
          <w:color w:val="000000"/>
          <w:spacing w:val="0"/>
          <w:w w:val="100"/>
          <w:position w:val="0"/>
        </w:rPr>
        <w:t>芯片——</w:t>
      </w:r>
      <w:r>
        <w:rPr>
          <w:rFonts w:ascii="Times New Roman" w:eastAsia="Times New Roman" w:hAnsi="Times New Roman" w:cs="Times New Roman"/>
          <w:color w:val="000000"/>
          <w:spacing w:val="0"/>
          <w:w w:val="100"/>
          <w:position w:val="0"/>
          <w:sz w:val="24"/>
          <w:szCs w:val="24"/>
        </w:rPr>
        <w:t>PGT180H</w:t>
      </w:r>
      <w:r>
        <w:rPr>
          <w:color w:val="000000"/>
          <w:spacing w:val="0"/>
          <w:w w:val="100"/>
          <w:position w:val="0"/>
        </w:rPr>
        <w:t>。</w:t>
      </w:r>
      <w:r>
        <w:rPr>
          <w:color w:val="000000"/>
          <w:spacing w:val="0"/>
          <w:w w:val="100"/>
          <w:position w:val="0"/>
        </w:rPr>
        <w:t>该芯片首次集成了传输 速率达到</w:t>
      </w:r>
      <w:r>
        <w:rPr>
          <w:rFonts w:ascii="Times New Roman" w:eastAsia="Times New Roman" w:hAnsi="Times New Roman" w:cs="Times New Roman"/>
          <w:color w:val="000000"/>
          <w:spacing w:val="0"/>
          <w:w w:val="100"/>
          <w:position w:val="0"/>
          <w:sz w:val="24"/>
          <w:szCs w:val="24"/>
        </w:rPr>
        <w:t>6.5Gbps</w:t>
      </w:r>
      <w:r>
        <w:rPr>
          <w:color w:val="000000"/>
          <w:spacing w:val="0"/>
          <w:w w:val="100"/>
          <w:position w:val="0"/>
        </w:rPr>
        <w:t>的高速</w:t>
      </w:r>
      <w:r>
        <w:rPr>
          <w:rFonts w:ascii="Times New Roman" w:eastAsia="Times New Roman" w:hAnsi="Times New Roman" w:cs="Times New Roman"/>
          <w:color w:val="000000"/>
          <w:spacing w:val="0"/>
          <w:w w:val="100"/>
          <w:position w:val="0"/>
          <w:sz w:val="24"/>
          <w:szCs w:val="24"/>
        </w:rPr>
        <w:t>serdes</w:t>
      </w:r>
      <w:r>
        <w:rPr>
          <w:color w:val="000000"/>
          <w:spacing w:val="0"/>
          <w:w w:val="100"/>
          <w:position w:val="0"/>
        </w:rPr>
        <w:t>模块，最大规模可编程达到</w:t>
      </w:r>
      <w:r>
        <w:rPr>
          <w:rFonts w:ascii="Times New Roman" w:eastAsia="Times New Roman" w:hAnsi="Times New Roman" w:cs="Times New Roman"/>
          <w:color w:val="000000"/>
          <w:spacing w:val="0"/>
          <w:w w:val="100"/>
          <w:position w:val="0"/>
          <w:sz w:val="24"/>
          <w:szCs w:val="24"/>
        </w:rPr>
        <w:t>1800</w:t>
      </w:r>
      <w:r>
        <w:rPr>
          <w:color w:val="000000"/>
          <w:spacing w:val="0"/>
          <w:w w:val="100"/>
          <w:position w:val="0"/>
        </w:rPr>
        <w:t>万门，支持最高速率</w:t>
      </w:r>
      <w:r>
        <w:rPr>
          <w:rFonts w:ascii="Times New Roman" w:eastAsia="Times New Roman" w:hAnsi="Times New Roman" w:cs="Times New Roman"/>
          <w:color w:val="000000"/>
          <w:spacing w:val="0"/>
          <w:w w:val="100"/>
          <w:position w:val="0"/>
          <w:sz w:val="24"/>
          <w:szCs w:val="24"/>
        </w:rPr>
        <w:t>1066Mbps DDR3</w:t>
      </w:r>
      <w:r>
        <w:rPr>
          <w:color w:val="000000"/>
          <w:spacing w:val="0"/>
          <w:w w:val="100"/>
          <w:position w:val="0"/>
        </w:rPr>
        <w:t>接口。无论从规模还是性能角度，</w:t>
      </w:r>
      <w:r>
        <w:rPr>
          <w:rFonts w:ascii="Times New Roman" w:eastAsia="Times New Roman" w:hAnsi="Times New Roman" w:cs="Times New Roman"/>
          <w:color w:val="000000"/>
          <w:spacing w:val="0"/>
          <w:w w:val="100"/>
          <w:position w:val="0"/>
          <w:sz w:val="24"/>
          <w:szCs w:val="24"/>
        </w:rPr>
        <w:t>PGT180H</w:t>
      </w:r>
      <w:r>
        <w:rPr>
          <w:color w:val="000000"/>
          <w:spacing w:val="0"/>
          <w:w w:val="100"/>
          <w:position w:val="0"/>
        </w:rPr>
        <w:t>都代表了国内自主知识产权</w:t>
      </w:r>
      <w:r>
        <w:rPr>
          <w:rFonts w:ascii="Times New Roman" w:eastAsia="Times New Roman" w:hAnsi="Times New Roman" w:cs="Times New Roman"/>
          <w:color w:val="000000"/>
          <w:spacing w:val="0"/>
          <w:w w:val="100"/>
          <w:position w:val="0"/>
          <w:sz w:val="24"/>
          <w:szCs w:val="24"/>
        </w:rPr>
        <w:t>FPGA</w:t>
      </w:r>
      <w:r>
        <w:rPr>
          <w:color w:val="000000"/>
          <w:spacing w:val="0"/>
          <w:w w:val="100"/>
          <w:position w:val="0"/>
        </w:rPr>
        <w:t>芯片的最 高水平。目前</w:t>
      </w:r>
      <w:r>
        <w:rPr>
          <w:rFonts w:ascii="Times New Roman" w:eastAsia="Times New Roman" w:hAnsi="Times New Roman" w:cs="Times New Roman"/>
          <w:color w:val="000000"/>
          <w:spacing w:val="0"/>
          <w:w w:val="100"/>
          <w:position w:val="0"/>
          <w:sz w:val="24"/>
          <w:szCs w:val="24"/>
        </w:rPr>
        <w:t>PGT180H</w:t>
      </w:r>
      <w:r>
        <w:rPr>
          <w:color w:val="000000"/>
          <w:spacing w:val="0"/>
          <w:w w:val="100"/>
          <w:position w:val="0"/>
        </w:rPr>
        <w:t>正在通信领域与用户进行验证测试。预计在未来几年还需要较大投入， 在知识产权方面进行积累，在产品线上进一步丰富，才能逐步在应用领域获得客户广泛支持。</w:t>
      </w:r>
    </w:p>
    <w:p>
      <w:pPr>
        <w:pStyle w:val="Style31"/>
        <w:keepNext w:val="0"/>
        <w:keepLines w:val="0"/>
        <w:widowControl w:val="0"/>
        <w:shd w:val="clear" w:color="auto" w:fill="auto"/>
        <w:tabs>
          <w:tab w:pos="840" w:val="left"/>
        </w:tabs>
        <w:bidi w:val="0"/>
        <w:spacing w:before="0" w:after="100" w:line="315" w:lineRule="exact"/>
        <w:ind w:left="0" w:right="0" w:firstLine="480"/>
        <w:jc w:val="both"/>
      </w:pPr>
      <w:bookmarkStart w:id="95" w:name="bookmark95"/>
      <w:r>
        <w:rPr>
          <w:b/>
          <w:bCs/>
          <w:color w:val="000000"/>
          <w:spacing w:val="0"/>
          <w:w w:val="100"/>
          <w:position w:val="0"/>
        </w:rPr>
        <w:t>5</w:t>
      </w:r>
      <w:bookmarkEnd w:id="95"/>
      <w:r>
        <w:rPr>
          <w:b/>
          <w:bCs/>
          <w:color w:val="000000"/>
          <w:spacing w:val="0"/>
          <w:w w:val="100"/>
          <w:position w:val="0"/>
        </w:rPr>
        <w:t>）</w:t>
        <w:tab/>
        <w:t>半导体功率器件业务</w:t>
      </w:r>
    </w:p>
    <w:p>
      <w:pPr>
        <w:pStyle w:val="Style31"/>
        <w:keepNext w:val="0"/>
        <w:keepLines w:val="0"/>
        <w:widowControl w:val="0"/>
        <w:shd w:val="clear" w:color="auto" w:fill="auto"/>
        <w:bidi w:val="0"/>
        <w:spacing w:before="0" w:after="160" w:line="315" w:lineRule="exact"/>
        <w:ind w:left="0" w:right="0" w:firstLine="480"/>
        <w:jc w:val="both"/>
      </w:pPr>
      <w:r>
        <w:rPr>
          <w:color w:val="000000"/>
          <w:spacing w:val="0"/>
          <w:w w:val="100"/>
          <w:position w:val="0"/>
        </w:rPr>
        <w:t>公司半导体功率器件产品主要包括高压超结</w:t>
      </w:r>
      <w:r>
        <w:rPr>
          <w:rFonts w:ascii="Times New Roman" w:eastAsia="Times New Roman" w:hAnsi="Times New Roman" w:cs="Times New Roman"/>
          <w:color w:val="000000"/>
          <w:spacing w:val="0"/>
          <w:w w:val="100"/>
          <w:position w:val="0"/>
          <w:sz w:val="24"/>
          <w:szCs w:val="24"/>
        </w:rPr>
        <w:t>MOSFET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IGBT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IGTO</w:t>
      </w:r>
      <w:r>
        <w:rPr>
          <w:color w:val="000000"/>
          <w:spacing w:val="0"/>
          <w:w w:val="100"/>
          <w:position w:val="0"/>
        </w:rPr>
        <w:t>等先进半导体功率器 件以及相关的电源管理集成电路等产品，可以广泛应用于节能、绿色照明、风力发电、智能 电网、混合动力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电动汽车、仪器仪表、消费电子等领域。公司开发的新一代高压超结</w:t>
      </w:r>
      <w:r>
        <w:rPr>
          <w:rFonts w:ascii="Times New Roman" w:eastAsia="Times New Roman" w:hAnsi="Times New Roman" w:cs="Times New Roman"/>
          <w:color w:val="000000"/>
          <w:spacing w:val="0"/>
          <w:w w:val="100"/>
          <w:position w:val="0"/>
          <w:sz w:val="24"/>
          <w:szCs w:val="24"/>
        </w:rPr>
        <w:t xml:space="preserve">MOSFET </w:t>
      </w:r>
      <w:r>
        <w:rPr>
          <w:color w:val="000000"/>
          <w:spacing w:val="0"/>
          <w:w w:val="100"/>
          <w:position w:val="0"/>
        </w:rPr>
        <w:t>具有低导通电阻、低开关损耗的优点，可广泛应用于对系统效率有更高要求的照明应用及各 类电源、适配器和充电器等，已经获得了国内外客户的认可，市场销售增长很快，目前已处 于国内领先地位。此外，公司还成功开发了极具特色的</w:t>
      </w:r>
      <w:r>
        <w:rPr>
          <w:rFonts w:ascii="Times New Roman" w:eastAsia="Times New Roman" w:hAnsi="Times New Roman" w:cs="Times New Roman"/>
          <w:color w:val="000000"/>
          <w:spacing w:val="0"/>
          <w:w w:val="100"/>
          <w:position w:val="0"/>
          <w:sz w:val="24"/>
          <w:szCs w:val="24"/>
        </w:rPr>
        <w:t>IGTO</w:t>
      </w:r>
      <w:r>
        <w:rPr>
          <w:color w:val="000000"/>
          <w:spacing w:val="0"/>
          <w:w w:val="100"/>
          <w:position w:val="0"/>
        </w:rPr>
        <w:t>产品等先进的半导体功率器件， 为公司未来在大型半导体功率器件领域的拓展打下了良好的基础。</w:t>
      </w:r>
    </w:p>
    <w:p>
      <w:pPr>
        <w:pStyle w:val="Style31"/>
        <w:keepNext w:val="0"/>
        <w:keepLines w:val="0"/>
        <w:widowControl w:val="0"/>
        <w:shd w:val="clear" w:color="auto" w:fill="auto"/>
        <w:bidi w:val="0"/>
        <w:spacing w:before="0" w:after="100" w:line="315" w:lineRule="exact"/>
        <w:ind w:left="0" w:right="0" w:firstLine="480"/>
        <w:jc w:val="left"/>
      </w:pPr>
      <w:r>
        <w:rPr>
          <w:b/>
          <w:bCs/>
          <w:color w:val="000000"/>
          <w:spacing w:val="0"/>
          <w:w w:val="100"/>
          <w:position w:val="0"/>
        </w:rPr>
        <w:t>晶体业务：</w:t>
      </w:r>
    </w:p>
    <w:p>
      <w:pPr>
        <w:pStyle w:val="Style31"/>
        <w:keepNext w:val="0"/>
        <w:keepLines w:val="0"/>
        <w:widowControl w:val="0"/>
        <w:shd w:val="clear" w:color="auto" w:fill="auto"/>
        <w:bidi w:val="0"/>
        <w:spacing w:before="0" w:after="100" w:line="313" w:lineRule="exact"/>
        <w:ind w:left="0" w:right="0" w:firstLine="48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年，石英晶体产品市场需求持续低迷，产品售价持续下跌，行业内普遍出现业绩下 滑情况。公司产品订单严重不足，销量及销售收入与去年同期相比均有较大下降。公司通过 积极拓展国内客户，紧抓改进创新与管理提升，在降低生产成本、提升产品良率等方面取得 良好效果。本年度共销售晶体元器件</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亿件，实现销售收入</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.41</w:t>
      </w:r>
      <w:r>
        <w:rPr>
          <w:color w:val="000000"/>
          <w:spacing w:val="0"/>
          <w:w w:val="100"/>
          <w:position w:val="0"/>
        </w:rPr>
        <w:t>亿元，加上汇兑收益</w:t>
      </w:r>
      <w:r>
        <w:rPr>
          <w:rFonts w:ascii="Times New Roman" w:eastAsia="Times New Roman" w:hAnsi="Times New Roman" w:cs="Times New Roman"/>
          <w:color w:val="000000"/>
          <w:spacing w:val="0"/>
          <w:w w:val="100"/>
          <w:position w:val="0"/>
          <w:sz w:val="24"/>
          <w:szCs w:val="24"/>
        </w:rPr>
        <w:t>662</w:t>
      </w:r>
      <w:r>
        <w:rPr>
          <w:color w:val="000000"/>
          <w:spacing w:val="0"/>
          <w:w w:val="100"/>
          <w:position w:val="0"/>
        </w:rPr>
        <w:t>万元 的贡献，最终实现净利润</w:t>
      </w:r>
      <w:r>
        <w:rPr>
          <w:rFonts w:ascii="Times New Roman" w:eastAsia="Times New Roman" w:hAnsi="Times New Roman" w:cs="Times New Roman"/>
          <w:color w:val="000000"/>
          <w:spacing w:val="0"/>
          <w:w w:val="100"/>
          <w:position w:val="0"/>
          <w:sz w:val="24"/>
          <w:szCs w:val="24"/>
        </w:rPr>
        <w:t>1342</w:t>
      </w:r>
      <w:r>
        <w:rPr>
          <w:color w:val="000000"/>
          <w:spacing w:val="0"/>
          <w:w w:val="100"/>
          <w:position w:val="0"/>
        </w:rPr>
        <w:t>万元。</w:t>
      </w:r>
    </w:p>
    <w:p>
      <w:pPr>
        <w:pStyle w:val="Style31"/>
        <w:keepNext w:val="0"/>
        <w:keepLines w:val="0"/>
        <w:widowControl w:val="0"/>
        <w:shd w:val="clear" w:color="auto" w:fill="auto"/>
        <w:bidi w:val="0"/>
        <w:spacing w:before="0" w:after="100" w:line="316" w:lineRule="exact"/>
        <w:ind w:left="0" w:right="0" w:firstLine="480"/>
        <w:jc w:val="both"/>
      </w:pPr>
      <w:r>
        <w:rPr>
          <w:color w:val="000000"/>
          <w:spacing w:val="0"/>
          <w:w w:val="100"/>
          <w:position w:val="0"/>
        </w:rPr>
        <w:t>报告期内，公司产品开发及技术创新取得新成绩，成功开发出</w:t>
      </w:r>
      <w:r>
        <w:rPr>
          <w:rFonts w:ascii="Times New Roman" w:eastAsia="Times New Roman" w:hAnsi="Times New Roman" w:cs="Times New Roman"/>
          <w:color w:val="000000"/>
          <w:spacing w:val="0"/>
          <w:w w:val="100"/>
          <w:position w:val="0"/>
          <w:sz w:val="24"/>
          <w:szCs w:val="24"/>
        </w:rPr>
        <w:t xml:space="preserve">SMD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规格晶体的主要 频点，已具备批量生产能力；应用自主开发的高基频</w:t>
      </w:r>
      <w:r>
        <w:rPr>
          <w:rFonts w:ascii="Times New Roman" w:eastAsia="Times New Roman" w:hAnsi="Times New Roman" w:cs="Times New Roman"/>
          <w:color w:val="000000"/>
          <w:spacing w:val="0"/>
          <w:w w:val="100"/>
          <w:position w:val="0"/>
          <w:sz w:val="24"/>
          <w:szCs w:val="24"/>
        </w:rPr>
        <w:t>MESA</w:t>
      </w:r>
      <w:r>
        <w:rPr>
          <w:color w:val="000000"/>
          <w:spacing w:val="0"/>
          <w:w w:val="100"/>
          <w:position w:val="0"/>
        </w:rPr>
        <w:t>晶片加工技术，将</w:t>
      </w:r>
      <w:r>
        <w:rPr>
          <w:rFonts w:ascii="Times New Roman" w:eastAsia="Times New Roman" w:hAnsi="Times New Roman" w:cs="Times New Roman"/>
          <w:color w:val="000000"/>
          <w:spacing w:val="0"/>
          <w:w w:val="100"/>
          <w:position w:val="0"/>
          <w:sz w:val="24"/>
          <w:szCs w:val="24"/>
        </w:rPr>
        <w:t xml:space="preserve">SMD2520 OSC </w:t>
      </w:r>
      <w:r>
        <w:rPr>
          <w:color w:val="000000"/>
          <w:spacing w:val="0"/>
          <w:w w:val="100"/>
          <w:position w:val="0"/>
        </w:rPr>
        <w:t>产品频率扩展到</w:t>
      </w:r>
      <w:r>
        <w:rPr>
          <w:rFonts w:ascii="Times New Roman" w:eastAsia="Times New Roman" w:hAnsi="Times New Roman" w:cs="Times New Roman"/>
          <w:color w:val="000000"/>
          <w:spacing w:val="0"/>
          <w:w w:val="100"/>
          <w:position w:val="0"/>
          <w:sz w:val="24"/>
          <w:szCs w:val="24"/>
        </w:rPr>
        <w:t>125MHz</w:t>
      </w:r>
      <w:r>
        <w:rPr>
          <w:color w:val="000000"/>
          <w:spacing w:val="0"/>
          <w:w w:val="100"/>
          <w:position w:val="0"/>
        </w:rPr>
        <w:t>,</w:t>
      </w:r>
      <w:r>
        <w:rPr>
          <w:color w:val="000000"/>
          <w:spacing w:val="0"/>
          <w:w w:val="100"/>
          <w:position w:val="0"/>
        </w:rPr>
        <w:t>技术已达到日本企业同等水平；通过工艺改进，使大规格晶片研磨 加工效率提高</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；成功开发出</w:t>
      </w:r>
      <w:r>
        <w:rPr>
          <w:rFonts w:ascii="Times New Roman" w:eastAsia="Times New Roman" w:hAnsi="Times New Roman" w:cs="Times New Roman"/>
          <w:color w:val="000000"/>
          <w:spacing w:val="0"/>
          <w:w w:val="100"/>
          <w:position w:val="0"/>
          <w:sz w:val="24"/>
          <w:szCs w:val="24"/>
        </w:rPr>
        <w:t xml:space="preserve">VCXO </w:t>
      </w:r>
      <w:r>
        <w:rPr>
          <w:rFonts w:ascii="Times New Roman" w:eastAsia="Times New Roman" w:hAnsi="Times New Roman" w:cs="Times New Roman"/>
          <w:color w:val="000000"/>
          <w:spacing w:val="0"/>
          <w:w w:val="100"/>
          <w:position w:val="0"/>
          <w:sz w:val="24"/>
          <w:szCs w:val="24"/>
        </w:rPr>
        <w:t>2520</w:t>
      </w:r>
      <w:r>
        <w:rPr>
          <w:color w:val="000000"/>
          <w:spacing w:val="0"/>
          <w:w w:val="100"/>
          <w:position w:val="0"/>
        </w:rPr>
        <w:t>规格</w:t>
      </w:r>
      <w:r>
        <w:rPr>
          <w:rFonts w:ascii="Times New Roman" w:eastAsia="Times New Roman" w:hAnsi="Times New Roman" w:cs="Times New Roman"/>
          <w:color w:val="000000"/>
          <w:spacing w:val="0"/>
          <w:w w:val="100"/>
          <w:position w:val="0"/>
          <w:sz w:val="24"/>
          <w:szCs w:val="24"/>
        </w:rPr>
        <w:t>2</w:t>
      </w:r>
      <w:r>
        <w:rPr>
          <w:rFonts w:ascii="Times New Roman" w:eastAsia="Times New Roman" w:hAnsi="Times New Roman" w:cs="Times New Roman"/>
          <w:color w:val="000000"/>
          <w:spacing w:val="0"/>
          <w:w w:val="100"/>
          <w:position w:val="0"/>
          <w:sz w:val="24"/>
          <w:szCs w:val="24"/>
        </w:rPr>
        <w:t>0M</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30.72M</w:t>
      </w:r>
      <w:r>
        <w:rPr>
          <w:color w:val="000000"/>
          <w:spacing w:val="0"/>
          <w:w w:val="100"/>
          <w:position w:val="0"/>
        </w:rPr>
        <w:t>和</w:t>
      </w:r>
      <w:r>
        <w:rPr>
          <w:rFonts w:ascii="Times New Roman" w:eastAsia="Times New Roman" w:hAnsi="Times New Roman" w:cs="Times New Roman"/>
          <w:color w:val="000000"/>
          <w:spacing w:val="0"/>
          <w:w w:val="100"/>
          <w:position w:val="0"/>
          <w:sz w:val="24"/>
          <w:szCs w:val="24"/>
        </w:rPr>
        <w:t>61.44M</w:t>
      </w:r>
      <w:r>
        <w:rPr>
          <w:color w:val="000000"/>
          <w:spacing w:val="0"/>
          <w:w w:val="100"/>
          <w:position w:val="0"/>
        </w:rPr>
        <w:t>等小尺寸频点，满足 了高端市场需求。</w:t>
      </w:r>
    </w:p>
    <w:p>
      <w:pPr>
        <w:pStyle w:val="Style31"/>
        <w:keepNext w:val="0"/>
        <w:keepLines w:val="0"/>
        <w:widowControl w:val="0"/>
        <w:shd w:val="clear" w:color="auto" w:fill="auto"/>
        <w:bidi w:val="0"/>
        <w:spacing w:before="0" w:after="340" w:line="322" w:lineRule="exact"/>
        <w:ind w:left="0" w:right="0" w:firstLine="480"/>
        <w:jc w:val="both"/>
      </w:pPr>
      <w:r>
        <w:rPr>
          <w:color w:val="000000"/>
          <w:spacing w:val="0"/>
          <w:w w:val="100"/>
          <w:position w:val="0"/>
        </w:rPr>
        <w:t>此外，公司进一步优化完善生产管理，</w:t>
      </w:r>
      <w:r>
        <w:rPr>
          <w:rFonts w:ascii="Times New Roman" w:eastAsia="Times New Roman" w:hAnsi="Times New Roman" w:cs="Times New Roman"/>
          <w:color w:val="000000"/>
          <w:spacing w:val="0"/>
          <w:w w:val="100"/>
          <w:position w:val="0"/>
          <w:sz w:val="24"/>
          <w:szCs w:val="24"/>
        </w:rPr>
        <w:t>SMD</w:t>
      </w:r>
      <w:r>
        <w:rPr>
          <w:color w:val="000000"/>
          <w:spacing w:val="0"/>
          <w:w w:val="100"/>
          <w:position w:val="0"/>
        </w:rPr>
        <w:t>产品线和</w:t>
      </w:r>
      <w:r>
        <w:rPr>
          <w:rFonts w:ascii="Times New Roman" w:eastAsia="Times New Roman" w:hAnsi="Times New Roman" w:cs="Times New Roman"/>
          <w:color w:val="000000"/>
          <w:spacing w:val="0"/>
          <w:w w:val="100"/>
          <w:position w:val="0"/>
          <w:sz w:val="24"/>
          <w:szCs w:val="24"/>
        </w:rPr>
        <w:t>OCXO</w:t>
      </w:r>
      <w:r>
        <w:rPr>
          <w:color w:val="000000"/>
          <w:spacing w:val="0"/>
          <w:w w:val="100"/>
          <w:position w:val="0"/>
        </w:rPr>
        <w:t>产品线实现了全面信息化管 理，初步建立了以可控、可调、可视、可追为特点的新型管理模式。另外，在弹性产能匹配、</w:t>
        <w:br w:type="page"/>
      </w:r>
      <w:r>
        <w:rPr>
          <w:color w:val="000000"/>
          <w:spacing w:val="0"/>
          <w:w w:val="100"/>
          <w:position w:val="0"/>
        </w:rPr>
        <w:t>精准生产保障等方面都有积极探索，取得了满意的结果。</w:t>
      </w:r>
    </w:p>
    <w:p>
      <w:pPr>
        <w:pStyle w:val="Style28"/>
        <w:keepNext/>
        <w:keepLines/>
        <w:widowControl w:val="0"/>
        <w:shd w:val="clear" w:color="auto" w:fill="auto"/>
        <w:bidi w:val="0"/>
        <w:spacing w:before="0" w:line="240" w:lineRule="auto"/>
        <w:ind w:left="0" w:right="0" w:firstLine="0"/>
        <w:jc w:val="left"/>
        <w:rPr>
          <w:sz w:val="22"/>
          <w:szCs w:val="22"/>
        </w:rPr>
      </w:pPr>
      <w:bookmarkStart w:id="96" w:name="bookmark96"/>
      <w:bookmarkStart w:id="97" w:name="bookmark97"/>
      <w:bookmarkStart w:id="98" w:name="bookmark98"/>
      <w:bookmarkStart w:id="99" w:name="bookmark99"/>
      <w:r>
        <w:rPr>
          <w:color w:val="000000"/>
          <w:spacing w:val="0"/>
          <w:w w:val="100"/>
          <w:position w:val="0"/>
          <w:sz w:val="22"/>
          <w:szCs w:val="22"/>
        </w:rPr>
        <w:t>2</w:t>
      </w:r>
      <w:bookmarkEnd w:id="98"/>
      <w:r>
        <w:rPr>
          <w:color w:val="000000"/>
          <w:spacing w:val="0"/>
          <w:w w:val="100"/>
          <w:position w:val="0"/>
          <w:sz w:val="22"/>
          <w:szCs w:val="22"/>
        </w:rPr>
        <w:t>、收入与成本</w:t>
      </w:r>
      <w:bookmarkEnd w:id="96"/>
      <w:bookmarkEnd w:id="97"/>
      <w:bookmarkEnd w:id="99"/>
    </w:p>
    <w:p>
      <w:pPr>
        <w:pStyle w:val="Style44"/>
        <w:keepNext/>
        <w:keepLines/>
        <w:widowControl w:val="0"/>
        <w:numPr>
          <w:ilvl w:val="0"/>
          <w:numId w:val="1"/>
        </w:numPr>
        <w:shd w:val="clear" w:color="auto" w:fill="auto"/>
        <w:bidi w:val="0"/>
        <w:spacing w:before="0" w:after="340" w:line="240" w:lineRule="auto"/>
        <w:ind w:left="0" w:right="0" w:firstLine="0"/>
        <w:jc w:val="left"/>
      </w:pPr>
      <w:bookmarkStart w:id="100" w:name="bookmark100"/>
      <w:bookmarkStart w:id="101" w:name="bookmark101"/>
      <w:bookmarkStart w:id="102" w:name="bookmark102"/>
      <w:bookmarkStart w:id="103" w:name="bookmark103"/>
      <w:bookmarkEnd w:id="102"/>
      <w:r>
        <w:rPr>
          <w:color w:val="000000"/>
          <w:spacing w:val="0"/>
          <w:w w:val="100"/>
          <w:position w:val="0"/>
        </w:rPr>
        <w:t>营业收入构成</w:t>
      </w:r>
      <w:bookmarkEnd w:id="100"/>
      <w:bookmarkEnd w:id="101"/>
      <w:bookmarkEnd w:id="103"/>
    </w:p>
    <w:p>
      <w:pPr>
        <w:pStyle w:val="Style33"/>
        <w:keepNext w:val="0"/>
        <w:keepLines w:val="0"/>
        <w:widowControl w:val="0"/>
        <w:shd w:val="clear" w:color="auto" w:fill="auto"/>
        <w:bidi w:val="0"/>
        <w:spacing w:before="0" w:after="0" w:line="240" w:lineRule="auto"/>
        <w:ind w:left="8774"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699"/>
        <w:gridCol w:w="14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1,418,572,250.23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1,249,795,034.31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13.50%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集成电路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1,274,894,083.38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1,089,792,247.51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16.99%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电子元器件产品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141,381,637.69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156,334,445.91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-9.56%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2,296,529.16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3,668,340.89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-37.40%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智能芯片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568,503,181.65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695,733,829.52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-18.29%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特种集成电路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512,856,923.85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394,058,417.99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30.15%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存储器芯片业务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193,533,977.88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晶体业务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141,381,637.69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156,334,445.91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-9.56%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2,296,529.16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3,668,340.89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-37.40%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1,120,351,021.73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1,025,177,839.40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9.28%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298,221,228.50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224,617,194.91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32.77%</w:t>
            </w:r>
          </w:p>
        </w:tc>
      </w:tr>
    </w:tbl>
    <w:p>
      <w:pPr>
        <w:widowControl w:val="0"/>
        <w:spacing w:after="239" w:line="1" w:lineRule="exact"/>
      </w:pPr>
    </w:p>
    <w:p>
      <w:pPr>
        <w:pStyle w:val="Style44"/>
        <w:keepNext/>
        <w:keepLines/>
        <w:widowControl w:val="0"/>
        <w:numPr>
          <w:ilvl w:val="0"/>
          <w:numId w:val="1"/>
        </w:numPr>
        <w:shd w:val="clear" w:color="auto" w:fill="auto"/>
        <w:bidi w:val="0"/>
        <w:spacing w:before="0" w:after="340" w:line="240" w:lineRule="auto"/>
        <w:ind w:left="0" w:right="0" w:firstLine="140"/>
        <w:jc w:val="left"/>
      </w:pPr>
      <w:bookmarkStart w:id="104" w:name="bookmark104"/>
      <w:bookmarkStart w:id="105" w:name="bookmark105"/>
      <w:bookmarkStart w:id="106" w:name="bookmark106"/>
      <w:bookmarkStart w:id="107" w:name="bookmark107"/>
      <w:bookmarkEnd w:id="106"/>
      <w:r>
        <w:rPr>
          <w:color w:val="000000"/>
          <w:spacing w:val="0"/>
          <w:w w:val="100"/>
          <w:position w:val="0"/>
        </w:rPr>
        <w:t>占公司营业收入或营业利润10%以上的行业、产品或地区情况</w:t>
      </w:r>
      <w:bookmarkEnd w:id="104"/>
      <w:bookmarkEnd w:id="105"/>
      <w:bookmarkEnd w:id="10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699"/>
        <w:gridCol w:w="1560"/>
        <w:gridCol w:w="850"/>
        <w:gridCol w:w="1421"/>
        <w:gridCol w:w="1416"/>
        <w:gridCol w:w="1286"/>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毛利率比上 年同期增减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分行业</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集成电路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1,274,894,083.38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756,807,409.77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20"/>
                <w:szCs w:val="20"/>
              </w:rPr>
              <w:t>-4.02</w:t>
            </w:r>
            <w:r>
              <w:rPr>
                <w:color w:val="000000"/>
                <w:spacing w:val="0"/>
                <w:w w:val="100"/>
                <w:position w:val="0"/>
                <w:sz w:val="16"/>
                <w:szCs w:val="16"/>
              </w:rPr>
              <w:t>百分点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电子元器件产品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141,381,637.69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121,915,734.76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20"/>
                <w:szCs w:val="20"/>
              </w:rPr>
              <w:t>-2.75</w:t>
            </w:r>
            <w:r>
              <w:rPr>
                <w:color w:val="000000"/>
                <w:spacing w:val="0"/>
                <w:w w:val="100"/>
                <w:position w:val="0"/>
                <w:sz w:val="16"/>
                <w:szCs w:val="16"/>
              </w:rPr>
              <w:t>百分点</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分产品</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智能芯片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568,503,181.65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420,912,031.12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20"/>
                <w:szCs w:val="20"/>
              </w:rPr>
              <w:t>-7.18</w:t>
            </w:r>
            <w:r>
              <w:rPr>
                <w:color w:val="000000"/>
                <w:spacing w:val="0"/>
                <w:w w:val="100"/>
                <w:position w:val="0"/>
                <w:sz w:val="16"/>
                <w:szCs w:val="16"/>
              </w:rPr>
              <w:t>百分点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特种集成电路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512,856,923.85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177,774,838.88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65.34%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20"/>
                <w:szCs w:val="20"/>
              </w:rPr>
              <w:t>0.36</w:t>
            </w:r>
            <w:r>
              <w:rPr>
                <w:color w:val="000000"/>
                <w:spacing w:val="0"/>
                <w:w w:val="100"/>
                <w:position w:val="0"/>
                <w:sz w:val="16"/>
                <w:szCs w:val="16"/>
              </w:rPr>
              <w:t>百分点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存储器芯片业务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193,533,977.88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158,120,539.77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晶体业务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141,381,637.69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121,915,734.76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13.77%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20"/>
                <w:szCs w:val="20"/>
              </w:rPr>
              <w:t>-2.75</w:t>
            </w:r>
            <w:r>
              <w:rPr>
                <w:color w:val="000000"/>
                <w:spacing w:val="0"/>
                <w:w w:val="100"/>
                <w:position w:val="0"/>
                <w:sz w:val="16"/>
                <w:szCs w:val="16"/>
              </w:rPr>
              <w:t>百分点</w:t>
            </w:r>
          </w:p>
        </w:tc>
      </w:tr>
    </w:tbl>
    <w:p>
      <w:pPr>
        <w:spacing w:lineRule="exact" w:line="1"/>
        <w:rPr>
          <w:sz w:val="2"/>
          <w:szCs w:val="2"/>
        </w:rPr>
      </w:pPr>
      <w:r>
        <w:br w:type="page"/>
      </w:r>
    </w:p>
    <w:tbl>
      <w:tblPr>
        <w:tblOverlap w:val="never"/>
        <w:jc w:val="center"/>
        <w:tblLayout w:type="fixed"/>
      </w:tblPr>
      <w:tblGrid>
        <w:gridCol w:w="1565"/>
        <w:gridCol w:w="1699"/>
        <w:gridCol w:w="1560"/>
        <w:gridCol w:w="850"/>
        <w:gridCol w:w="1421"/>
        <w:gridCol w:w="1416"/>
        <w:gridCol w:w="1286"/>
      </w:tblGrid>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1,117,925,779.68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626,968,231.08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-1.81</w:t>
            </w:r>
            <w:r>
              <w:rPr>
                <w:color w:val="000000"/>
                <w:spacing w:val="0"/>
                <w:w w:val="100"/>
                <w:position w:val="0"/>
                <w:sz w:val="20"/>
                <w:szCs w:val="20"/>
              </w:rPr>
              <w:t>百分点</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298,221,228.50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251,763,299.98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-4.62</w:t>
            </w:r>
            <w:r>
              <w:rPr>
                <w:color w:val="000000"/>
                <w:spacing w:val="0"/>
                <w:w w:val="100"/>
                <w:position w:val="0"/>
                <w:sz w:val="20"/>
                <w:szCs w:val="20"/>
              </w:rPr>
              <w:t>百分点</w:t>
            </w:r>
          </w:p>
        </w:tc>
      </w:tr>
    </w:tbl>
    <w:p>
      <w:pPr>
        <w:widowControl w:val="0"/>
        <w:spacing w:after="239" w:line="1" w:lineRule="exact"/>
      </w:pPr>
    </w:p>
    <w:p>
      <w:pPr>
        <w:pStyle w:val="Style44"/>
        <w:keepNext/>
        <w:keepLines/>
        <w:widowControl w:val="0"/>
        <w:numPr>
          <w:ilvl w:val="0"/>
          <w:numId w:val="1"/>
        </w:numPr>
        <w:shd w:val="clear" w:color="auto" w:fill="auto"/>
        <w:bidi w:val="0"/>
        <w:spacing w:before="0" w:after="240" w:line="240" w:lineRule="auto"/>
        <w:ind w:left="0" w:right="0" w:firstLine="140"/>
        <w:jc w:val="left"/>
      </w:pPr>
      <w:bookmarkStart w:id="108" w:name="bookmark108"/>
      <w:bookmarkStart w:id="109" w:name="bookmark109"/>
      <w:bookmarkStart w:id="110" w:name="bookmark110"/>
      <w:bookmarkStart w:id="111" w:name="bookmark111"/>
      <w:bookmarkEnd w:id="110"/>
      <w:r>
        <w:rPr>
          <w:color w:val="000000"/>
          <w:spacing w:val="0"/>
          <w:w w:val="100"/>
          <w:position w:val="0"/>
        </w:rPr>
        <w:t>公司实物销售收入是否大于劳务收入</w:t>
      </w:r>
      <w:bookmarkEnd w:id="108"/>
      <w:bookmarkEnd w:id="109"/>
      <w:bookmarkEnd w:id="111"/>
    </w:p>
    <w:tbl>
      <w:tblPr>
        <w:tblOverlap w:val="never"/>
        <w:jc w:val="center"/>
        <w:tblLayout w:type="fixed"/>
      </w:tblPr>
      <w:tblGrid>
        <w:gridCol w:w="1598"/>
        <w:gridCol w:w="1382"/>
        <w:gridCol w:w="1421"/>
        <w:gridCol w:w="1982"/>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集成电路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985,719,780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1,277,753,885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-22.86%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1,057,512,436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1,392,366,775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-24.05%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333,376,053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261,583,397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27.45%</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center"/>
              <w:rPr>
                <w:sz w:val="20"/>
                <w:szCs w:val="20"/>
              </w:rPr>
            </w:pPr>
            <w:r>
              <w:rPr>
                <w:color w:val="000000"/>
                <w:spacing w:val="0"/>
                <w:w w:val="100"/>
                <w:position w:val="0"/>
                <w:sz w:val="20"/>
                <w:szCs w:val="20"/>
              </w:rPr>
              <w:t>电子元器件 产品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243,071,797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270,624,834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-10.18%</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254,383,795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264,640,202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-3.88%</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29,067,760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17,755,762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63.71%</w:t>
            </w:r>
          </w:p>
        </w:tc>
      </w:tr>
    </w:tbl>
    <w:p>
      <w:pPr>
        <w:widowControl w:val="0"/>
        <w:spacing w:after="139" w:line="1" w:lineRule="exact"/>
      </w:pPr>
    </w:p>
    <w:p>
      <w:pPr>
        <w:pStyle w:val="Style31"/>
        <w:keepNext w:val="0"/>
        <w:keepLines w:val="0"/>
        <w:widowControl w:val="0"/>
        <w:shd w:val="clear" w:color="auto" w:fill="auto"/>
        <w:bidi w:val="0"/>
        <w:spacing w:before="0" w:after="300" w:line="278" w:lineRule="exact"/>
        <w:ind w:left="0" w:right="0" w:firstLine="480"/>
        <w:jc w:val="both"/>
      </w:pPr>
      <w:r>
        <w:rPr>
          <w:color w:val="000000"/>
          <w:spacing w:val="0"/>
          <w:w w:val="100"/>
          <w:position w:val="0"/>
        </w:rPr>
        <w:t>电子元器件产品库存量较上年同期大幅增加主要系本期晶体业务下滑，销量减少导致期 末库存增加所致。</w:t>
      </w:r>
    </w:p>
    <w:p>
      <w:pPr>
        <w:pStyle w:val="Style44"/>
        <w:keepNext/>
        <w:keepLines/>
        <w:widowControl w:val="0"/>
        <w:numPr>
          <w:ilvl w:val="0"/>
          <w:numId w:val="1"/>
        </w:numPr>
        <w:shd w:val="clear" w:color="auto" w:fill="auto"/>
        <w:bidi w:val="0"/>
        <w:spacing w:before="0" w:after="240" w:line="240" w:lineRule="auto"/>
        <w:ind w:left="0" w:right="0" w:firstLine="140"/>
        <w:jc w:val="left"/>
      </w:pPr>
      <w:bookmarkStart w:id="112" w:name="bookmark112"/>
      <w:bookmarkStart w:id="113" w:name="bookmark113"/>
      <w:bookmarkStart w:id="114" w:name="bookmark114"/>
      <w:bookmarkStart w:id="115" w:name="bookmark115"/>
      <w:bookmarkEnd w:id="114"/>
      <w:r>
        <w:rPr>
          <w:color w:val="000000"/>
          <w:spacing w:val="0"/>
          <w:w w:val="100"/>
          <w:position w:val="0"/>
        </w:rPr>
        <w:t>营业成本构成</w:t>
      </w:r>
      <w:bookmarkEnd w:id="112"/>
      <w:bookmarkEnd w:id="113"/>
      <w:bookmarkEnd w:id="11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2035"/>
        <w:gridCol w:w="1560"/>
        <w:gridCol w:w="989"/>
        <w:gridCol w:w="1560"/>
        <w:gridCol w:w="994"/>
        <w:gridCol w:w="1142"/>
      </w:tblGrid>
      <w:tr>
        <w:trPr>
          <w:trHeight w:val="35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占营业成 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占营业成 本比重</w:t>
            </w:r>
          </w:p>
        </w:tc>
        <w:tc>
          <w:tcPr>
            <w:vMerge/>
            <w:tcBorders>
              <w:left w:val="single" w:sz="4"/>
              <w:right w:val="single" w:sz="4"/>
            </w:tcBorders>
            <w:shd w:val="clear" w:color="auto" w:fill="D3D3D3"/>
            <w:vAlign w:val="center"/>
          </w:tcPr>
          <w:p>
            <w:pP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集成电路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材料及加工费用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649,512,280.12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85.82%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544,284,075.05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90.24%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19.33%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68,136,046.78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30,066,663.03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126.62%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39,159,082.87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28,808,462.16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35.93%</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center"/>
              <w:rPr>
                <w:sz w:val="20"/>
                <w:szCs w:val="20"/>
              </w:rPr>
            </w:pPr>
            <w:r>
              <w:rPr>
                <w:color w:val="000000"/>
                <w:spacing w:val="0"/>
                <w:w w:val="100"/>
                <w:position w:val="0"/>
                <w:sz w:val="20"/>
                <w:szCs w:val="20"/>
              </w:rPr>
              <w:t>电子元器件 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材料及加工费用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39,764,120.08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59,180,940.01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45.35%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-32.81%</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26,654,001.89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23,871,353.42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11.66%</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制造费用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55,497,612.80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45.52%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47,451,958.14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36.36%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16.96%</w:t>
            </w:r>
          </w:p>
        </w:tc>
      </w:tr>
    </w:tbl>
    <w:p>
      <w:pPr>
        <w:widowControl w:val="0"/>
        <w:spacing w:after="139" w:line="1" w:lineRule="exact"/>
      </w:pPr>
    </w:p>
    <w:p>
      <w:pPr>
        <w:pStyle w:val="Style31"/>
        <w:keepNext w:val="0"/>
        <w:keepLines w:val="0"/>
        <w:widowControl w:val="0"/>
        <w:shd w:val="clear" w:color="auto" w:fill="auto"/>
        <w:bidi w:val="0"/>
        <w:spacing w:before="0" w:after="240" w:line="301" w:lineRule="exact"/>
        <w:ind w:left="0" w:right="0" w:firstLine="480"/>
        <w:jc w:val="both"/>
      </w:pPr>
      <w:r>
        <w:rPr>
          <w:color w:val="000000"/>
          <w:spacing w:val="0"/>
          <w:w w:val="100"/>
          <w:position w:val="0"/>
        </w:rPr>
        <w:t>本报告期内，公司各类产品的成本结构基本保持稳定。其中，集成电路产品人工费用增 幅</w:t>
      </w:r>
      <w:r>
        <w:rPr>
          <w:rFonts w:ascii="Times New Roman" w:eastAsia="Times New Roman" w:hAnsi="Times New Roman" w:cs="Times New Roman"/>
          <w:color w:val="000000"/>
          <w:spacing w:val="0"/>
          <w:w w:val="100"/>
          <w:position w:val="0"/>
          <w:sz w:val="24"/>
          <w:szCs w:val="24"/>
        </w:rPr>
        <w:t>126.62%</w:t>
      </w:r>
      <w:r>
        <w:rPr>
          <w:color w:val="000000"/>
          <w:spacing w:val="0"/>
          <w:w w:val="100"/>
          <w:position w:val="0"/>
        </w:rPr>
        <w:t>、制造费用增幅</w:t>
      </w:r>
      <w:r>
        <w:rPr>
          <w:rFonts w:ascii="Times New Roman" w:eastAsia="Times New Roman" w:hAnsi="Times New Roman" w:cs="Times New Roman"/>
          <w:color w:val="000000"/>
          <w:spacing w:val="0"/>
          <w:w w:val="100"/>
          <w:position w:val="0"/>
          <w:sz w:val="24"/>
          <w:szCs w:val="24"/>
        </w:rPr>
        <w:t>35.93%</w:t>
      </w:r>
      <w:r>
        <w:rPr>
          <w:color w:val="000000"/>
          <w:spacing w:val="0"/>
          <w:w w:val="100"/>
          <w:position w:val="0"/>
        </w:rPr>
        <w:t>的主要原因为本期合并范围增加西安紫光国芯，扣除此因 素人工费用增幅</w:t>
      </w:r>
      <w:r>
        <w:rPr>
          <w:rFonts w:ascii="Times New Roman" w:eastAsia="Times New Roman" w:hAnsi="Times New Roman" w:cs="Times New Roman"/>
          <w:color w:val="000000"/>
          <w:spacing w:val="0"/>
          <w:w w:val="100"/>
          <w:position w:val="0"/>
          <w:sz w:val="24"/>
          <w:szCs w:val="24"/>
        </w:rPr>
        <w:t>44.52%</w:t>
      </w:r>
      <w:r>
        <w:rPr>
          <w:color w:val="000000"/>
          <w:spacing w:val="0"/>
          <w:w w:val="100"/>
          <w:position w:val="0"/>
        </w:rPr>
        <w:t>,主要原因为人员增加和工资增长所致；制造费用增幅</w:t>
      </w:r>
      <w:r>
        <w:rPr>
          <w:rFonts w:ascii="Times New Roman" w:eastAsia="Times New Roman" w:hAnsi="Times New Roman" w:cs="Times New Roman"/>
          <w:color w:val="000000"/>
          <w:spacing w:val="0"/>
          <w:w w:val="100"/>
          <w:position w:val="0"/>
          <w:sz w:val="24"/>
          <w:szCs w:val="24"/>
        </w:rPr>
        <w:t>26.09%</w:t>
      </w:r>
      <w:r>
        <w:rPr>
          <w:color w:val="000000"/>
          <w:spacing w:val="0"/>
          <w:w w:val="100"/>
          <w:position w:val="0"/>
        </w:rPr>
        <w:t>,为集 成电路产品销量增加正常的增幅。电子元器件产品材料及加工费用减少</w:t>
      </w:r>
      <w:r>
        <w:rPr>
          <w:rFonts w:ascii="Times New Roman" w:eastAsia="Times New Roman" w:hAnsi="Times New Roman" w:cs="Times New Roman"/>
          <w:color w:val="000000"/>
          <w:spacing w:val="0"/>
          <w:w w:val="100"/>
          <w:position w:val="0"/>
          <w:sz w:val="24"/>
          <w:szCs w:val="24"/>
        </w:rPr>
        <w:t>32.80%</w:t>
      </w:r>
      <w:r>
        <w:rPr>
          <w:color w:val="000000"/>
          <w:spacing w:val="0"/>
          <w:w w:val="100"/>
          <w:position w:val="0"/>
        </w:rPr>
        <w:t>的主要原因为 晶体业务下滑销量下降导致直接材料成本下降。</w:t>
      </w:r>
    </w:p>
    <w:p>
      <w:pPr>
        <w:pStyle w:val="Style44"/>
        <w:keepNext/>
        <w:keepLines/>
        <w:widowControl w:val="0"/>
        <w:numPr>
          <w:ilvl w:val="0"/>
          <w:numId w:val="1"/>
        </w:numPr>
        <w:shd w:val="clear" w:color="auto" w:fill="auto"/>
        <w:bidi w:val="0"/>
        <w:spacing w:before="0" w:after="240" w:line="301" w:lineRule="exact"/>
        <w:ind w:left="0" w:right="0" w:firstLine="0"/>
        <w:jc w:val="left"/>
      </w:pPr>
      <w:bookmarkStart w:id="116" w:name="bookmark116"/>
      <w:bookmarkStart w:id="117" w:name="bookmark117"/>
      <w:bookmarkStart w:id="118" w:name="bookmark118"/>
      <w:bookmarkStart w:id="119" w:name="bookmark119"/>
      <w:bookmarkEnd w:id="118"/>
      <w:r>
        <w:rPr>
          <w:color w:val="000000"/>
          <w:spacing w:val="0"/>
          <w:w w:val="100"/>
          <w:position w:val="0"/>
        </w:rPr>
        <w:t>报告期内合并范围是否发生变动</w:t>
      </w:r>
      <w:bookmarkEnd w:id="116"/>
      <w:bookmarkEnd w:id="117"/>
      <w:bookmarkEnd w:id="119"/>
    </w:p>
    <w:p>
      <w:pPr>
        <w:pStyle w:val="Style31"/>
        <w:keepNext w:val="0"/>
        <w:keepLines w:val="0"/>
        <w:widowControl w:val="0"/>
        <w:shd w:val="clear" w:color="auto" w:fill="auto"/>
        <w:bidi w:val="0"/>
        <w:spacing w:before="0" w:after="240" w:line="317" w:lineRule="exact"/>
        <w:ind w:left="0" w:right="0" w:firstLine="480"/>
        <w:jc w:val="both"/>
      </w:pPr>
      <w:r>
        <w:rPr>
          <w:color w:val="000000"/>
          <w:spacing w:val="0"/>
          <w:w w:val="100"/>
          <w:position w:val="0"/>
        </w:rPr>
        <w:t>报告期内，公司合并范围增加</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家子公司，为</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月在河北省玉田县设立的全资子公 司唐山国芯晶源电子有限公司。</w:t>
      </w:r>
      <w:r>
        <w:br w:type="page"/>
      </w:r>
    </w:p>
    <w:p>
      <w:pPr>
        <w:pStyle w:val="Style44"/>
        <w:keepNext/>
        <w:keepLines/>
        <w:widowControl w:val="0"/>
        <w:shd w:val="clear" w:color="auto" w:fill="auto"/>
        <w:bidi w:val="0"/>
        <w:spacing w:before="0" w:after="32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color w:val="000000"/>
          <w:spacing w:val="0"/>
          <w:w w:val="100"/>
          <w:position w:val="0"/>
        </w:rPr>
        <w:t>6）主要销售客户和主要供应商情况</w:t>
      </w:r>
      <w:bookmarkEnd w:id="120"/>
      <w:bookmarkEnd w:id="121"/>
      <w:bookmarkEnd w:id="123"/>
    </w:p>
    <w:p>
      <w:pPr>
        <w:pStyle w:val="Style44"/>
        <w:keepNext/>
        <w:keepLines/>
        <w:widowControl w:val="0"/>
        <w:shd w:val="clear" w:color="auto" w:fill="auto"/>
        <w:bidi w:val="0"/>
        <w:spacing w:before="0" w:after="40" w:line="240" w:lineRule="auto"/>
        <w:ind w:left="0" w:right="0" w:firstLine="0"/>
        <w:jc w:val="left"/>
      </w:pPr>
      <w:bookmarkStart w:id="120" w:name="bookmark120"/>
      <w:bookmarkStart w:id="121" w:name="bookmark121"/>
      <w:r>
        <w:rPr>
          <w:color w:val="000000"/>
          <w:spacing w:val="0"/>
          <w:w w:val="100"/>
          <w:position w:val="0"/>
        </w:rPr>
        <w:t>公司主要销售客户情况</w:t>
      </w:r>
      <w:bookmarkEnd w:id="120"/>
      <w:bookmarkEnd w:id="121"/>
    </w:p>
    <w:tbl>
      <w:tblPr>
        <w:tblOverlap w:val="never"/>
        <w:jc w:val="center"/>
        <w:tblLayout w:type="fixed"/>
      </w:tblPr>
      <w:tblGrid>
        <w:gridCol w:w="5534"/>
        <w:gridCol w:w="4046"/>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372,219,627.04</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26.24%</w:t>
            </w:r>
          </w:p>
        </w:tc>
      </w:tr>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0.00%</w:t>
            </w:r>
          </w:p>
        </w:tc>
      </w:tr>
    </w:tbl>
    <w:p>
      <w:pPr>
        <w:widowControl w:val="0"/>
        <w:spacing w:after="139" w:line="1" w:lineRule="exact"/>
      </w:pPr>
    </w:p>
    <w:p>
      <w:pPr>
        <w:pStyle w:val="Style31"/>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公司前</w:t>
      </w:r>
      <w:r>
        <w:rPr>
          <w:rFonts w:ascii="Arial" w:eastAsia="Arial" w:hAnsi="Arial" w:cs="Arial"/>
          <w:color w:val="000000"/>
          <w:spacing w:val="0"/>
          <w:w w:val="100"/>
          <w:position w:val="0"/>
        </w:rPr>
        <w:t>5</w:t>
      </w:r>
      <w:r>
        <w:rPr>
          <w:b/>
          <w:bCs/>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126,956,811.40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81,900,485.01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68,793,324.77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52,427,948.66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42,141,057.20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372,219,627.04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26.24%</w:t>
            </w:r>
          </w:p>
        </w:tc>
      </w:tr>
    </w:tbl>
    <w:p>
      <w:pPr>
        <w:widowControl w:val="0"/>
        <w:spacing w:after="139" w:line="1" w:lineRule="exact"/>
      </w:pPr>
    </w:p>
    <w:p>
      <w:pPr>
        <w:pStyle w:val="Style31"/>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公司主要供应商情况</w:t>
      </w:r>
    </w:p>
    <w:tbl>
      <w:tblPr>
        <w:tblOverlap w:val="never"/>
        <w:jc w:val="center"/>
        <w:tblLayout w:type="fixed"/>
      </w:tblPr>
      <w:tblGrid>
        <w:gridCol w:w="5534"/>
        <w:gridCol w:w="4046"/>
      </w:tblGrid>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389,724,590.64</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43.81%</w:t>
            </w:r>
          </w:p>
        </w:tc>
      </w:tr>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0.00%</w:t>
            </w:r>
          </w:p>
        </w:tc>
      </w:tr>
    </w:tbl>
    <w:p>
      <w:pPr>
        <w:widowControl w:val="0"/>
        <w:spacing w:after="139" w:line="1" w:lineRule="exact"/>
      </w:pPr>
    </w:p>
    <w:p>
      <w:pPr>
        <w:pStyle w:val="Style31"/>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公司前</w:t>
      </w:r>
      <w:r>
        <w:rPr>
          <w:rFonts w:ascii="Arial" w:eastAsia="Arial" w:hAnsi="Arial" w:cs="Arial"/>
          <w:color w:val="000000"/>
          <w:spacing w:val="0"/>
          <w:w w:val="100"/>
          <w:position w:val="0"/>
        </w:rPr>
        <w:t>5</w:t>
      </w:r>
      <w:r>
        <w:rPr>
          <w:b/>
          <w:bCs/>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采购第一名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279,406,577.42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采购第二名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33,386,705.70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采购第三名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31,332,127.63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采购第四名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23,473,591.39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采购第五名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22,125,588.50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389,724,590.64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43.81%</w:t>
            </w:r>
          </w:p>
        </w:tc>
      </w:tr>
    </w:tbl>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24" w:name="bookmark124"/>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、费用</w:t>
      </w:r>
      <w:bookmarkEnd w:id="124"/>
    </w:p>
    <w:p>
      <w:pPr>
        <w:widowControl w:val="0"/>
        <w:spacing w:after="31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699"/>
        <w:gridCol w:w="1704"/>
        <w:gridCol w:w="1272"/>
        <w:gridCol w:w="3341"/>
      </w:tblGrid>
      <w:tr>
        <w:trPr>
          <w:trHeight w:val="4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重大变动说明</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79,310,769.66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64,062,089.37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23.80%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管理费用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231,784,667.42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166,457,345.71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39.25%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主要系薪金增长以及无形资产摊销</w:t>
            </w:r>
          </w:p>
        </w:tc>
      </w:tr>
    </w:tbl>
    <w:p>
      <w:pPr>
        <w:spacing w:lineRule="exact" w:line="1"/>
        <w:rPr>
          <w:sz w:val="2"/>
          <w:szCs w:val="2"/>
        </w:rPr>
      </w:pPr>
      <w:r>
        <w:br w:type="page"/>
      </w:r>
    </w:p>
    <w:tbl>
      <w:tblPr>
        <w:tblOverlap w:val="never"/>
        <w:jc w:val="center"/>
        <w:tblLayout w:type="fixed"/>
      </w:tblPr>
      <w:tblGrid>
        <w:gridCol w:w="1565"/>
        <w:gridCol w:w="1699"/>
        <w:gridCol w:w="1704"/>
        <w:gridCol w:w="1272"/>
        <w:gridCol w:w="3341"/>
      </w:tblGrid>
      <w:tr>
        <w:trPr>
          <w:trHeight w:val="46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和研发费用增加所致。</w:t>
            </w: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-12,985,911.78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-18,304,198.73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29.06%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25" w:name="bookmark125"/>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、研发投入</w:t>
      </w:r>
      <w:bookmarkEnd w:id="125"/>
    </w:p>
    <w:p>
      <w:pPr>
        <w:widowControl w:val="0"/>
        <w:spacing w:after="299" w:line="1" w:lineRule="exact"/>
      </w:pPr>
    </w:p>
    <w:tbl>
      <w:tblPr>
        <w:tblOverlap w:val="never"/>
        <w:jc w:val="center"/>
        <w:tblLayout w:type="fixed"/>
      </w:tblPr>
      <w:tblGrid>
        <w:gridCol w:w="3547"/>
        <w:gridCol w:w="2198"/>
        <w:gridCol w:w="2198"/>
        <w:gridCol w:w="1637"/>
      </w:tblGrid>
      <w:tr>
        <w:trPr>
          <w:trHeight w:val="4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变动比例</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10.84%</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2.87%</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443,867,555.26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360,353,478.13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23.18%</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2.46%</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252,098,828.08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206,541,929.39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22.06%</w:t>
            </w: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资本化研发投入占研发投入的比例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57.32%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-0.52%</w:t>
            </w:r>
          </w:p>
        </w:tc>
      </w:tr>
    </w:tbl>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26" w:name="bookmark126"/>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、现金流</w:t>
      </w:r>
      <w:bookmarkEnd w:id="126"/>
    </w:p>
    <w:p>
      <w:pPr>
        <w:widowControl w:val="0"/>
        <w:spacing w:after="35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2410"/>
        <w:gridCol w:w="2126"/>
        <w:gridCol w:w="149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1,520,412,595.94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1,444,862,437.71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1,390,429,574.28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1,041,827,957.32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129,983,021.66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403,034,480.39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-67.75%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16,816,953.27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648,340.00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2,493.85%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276,537,949.38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422,148,230.09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-34.49%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-259,720,996.11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-421,499,890.09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38.38%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202,690,520.80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43,840,000.00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362.34%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98,374,473.52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66,620,716.34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47.66%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104,316,047.28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-22,780,716.34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557.91%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-16,316,803.90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-35,660,286.89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54.24%</w:t>
            </w:r>
          </w:p>
        </w:tc>
      </w:tr>
    </w:tbl>
    <w:p>
      <w:pPr>
        <w:widowControl w:val="0"/>
        <w:spacing w:after="99" w:line="1" w:lineRule="exact"/>
      </w:pPr>
    </w:p>
    <w:p>
      <w:pPr>
        <w:pStyle w:val="Style31"/>
        <w:keepNext w:val="0"/>
        <w:keepLines w:val="0"/>
        <w:widowControl w:val="0"/>
        <w:shd w:val="clear" w:color="auto" w:fill="auto"/>
        <w:bidi w:val="0"/>
        <w:spacing w:before="0" w:after="100" w:line="322" w:lineRule="exact"/>
        <w:ind w:left="0" w:right="0" w:firstLine="0"/>
        <w:jc w:val="left"/>
      </w:pPr>
      <w:r>
        <w:rPr>
          <w:b/>
          <w:bCs/>
          <w:color w:val="000000"/>
          <w:spacing w:val="0"/>
          <w:w w:val="100"/>
          <w:position w:val="0"/>
        </w:rPr>
        <w:t>相关数据同比发生重大变动的主要影响因素说明</w:t>
      </w:r>
    </w:p>
    <w:p>
      <w:pPr>
        <w:pStyle w:val="Style31"/>
        <w:keepNext w:val="0"/>
        <w:keepLines w:val="0"/>
        <w:widowControl w:val="0"/>
        <w:shd w:val="clear" w:color="auto" w:fill="auto"/>
        <w:tabs>
          <w:tab w:pos="877" w:val="left"/>
        </w:tabs>
        <w:bidi w:val="0"/>
        <w:spacing w:before="0" w:after="100" w:line="322" w:lineRule="exact"/>
        <w:ind w:left="0" w:right="0" w:firstLine="500"/>
        <w:jc w:val="both"/>
      </w:pPr>
      <w:bookmarkStart w:id="127" w:name="bookmark127"/>
      <w:r>
        <w:rPr>
          <w:rFonts w:ascii="Times New Roman" w:eastAsia="Times New Roman" w:hAnsi="Times New Roman" w:cs="Times New Roman"/>
          <w:color w:val="000000"/>
          <w:spacing w:val="0"/>
          <w:w w:val="100"/>
          <w:position w:val="0"/>
          <w:sz w:val="24"/>
          <w:szCs w:val="24"/>
        </w:rPr>
        <w:t>1</w:t>
      </w:r>
      <w:bookmarkEnd w:id="127"/>
      <w:r>
        <w:rPr>
          <w:color w:val="000000"/>
          <w:spacing w:val="0"/>
          <w:w w:val="100"/>
          <w:position w:val="0"/>
        </w:rPr>
        <w:t>、</w:t>
        <w:tab/>
        <w:t>经营活动产生的现金流量净额较上年同期下降</w:t>
      </w:r>
      <w:r>
        <w:rPr>
          <w:rFonts w:ascii="Times New Roman" w:eastAsia="Times New Roman" w:hAnsi="Times New Roman" w:cs="Times New Roman"/>
          <w:color w:val="000000"/>
          <w:spacing w:val="0"/>
          <w:w w:val="100"/>
          <w:position w:val="0"/>
          <w:sz w:val="24"/>
          <w:szCs w:val="24"/>
        </w:rPr>
        <w:t>67.75%</w:t>
      </w:r>
      <w:r>
        <w:rPr>
          <w:color w:val="000000"/>
          <w:spacing w:val="0"/>
          <w:w w:val="100"/>
          <w:position w:val="0"/>
        </w:rPr>
        <w:t>,主要系本年收到的委托及合作 研发款项低于上年以及本年使用供应商信用额度下降使购买商品支付现金增加所致。</w:t>
      </w:r>
    </w:p>
    <w:p>
      <w:pPr>
        <w:pStyle w:val="Style31"/>
        <w:keepNext w:val="0"/>
        <w:keepLines w:val="0"/>
        <w:widowControl w:val="0"/>
        <w:shd w:val="clear" w:color="auto" w:fill="auto"/>
        <w:tabs>
          <w:tab w:pos="853" w:val="left"/>
        </w:tabs>
        <w:bidi w:val="0"/>
        <w:spacing w:before="0" w:after="100" w:line="326" w:lineRule="exact"/>
        <w:ind w:left="0" w:right="0" w:firstLine="500"/>
        <w:jc w:val="both"/>
      </w:pPr>
      <w:bookmarkStart w:id="128" w:name="bookmark128"/>
      <w:r>
        <w:rPr>
          <w:rFonts w:ascii="Times New Roman" w:eastAsia="Times New Roman" w:hAnsi="Times New Roman" w:cs="Times New Roman"/>
          <w:color w:val="000000"/>
          <w:spacing w:val="0"/>
          <w:w w:val="100"/>
          <w:position w:val="0"/>
          <w:sz w:val="24"/>
          <w:szCs w:val="24"/>
        </w:rPr>
        <w:t>2</w:t>
      </w:r>
      <w:bookmarkEnd w:id="128"/>
      <w:r>
        <w:rPr>
          <w:color w:val="000000"/>
          <w:spacing w:val="0"/>
          <w:w w:val="100"/>
          <w:position w:val="0"/>
        </w:rPr>
        <w:t>、</w:t>
        <w:tab/>
        <w:t>投资活动产生的现金流量净额较上年同期增长</w:t>
      </w:r>
      <w:r>
        <w:rPr>
          <w:rFonts w:ascii="Times New Roman" w:eastAsia="Times New Roman" w:hAnsi="Times New Roman" w:cs="Times New Roman"/>
          <w:color w:val="000000"/>
          <w:spacing w:val="0"/>
          <w:w w:val="100"/>
          <w:position w:val="0"/>
          <w:sz w:val="24"/>
          <w:szCs w:val="24"/>
        </w:rPr>
        <w:t>38.38%</w:t>
      </w:r>
      <w:r>
        <w:rPr>
          <w:color w:val="000000"/>
          <w:spacing w:val="0"/>
          <w:w w:val="100"/>
          <w:position w:val="0"/>
        </w:rPr>
        <w:t>，主要系公司上年收购西安紫光 国芯支付投资款及保证金，而本年无收购业务形成的投资支出所致。</w:t>
      </w:r>
    </w:p>
    <w:p>
      <w:pPr>
        <w:pStyle w:val="Style31"/>
        <w:keepNext w:val="0"/>
        <w:keepLines w:val="0"/>
        <w:widowControl w:val="0"/>
        <w:shd w:val="clear" w:color="auto" w:fill="auto"/>
        <w:tabs>
          <w:tab w:pos="882" w:val="left"/>
        </w:tabs>
        <w:bidi w:val="0"/>
        <w:spacing w:before="0" w:after="180" w:line="322" w:lineRule="exact"/>
        <w:ind w:left="0" w:right="0" w:firstLine="500"/>
        <w:jc w:val="both"/>
      </w:pPr>
      <w:bookmarkStart w:id="129" w:name="bookmark129"/>
      <w:r>
        <w:rPr>
          <w:rFonts w:ascii="Times New Roman" w:eastAsia="Times New Roman" w:hAnsi="Times New Roman" w:cs="Times New Roman"/>
          <w:color w:val="000000"/>
          <w:spacing w:val="0"/>
          <w:w w:val="100"/>
          <w:position w:val="0"/>
          <w:sz w:val="24"/>
          <w:szCs w:val="24"/>
        </w:rPr>
        <w:t>3</w:t>
      </w:r>
      <w:bookmarkEnd w:id="129"/>
      <w:r>
        <w:rPr>
          <w:color w:val="000000"/>
          <w:spacing w:val="0"/>
          <w:w w:val="100"/>
          <w:position w:val="0"/>
        </w:rPr>
        <w:t>、</w:t>
        <w:tab/>
        <w:t>筹资活动产生的现金流量净额较上年同期增长</w:t>
      </w:r>
      <w:r>
        <w:rPr>
          <w:rFonts w:ascii="Times New Roman" w:eastAsia="Times New Roman" w:hAnsi="Times New Roman" w:cs="Times New Roman"/>
          <w:color w:val="000000"/>
          <w:spacing w:val="0"/>
          <w:w w:val="100"/>
          <w:position w:val="0"/>
          <w:sz w:val="24"/>
          <w:szCs w:val="24"/>
        </w:rPr>
        <w:t>557.91%</w:t>
      </w:r>
      <w:r>
        <w:rPr>
          <w:color w:val="000000"/>
          <w:spacing w:val="0"/>
          <w:w w:val="100"/>
          <w:position w:val="0"/>
        </w:rPr>
        <w:t>，主要系公司本年银行借款增 加以及子公司紫光同创吸收少数股东投资所致。</w:t>
      </w:r>
    </w:p>
    <w:p>
      <w:pPr>
        <w:pStyle w:val="Style31"/>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报告期内公司经营活动产生的现金净流量与本年度净利润存在重大差异的原因说明</w:t>
      </w:r>
      <w:r>
        <w:br w:type="page"/>
      </w:r>
    </w:p>
    <w:p>
      <w:pPr>
        <w:pStyle w:val="Style31"/>
        <w:keepNext w:val="0"/>
        <w:keepLines w:val="0"/>
        <w:widowControl w:val="0"/>
        <w:shd w:val="clear" w:color="auto" w:fill="auto"/>
        <w:bidi w:val="0"/>
        <w:spacing w:before="0" w:after="340" w:line="312" w:lineRule="exact"/>
        <w:ind w:left="0" w:right="0" w:firstLine="480"/>
        <w:jc w:val="both"/>
      </w:pPr>
      <w:r>
        <w:rPr>
          <w:color w:val="000000"/>
          <w:spacing w:val="0"/>
          <w:w w:val="100"/>
          <w:position w:val="0"/>
        </w:rPr>
        <w:t>报告期内公司经营活动产生的现金净流量与本年度净利润存在重大差异的主要原因为， 本期销售回款账期较长的特种集成电路产品销量增加，导致应收账款占用资金增加，同时采 购付款账期较长的智能芯片产品销量下降，导致占用供应商信用额度下降所致。</w:t>
      </w:r>
    </w:p>
    <w:p>
      <w:pPr>
        <w:pStyle w:val="Style23"/>
        <w:keepNext/>
        <w:keepLines/>
        <w:widowControl w:val="0"/>
        <w:shd w:val="clear" w:color="auto" w:fill="auto"/>
        <w:bidi w:val="0"/>
        <w:spacing w:before="0" w:after="340" w:line="312" w:lineRule="exact"/>
        <w:ind w:left="0" w:right="0" w:firstLine="0"/>
        <w:jc w:val="both"/>
      </w:pPr>
      <w:bookmarkStart w:id="130" w:name="bookmark130"/>
      <w:bookmarkStart w:id="131" w:name="bookmark131"/>
      <w:bookmarkStart w:id="132" w:name="bookmark132"/>
      <w:bookmarkStart w:id="133" w:name="bookmark133"/>
      <w:r>
        <w:rPr>
          <w:color w:val="000000"/>
          <w:spacing w:val="0"/>
          <w:w w:val="100"/>
          <w:position w:val="0"/>
        </w:rPr>
        <w:t>三</w:t>
      </w:r>
      <w:bookmarkEnd w:id="132"/>
      <w:r>
        <w:rPr>
          <w:color w:val="000000"/>
          <w:spacing w:val="0"/>
          <w:w w:val="100"/>
          <w:position w:val="0"/>
        </w:rPr>
        <w:t>、资产及负债状况分析</w:t>
      </w:r>
      <w:bookmarkEnd w:id="130"/>
      <w:bookmarkEnd w:id="131"/>
      <w:bookmarkEnd w:id="133"/>
    </w:p>
    <w:p>
      <w:pPr>
        <w:pStyle w:val="Style28"/>
        <w:keepNext/>
        <w:keepLines/>
        <w:widowControl w:val="0"/>
        <w:shd w:val="clear" w:color="auto" w:fill="auto"/>
        <w:bidi w:val="0"/>
        <w:spacing w:before="0" w:line="240" w:lineRule="auto"/>
        <w:ind w:left="0" w:right="0" w:firstLine="0"/>
        <w:jc w:val="both"/>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1</w:t>
      </w:r>
      <w:bookmarkEnd w:id="136"/>
      <w:r>
        <w:rPr>
          <w:color w:val="000000"/>
          <w:spacing w:val="0"/>
          <w:w w:val="100"/>
          <w:position w:val="0"/>
        </w:rPr>
        <w:t>、资产构成重大变动情况</w:t>
      </w:r>
      <w:bookmarkEnd w:id="134"/>
      <w:bookmarkEnd w:id="135"/>
      <w:bookmarkEnd w:id="13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1699"/>
        <w:gridCol w:w="994"/>
        <w:gridCol w:w="1560"/>
        <w:gridCol w:w="994"/>
        <w:gridCol w:w="1416"/>
        <w:gridCol w:w="1853"/>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重大变动说明</w:t>
            </w:r>
          </w:p>
        </w:tc>
      </w:tr>
      <w:tr>
        <w:trPr>
          <w:trHeight w:val="63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占总资产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715,391,085.26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737,398,409.96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-1.84</w:t>
            </w:r>
            <w:r>
              <w:rPr>
                <w:color w:val="000000"/>
                <w:spacing w:val="0"/>
                <w:w w:val="100"/>
                <w:position w:val="0"/>
                <w:sz w:val="20"/>
                <w:szCs w:val="20"/>
              </w:rPr>
              <w:t>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643,701,767.29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629,566,675.75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-0.84</w:t>
            </w:r>
            <w:r>
              <w:rPr>
                <w:color w:val="000000"/>
                <w:spacing w:val="0"/>
                <w:w w:val="100"/>
                <w:position w:val="0"/>
                <w:sz w:val="20"/>
                <w:szCs w:val="20"/>
              </w:rPr>
              <w:t>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533,585,517.53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504,949,426.61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-0.28</w:t>
            </w:r>
            <w:r>
              <w:rPr>
                <w:color w:val="000000"/>
                <w:spacing w:val="0"/>
                <w:w w:val="100"/>
                <w:position w:val="0"/>
                <w:sz w:val="20"/>
                <w:szCs w:val="20"/>
              </w:rPr>
              <w:t>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320,475,369.02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348,745,261.33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-1.28</w:t>
            </w:r>
            <w:r>
              <w:rPr>
                <w:color w:val="000000"/>
                <w:spacing w:val="0"/>
                <w:w w:val="100"/>
                <w:position w:val="0"/>
                <w:sz w:val="20"/>
                <w:szCs w:val="20"/>
              </w:rPr>
              <w:t>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1,440,418.39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4,489,351.44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-0.08</w:t>
            </w:r>
            <w:r>
              <w:rPr>
                <w:color w:val="000000"/>
                <w:spacing w:val="0"/>
                <w:w w:val="100"/>
                <w:position w:val="0"/>
                <w:sz w:val="20"/>
                <w:szCs w:val="20"/>
              </w:rPr>
              <w:t>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2.18</w:t>
            </w:r>
            <w:r>
              <w:rPr>
                <w:color w:val="000000"/>
                <w:spacing w:val="0"/>
                <w:w w:val="100"/>
                <w:position w:val="0"/>
                <w:sz w:val="20"/>
                <w:szCs w:val="20"/>
              </w:rPr>
              <w:t>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0.22</w:t>
            </w:r>
            <w:r>
              <w:rPr>
                <w:color w:val="000000"/>
                <w:spacing w:val="0"/>
                <w:w w:val="100"/>
                <w:position w:val="0"/>
                <w:sz w:val="20"/>
                <w:szCs w:val="20"/>
              </w:rPr>
              <w:t>百分点</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38" w:name="bookmark13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、以公允价值计量的资产和负债</w:t>
      </w:r>
      <w:bookmarkEnd w:id="138"/>
    </w:p>
    <w:p>
      <w:pPr>
        <w:widowControl w:val="0"/>
        <w:spacing w:after="33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166"/>
        <w:gridCol w:w="1104"/>
        <w:gridCol w:w="1416"/>
        <w:gridCol w:w="850"/>
        <w:gridCol w:w="854"/>
        <w:gridCol w:w="1272"/>
        <w:gridCol w:w="1219"/>
      </w:tblGrid>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right"/>
              <w:rPr>
                <w:sz w:val="16"/>
                <w:szCs w:val="16"/>
              </w:rPr>
            </w:pPr>
            <w:r>
              <w:rPr>
                <w:color w:val="000000"/>
                <w:spacing w:val="0"/>
                <w:w w:val="100"/>
                <w:position w:val="0"/>
                <w:sz w:val="16"/>
                <w:szCs w:val="16"/>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计入权益的累计 公允价值变动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本期购买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本期出售金额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6"/>
                <w:szCs w:val="16"/>
              </w:rPr>
            </w:pPr>
            <w:r>
              <w:rPr>
                <w:color w:val="000000"/>
                <w:spacing w:val="0"/>
                <w:w w:val="100"/>
                <w:position w:val="0"/>
                <w:sz w:val="16"/>
                <w:szCs w:val="16"/>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65,185,558.97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14,858,577.08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80,044,136.05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78,935,558.97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14,858,577.08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80,044,136.05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both"/>
      </w:pPr>
      <w:bookmarkStart w:id="139" w:name="bookmark139"/>
      <w:bookmarkStart w:id="140" w:name="bookmark140"/>
      <w:bookmarkStart w:id="141" w:name="bookmark141"/>
      <w:bookmarkStart w:id="142" w:name="bookmark142"/>
      <w:r>
        <w:rPr>
          <w:color w:val="000000"/>
          <w:spacing w:val="0"/>
          <w:w w:val="100"/>
          <w:position w:val="0"/>
        </w:rPr>
        <w:t>四</w:t>
      </w:r>
      <w:bookmarkEnd w:id="141"/>
      <w:r>
        <w:rPr>
          <w:color w:val="000000"/>
          <w:spacing w:val="0"/>
          <w:w w:val="100"/>
          <w:position w:val="0"/>
        </w:rPr>
        <w:t>、投资状况分析</w:t>
      </w:r>
      <w:bookmarkEnd w:id="139"/>
      <w:bookmarkEnd w:id="140"/>
      <w:bookmarkEnd w:id="142"/>
    </w:p>
    <w:p>
      <w:pPr>
        <w:pStyle w:val="Style28"/>
        <w:keepNext/>
        <w:keepLines/>
        <w:widowControl w:val="0"/>
        <w:shd w:val="clear" w:color="auto" w:fill="auto"/>
        <w:bidi w:val="0"/>
        <w:spacing w:before="0" w:line="240" w:lineRule="auto"/>
        <w:ind w:left="0" w:right="0" w:firstLine="0"/>
        <w:jc w:val="both"/>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1</w:t>
      </w:r>
      <w:bookmarkEnd w:id="145"/>
      <w:r>
        <w:rPr>
          <w:color w:val="000000"/>
          <w:spacing w:val="0"/>
          <w:w w:val="100"/>
          <w:position w:val="0"/>
        </w:rPr>
        <w:t>、总体情况</w:t>
      </w:r>
      <w:bookmarkEnd w:id="143"/>
      <w:bookmarkEnd w:id="144"/>
      <w:bookmarkEnd w:id="146"/>
    </w:p>
    <w:p>
      <w:pPr>
        <w:pStyle w:val="Style31"/>
        <w:keepNext w:val="0"/>
        <w:keepLines w:val="0"/>
        <w:widowControl w:val="0"/>
        <w:shd w:val="clear" w:color="auto" w:fill="auto"/>
        <w:bidi w:val="0"/>
        <w:spacing w:before="0" w:after="340" w:line="240" w:lineRule="auto"/>
        <w:ind w:left="0" w:right="0" w:firstLine="480"/>
        <w:jc w:val="both"/>
      </w:pPr>
      <w:r>
        <w:rPr>
          <w:color w:val="000000"/>
          <w:spacing w:val="0"/>
          <w:w w:val="100"/>
          <w:position w:val="0"/>
        </w:rPr>
        <w:t>公司报告期无重大投资。</w:t>
      </w:r>
    </w:p>
    <w:p>
      <w:pPr>
        <w:pStyle w:val="Style28"/>
        <w:keepNext/>
        <w:keepLines/>
        <w:widowControl w:val="0"/>
        <w:shd w:val="clear" w:color="auto" w:fill="auto"/>
        <w:bidi w:val="0"/>
        <w:spacing w:before="0" w:line="240" w:lineRule="auto"/>
        <w:ind w:left="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2</w:t>
      </w:r>
      <w:bookmarkEnd w:id="149"/>
      <w:r>
        <w:rPr>
          <w:color w:val="000000"/>
          <w:spacing w:val="0"/>
          <w:w w:val="100"/>
          <w:position w:val="0"/>
        </w:rPr>
        <w:t>、报告期内获取的重大的股权投资情况</w:t>
      </w:r>
      <w:bookmarkEnd w:id="147"/>
      <w:bookmarkEnd w:id="148"/>
      <w:bookmarkEnd w:id="150"/>
    </w:p>
    <w:p>
      <w:pPr>
        <w:pStyle w:val="Style31"/>
        <w:keepNext w:val="0"/>
        <w:keepLines w:val="0"/>
        <w:widowControl w:val="0"/>
        <w:shd w:val="clear" w:color="auto" w:fill="auto"/>
        <w:bidi w:val="0"/>
        <w:spacing w:before="0" w:after="340" w:line="240" w:lineRule="auto"/>
        <w:ind w:left="0" w:right="0" w:firstLine="480"/>
        <w:jc w:val="both"/>
      </w:pPr>
      <w:r>
        <w:rPr>
          <w:color w:val="000000"/>
          <w:spacing w:val="0"/>
          <w:w w:val="100"/>
          <w:position w:val="0"/>
        </w:rPr>
        <w:t>公司报告期无重大的股权投资情况。</w:t>
      </w:r>
      <w:r>
        <w:br w:type="page"/>
      </w:r>
    </w:p>
    <w:p>
      <w:pPr>
        <w:pStyle w:val="Style28"/>
        <w:keepNext/>
        <w:keepLines/>
        <w:widowControl w:val="0"/>
        <w:shd w:val="clear" w:color="auto" w:fill="auto"/>
        <w:bidi w:val="0"/>
        <w:spacing w:before="0" w:after="40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3</w:t>
      </w:r>
      <w:bookmarkEnd w:id="153"/>
      <w:r>
        <w:rPr>
          <w:color w:val="000000"/>
          <w:spacing w:val="0"/>
          <w:w w:val="100"/>
          <w:position w:val="0"/>
        </w:rPr>
        <w:t>、以公允价值计量的金融资产</w:t>
      </w:r>
      <w:bookmarkEnd w:id="151"/>
      <w:bookmarkEnd w:id="152"/>
      <w:bookmarkEnd w:id="154"/>
    </w:p>
    <w:p>
      <w:pPr>
        <w:pStyle w:val="Style2"/>
        <w:keepNext w:val="0"/>
        <w:keepLines w:val="0"/>
        <w:widowControl w:val="0"/>
        <w:shd w:val="clear" w:color="auto" w:fill="auto"/>
        <w:bidi w:val="0"/>
        <w:spacing w:before="0" w:after="60" w:line="240" w:lineRule="auto"/>
        <w:ind w:left="0" w:right="140" w:firstLine="0"/>
        <w:jc w:val="right"/>
        <w:rPr>
          <w:sz w:val="16"/>
          <w:szCs w:val="16"/>
        </w:rPr>
      </w:pPr>
      <w:bookmarkStart w:id="155" w:name="bookmark155"/>
      <w:r>
        <w:rPr>
          <w:color w:val="000000"/>
          <w:spacing w:val="0"/>
          <w:w w:val="100"/>
          <w:position w:val="0"/>
          <w:sz w:val="16"/>
          <w:szCs w:val="16"/>
        </w:rPr>
        <w:t>单</w:t>
      </w:r>
      <w:bookmarkEnd w:id="155"/>
      <w:r>
        <w:rPr>
          <w:color w:val="000000"/>
          <w:spacing w:val="0"/>
          <w:w w:val="100"/>
          <w:position w:val="0"/>
          <w:sz w:val="16"/>
          <w:szCs w:val="16"/>
        </w:rPr>
        <w:t>位：元</w:t>
      </w:r>
    </w:p>
    <w:tbl>
      <w:tblPr>
        <w:tblOverlap w:val="never"/>
        <w:jc w:val="center"/>
        <w:tblLayout w:type="fixed"/>
      </w:tblPr>
      <w:tblGrid>
        <w:gridCol w:w="1282"/>
        <w:gridCol w:w="1277"/>
        <w:gridCol w:w="1133"/>
        <w:gridCol w:w="1416"/>
        <w:gridCol w:w="994"/>
        <w:gridCol w:w="1133"/>
        <w:gridCol w:w="710"/>
        <w:gridCol w:w="1133"/>
        <w:gridCol w:w="504"/>
      </w:tblGrid>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初始投资成本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right"/>
              <w:rPr>
                <w:sz w:val="16"/>
                <w:szCs w:val="16"/>
              </w:rPr>
            </w:pPr>
            <w:r>
              <w:rPr>
                <w:color w:val="000000"/>
                <w:spacing w:val="0"/>
                <w:w w:val="100"/>
                <w:position w:val="0"/>
                <w:sz w:val="16"/>
                <w:szCs w:val="16"/>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计入权益的累计 公允价值变动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报告期内购 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报告期内售 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right"/>
              <w:rPr>
                <w:sz w:val="16"/>
                <w:szCs w:val="16"/>
              </w:rPr>
            </w:pPr>
            <w:r>
              <w:rPr>
                <w:color w:val="000000"/>
                <w:spacing w:val="0"/>
                <w:w w:val="100"/>
                <w:position w:val="0"/>
                <w:sz w:val="16"/>
                <w:szCs w:val="16"/>
              </w:rPr>
              <w:t>累计投 资收益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资金 来源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92,936,356.66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-21,695,993.73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80,044,136.05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自筹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自筹</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106,686,356.66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-21,695,993.73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80,044,136.05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4</w:t>
      </w:r>
      <w:bookmarkEnd w:id="158"/>
      <w:r>
        <w:rPr>
          <w:color w:val="000000"/>
          <w:spacing w:val="0"/>
          <w:w w:val="100"/>
          <w:position w:val="0"/>
        </w:rPr>
        <w:t>、募集资金使用情况</w:t>
      </w:r>
      <w:bookmarkEnd w:id="156"/>
      <w:bookmarkEnd w:id="157"/>
      <w:bookmarkEnd w:id="159"/>
    </w:p>
    <w:p>
      <w:pPr>
        <w:pStyle w:val="Style31"/>
        <w:keepNext w:val="0"/>
        <w:keepLines w:val="0"/>
        <w:widowControl w:val="0"/>
        <w:shd w:val="clear" w:color="auto" w:fill="auto"/>
        <w:bidi w:val="0"/>
        <w:spacing w:before="0" w:after="340" w:line="240" w:lineRule="auto"/>
        <w:ind w:left="0" w:right="0" w:firstLine="460"/>
        <w:jc w:val="left"/>
      </w:pPr>
      <w:r>
        <w:rPr>
          <w:color w:val="000000"/>
          <w:spacing w:val="0"/>
          <w:w w:val="100"/>
          <w:position w:val="0"/>
        </w:rPr>
        <w:t>公司报告期无募集资金使用情况。</w:t>
      </w:r>
    </w:p>
    <w:p>
      <w:pPr>
        <w:pStyle w:val="Style23"/>
        <w:keepNext/>
        <w:keepLines/>
        <w:widowControl w:val="0"/>
        <w:shd w:val="clear" w:color="auto" w:fill="auto"/>
        <w:bidi w:val="0"/>
        <w:spacing w:before="0" w:after="34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五</w:t>
      </w:r>
      <w:bookmarkEnd w:id="162"/>
      <w:r>
        <w:rPr>
          <w:color w:val="000000"/>
          <w:spacing w:val="0"/>
          <w:w w:val="100"/>
          <w:position w:val="0"/>
        </w:rPr>
        <w:t>、重大资产和股权出售</w:t>
      </w:r>
      <w:bookmarkEnd w:id="160"/>
      <w:bookmarkEnd w:id="161"/>
      <w:bookmarkEnd w:id="163"/>
    </w:p>
    <w:p>
      <w:pPr>
        <w:pStyle w:val="Style28"/>
        <w:keepNext/>
        <w:keepLines/>
        <w:widowControl w:val="0"/>
        <w:shd w:val="clear" w:color="auto" w:fill="auto"/>
        <w:bidi w:val="0"/>
        <w:spacing w:before="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1</w:t>
      </w:r>
      <w:bookmarkEnd w:id="166"/>
      <w:r>
        <w:rPr>
          <w:color w:val="000000"/>
          <w:spacing w:val="0"/>
          <w:w w:val="100"/>
          <w:position w:val="0"/>
        </w:rPr>
        <w:t>、出售重大资产情况</w:t>
      </w:r>
      <w:bookmarkEnd w:id="164"/>
      <w:bookmarkEnd w:id="165"/>
      <w:bookmarkEnd w:id="167"/>
    </w:p>
    <w:p>
      <w:pPr>
        <w:pStyle w:val="Style31"/>
        <w:keepNext w:val="0"/>
        <w:keepLines w:val="0"/>
        <w:widowControl w:val="0"/>
        <w:shd w:val="clear" w:color="auto" w:fill="auto"/>
        <w:bidi w:val="0"/>
        <w:spacing w:before="0" w:after="340" w:line="240" w:lineRule="auto"/>
        <w:ind w:left="0" w:right="0" w:firstLine="460"/>
        <w:jc w:val="left"/>
      </w:pPr>
      <w:r>
        <w:rPr>
          <w:color w:val="000000"/>
          <w:spacing w:val="0"/>
          <w:w w:val="100"/>
          <w:position w:val="0"/>
        </w:rPr>
        <w:t>公司报告期未出售重大资产。</w:t>
      </w:r>
    </w:p>
    <w:p>
      <w:pPr>
        <w:pStyle w:val="Style28"/>
        <w:keepNext/>
        <w:keepLines/>
        <w:widowControl w:val="0"/>
        <w:shd w:val="clear" w:color="auto" w:fill="auto"/>
        <w:bidi w:val="0"/>
        <w:spacing w:before="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2</w:t>
      </w:r>
      <w:bookmarkEnd w:id="170"/>
      <w:r>
        <w:rPr>
          <w:color w:val="000000"/>
          <w:spacing w:val="0"/>
          <w:w w:val="100"/>
          <w:position w:val="0"/>
        </w:rPr>
        <w:t>、出售重大股权情况</w:t>
      </w:r>
      <w:bookmarkEnd w:id="168"/>
      <w:bookmarkEnd w:id="169"/>
      <w:bookmarkEnd w:id="171"/>
    </w:p>
    <w:tbl>
      <w:tblPr>
        <w:tblOverlap w:val="never"/>
        <w:jc w:val="center"/>
        <w:tblLayout w:type="fixed"/>
      </w:tblPr>
      <w:tblGrid>
        <w:gridCol w:w="1282"/>
        <w:gridCol w:w="2693"/>
        <w:gridCol w:w="850"/>
        <w:gridCol w:w="994"/>
        <w:gridCol w:w="1699"/>
        <w:gridCol w:w="710"/>
        <w:gridCol w:w="15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交易对方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被出售股权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出售日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交易价格 （万元）</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3" w:lineRule="exact"/>
              <w:ind w:left="0" w:right="0" w:firstLine="0"/>
              <w:jc w:val="center"/>
              <w:rPr>
                <w:sz w:val="16"/>
                <w:szCs w:val="16"/>
              </w:rPr>
            </w:pPr>
            <w:r>
              <w:rPr>
                <w:color w:val="000000"/>
                <w:spacing w:val="0"/>
                <w:w w:val="100"/>
                <w:position w:val="0"/>
                <w:sz w:val="16"/>
                <w:szCs w:val="16"/>
              </w:rPr>
              <w:t>本期初起至出售日该 股权为上市公司贡献 的净利润（万元）</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3" w:lineRule="exact"/>
              <w:ind w:left="0" w:right="0" w:firstLine="0"/>
              <w:jc w:val="center"/>
              <w:rPr>
                <w:sz w:val="16"/>
                <w:szCs w:val="16"/>
              </w:rPr>
            </w:pPr>
            <w:r>
              <w:rPr>
                <w:color w:val="000000"/>
                <w:spacing w:val="0"/>
                <w:w w:val="100"/>
                <w:position w:val="0"/>
                <w:sz w:val="16"/>
                <w:szCs w:val="16"/>
              </w:rPr>
              <w:t>出售对 公司的 影响</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股权出售为上市公 司贡献的净利润占 净利润总额的比例</w:t>
            </w: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北京亚仕同方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公司持有的北京同方以衡创业投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无</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科技有限公司</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资中心（有限合伙）的合伙权益</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6"/>
                <w:szCs w:val="16"/>
              </w:rPr>
              <w:t>日</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pStyle w:val="Style33"/>
        <w:keepNext w:val="0"/>
        <w:keepLines w:val="0"/>
        <w:widowControl w:val="0"/>
        <w:shd w:val="clear" w:color="auto" w:fill="auto"/>
        <w:bidi w:val="0"/>
        <w:spacing w:before="0" w:after="0" w:line="240" w:lineRule="auto"/>
        <w:ind w:left="82" w:right="0" w:firstLine="0"/>
        <w:jc w:val="left"/>
      </w:pPr>
      <w:r>
        <w:rPr>
          <w:color w:val="000000"/>
          <w:spacing w:val="0"/>
          <w:w w:val="100"/>
          <w:position w:val="0"/>
        </w:rPr>
        <w:t>（续上表）</w:t>
      </w:r>
    </w:p>
    <w:p>
      <w:pPr>
        <w:widowControl w:val="0"/>
        <w:spacing w:after="59" w:line="1" w:lineRule="exact"/>
      </w:pPr>
    </w:p>
    <w:tbl>
      <w:tblPr>
        <w:tblOverlap w:val="never"/>
        <w:jc w:val="center"/>
        <w:tblLayout w:type="fixed"/>
      </w:tblPr>
      <w:tblGrid>
        <w:gridCol w:w="998"/>
        <w:gridCol w:w="706"/>
        <w:gridCol w:w="2126"/>
        <w:gridCol w:w="1138"/>
        <w:gridCol w:w="1699"/>
        <w:gridCol w:w="710"/>
        <w:gridCol w:w="2419"/>
      </w:tblGrid>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股权出售定 价原则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是否为 关联交 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与交易对方的关联关系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所涉及的股 权是否已全 部过户</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4" w:lineRule="exact"/>
              <w:ind w:left="0" w:right="0" w:firstLine="0"/>
              <w:jc w:val="center"/>
              <w:rPr>
                <w:sz w:val="16"/>
                <w:szCs w:val="16"/>
              </w:rPr>
            </w:pPr>
            <w:r>
              <w:rPr>
                <w:color w:val="000000"/>
                <w:spacing w:val="0"/>
                <w:w w:val="100"/>
                <w:position w:val="0"/>
                <w:sz w:val="16"/>
                <w:szCs w:val="16"/>
              </w:rPr>
              <w:t>是否按计划如期实 施，如未按计划实施， 应当说明原因及公司 已采取的措施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披露索引</w:t>
            </w:r>
          </w:p>
        </w:tc>
      </w:tr>
      <w:tr>
        <w:trPr>
          <w:trHeight w:val="173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以合伙企业 最近一期财 务审计报告 为作价参考 依据，交易 双方协商定 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交易对方为公司原控股股 东同方股份有限公司及其 全资子公司北京同方创新 投资有限公司共同投资设 立的公司，且交易对方法定 代表人潘晋先生为本公司 离任一年内董事。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1" w:lineRule="exact"/>
              <w:ind w:left="0" w:right="0" w:firstLine="0"/>
              <w:jc w:val="both"/>
              <w:rPr>
                <w:sz w:val="16"/>
                <w:szCs w:val="16"/>
              </w:rPr>
            </w:pPr>
            <w:r>
              <w:rPr>
                <w:color w:val="000000"/>
                <w:spacing w:val="0"/>
                <w:w w:val="100"/>
                <w:position w:val="0"/>
                <w:sz w:val="16"/>
                <w:szCs w:val="16"/>
              </w:rPr>
              <w:t xml:space="preserve">《中国证券报》及巨潮资讯网 </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6"/>
                <w:szCs w:val="16"/>
              </w:rPr>
              <w:t>）</w:t>
            </w:r>
            <w:r>
              <w:rPr>
                <w:color w:val="000000"/>
                <w:spacing w:val="0"/>
                <w:w w:val="100"/>
                <w:position w:val="0"/>
                <w:sz w:val="16"/>
                <w:szCs w:val="16"/>
              </w:rPr>
              <w:t>上</w:t>
            </w:r>
            <w:r>
              <w:rPr>
                <w:color w:val="000000"/>
                <w:spacing w:val="0"/>
                <w:w w:val="100"/>
                <w:position w:val="0"/>
                <w:sz w:val="16"/>
                <w:szCs w:val="16"/>
              </w:rPr>
              <w:t xml:space="preserve"> 的《紫光国芯股份有限公司关 于转让北京同方以衡创业投资 中心合伙权益暨关联交易的公 告》（公告编号：</w:t>
            </w:r>
            <w:r>
              <w:rPr>
                <w:rFonts w:ascii="Times New Roman" w:eastAsia="Times New Roman" w:hAnsi="Times New Roman" w:cs="Times New Roman"/>
                <w:color w:val="000000"/>
                <w:spacing w:val="0"/>
                <w:w w:val="100"/>
                <w:position w:val="0"/>
                <w:sz w:val="18"/>
                <w:szCs w:val="18"/>
              </w:rPr>
              <w:t>2016-061</w:t>
            </w:r>
            <w:r>
              <w:rPr>
                <w:color w:val="000000"/>
                <w:spacing w:val="0"/>
                <w:w w:val="100"/>
                <w:position w:val="0"/>
                <w:sz w:val="16"/>
                <w:szCs w:val="16"/>
              </w:rPr>
              <w:t>）</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rPr>
        <w:t>六</w:t>
      </w:r>
      <w:bookmarkEnd w:id="174"/>
      <w:r>
        <w:rPr>
          <w:color w:val="000000"/>
          <w:spacing w:val="0"/>
          <w:w w:val="100"/>
          <w:position w:val="0"/>
        </w:rPr>
        <w:t>、主要控股参股公司分析</w:t>
      </w:r>
      <w:bookmarkEnd w:id="172"/>
      <w:bookmarkEnd w:id="173"/>
      <w:bookmarkEnd w:id="175"/>
    </w:p>
    <w:p>
      <w:pPr>
        <w:pStyle w:val="Style23"/>
        <w:keepNext/>
        <w:keepLines/>
        <w:widowControl w:val="0"/>
        <w:shd w:val="clear" w:color="auto" w:fill="auto"/>
        <w:bidi w:val="0"/>
        <w:spacing w:before="0" w:after="60" w:line="240" w:lineRule="auto"/>
        <w:ind w:left="0" w:right="0" w:firstLine="0"/>
        <w:jc w:val="left"/>
      </w:pPr>
      <w:bookmarkStart w:id="172" w:name="bookmark172"/>
      <w:bookmarkStart w:id="173" w:name="bookmark173"/>
      <w:r>
        <w:rPr>
          <w:color w:val="000000"/>
          <w:spacing w:val="0"/>
          <w:w w:val="100"/>
          <w:position w:val="0"/>
        </w:rPr>
        <w:t>主要子公司、参股公司情况</w:t>
      </w:r>
      <w:bookmarkEnd w:id="172"/>
      <w:bookmarkEnd w:id="173"/>
    </w:p>
    <w:tbl>
      <w:tblPr>
        <w:tblOverlap w:val="never"/>
        <w:jc w:val="center"/>
        <w:tblLayout w:type="fixed"/>
      </w:tblPr>
      <w:tblGrid>
        <w:gridCol w:w="2414"/>
        <w:gridCol w:w="1843"/>
        <w:gridCol w:w="2976"/>
        <w:gridCol w:w="2419"/>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主要业务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注册资本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北京同方微电子有限公司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设计、开发和销售智能卡芯片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10,000.00 </w:t>
            </w:r>
            <w:r>
              <w:rPr>
                <w:color w:val="000000"/>
                <w:spacing w:val="0"/>
                <w:w w:val="100"/>
                <w:position w:val="0"/>
                <w:sz w:val="20"/>
                <w:szCs w:val="20"/>
              </w:rPr>
              <w:t>万元</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深圳市国微电子有限公司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设计、开发和销售特种集成电路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15,000.00 </w:t>
            </w:r>
            <w:r>
              <w:rPr>
                <w:color w:val="000000"/>
                <w:spacing w:val="0"/>
                <w:w w:val="100"/>
                <w:position w:val="0"/>
                <w:sz w:val="20"/>
                <w:szCs w:val="20"/>
              </w:rPr>
              <w:t>万元</w:t>
            </w:r>
          </w:p>
        </w:tc>
      </w:tr>
    </w:tbl>
    <w:p>
      <w:pPr>
        <w:pStyle w:val="Style33"/>
        <w:keepNext w:val="0"/>
        <w:keepLines w:val="0"/>
        <w:widowControl w:val="0"/>
        <w:shd w:val="clear" w:color="auto" w:fill="auto"/>
        <w:bidi w:val="0"/>
        <w:spacing w:before="0" w:after="0" w:line="240" w:lineRule="auto"/>
        <w:ind w:left="82" w:right="0" w:firstLine="0"/>
        <w:jc w:val="left"/>
      </w:pPr>
      <w:r>
        <w:rPr>
          <w:color w:val="000000"/>
          <w:spacing w:val="0"/>
          <w:w w:val="100"/>
          <w:position w:val="0"/>
        </w:rPr>
        <w:t>（续上表）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555"/>
        <w:gridCol w:w="1560"/>
        <w:gridCol w:w="1421"/>
        <w:gridCol w:w="1272"/>
        <w:gridCol w:w="1286"/>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北京同方微电子有限公司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878,041,940.65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589,251,797.07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548,139,618.15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39,182,632.87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63,128,248.07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深圳市国微电子有限公司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1,644,026,091.23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1,046,943,280.46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510,130,739.23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214,956,791.50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285,710,307.94</w:t>
            </w:r>
          </w:p>
        </w:tc>
      </w:tr>
    </w:tbl>
    <w:p>
      <w:pPr>
        <w:widowControl w:val="0"/>
        <w:spacing w:after="399" w:line="1" w:lineRule="exact"/>
      </w:pPr>
    </w:p>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报告期内取得和处置子公司的情况</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唐山国芯晶源电子有限公司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投资设立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便于公司晶体业务的管理</w:t>
            </w:r>
          </w:p>
        </w:tc>
      </w:tr>
    </w:tbl>
    <w:p>
      <w:pPr>
        <w:pStyle w:val="Style33"/>
        <w:keepNext w:val="0"/>
        <w:keepLines w:val="0"/>
        <w:widowControl w:val="0"/>
        <w:shd w:val="clear" w:color="auto" w:fill="auto"/>
        <w:bidi w:val="0"/>
        <w:spacing w:before="0" w:after="0" w:line="240" w:lineRule="auto"/>
        <w:ind w:left="0" w:right="0" w:firstLine="0"/>
        <w:jc w:val="left"/>
        <w:rPr>
          <w:sz w:val="22"/>
          <w:szCs w:val="22"/>
        </w:rPr>
      </w:pPr>
      <w:bookmarkStart w:id="176" w:name="bookmark176"/>
      <w:r>
        <w:rPr>
          <w:b/>
          <w:bCs/>
          <w:color w:val="000000"/>
          <w:spacing w:val="0"/>
          <w:w w:val="100"/>
          <w:position w:val="0"/>
          <w:sz w:val="22"/>
          <w:szCs w:val="22"/>
        </w:rPr>
        <w:t>七、公司未来发展的展望</w:t>
      </w:r>
      <w:bookmarkEnd w:id="176"/>
    </w:p>
    <w:p>
      <w:pPr>
        <w:widowControl w:val="0"/>
        <w:spacing w:after="279" w:line="1" w:lineRule="exact"/>
      </w:pPr>
    </w:p>
    <w:p>
      <w:pPr>
        <w:pStyle w:val="Style31"/>
        <w:keepNext w:val="0"/>
        <w:keepLines w:val="0"/>
        <w:widowControl w:val="0"/>
        <w:shd w:val="clear" w:color="auto" w:fill="auto"/>
        <w:bidi w:val="0"/>
        <w:spacing w:before="0" w:after="100" w:line="312" w:lineRule="exact"/>
        <w:ind w:left="0" w:right="0" w:firstLine="500"/>
        <w:jc w:val="left"/>
      </w:pPr>
      <w:bookmarkStart w:id="177" w:name="bookmark177"/>
      <w:r>
        <w:rPr>
          <w:b/>
          <w:bCs/>
          <w:color w:val="000000"/>
          <w:spacing w:val="0"/>
          <w:w w:val="100"/>
          <w:position w:val="0"/>
        </w:rPr>
        <w:t>1</w:t>
      </w:r>
      <w:bookmarkEnd w:id="177"/>
      <w:r>
        <w:rPr>
          <w:b/>
          <w:bCs/>
          <w:color w:val="000000"/>
          <w:spacing w:val="0"/>
          <w:w w:val="100"/>
          <w:position w:val="0"/>
        </w:rPr>
        <w:t>、公司所处行业的发展趋势</w:t>
      </w:r>
    </w:p>
    <w:p>
      <w:pPr>
        <w:pStyle w:val="Style31"/>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公司所处的集成电路产业属于新一代信息技术领域，是我国“十三五”时期重点培育的 战略性新兴产业之一，也是支撑“中国制造</w:t>
      </w:r>
      <w:r>
        <w:rPr>
          <w:rFonts w:ascii="Times New Roman" w:eastAsia="Times New Roman" w:hAnsi="Times New Roman" w:cs="Times New Roman"/>
          <w:color w:val="000000"/>
          <w:spacing w:val="0"/>
          <w:w w:val="100"/>
          <w:position w:val="0"/>
          <w:sz w:val="24"/>
          <w:szCs w:val="24"/>
        </w:rPr>
        <w:t>2025</w:t>
      </w:r>
      <w:r>
        <w:rPr>
          <w:color w:val="000000"/>
          <w:spacing w:val="0"/>
          <w:w w:val="100"/>
          <w:position w:val="0"/>
        </w:rPr>
        <w:t>”国家战略的核心产业之一。作为国家信息 技术产业的基石，集成电路产业是促进国民经济经济发展、保障国家安全的战略性、基础性 和先导性产业。</w:t>
      </w:r>
    </w:p>
    <w:p>
      <w:pPr>
        <w:pStyle w:val="Style31"/>
        <w:keepNext w:val="0"/>
        <w:keepLines w:val="0"/>
        <w:widowControl w:val="0"/>
        <w:shd w:val="clear" w:color="auto" w:fill="auto"/>
        <w:bidi w:val="0"/>
        <w:spacing w:before="0" w:after="100" w:line="313" w:lineRule="exact"/>
        <w:ind w:left="0" w:right="0" w:firstLine="50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月，中共中央办公厅、国务院办公厅印发的《国家信息化发展战略纲要》指出， 信息技术和产业发展程度决定着信息化发展水平，我国要坚持自主创新，构建安全可控的信 息技术体系，培育形成具有国际竞争力的产业生态，并明确提出“制定国家信息领域核心技 术设备发展战略纲要，以体系化思维弥补单点弱势，打造国际先进、安全可控的核心技术体 系，带动集成电路、基础软件、核心元器件等薄弱环节实现根本性突破。”。</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 国家工信部和发改委联合制定的《信息产业发展指南》突出了发展集成电路产业这一重点， 并强调坚持需求导向，进一步完善产业生态环境；提升集成电路设计水平和芯片应用适配能 力；把握“后摩尔”时代发展机遇，探索新型材料产业化应用；关注重大项目建设，引导产 业链环节协同发展；以及实施集成电路产业跨越建设工程等五方面的内容。</w:t>
      </w:r>
    </w:p>
    <w:p>
      <w:pPr>
        <w:pStyle w:val="Style31"/>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结合近年来陆续颁布的《国家集成电路产业发展推进纲要》、《国家信息化发展战略纲 要》、《信息产业发展指南》以及超千亿级规模的国家集成电路产业投资基金的政策与资金 双重供给推动，和以移动智能终端、互联网+、物联网、云计算、大数据等多样化创新应用的 信息安全和市场需求驱动，我国将继续成为全球规模最大、增速最快的集成电路市场，我国 集成电路产业将再次进入发展的黄金期。</w:t>
      </w:r>
    </w:p>
    <w:p>
      <w:pPr>
        <w:pStyle w:val="Style31"/>
        <w:keepNext w:val="0"/>
        <w:keepLines w:val="0"/>
        <w:widowControl w:val="0"/>
        <w:shd w:val="clear" w:color="auto" w:fill="auto"/>
        <w:bidi w:val="0"/>
        <w:spacing w:before="0" w:after="100" w:line="312" w:lineRule="exact"/>
        <w:ind w:left="0" w:right="0" w:firstLine="500"/>
        <w:jc w:val="left"/>
      </w:pPr>
      <w:bookmarkStart w:id="178" w:name="bookmark178"/>
      <w:r>
        <w:rPr>
          <w:rFonts w:ascii="Times New Roman" w:eastAsia="Times New Roman" w:hAnsi="Times New Roman" w:cs="Times New Roman"/>
          <w:color w:val="000000"/>
          <w:spacing w:val="0"/>
          <w:w w:val="100"/>
          <w:position w:val="0"/>
          <w:sz w:val="24"/>
          <w:szCs w:val="24"/>
        </w:rPr>
        <w:t>1</w:t>
      </w:r>
      <w:bookmarkEnd w:id="178"/>
      <w:r>
        <w:rPr>
          <w:color w:val="000000"/>
          <w:spacing w:val="0"/>
          <w:w w:val="100"/>
          <w:position w:val="0"/>
        </w:rPr>
        <w:t>）国内企业在智能卡芯片领域逐步占据重要市场地位。</w:t>
      </w:r>
    </w:p>
    <w:p>
      <w:pPr>
        <w:pStyle w:val="Style31"/>
        <w:keepNext w:val="0"/>
        <w:keepLines w:val="0"/>
        <w:widowControl w:val="0"/>
        <w:shd w:val="clear" w:color="auto" w:fill="auto"/>
        <w:bidi w:val="0"/>
        <w:spacing w:before="0" w:after="100" w:line="307" w:lineRule="exact"/>
        <w:ind w:left="0" w:right="0" w:firstLine="500"/>
        <w:jc w:val="both"/>
      </w:pPr>
      <w:r>
        <w:rPr>
          <w:color w:val="000000"/>
          <w:spacing w:val="0"/>
          <w:w w:val="100"/>
          <w:position w:val="0"/>
        </w:rPr>
        <w:t>近年来，智能卡已在诸多领域实现广泛普及和应用。国家采取的“促进信息消费扩大内 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等重大部署和政策，为智能卡芯片行业的发展营造了良好的生态环境，随之我国智能卡行 业亦进入了新的快速发展阶段。根据中国半导体行业协会统计数据，</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年我国</w:t>
      </w:r>
      <w:r>
        <w:rPr>
          <w:rFonts w:ascii="Times New Roman" w:eastAsia="Times New Roman" w:hAnsi="Times New Roman" w:cs="Times New Roman"/>
          <w:color w:val="000000"/>
          <w:spacing w:val="0"/>
          <w:w w:val="100"/>
          <w:position w:val="0"/>
          <w:sz w:val="24"/>
          <w:szCs w:val="24"/>
        </w:rPr>
        <w:t>IC</w:t>
      </w:r>
      <w:r>
        <w:rPr>
          <w:color w:val="000000"/>
          <w:spacing w:val="0"/>
          <w:w w:val="100"/>
          <w:position w:val="0"/>
        </w:rPr>
        <w:t>设计业保 持高速增长，销售额为</w:t>
      </w:r>
      <w:r>
        <w:rPr>
          <w:rFonts w:ascii="Times New Roman" w:eastAsia="Times New Roman" w:hAnsi="Times New Roman" w:cs="Times New Roman"/>
          <w:color w:val="000000"/>
          <w:spacing w:val="0"/>
          <w:w w:val="100"/>
          <w:position w:val="0"/>
          <w:sz w:val="24"/>
          <w:szCs w:val="24"/>
        </w:rPr>
        <w:t>1664.3</w:t>
      </w:r>
      <w:r>
        <w:rPr>
          <w:color w:val="000000"/>
          <w:spacing w:val="0"/>
          <w:w w:val="100"/>
          <w:position w:val="0"/>
        </w:rPr>
        <w:t>亿元，同比增长</w:t>
      </w:r>
      <w:r>
        <w:rPr>
          <w:rFonts w:ascii="Times New Roman" w:eastAsia="Times New Roman" w:hAnsi="Times New Roman" w:cs="Times New Roman"/>
          <w:color w:val="000000"/>
          <w:spacing w:val="0"/>
          <w:w w:val="100"/>
          <w:position w:val="0"/>
          <w:sz w:val="24"/>
          <w:szCs w:val="24"/>
        </w:rPr>
        <w:t>24.1%</w:t>
      </w:r>
      <w:r>
        <w:rPr>
          <w:color w:val="000000"/>
          <w:spacing w:val="0"/>
          <w:w w:val="100"/>
          <w:position w:val="0"/>
        </w:rPr>
        <w:t>。</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在《金融</w:t>
      </w:r>
      <w:r>
        <w:rPr>
          <w:rFonts w:ascii="Arial" w:eastAsia="Arial" w:hAnsi="Arial" w:cs="Arial"/>
          <w:color w:val="000000"/>
          <w:spacing w:val="0"/>
          <w:w w:val="100"/>
          <w:position w:val="0"/>
          <w:sz w:val="22"/>
          <w:szCs w:val="22"/>
        </w:rPr>
        <w:t>IC</w:t>
      </w:r>
      <w:r>
        <w:rPr>
          <w:color w:val="000000"/>
          <w:spacing w:val="0"/>
          <w:w w:val="100"/>
          <w:position w:val="0"/>
        </w:rPr>
        <w:t>卡行业一卡多应用规范》等金融行业标准的推动下，银行</w:t>
      </w:r>
      <w:r>
        <w:rPr>
          <w:rFonts w:ascii="Times New Roman" w:eastAsia="Times New Roman" w:hAnsi="Times New Roman" w:cs="Times New Roman"/>
          <w:color w:val="000000"/>
          <w:spacing w:val="0"/>
          <w:w w:val="100"/>
          <w:position w:val="0"/>
          <w:sz w:val="24"/>
          <w:szCs w:val="24"/>
        </w:rPr>
        <w:t>IC</w:t>
      </w:r>
      <w:r>
        <w:rPr>
          <w:color w:val="000000"/>
          <w:spacing w:val="0"/>
          <w:w w:val="100"/>
          <w:position w:val="0"/>
        </w:rPr>
        <w:t xml:space="preserve">卡芯片国产替代 化进程加快，并已逐步实现批量商用。此外，根据国家卫生计生委统计信息中心的统计数据， </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年以来，全国居民健康卡已在</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个省（自治区、直辖市）实现批量发卡，全面推进态势 逐步形成；</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年，人力资源社会保障部印发的“互联网+人社</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 xml:space="preserve">行动计划”中提出的“一 </w:t>
      </w:r>
      <w:r>
        <w:rPr>
          <w:color w:val="000000"/>
          <w:spacing w:val="0"/>
          <w:w w:val="100"/>
          <w:position w:val="0"/>
        </w:rPr>
        <w:t>人一卡”和“信息汇聚”，对芯片卡需求以及信息安全保护提出更高要求，这也是智能卡在 金融支付领域的关注重点。综上，随着我国核心芯片设计技术和生产能力的不断增强，国产 芯片企业将逐步成为市场主力，占据更加主动的竞争地位。</w:t>
      </w:r>
    </w:p>
    <w:p>
      <w:pPr>
        <w:pStyle w:val="Style31"/>
        <w:keepNext w:val="0"/>
        <w:keepLines w:val="0"/>
        <w:widowControl w:val="0"/>
        <w:shd w:val="clear" w:color="auto" w:fill="auto"/>
        <w:tabs>
          <w:tab w:pos="812" w:val="left"/>
        </w:tabs>
        <w:bidi w:val="0"/>
        <w:spacing w:before="0" w:line="322" w:lineRule="exact"/>
        <w:ind w:left="0" w:right="0" w:firstLine="480"/>
        <w:jc w:val="both"/>
      </w:pPr>
      <w:bookmarkStart w:id="179" w:name="bookmark179"/>
      <w:r>
        <w:rPr>
          <w:rFonts w:ascii="Times New Roman" w:eastAsia="Times New Roman" w:hAnsi="Times New Roman" w:cs="Times New Roman"/>
          <w:color w:val="000000"/>
          <w:spacing w:val="0"/>
          <w:w w:val="100"/>
          <w:position w:val="0"/>
          <w:sz w:val="24"/>
          <w:szCs w:val="24"/>
        </w:rPr>
        <w:t>2</w:t>
      </w:r>
      <w:bookmarkEnd w:id="179"/>
      <w:r>
        <w:rPr>
          <w:color w:val="000000"/>
          <w:spacing w:val="0"/>
          <w:w w:val="100"/>
          <w:position w:val="0"/>
        </w:rPr>
        <w:t>）</w:t>
        <w:tab/>
        <w:t>特种装备领域对自主可控和国产化率的要求，将成为特种集成电路行业快速增长的驱 动力。</w:t>
      </w:r>
    </w:p>
    <w:p>
      <w:pPr>
        <w:pStyle w:val="Style31"/>
        <w:keepNext w:val="0"/>
        <w:keepLines w:val="0"/>
        <w:widowControl w:val="0"/>
        <w:shd w:val="clear" w:color="auto" w:fill="auto"/>
        <w:bidi w:val="0"/>
        <w:spacing w:before="0" w:line="312" w:lineRule="exact"/>
        <w:ind w:left="0" w:right="0" w:firstLine="480"/>
        <w:jc w:val="both"/>
      </w:pPr>
      <w:r>
        <w:rPr>
          <w:color w:val="000000"/>
          <w:spacing w:val="0"/>
          <w:w w:val="100"/>
          <w:position w:val="0"/>
        </w:rPr>
        <w:t>加快推进国产自主可控替代计划，构建安全可控的信息技术体系，是我国信息产业发展 的重要保障。特种集成电路作为国家核心战略资源，能够满足特种装备对安全性、可靠性、 环境适应性及稳定性的高要求，是决定特种装备信息化性能的关键因素。当前国际局势的复 杂多变，对特种设备的技术应用以及网络化、自动化要求日益提高，随之特种装备的订货需 求高速增长，我国特种集成电路行业呈爆发式增长态势。</w:t>
      </w:r>
    </w:p>
    <w:p>
      <w:pPr>
        <w:pStyle w:val="Style31"/>
        <w:keepNext w:val="0"/>
        <w:keepLines w:val="0"/>
        <w:widowControl w:val="0"/>
        <w:shd w:val="clear" w:color="auto" w:fill="auto"/>
        <w:bidi w:val="0"/>
        <w:spacing w:before="0" w:line="312" w:lineRule="exact"/>
        <w:ind w:left="0" w:right="0" w:firstLine="480"/>
        <w:jc w:val="both"/>
      </w:pPr>
      <w:r>
        <w:rPr>
          <w:color w:val="000000"/>
          <w:spacing w:val="0"/>
          <w:w w:val="100"/>
          <w:position w:val="0"/>
        </w:rPr>
        <w:t>受制于我国技术水平等多种因素，目前作为特种装备核心的特种集成电路产品国产化比 例仍然较低，已经成为制约特种装备发展的瓶颈。因此，国家已将集成电路国产化率作为特 种装备研制、生产的重要指标纳入装备科研生产的规范管理标准，以提高特种装备的自主保 障能力。对特种装备用集成电路产品国产化率的硬性要求必将激发特种装备生产企业对国产 集成电路的新一轮采购需求。</w:t>
      </w:r>
    </w:p>
    <w:p>
      <w:pPr>
        <w:pStyle w:val="Style31"/>
        <w:keepNext w:val="0"/>
        <w:keepLines w:val="0"/>
        <w:widowControl w:val="0"/>
        <w:shd w:val="clear" w:color="auto" w:fill="auto"/>
        <w:tabs>
          <w:tab w:pos="841" w:val="left"/>
        </w:tabs>
        <w:bidi w:val="0"/>
        <w:spacing w:before="0" w:after="60" w:line="276" w:lineRule="auto"/>
        <w:ind w:left="0" w:right="0" w:firstLine="480"/>
        <w:jc w:val="both"/>
      </w:pPr>
      <w:bookmarkStart w:id="180" w:name="bookmark180"/>
      <w:r>
        <w:rPr>
          <w:rFonts w:ascii="Times New Roman" w:eastAsia="Times New Roman" w:hAnsi="Times New Roman" w:cs="Times New Roman"/>
          <w:color w:val="000000"/>
          <w:spacing w:val="0"/>
          <w:w w:val="100"/>
          <w:position w:val="0"/>
          <w:sz w:val="24"/>
          <w:szCs w:val="24"/>
        </w:rPr>
        <w:t>3</w:t>
      </w:r>
      <w:bookmarkEnd w:id="180"/>
      <w:r>
        <w:rPr>
          <w:color w:val="000000"/>
          <w:spacing w:val="0"/>
          <w:w w:val="100"/>
          <w:position w:val="0"/>
        </w:rPr>
        <w:t>）</w:t>
        <w:tab/>
        <w:t>我国存储器芯片市场需求广阔，未来行业获利状态稳定。</w:t>
      </w:r>
    </w:p>
    <w:p>
      <w:pPr>
        <w:pStyle w:val="Style31"/>
        <w:keepNext w:val="0"/>
        <w:keepLines w:val="0"/>
        <w:widowControl w:val="0"/>
        <w:shd w:val="clear" w:color="auto" w:fill="auto"/>
        <w:bidi w:val="0"/>
        <w:spacing w:before="0" w:line="314" w:lineRule="exact"/>
        <w:ind w:left="0" w:right="0" w:firstLine="480"/>
        <w:jc w:val="both"/>
      </w:pPr>
      <w:r>
        <w:rPr>
          <w:color w:val="000000"/>
          <w:spacing w:val="0"/>
          <w:w w:val="100"/>
          <w:position w:val="0"/>
        </w:rPr>
        <w:t>存储器芯片是全球芯片市场比重最大的产品之一，是信息系统的基础核心环节，也是最 能代表集成电路产业规模经济效益和先进制造工艺的芯片产品。随着我国经济结构转型与消 费升级，社会信息化程度日益加深，对信息化产品和服务的需求也与日俱增，存储芯片作为 信息化产品的关键芯片，将在社会信息化进程快速发展中受益。</w:t>
      </w:r>
    </w:p>
    <w:p>
      <w:pPr>
        <w:pStyle w:val="Style31"/>
        <w:keepNext w:val="0"/>
        <w:keepLines w:val="0"/>
        <w:widowControl w:val="0"/>
        <w:shd w:val="clear" w:color="auto" w:fill="auto"/>
        <w:bidi w:val="0"/>
        <w:spacing w:before="0" w:line="312" w:lineRule="exact"/>
        <w:ind w:left="0" w:right="0" w:firstLine="480"/>
        <w:jc w:val="both"/>
      </w:pPr>
      <w:r>
        <w:rPr>
          <w:color w:val="000000"/>
          <w:spacing w:val="0"/>
          <w:w w:val="100"/>
          <w:position w:val="0"/>
        </w:rPr>
        <w:t>近年来终端市场的便携化、智能化和网络化的发展趋势日趋明显，智能手机、平板电脑 等下游市场需求旺盛，根据工信部数据统计，</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年全国共生产</w:t>
      </w:r>
      <w:r>
        <w:rPr>
          <w:rFonts w:ascii="Times New Roman" w:eastAsia="Times New Roman" w:hAnsi="Times New Roman" w:cs="Times New Roman"/>
          <w:color w:val="000000"/>
          <w:spacing w:val="0"/>
          <w:w w:val="100"/>
          <w:position w:val="0"/>
          <w:sz w:val="24"/>
          <w:szCs w:val="24"/>
        </w:rPr>
        <w:t>22.6</w:t>
      </w:r>
      <w:r>
        <w:rPr>
          <w:color w:val="000000"/>
          <w:spacing w:val="0"/>
          <w:w w:val="100"/>
          <w:position w:val="0"/>
        </w:rPr>
        <w:t>亿部手机、</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亿台计算 机，这也将进一步提高闪存芯片的需求量。预计未来几年是我国加速发展存储器行业的重要 窗口期，我国存储芯片市场将长期保持稳定持续增长态势，在较长一段时间内没有产能大幅 过剩的担忧，相关企业将能够保持稳定的、高水平的获利状态。</w:t>
      </w:r>
    </w:p>
    <w:p>
      <w:pPr>
        <w:pStyle w:val="Style31"/>
        <w:keepNext w:val="0"/>
        <w:keepLines w:val="0"/>
        <w:widowControl w:val="0"/>
        <w:shd w:val="clear" w:color="auto" w:fill="auto"/>
        <w:bidi w:val="0"/>
        <w:spacing w:before="0" w:line="319" w:lineRule="exact"/>
        <w:ind w:left="0" w:right="0" w:firstLine="48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月和</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年年初，国家工信部分别公示了有关半导体集成电路产业的《集成电路 存储器引出端排列》等五项集中在存储器领域的国家标准（征求意见稿），相关行业标准的 出台是存储器芯片行业统一规范发展的有利驱动。</w:t>
      </w:r>
    </w:p>
    <w:p>
      <w:pPr>
        <w:pStyle w:val="Style31"/>
        <w:keepNext w:val="0"/>
        <w:keepLines w:val="0"/>
        <w:widowControl w:val="0"/>
        <w:shd w:val="clear" w:color="auto" w:fill="auto"/>
        <w:bidi w:val="0"/>
        <w:spacing w:before="0" w:line="313" w:lineRule="exact"/>
        <w:ind w:left="0" w:right="0" w:firstLine="480"/>
        <w:jc w:val="both"/>
      </w:pPr>
      <w:bookmarkStart w:id="181" w:name="bookmark181"/>
      <w:r>
        <w:rPr>
          <w:b/>
          <w:bCs/>
          <w:color w:val="000000"/>
          <w:spacing w:val="0"/>
          <w:w w:val="100"/>
          <w:position w:val="0"/>
        </w:rPr>
        <w:t>2</w:t>
      </w:r>
      <w:bookmarkEnd w:id="181"/>
      <w:r>
        <w:rPr>
          <w:b/>
          <w:bCs/>
          <w:color w:val="000000"/>
          <w:spacing w:val="0"/>
          <w:w w:val="100"/>
          <w:position w:val="0"/>
        </w:rPr>
        <w:t>、公司的近期发展规划及重点工作</w:t>
      </w:r>
    </w:p>
    <w:p>
      <w:pPr>
        <w:pStyle w:val="Style31"/>
        <w:keepNext w:val="0"/>
        <w:keepLines w:val="0"/>
        <w:widowControl w:val="0"/>
        <w:shd w:val="clear" w:color="auto" w:fill="auto"/>
        <w:bidi w:val="0"/>
        <w:spacing w:before="0" w:line="313" w:lineRule="exact"/>
        <w:ind w:left="0" w:right="0" w:firstLine="48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年，公司在传统集成电路设计领域，将树立更高的目标，努力成为行业领先。另外， 近年来在中国政府和产业基金的积极推动下，集成电路生产制造领域迎来了难得的发展机遇。 公司将继续坚持走“自主创新”和“国际合作”相结合的道路，在做大做强集成电路设计的 同时，积极尝试涉足集成电路生产制造领域。同时布局产业链上下游，内生与外延并重，实 现公司跨越式发展的目标。具体的工作包括以下几个方面：</w:t>
      </w:r>
    </w:p>
    <w:p>
      <w:pPr>
        <w:pStyle w:val="Style31"/>
        <w:keepNext w:val="0"/>
        <w:keepLines w:val="0"/>
        <w:widowControl w:val="0"/>
        <w:shd w:val="clear" w:color="auto" w:fill="auto"/>
        <w:tabs>
          <w:tab w:pos="836" w:val="left"/>
        </w:tabs>
        <w:bidi w:val="0"/>
        <w:spacing w:before="0" w:line="314" w:lineRule="exact"/>
        <w:ind w:left="0" w:right="0" w:firstLine="480"/>
        <w:jc w:val="both"/>
      </w:pPr>
      <w:bookmarkStart w:id="182" w:name="bookmark182"/>
      <w:r>
        <w:rPr>
          <w:rFonts w:ascii="Times New Roman" w:eastAsia="Times New Roman" w:hAnsi="Times New Roman" w:cs="Times New Roman"/>
          <w:color w:val="000000"/>
          <w:spacing w:val="0"/>
          <w:w w:val="100"/>
          <w:position w:val="0"/>
          <w:sz w:val="24"/>
          <w:szCs w:val="24"/>
        </w:rPr>
        <w:t>1</w:t>
      </w:r>
      <w:bookmarkEnd w:id="182"/>
      <w:r>
        <w:rPr>
          <w:color w:val="000000"/>
          <w:spacing w:val="0"/>
          <w:w w:val="100"/>
          <w:position w:val="0"/>
        </w:rPr>
        <w:t>）</w:t>
        <w:tab/>
        <w:t>完成西安紫光国芯少数股东股权的收购，变为全资控股架构，做大做强其存储器设计 开发业务。将成熟的</w:t>
      </w:r>
      <w:r>
        <w:rPr>
          <w:rFonts w:ascii="Times New Roman" w:eastAsia="Times New Roman" w:hAnsi="Times New Roman" w:cs="Times New Roman"/>
          <w:color w:val="000000"/>
          <w:spacing w:val="0"/>
          <w:w w:val="100"/>
          <w:position w:val="0"/>
          <w:sz w:val="24"/>
          <w:szCs w:val="24"/>
        </w:rPr>
        <w:t>SDR/DDR1/DDR2/DDR3</w:t>
      </w:r>
      <w:r>
        <w:rPr>
          <w:color w:val="000000"/>
          <w:spacing w:val="0"/>
          <w:w w:val="100"/>
          <w:position w:val="0"/>
        </w:rPr>
        <w:t>，</w:t>
      </w:r>
      <w:r>
        <w:rPr>
          <w:color w:val="000000"/>
          <w:spacing w:val="0"/>
          <w:w w:val="100"/>
          <w:position w:val="0"/>
        </w:rPr>
        <w:t>及新开发的</w:t>
      </w:r>
      <w:r>
        <w:rPr>
          <w:rFonts w:ascii="Times New Roman" w:eastAsia="Times New Roman" w:hAnsi="Times New Roman" w:cs="Times New Roman"/>
          <w:color w:val="000000"/>
          <w:spacing w:val="0"/>
          <w:w w:val="100"/>
          <w:position w:val="0"/>
          <w:sz w:val="24"/>
          <w:szCs w:val="24"/>
        </w:rPr>
        <w:t>DDR4</w:t>
      </w:r>
      <w:r>
        <w:rPr>
          <w:color w:val="000000"/>
          <w:spacing w:val="0"/>
          <w:w w:val="100"/>
          <w:position w:val="0"/>
        </w:rPr>
        <w:t>等</w:t>
      </w:r>
      <w:r>
        <w:rPr>
          <w:rFonts w:ascii="Times New Roman" w:eastAsia="Times New Roman" w:hAnsi="Times New Roman" w:cs="Times New Roman"/>
          <w:color w:val="000000"/>
          <w:spacing w:val="0"/>
          <w:w w:val="100"/>
          <w:position w:val="0"/>
          <w:sz w:val="24"/>
          <w:szCs w:val="24"/>
        </w:rPr>
        <w:t>DRAM</w:t>
      </w:r>
      <w:r>
        <w:rPr>
          <w:color w:val="000000"/>
          <w:spacing w:val="0"/>
          <w:w w:val="100"/>
          <w:position w:val="0"/>
        </w:rPr>
        <w:t>产品规模化量产的 同时，积极研发低功耗</w:t>
      </w:r>
      <w:r>
        <w:rPr>
          <w:rFonts w:ascii="Times New Roman" w:eastAsia="Times New Roman" w:hAnsi="Times New Roman" w:cs="Times New Roman"/>
          <w:color w:val="000000"/>
          <w:spacing w:val="0"/>
          <w:w w:val="100"/>
          <w:position w:val="0"/>
          <w:sz w:val="24"/>
          <w:szCs w:val="24"/>
        </w:rPr>
        <w:t>LPDDRx DRAM</w:t>
      </w:r>
      <w:r>
        <w:rPr>
          <w:color w:val="000000"/>
          <w:spacing w:val="0"/>
          <w:w w:val="100"/>
          <w:position w:val="0"/>
        </w:rPr>
        <w:t>新产品，拓展在移动通信和物联网领域的应用。结合 紫光集团在存储器芯片产业的战略部署，使其成为存储器领域中的强有力竞争者。</w:t>
      </w:r>
    </w:p>
    <w:p>
      <w:pPr>
        <w:pStyle w:val="Style31"/>
        <w:keepNext w:val="0"/>
        <w:keepLines w:val="0"/>
        <w:widowControl w:val="0"/>
        <w:shd w:val="clear" w:color="auto" w:fill="auto"/>
        <w:tabs>
          <w:tab w:pos="826" w:val="left"/>
        </w:tabs>
        <w:bidi w:val="0"/>
        <w:spacing w:before="0" w:after="100" w:line="302" w:lineRule="exact"/>
        <w:ind w:left="0" w:right="0" w:firstLine="480"/>
        <w:jc w:val="both"/>
      </w:pPr>
      <w:bookmarkStart w:id="183" w:name="bookmark183"/>
      <w:r>
        <w:rPr>
          <w:rFonts w:ascii="Times New Roman" w:eastAsia="Times New Roman" w:hAnsi="Times New Roman" w:cs="Times New Roman"/>
          <w:color w:val="000000"/>
          <w:spacing w:val="0"/>
          <w:w w:val="100"/>
          <w:position w:val="0"/>
          <w:sz w:val="24"/>
          <w:szCs w:val="24"/>
        </w:rPr>
        <w:t>2</w:t>
      </w:r>
      <w:bookmarkEnd w:id="183"/>
      <w:r>
        <w:rPr>
          <w:color w:val="000000"/>
          <w:spacing w:val="0"/>
          <w:w w:val="100"/>
          <w:position w:val="0"/>
        </w:rPr>
        <w:t>）</w:t>
        <w:tab/>
        <w:t>智能芯片业务将继续专注于智能卡和终端领域，研发更具竞争力的产品，不断提升工 艺水平，保持在二代身份证、电信</w:t>
      </w:r>
      <w:r>
        <w:rPr>
          <w:rFonts w:ascii="Times New Roman" w:eastAsia="Times New Roman" w:hAnsi="Times New Roman" w:cs="Times New Roman"/>
          <w:color w:val="000000"/>
          <w:spacing w:val="0"/>
          <w:w w:val="100"/>
          <w:position w:val="0"/>
          <w:sz w:val="24"/>
          <w:szCs w:val="24"/>
        </w:rPr>
        <w:t>SIM</w:t>
      </w:r>
      <w:r>
        <w:rPr>
          <w:color w:val="000000"/>
          <w:spacing w:val="0"/>
          <w:w w:val="100"/>
          <w:position w:val="0"/>
        </w:rPr>
        <w:t xml:space="preserve">卡和居民健康卡等行业中的市场优势，在新兴的双界 </w:t>
      </w:r>
      <w:r>
        <w:rPr>
          <w:color w:val="000000"/>
          <w:spacing w:val="0"/>
          <w:w w:val="100"/>
          <w:position w:val="0"/>
        </w:rPr>
        <w:t>面社保卡、电子护照领域力争行业领先。在电信</w:t>
      </w:r>
      <w:r>
        <w:rPr>
          <w:rFonts w:ascii="Times New Roman" w:eastAsia="Times New Roman" w:hAnsi="Times New Roman" w:cs="Times New Roman"/>
          <w:color w:val="000000"/>
          <w:spacing w:val="0"/>
          <w:w w:val="100"/>
          <w:position w:val="0"/>
          <w:sz w:val="24"/>
          <w:szCs w:val="24"/>
        </w:rPr>
        <w:t>SIM</w:t>
      </w:r>
      <w:r>
        <w:rPr>
          <w:color w:val="000000"/>
          <w:spacing w:val="0"/>
          <w:w w:val="100"/>
          <w:position w:val="0"/>
        </w:rPr>
        <w:t>卡领域，研发更高工艺水平的产品，努 力提高产品毛利率，扩大全球市场份额。在银行卡升级改造过程中，借助</w:t>
      </w:r>
      <w:r>
        <w:rPr>
          <w:rFonts w:ascii="Times New Roman" w:eastAsia="Times New Roman" w:hAnsi="Times New Roman" w:cs="Times New Roman"/>
          <w:color w:val="000000"/>
          <w:spacing w:val="0"/>
          <w:w w:val="100"/>
          <w:position w:val="0"/>
          <w:sz w:val="24"/>
          <w:szCs w:val="24"/>
        </w:rPr>
        <w:t>THD88</w:t>
      </w:r>
      <w:r>
        <w:rPr>
          <w:color w:val="000000"/>
          <w:spacing w:val="0"/>
          <w:w w:val="100"/>
          <w:position w:val="0"/>
        </w:rPr>
        <w:t>产品在国际 安全认证上的优势，逐步替代进口芯片，获得更大市场份额。与银联和国际卡商合作，扩大 海外市场。另外，积极寻找产业链优化和协同的机会，在封装和测试领域开展深度合作，以 整体优势来提升产品竞争力。</w:t>
      </w:r>
    </w:p>
    <w:p>
      <w:pPr>
        <w:pStyle w:val="Style31"/>
        <w:keepNext w:val="0"/>
        <w:keepLines w:val="0"/>
        <w:widowControl w:val="0"/>
        <w:shd w:val="clear" w:color="auto" w:fill="auto"/>
        <w:tabs>
          <w:tab w:pos="859" w:val="left"/>
        </w:tabs>
        <w:bidi w:val="0"/>
        <w:spacing w:before="0" w:after="100" w:line="310" w:lineRule="exact"/>
        <w:ind w:left="0" w:right="0" w:firstLine="500"/>
        <w:jc w:val="both"/>
      </w:pPr>
      <w:bookmarkStart w:id="184" w:name="bookmark184"/>
      <w:r>
        <w:rPr>
          <w:rFonts w:ascii="Times New Roman" w:eastAsia="Times New Roman" w:hAnsi="Times New Roman" w:cs="Times New Roman"/>
          <w:color w:val="000000"/>
          <w:spacing w:val="0"/>
          <w:w w:val="100"/>
          <w:position w:val="0"/>
          <w:sz w:val="24"/>
          <w:szCs w:val="24"/>
        </w:rPr>
        <w:t>3</w:t>
      </w:r>
      <w:bookmarkEnd w:id="184"/>
      <w:r>
        <w:rPr>
          <w:color w:val="000000"/>
          <w:spacing w:val="0"/>
          <w:w w:val="100"/>
          <w:position w:val="0"/>
        </w:rPr>
        <w:t>）</w:t>
        <w:tab/>
        <w:t>特种集成电路业务，要抓住政策契机，打造互通平台。建造符合特种行业高可靠性要 求的产品测试线，把更多的通用产品改造成符合特种行业需要的产品，进一步丰富产品线， 扩大销售额。另外，针对客户对小型化、低功耗、高性能的新要求，继续全力推广</w:t>
      </w:r>
      <w:r>
        <w:rPr>
          <w:rFonts w:ascii="Times New Roman" w:eastAsia="Times New Roman" w:hAnsi="Times New Roman" w:cs="Times New Roman"/>
          <w:color w:val="000000"/>
          <w:spacing w:val="0"/>
          <w:w w:val="100"/>
          <w:position w:val="0"/>
          <w:sz w:val="24"/>
          <w:szCs w:val="24"/>
        </w:rPr>
        <w:t>SoPC</w:t>
      </w:r>
      <w:r>
        <w:rPr>
          <w:color w:val="000000"/>
          <w:spacing w:val="0"/>
          <w:w w:val="100"/>
          <w:position w:val="0"/>
        </w:rPr>
        <w:t xml:space="preserve">芯片、 </w:t>
      </w:r>
      <w:r>
        <w:rPr>
          <w:rFonts w:ascii="Times New Roman" w:eastAsia="Times New Roman" w:hAnsi="Times New Roman" w:cs="Times New Roman"/>
          <w:color w:val="000000"/>
          <w:spacing w:val="0"/>
          <w:w w:val="100"/>
          <w:position w:val="0"/>
          <w:sz w:val="24"/>
          <w:szCs w:val="24"/>
        </w:rPr>
        <w:t>SIP</w:t>
      </w:r>
      <w:r>
        <w:rPr>
          <w:color w:val="000000"/>
          <w:spacing w:val="0"/>
          <w:w w:val="100"/>
          <w:position w:val="0"/>
        </w:rPr>
        <w:t>模块和电源系列芯片。</w:t>
      </w:r>
    </w:p>
    <w:p>
      <w:pPr>
        <w:pStyle w:val="Style31"/>
        <w:keepNext w:val="0"/>
        <w:keepLines w:val="0"/>
        <w:widowControl w:val="0"/>
        <w:shd w:val="clear" w:color="auto" w:fill="auto"/>
        <w:bidi w:val="0"/>
        <w:spacing w:before="0" w:after="100" w:line="317" w:lineRule="exact"/>
        <w:ind w:left="0" w:right="0" w:firstLine="500"/>
        <w:jc w:val="both"/>
      </w:pPr>
      <w:bookmarkStart w:id="185" w:name="bookmark185"/>
      <w:r>
        <w:rPr>
          <w:rFonts w:ascii="Times New Roman" w:eastAsia="Times New Roman" w:hAnsi="Times New Roman" w:cs="Times New Roman"/>
          <w:color w:val="000000"/>
          <w:spacing w:val="0"/>
          <w:w w:val="100"/>
          <w:position w:val="0"/>
          <w:sz w:val="24"/>
          <w:szCs w:val="24"/>
        </w:rPr>
        <w:t>4</w:t>
      </w:r>
      <w:bookmarkEnd w:id="185"/>
      <w:r>
        <w:rPr>
          <w:color w:val="000000"/>
          <w:spacing w:val="0"/>
          <w:w w:val="100"/>
          <w:position w:val="0"/>
        </w:rPr>
        <w:t>） 紫光同创的可编程逻辑阵列芯片产品，已经初步完成了千万门规模的芯片设计，正在 研发更低成本更广用途的经济型门阵列芯片。现阶段的主要工作是努力实现技术突破，追赶 国际先进水平，并通过市场验证。</w:t>
      </w:r>
    </w:p>
    <w:p>
      <w:pPr>
        <w:pStyle w:val="Style31"/>
        <w:keepNext w:val="0"/>
        <w:keepLines w:val="0"/>
        <w:widowControl w:val="0"/>
        <w:shd w:val="clear" w:color="auto" w:fill="auto"/>
        <w:tabs>
          <w:tab w:pos="869" w:val="left"/>
        </w:tabs>
        <w:bidi w:val="0"/>
        <w:spacing w:before="0" w:after="100" w:line="346" w:lineRule="exact"/>
        <w:ind w:left="0" w:right="0" w:firstLine="500"/>
        <w:jc w:val="both"/>
      </w:pPr>
      <w:bookmarkStart w:id="186" w:name="bookmark186"/>
      <w:r>
        <w:rPr>
          <w:rFonts w:ascii="Times New Roman" w:eastAsia="Times New Roman" w:hAnsi="Times New Roman" w:cs="Times New Roman"/>
          <w:color w:val="000000"/>
          <w:spacing w:val="0"/>
          <w:w w:val="100"/>
          <w:position w:val="0"/>
          <w:sz w:val="24"/>
          <w:szCs w:val="24"/>
        </w:rPr>
        <w:t>5</w:t>
      </w:r>
      <w:bookmarkEnd w:id="186"/>
      <w:r>
        <w:rPr>
          <w:color w:val="000000"/>
          <w:spacing w:val="0"/>
          <w:w w:val="100"/>
          <w:position w:val="0"/>
        </w:rPr>
        <w:t>）</w:t>
        <w:tab/>
        <w:t>唐山国芯晶源成为独立的全资下属子公司后，将继续强化现有晶体业务的精细化管理, 在保持盈利能力的同时，不断研发新产品，寻找新的利润增长点。</w:t>
      </w:r>
    </w:p>
    <w:p>
      <w:pPr>
        <w:pStyle w:val="Style31"/>
        <w:keepNext w:val="0"/>
        <w:keepLines w:val="0"/>
        <w:widowControl w:val="0"/>
        <w:shd w:val="clear" w:color="auto" w:fill="auto"/>
        <w:bidi w:val="0"/>
        <w:spacing w:before="0" w:after="100" w:line="326" w:lineRule="exact"/>
        <w:ind w:left="0" w:right="0" w:firstLine="500"/>
        <w:jc w:val="both"/>
      </w:pPr>
      <w:bookmarkStart w:id="187" w:name="bookmark187"/>
      <w:r>
        <w:rPr>
          <w:rFonts w:ascii="Times New Roman" w:eastAsia="Times New Roman" w:hAnsi="Times New Roman" w:cs="Times New Roman"/>
          <w:color w:val="000000"/>
          <w:spacing w:val="0"/>
          <w:w w:val="100"/>
          <w:position w:val="0"/>
          <w:sz w:val="24"/>
          <w:szCs w:val="24"/>
        </w:rPr>
        <w:t>6</w:t>
      </w:r>
      <w:bookmarkEnd w:id="187"/>
      <w:r>
        <w:rPr>
          <w:color w:val="000000"/>
          <w:spacing w:val="0"/>
          <w:w w:val="100"/>
          <w:position w:val="0"/>
        </w:rPr>
        <w:t>） 全力推进公司重大资产重组，论证并完善重组方案，符合国资管理规范，遵守监管部 门的要求，最大限度的保护投资者利益，降低风险。</w:t>
      </w:r>
    </w:p>
    <w:p>
      <w:pPr>
        <w:pStyle w:val="Style31"/>
        <w:keepNext w:val="0"/>
        <w:keepLines w:val="0"/>
        <w:widowControl w:val="0"/>
        <w:shd w:val="clear" w:color="auto" w:fill="auto"/>
        <w:bidi w:val="0"/>
        <w:spacing w:before="0" w:after="300" w:line="317" w:lineRule="exact"/>
        <w:ind w:left="0" w:right="0" w:firstLine="500"/>
        <w:jc w:val="both"/>
      </w:pPr>
      <w:bookmarkStart w:id="188" w:name="bookmark188"/>
      <w:r>
        <w:rPr>
          <w:rFonts w:ascii="Times New Roman" w:eastAsia="Times New Roman" w:hAnsi="Times New Roman" w:cs="Times New Roman"/>
          <w:color w:val="000000"/>
          <w:spacing w:val="0"/>
          <w:w w:val="100"/>
          <w:position w:val="0"/>
          <w:sz w:val="24"/>
          <w:szCs w:val="24"/>
        </w:rPr>
        <w:t>7</w:t>
      </w:r>
      <w:bookmarkEnd w:id="188"/>
      <w:r>
        <w:rPr>
          <w:color w:val="000000"/>
          <w:spacing w:val="0"/>
          <w:w w:val="100"/>
          <w:position w:val="0"/>
        </w:rPr>
        <w:t>） 坚持“以人为本、以财为主、以法为纲”的理念，继续寻求机会推行员工激励计划， 扩大公司在行业中的品牌影响力，吸引更多优秀员工加盟；不断提高公司内部的经营考核制 度，建立绩效管理体系、统一财务流程、强化预算管理、不断提升内部经营效率，从而提高 公司在市场上的竞争力；建立符合监管要求和国资要求的管理制度，降低经营风险，建立符 合发展要求的下级公司激励与约束机制，引导下属公司健康可持续发展。</w:t>
      </w:r>
    </w:p>
    <w:p>
      <w:pPr>
        <w:pStyle w:val="Style23"/>
        <w:keepNext/>
        <w:keepLines/>
        <w:widowControl w:val="0"/>
        <w:shd w:val="clear" w:color="auto" w:fill="auto"/>
        <w:bidi w:val="0"/>
        <w:spacing w:before="0" w:after="360" w:line="317" w:lineRule="exact"/>
        <w:ind w:left="0" w:right="0" w:firstLine="0"/>
        <w:jc w:val="left"/>
      </w:pPr>
      <w:bookmarkStart w:id="189" w:name="bookmark189"/>
      <w:bookmarkStart w:id="190" w:name="bookmark190"/>
      <w:bookmarkStart w:id="191" w:name="bookmark191"/>
      <w:r>
        <w:rPr>
          <w:color w:val="000000"/>
          <w:spacing w:val="0"/>
          <w:w w:val="100"/>
          <w:position w:val="0"/>
        </w:rPr>
        <w:t>八、接待调研、沟通、采访等活动</w:t>
      </w:r>
      <w:bookmarkEnd w:id="189"/>
      <w:bookmarkEnd w:id="190"/>
      <w:bookmarkEnd w:id="191"/>
    </w:p>
    <w:p>
      <w:pPr>
        <w:pStyle w:val="Style28"/>
        <w:keepNext/>
        <w:keepLines/>
        <w:widowControl w:val="0"/>
        <w:shd w:val="clear" w:color="auto" w:fill="auto"/>
        <w:bidi w:val="0"/>
        <w:spacing w:before="0" w:after="30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1</w:t>
      </w:r>
      <w:bookmarkEnd w:id="194"/>
      <w:r>
        <w:rPr>
          <w:color w:val="000000"/>
          <w:spacing w:val="0"/>
          <w:w w:val="100"/>
          <w:position w:val="0"/>
        </w:rPr>
        <w:t>、报告期内接待调研、沟通、采访等活动登记表</w:t>
      </w:r>
      <w:bookmarkEnd w:id="192"/>
      <w:bookmarkEnd w:id="193"/>
      <w:bookmarkEnd w:id="195"/>
    </w:p>
    <w:p>
      <w:pPr>
        <w:pStyle w:val="Style31"/>
        <w:keepNext w:val="0"/>
        <w:keepLines w:val="0"/>
        <w:widowControl w:val="0"/>
        <w:shd w:val="clear" w:color="auto" w:fill="auto"/>
        <w:bidi w:val="0"/>
        <w:spacing w:before="0" w:after="100" w:line="317" w:lineRule="exact"/>
        <w:ind w:left="0" w:right="0" w:firstLine="500"/>
        <w:jc w:val="both"/>
        <w:sectPr>
          <w:footnotePr>
            <w:pos w:val="pageBottom"/>
            <w:numFmt w:val="decimal"/>
            <w:numRestart w:val="continuous"/>
          </w:footnotePr>
          <w:pgSz w:w="11900" w:h="16840"/>
          <w:pgMar w:top="1393" w:right="1005" w:bottom="1475" w:left="1080" w:header="0" w:footer="3" w:gutter="0"/>
          <w:cols w:space="720"/>
          <w:noEndnote/>
          <w:rtlGutter w:val="0"/>
          <w:docGrid w:linePitch="360"/>
        </w:sectPr>
      </w:pPr>
      <w:r>
        <w:rPr>
          <w:color w:val="000000"/>
          <w:spacing w:val="0"/>
          <w:w w:val="100"/>
          <w:position w:val="0"/>
        </w:rPr>
        <w:t>公司报告期内未发生接待调研、沟通、采访等活动。</w:t>
      </w:r>
    </w:p>
    <w:p>
      <w:pPr>
        <w:pStyle w:val="Style15"/>
        <w:keepNext/>
        <w:keepLines/>
        <w:widowControl w:val="0"/>
        <w:shd w:val="clear" w:color="auto" w:fill="auto"/>
        <w:bidi w:val="0"/>
        <w:spacing w:before="520" w:after="560" w:line="240" w:lineRule="auto"/>
        <w:ind w:left="0" w:right="0" w:firstLine="0"/>
        <w:jc w:val="center"/>
      </w:pPr>
      <w:bookmarkStart w:id="196" w:name="bookmark196"/>
      <w:bookmarkStart w:id="197" w:name="bookmark197"/>
      <w:bookmarkStart w:id="198" w:name="bookmark198"/>
      <w:r>
        <w:rPr>
          <w:color w:val="000000"/>
          <w:spacing w:val="0"/>
          <w:w w:val="100"/>
          <w:position w:val="0"/>
        </w:rPr>
        <w:t>第五节重要事项</w:t>
      </w:r>
      <w:bookmarkEnd w:id="196"/>
      <w:bookmarkEnd w:id="197"/>
      <w:bookmarkEnd w:id="198"/>
    </w:p>
    <w:p>
      <w:pPr>
        <w:pStyle w:val="Style23"/>
        <w:keepNext/>
        <w:keepLines/>
        <w:widowControl w:val="0"/>
        <w:shd w:val="clear" w:color="auto" w:fill="auto"/>
        <w:bidi w:val="0"/>
        <w:spacing w:before="0" w:after="360" w:line="240" w:lineRule="auto"/>
        <w:ind w:left="0" w:right="0" w:firstLine="0"/>
        <w:jc w:val="left"/>
      </w:pPr>
      <w:bookmarkStart w:id="199" w:name="bookmark199"/>
      <w:bookmarkStart w:id="200" w:name="bookmark200"/>
      <w:bookmarkStart w:id="201" w:name="bookmark201"/>
      <w:bookmarkStart w:id="202" w:name="bookmark202"/>
      <w:bookmarkStart w:id="203" w:name="bookmark203"/>
      <w:r>
        <w:rPr>
          <w:color w:val="000000"/>
          <w:spacing w:val="0"/>
          <w:w w:val="100"/>
          <w:position w:val="0"/>
        </w:rPr>
        <w:t>一</w:t>
      </w:r>
      <w:bookmarkEnd w:id="202"/>
      <w:r>
        <w:rPr>
          <w:color w:val="000000"/>
          <w:spacing w:val="0"/>
          <w:w w:val="100"/>
          <w:position w:val="0"/>
        </w:rPr>
        <w:t>、公司普通股利润分配及资本公积金转增股本情况</w:t>
      </w:r>
      <w:bookmarkEnd w:id="200"/>
      <w:bookmarkEnd w:id="201"/>
      <w:bookmarkEnd w:id="203"/>
      <w:bookmarkEnd w:id="199"/>
    </w:p>
    <w:p>
      <w:pPr>
        <w:pStyle w:val="Style23"/>
        <w:keepNext/>
        <w:keepLines/>
        <w:widowControl w:val="0"/>
        <w:shd w:val="clear" w:color="auto" w:fill="auto"/>
        <w:bidi w:val="0"/>
        <w:spacing w:before="0" w:after="160" w:line="240" w:lineRule="auto"/>
        <w:ind w:left="0" w:right="0" w:firstLine="0"/>
        <w:jc w:val="left"/>
      </w:pPr>
      <w:bookmarkStart w:id="200" w:name="bookmark200"/>
      <w:bookmarkStart w:id="201" w:name="bookmark201"/>
      <w:r>
        <w:rPr>
          <w:color w:val="000000"/>
          <w:spacing w:val="0"/>
          <w:w w:val="100"/>
          <w:position w:val="0"/>
        </w:rPr>
        <w:t>报告期内普通股利润分配政策，特别是现金分红政策的制定、执行或调整情况</w:t>
      </w:r>
      <w:bookmarkEnd w:id="200"/>
      <w:bookmarkEnd w:id="201"/>
    </w:p>
    <w:p>
      <w:pPr>
        <w:pStyle w:val="Style31"/>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报告期内，根据公司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 xml:space="preserve">年度股东大会决议，实施了 </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年度利润分配方案。</w:t>
      </w:r>
    </w:p>
    <w:p>
      <w:pPr>
        <w:pStyle w:val="Style31"/>
        <w:keepNext w:val="0"/>
        <w:keepLines w:val="0"/>
        <w:widowControl w:val="0"/>
        <w:shd w:val="clear" w:color="auto" w:fill="auto"/>
        <w:bidi w:val="0"/>
        <w:spacing w:before="0" w:after="100" w:line="314" w:lineRule="exact"/>
        <w:ind w:left="0" w:right="0" w:firstLine="460"/>
        <w:jc w:val="left"/>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日，公司召开</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年度股东大会，审议通过了公司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年度利润分配方案。 具体方案为：以公司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年末总股本</w:t>
      </w:r>
      <w:r>
        <w:rPr>
          <w:rFonts w:ascii="Times New Roman" w:eastAsia="Times New Roman" w:hAnsi="Times New Roman" w:cs="Times New Roman"/>
          <w:color w:val="000000"/>
          <w:spacing w:val="0"/>
          <w:w w:val="100"/>
          <w:position w:val="0"/>
          <w:sz w:val="24"/>
          <w:szCs w:val="24"/>
        </w:rPr>
        <w:t>606,817,968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.56</w:t>
      </w:r>
      <w:r>
        <w:rPr>
          <w:color w:val="000000"/>
          <w:spacing w:val="0"/>
          <w:w w:val="100"/>
          <w:position w:val="0"/>
        </w:rPr>
        <w:t>元人民 币现金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含税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。该利润分配方案已于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日实施完毕。</w:t>
      </w:r>
    </w:p>
    <w:tbl>
      <w:tblPr>
        <w:tblOverlap w:val="never"/>
        <w:jc w:val="center"/>
        <w:tblLayout w:type="fixed"/>
      </w:tblPr>
      <w:tblGrid>
        <w:gridCol w:w="6101"/>
        <w:gridCol w:w="348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中小股东是否有充分表达意见和诉求的机会，其合法权益是否得到 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不适用</w:t>
            </w:r>
          </w:p>
        </w:tc>
      </w:tr>
    </w:tbl>
    <w:p>
      <w:pPr>
        <w:widowControl w:val="0"/>
        <w:spacing w:after="99" w:line="1" w:lineRule="exact"/>
      </w:pPr>
    </w:p>
    <w:p>
      <w:pPr>
        <w:pStyle w:val="Style31"/>
        <w:keepNext w:val="0"/>
        <w:keepLines w:val="0"/>
        <w:widowControl w:val="0"/>
        <w:shd w:val="clear" w:color="auto" w:fill="auto"/>
        <w:bidi w:val="0"/>
        <w:spacing w:before="0" w:after="100" w:line="326" w:lineRule="exact"/>
        <w:ind w:left="0" w:right="0" w:firstLine="0"/>
        <w:jc w:val="left"/>
      </w:pPr>
      <w:r>
        <w:rPr>
          <w:b/>
          <w:bCs/>
          <w:color w:val="000000"/>
          <w:spacing w:val="0"/>
          <w:w w:val="100"/>
          <w:position w:val="0"/>
        </w:rPr>
        <w:t>公司近</w:t>
      </w:r>
      <w:r>
        <w:rPr>
          <w:rFonts w:ascii="Arial" w:eastAsia="Arial" w:hAnsi="Arial" w:cs="Arial"/>
          <w:color w:val="000000"/>
          <w:spacing w:val="0"/>
          <w:w w:val="100"/>
          <w:position w:val="0"/>
        </w:rPr>
        <w:t>3</w:t>
      </w:r>
      <w:r>
        <w:rPr>
          <w:b/>
          <w:bCs/>
          <w:color w:val="000000"/>
          <w:spacing w:val="0"/>
          <w:w w:val="100"/>
          <w:position w:val="0"/>
        </w:rPr>
        <w:t>年（包括本报告期）的普通股股利分配方案（预案）、资本公积金转增股本方案（预 案）情况</w:t>
      </w:r>
    </w:p>
    <w:p>
      <w:pPr>
        <w:pStyle w:val="Style31"/>
        <w:keepNext w:val="0"/>
        <w:keepLines w:val="0"/>
        <w:widowControl w:val="0"/>
        <w:shd w:val="clear" w:color="auto" w:fill="auto"/>
        <w:tabs>
          <w:tab w:pos="818" w:val="left"/>
        </w:tabs>
        <w:bidi w:val="0"/>
        <w:spacing w:before="0" w:after="100" w:line="322" w:lineRule="exact"/>
        <w:ind w:left="0" w:right="0" w:firstLine="440"/>
        <w:jc w:val="both"/>
      </w:pPr>
      <w:bookmarkStart w:id="204" w:name="bookmark204"/>
      <w:r>
        <w:rPr>
          <w:rFonts w:ascii="Times New Roman" w:eastAsia="Times New Roman" w:hAnsi="Times New Roman" w:cs="Times New Roman"/>
          <w:color w:val="000000"/>
          <w:spacing w:val="0"/>
          <w:w w:val="100"/>
          <w:position w:val="0"/>
          <w:sz w:val="24"/>
          <w:szCs w:val="24"/>
        </w:rPr>
        <w:t>1</w:t>
      </w:r>
      <w:bookmarkEnd w:id="204"/>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年度利润分配预案</w:t>
      </w:r>
    </w:p>
    <w:p>
      <w:pPr>
        <w:pStyle w:val="Style31"/>
        <w:keepNext w:val="0"/>
        <w:keepLines w:val="0"/>
        <w:widowControl w:val="0"/>
        <w:shd w:val="clear" w:color="auto" w:fill="auto"/>
        <w:bidi w:val="0"/>
        <w:spacing w:before="0" w:after="100" w:line="322" w:lineRule="exact"/>
        <w:ind w:left="0" w:right="0" w:firstLine="460"/>
        <w:jc w:val="left"/>
      </w:pPr>
      <w:r>
        <w:rPr>
          <w:color w:val="000000"/>
          <w:spacing w:val="0"/>
          <w:w w:val="100"/>
          <w:position w:val="0"/>
        </w:rPr>
        <w:t>以公司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年末总股本</w:t>
      </w:r>
      <w:r>
        <w:rPr>
          <w:rFonts w:ascii="Times New Roman" w:eastAsia="Times New Roman" w:hAnsi="Times New Roman" w:cs="Times New Roman"/>
          <w:color w:val="000000"/>
          <w:spacing w:val="0"/>
          <w:w w:val="100"/>
          <w:position w:val="0"/>
          <w:sz w:val="24"/>
          <w:szCs w:val="24"/>
        </w:rPr>
        <w:t>606,817,968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.56</w:t>
      </w:r>
      <w:r>
        <w:rPr>
          <w:color w:val="000000"/>
          <w:spacing w:val="0"/>
          <w:w w:val="100"/>
          <w:position w:val="0"/>
        </w:rPr>
        <w:t>元（含 税），共计派发现金</w:t>
      </w:r>
      <w:r>
        <w:rPr>
          <w:rFonts w:ascii="Times New Roman" w:eastAsia="Times New Roman" w:hAnsi="Times New Roman" w:cs="Times New Roman"/>
          <w:color w:val="000000"/>
          <w:spacing w:val="0"/>
          <w:w w:val="100"/>
          <w:position w:val="0"/>
          <w:sz w:val="24"/>
          <w:szCs w:val="24"/>
        </w:rPr>
        <w:t>33,981,806.21</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年度，公司不送红股，不实施资本公积金转增股 本方案。</w:t>
      </w:r>
    </w:p>
    <w:p>
      <w:pPr>
        <w:pStyle w:val="Style31"/>
        <w:keepNext w:val="0"/>
        <w:keepLines w:val="0"/>
        <w:widowControl w:val="0"/>
        <w:shd w:val="clear" w:color="auto" w:fill="auto"/>
        <w:tabs>
          <w:tab w:pos="862" w:val="left"/>
        </w:tabs>
        <w:bidi w:val="0"/>
        <w:spacing w:before="0" w:after="100" w:line="322" w:lineRule="exact"/>
        <w:ind w:left="0" w:right="0" w:firstLine="460"/>
        <w:jc w:val="left"/>
      </w:pPr>
      <w:bookmarkStart w:id="205" w:name="bookmark205"/>
      <w:r>
        <w:rPr>
          <w:rFonts w:ascii="Times New Roman" w:eastAsia="Times New Roman" w:hAnsi="Times New Roman" w:cs="Times New Roman"/>
          <w:color w:val="000000"/>
          <w:spacing w:val="0"/>
          <w:w w:val="100"/>
          <w:position w:val="0"/>
          <w:sz w:val="24"/>
          <w:szCs w:val="24"/>
        </w:rPr>
        <w:t>2</w:t>
      </w:r>
      <w:bookmarkEnd w:id="205"/>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年度利润分配方案</w:t>
      </w:r>
    </w:p>
    <w:p>
      <w:pPr>
        <w:pStyle w:val="Style31"/>
        <w:keepNext w:val="0"/>
        <w:keepLines w:val="0"/>
        <w:widowControl w:val="0"/>
        <w:shd w:val="clear" w:color="auto" w:fill="auto"/>
        <w:bidi w:val="0"/>
        <w:spacing w:before="0" w:after="100" w:line="322" w:lineRule="exact"/>
        <w:ind w:left="0" w:right="0" w:firstLine="460"/>
        <w:jc w:val="both"/>
      </w:pPr>
      <w:r>
        <w:rPr>
          <w:color w:val="000000"/>
          <w:spacing w:val="0"/>
          <w:w w:val="100"/>
          <w:position w:val="0"/>
        </w:rPr>
        <w:t>以公司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年末总股本</w:t>
      </w:r>
      <w:r>
        <w:rPr>
          <w:rFonts w:ascii="Times New Roman" w:eastAsia="Times New Roman" w:hAnsi="Times New Roman" w:cs="Times New Roman"/>
          <w:color w:val="000000"/>
          <w:spacing w:val="0"/>
          <w:w w:val="100"/>
          <w:position w:val="0"/>
          <w:sz w:val="24"/>
          <w:szCs w:val="24"/>
        </w:rPr>
        <w:t>606,817,968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.56</w:t>
      </w:r>
      <w:r>
        <w:rPr>
          <w:color w:val="000000"/>
          <w:spacing w:val="0"/>
          <w:w w:val="100"/>
          <w:position w:val="0"/>
        </w:rPr>
        <w:t>元（含 税）</w:t>
      </w:r>
      <w:r>
        <w:rPr>
          <w:i/>
          <w:iCs/>
          <w:color w:val="000000"/>
          <w:spacing w:val="0"/>
          <w:w w:val="100"/>
          <w:position w:val="0"/>
        </w:rPr>
        <w:t>，</w:t>
      </w:r>
      <w:r>
        <w:rPr>
          <w:color w:val="000000"/>
          <w:spacing w:val="0"/>
          <w:w w:val="100"/>
          <w:position w:val="0"/>
        </w:rPr>
        <w:t>共计派发现金</w:t>
      </w:r>
      <w:r>
        <w:rPr>
          <w:rFonts w:ascii="Times New Roman" w:eastAsia="Times New Roman" w:hAnsi="Times New Roman" w:cs="Times New Roman"/>
          <w:color w:val="000000"/>
          <w:spacing w:val="0"/>
          <w:w w:val="100"/>
          <w:position w:val="0"/>
          <w:sz w:val="24"/>
          <w:szCs w:val="24"/>
        </w:rPr>
        <w:t>33,981,806.21</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年度，公司不送红股，不实施资本公积金转增股 本方案。</w:t>
      </w:r>
    </w:p>
    <w:p>
      <w:pPr>
        <w:pStyle w:val="Style31"/>
        <w:keepNext w:val="0"/>
        <w:keepLines w:val="0"/>
        <w:widowControl w:val="0"/>
        <w:shd w:val="clear" w:color="auto" w:fill="auto"/>
        <w:tabs>
          <w:tab w:pos="862" w:val="left"/>
        </w:tabs>
        <w:bidi w:val="0"/>
        <w:spacing w:before="0" w:after="100" w:line="322" w:lineRule="exact"/>
        <w:ind w:left="0" w:right="0" w:firstLine="460"/>
        <w:jc w:val="both"/>
      </w:pPr>
      <w:bookmarkStart w:id="206" w:name="bookmark206"/>
      <w:r>
        <w:rPr>
          <w:rFonts w:ascii="Times New Roman" w:eastAsia="Times New Roman" w:hAnsi="Times New Roman" w:cs="Times New Roman"/>
          <w:color w:val="000000"/>
          <w:spacing w:val="0"/>
          <w:w w:val="100"/>
          <w:position w:val="0"/>
          <w:sz w:val="24"/>
          <w:szCs w:val="24"/>
        </w:rPr>
        <w:t>3</w:t>
      </w:r>
      <w:bookmarkEnd w:id="206"/>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年度利润分配方案</w:t>
      </w:r>
    </w:p>
    <w:p>
      <w:pPr>
        <w:pStyle w:val="Style31"/>
        <w:keepNext w:val="0"/>
        <w:keepLines w:val="0"/>
        <w:widowControl w:val="0"/>
        <w:shd w:val="clear" w:color="auto" w:fill="auto"/>
        <w:bidi w:val="0"/>
        <w:spacing w:before="0" w:after="100" w:line="317" w:lineRule="exact"/>
        <w:ind w:left="0" w:right="0" w:firstLine="460"/>
        <w:jc w:val="both"/>
      </w:pPr>
      <w:r>
        <w:rPr>
          <w:color w:val="000000"/>
          <w:spacing w:val="0"/>
          <w:w w:val="100"/>
          <w:position w:val="0"/>
        </w:rPr>
        <w:t>以公司</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年末总股本</w:t>
      </w:r>
      <w:r>
        <w:rPr>
          <w:rFonts w:ascii="Times New Roman" w:eastAsia="Times New Roman" w:hAnsi="Times New Roman" w:cs="Times New Roman"/>
          <w:color w:val="000000"/>
          <w:spacing w:val="0"/>
          <w:w w:val="100"/>
          <w:position w:val="0"/>
          <w:sz w:val="24"/>
          <w:szCs w:val="24"/>
        </w:rPr>
        <w:t>606,817,968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.00</w:t>
      </w:r>
      <w:r>
        <w:rPr>
          <w:color w:val="000000"/>
          <w:spacing w:val="0"/>
          <w:w w:val="100"/>
          <w:position w:val="0"/>
        </w:rPr>
        <w:t>元（含 税），共计派发现金</w:t>
      </w:r>
      <w:r>
        <w:rPr>
          <w:rFonts w:ascii="Times New Roman" w:eastAsia="Times New Roman" w:hAnsi="Times New Roman" w:cs="Times New Roman"/>
          <w:color w:val="000000"/>
          <w:spacing w:val="0"/>
          <w:w w:val="100"/>
          <w:position w:val="0"/>
          <w:sz w:val="24"/>
          <w:szCs w:val="24"/>
        </w:rPr>
        <w:t>60,681,796.80</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年度，公司不实施资本公积金转增股本方案。</w:t>
      </w:r>
    </w:p>
    <w:p>
      <w:pPr>
        <w:pStyle w:val="Style31"/>
        <w:keepNext w:val="0"/>
        <w:keepLines w:val="0"/>
        <w:widowControl w:val="0"/>
        <w:shd w:val="clear" w:color="auto" w:fill="auto"/>
        <w:bidi w:val="0"/>
        <w:spacing w:before="0" w:after="220" w:line="322" w:lineRule="exact"/>
        <w:ind w:left="0" w:right="0" w:firstLine="0"/>
        <w:jc w:val="left"/>
      </w:pPr>
      <w:r>
        <w:rPr>
          <w:b/>
          <w:bCs/>
          <w:color w:val="000000"/>
          <w:spacing w:val="0"/>
          <w:w w:val="100"/>
          <w:position w:val="0"/>
        </w:rPr>
        <w:t>公司近三年（包括本报告期）普通股现金分红情况表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675"/>
        <w:gridCol w:w="1997"/>
        <w:gridCol w:w="1987"/>
        <w:gridCol w:w="989"/>
        <w:gridCol w:w="1003"/>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分红年度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rPr>
                <w:sz w:val="20"/>
                <w:szCs w:val="20"/>
              </w:rPr>
            </w:pPr>
            <w:r>
              <w:rPr>
                <w:color w:val="000000"/>
                <w:spacing w:val="0"/>
                <w:w w:val="100"/>
                <w:position w:val="0"/>
                <w:sz w:val="20"/>
                <w:szCs w:val="20"/>
              </w:rPr>
              <w:t>现金分红金额</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（含税）</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分红年度合并报表中 归属于上市公司普通 股股东的净利润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占合并报表中归属于 上市公司普通股股东 的净利润的比率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以其他方 式现金分 红的金额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以其他方 式现金分 红的比例</w:t>
            </w:r>
          </w:p>
        </w:tc>
      </w:tr>
    </w:tbl>
    <w:p>
      <w:pPr>
        <w:spacing w:lineRule="exact" w:line="1"/>
        <w:rPr>
          <w:sz w:val="2"/>
          <w:szCs w:val="2"/>
        </w:rPr>
      </w:pPr>
      <w:r>
        <w:br w:type="page"/>
      </w:r>
    </w:p>
    <w:tbl>
      <w:tblPr>
        <w:tblOverlap w:val="never"/>
        <w:jc w:val="center"/>
        <w:tblLayout w:type="fixed"/>
      </w:tblPr>
      <w:tblGrid>
        <w:gridCol w:w="1987"/>
        <w:gridCol w:w="1704"/>
        <w:gridCol w:w="1982"/>
        <w:gridCol w:w="1987"/>
        <w:gridCol w:w="989"/>
        <w:gridCol w:w="10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33,981,806.21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336,106,379.14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33,981,806.21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335,480,068.17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2014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60,681,796.80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304,356,692.84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0.00%</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rPr>
        <w:t>二</w:t>
      </w:r>
      <w:bookmarkEnd w:id="209"/>
      <w:r>
        <w:rPr>
          <w:color w:val="000000"/>
          <w:spacing w:val="0"/>
          <w:w w:val="100"/>
          <w:position w:val="0"/>
        </w:rPr>
        <w:t>、本报告期利润分配及资本公积金转增股本预案</w:t>
      </w:r>
      <w:bookmarkEnd w:id="207"/>
      <w:bookmarkEnd w:id="208"/>
      <w:bookmarkEnd w:id="210"/>
    </w:p>
    <w:tbl>
      <w:tblPr>
        <w:tblOverlap w:val="never"/>
        <w:jc w:val="center"/>
        <w:tblLayout w:type="fixed"/>
      </w:tblPr>
      <w:tblGrid>
        <w:gridCol w:w="3802"/>
        <w:gridCol w:w="5779"/>
      </w:tblGrid>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0.56</w:t>
            </w:r>
          </w:p>
        </w:tc>
      </w:tr>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606,817,968</w:t>
            </w:r>
          </w:p>
        </w:tc>
      </w:tr>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33,981,806.21</w:t>
            </w:r>
          </w:p>
        </w:tc>
      </w:tr>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1,875,482,015.59</w:t>
            </w:r>
          </w:p>
        </w:tc>
      </w:tr>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432"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本次现金分红情况</w:t>
            </w:r>
          </w:p>
        </w:tc>
      </w:tr>
      <w:tr>
        <w:trPr>
          <w:trHeight w:val="437"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432"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利润分配或资本公积金转增预案的详细情况说明</w:t>
            </w:r>
          </w:p>
        </w:tc>
      </w:tr>
      <w:tr>
        <w:trPr>
          <w:trHeight w:val="2866" w:hRule="exact"/>
        </w:trPr>
        <w:tc>
          <w:tcPr>
            <w:gridSpan w:val="2"/>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440"/>
              <w:jc w:val="left"/>
              <w:rPr>
                <w:sz w:val="20"/>
                <w:szCs w:val="20"/>
              </w:rPr>
            </w:pPr>
            <w:r>
              <w:rPr>
                <w:color w:val="000000"/>
                <w:spacing w:val="0"/>
                <w:w w:val="100"/>
                <w:position w:val="0"/>
                <w:sz w:val="20"/>
                <w:szCs w:val="20"/>
              </w:rPr>
              <w:t>经北京兴华会计师事务所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特殊普通合伙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出具的（</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）京会兴审字第</w:t>
            </w:r>
            <w:r>
              <w:rPr>
                <w:rFonts w:ascii="Times New Roman" w:eastAsia="Times New Roman" w:hAnsi="Times New Roman" w:cs="Times New Roman"/>
                <w:color w:val="000000"/>
                <w:spacing w:val="0"/>
                <w:w w:val="100"/>
                <w:position w:val="0"/>
                <w:sz w:val="20"/>
                <w:szCs w:val="20"/>
              </w:rPr>
              <w:t>0101M0003</w:t>
            </w:r>
            <w:r>
              <w:rPr>
                <w:color w:val="000000"/>
                <w:spacing w:val="0"/>
                <w:w w:val="100"/>
                <w:position w:val="0"/>
                <w:sz w:val="20"/>
                <w:szCs w:val="20"/>
              </w:rPr>
              <w:t>号审计报告确认， 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年实现归属于母公司所有者的净利润</w:t>
            </w:r>
            <w:r>
              <w:rPr>
                <w:rFonts w:ascii="Times New Roman" w:eastAsia="Times New Roman" w:hAnsi="Times New Roman" w:cs="Times New Roman"/>
                <w:color w:val="000000"/>
                <w:spacing w:val="0"/>
                <w:w w:val="100"/>
                <w:position w:val="0"/>
                <w:sz w:val="20"/>
                <w:szCs w:val="20"/>
              </w:rPr>
              <w:t>336,106,379.14</w:t>
            </w:r>
            <w:r>
              <w:rPr>
                <w:color w:val="000000"/>
                <w:spacing w:val="0"/>
                <w:w w:val="100"/>
                <w:position w:val="0"/>
                <w:sz w:val="20"/>
                <w:szCs w:val="20"/>
              </w:rPr>
              <w:t>元，根据《公司章程》的有关规定，按母 公司净利润的</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提取法定盈余公积金</w:t>
            </w:r>
            <w:r>
              <w:rPr>
                <w:rFonts w:ascii="Times New Roman" w:eastAsia="Times New Roman" w:hAnsi="Times New Roman" w:cs="Times New Roman"/>
                <w:color w:val="000000"/>
                <w:spacing w:val="0"/>
                <w:w w:val="100"/>
                <w:position w:val="0"/>
                <w:sz w:val="20"/>
                <w:szCs w:val="20"/>
              </w:rPr>
              <w:t>12,953,227.45</w:t>
            </w:r>
            <w:r>
              <w:rPr>
                <w:color w:val="000000"/>
                <w:spacing w:val="0"/>
                <w:w w:val="100"/>
                <w:position w:val="0"/>
                <w:sz w:val="20"/>
                <w:szCs w:val="20"/>
              </w:rPr>
              <w:t>元，加上年初未分配利润</w:t>
            </w:r>
            <w:r>
              <w:rPr>
                <w:rFonts w:ascii="Times New Roman" w:eastAsia="Times New Roman" w:hAnsi="Times New Roman" w:cs="Times New Roman"/>
                <w:color w:val="000000"/>
                <w:spacing w:val="0"/>
                <w:w w:val="100"/>
                <w:position w:val="0"/>
                <w:sz w:val="20"/>
                <w:szCs w:val="20"/>
              </w:rPr>
              <w:t>1,586,310,670.11</w:t>
            </w:r>
            <w:r>
              <w:rPr>
                <w:color w:val="000000"/>
                <w:spacing w:val="0"/>
                <w:w w:val="100"/>
                <w:position w:val="0"/>
                <w:sz w:val="20"/>
                <w:szCs w:val="20"/>
              </w:rPr>
              <w:t>元，减 去年中已分配股利</w:t>
            </w:r>
            <w:r>
              <w:rPr>
                <w:rFonts w:ascii="Times New Roman" w:eastAsia="Times New Roman" w:hAnsi="Times New Roman" w:cs="Times New Roman"/>
                <w:color w:val="000000"/>
                <w:spacing w:val="0"/>
                <w:w w:val="100"/>
                <w:position w:val="0"/>
                <w:sz w:val="20"/>
                <w:szCs w:val="20"/>
              </w:rPr>
              <w:t>33,981,806.21</w:t>
            </w:r>
            <w:r>
              <w:rPr>
                <w:color w:val="000000"/>
                <w:spacing w:val="0"/>
                <w:w w:val="100"/>
                <w:position w:val="0"/>
                <w:sz w:val="20"/>
                <w:szCs w:val="20"/>
              </w:rPr>
              <w:t>元，截止</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日，公司可供股东分配的利润为</w:t>
            </w:r>
            <w:r>
              <w:rPr>
                <w:rFonts w:ascii="Times New Roman" w:eastAsia="Times New Roman" w:hAnsi="Times New Roman" w:cs="Times New Roman"/>
                <w:color w:val="000000"/>
                <w:spacing w:val="0"/>
                <w:w w:val="100"/>
                <w:position w:val="0"/>
                <w:sz w:val="20"/>
                <w:szCs w:val="20"/>
              </w:rPr>
              <w:t xml:space="preserve">1,875,482,015.59 </w:t>
            </w:r>
            <w:r>
              <w:rPr>
                <w:color w:val="000000"/>
                <w:spacing w:val="0"/>
                <w:w w:val="100"/>
                <w:position w:val="0"/>
                <w:sz w:val="20"/>
                <w:szCs w:val="20"/>
              </w:rPr>
              <w:t>/元。</w:t>
            </w:r>
          </w:p>
          <w:p>
            <w:pPr>
              <w:pStyle w:val="Style2"/>
              <w:keepNext w:val="0"/>
              <w:keepLines w:val="0"/>
              <w:widowControl w:val="0"/>
              <w:shd w:val="clear" w:color="auto" w:fill="auto"/>
              <w:bidi w:val="0"/>
              <w:spacing w:before="0" w:after="0" w:line="277" w:lineRule="exact"/>
              <w:ind w:left="0" w:right="0" w:firstLine="440"/>
              <w:jc w:val="left"/>
              <w:rPr>
                <w:sz w:val="20"/>
                <w:szCs w:val="20"/>
              </w:rPr>
            </w:pPr>
            <w:r>
              <w:rPr>
                <w:color w:val="000000"/>
                <w:spacing w:val="0"/>
                <w:w w:val="100"/>
                <w:position w:val="0"/>
                <w:sz w:val="20"/>
                <w:szCs w:val="20"/>
              </w:rPr>
              <w:t>根据公司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年盈利状况，在兼顾公司长远发展和股东即期回报的原则下，公司董事会提出</w:t>
            </w: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年度利润分配预案：以公司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年末总股本</w:t>
            </w:r>
            <w:r>
              <w:rPr>
                <w:rFonts w:ascii="Times New Roman" w:eastAsia="Times New Roman" w:hAnsi="Times New Roman" w:cs="Times New Roman"/>
                <w:color w:val="000000"/>
                <w:spacing w:val="0"/>
                <w:w w:val="100"/>
                <w:position w:val="0"/>
                <w:sz w:val="20"/>
                <w:szCs w:val="20"/>
              </w:rPr>
              <w:t>606,817,968</w:t>
            </w:r>
            <w:r>
              <w:rPr>
                <w:color w:val="000000"/>
                <w:spacing w:val="0"/>
                <w:w w:val="100"/>
                <w:position w:val="0"/>
                <w:sz w:val="20"/>
                <w:szCs w:val="20"/>
              </w:rPr>
              <w:t>股为基数，向全体股东每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股派发现金红利</w:t>
            </w:r>
            <w:r>
              <w:rPr>
                <w:rFonts w:ascii="Times New Roman" w:eastAsia="Times New Roman" w:hAnsi="Times New Roman" w:cs="Times New Roman"/>
                <w:color w:val="000000"/>
                <w:spacing w:val="0"/>
                <w:w w:val="100"/>
                <w:position w:val="0"/>
                <w:sz w:val="20"/>
                <w:szCs w:val="20"/>
              </w:rPr>
              <w:t xml:space="preserve">0.56 </w:t>
            </w:r>
            <w:r>
              <w:rPr>
                <w:color w:val="000000"/>
                <w:spacing w:val="0"/>
                <w:w w:val="100"/>
                <w:position w:val="0"/>
                <w:sz w:val="20"/>
                <w:szCs w:val="20"/>
              </w:rPr>
              <w:t>元（含税），共计派发现金</w:t>
            </w:r>
            <w:r>
              <w:rPr>
                <w:rFonts w:ascii="Times New Roman" w:eastAsia="Times New Roman" w:hAnsi="Times New Roman" w:cs="Times New Roman"/>
                <w:color w:val="000000"/>
                <w:spacing w:val="0"/>
                <w:w w:val="100"/>
                <w:position w:val="0"/>
                <w:sz w:val="20"/>
                <w:szCs w:val="20"/>
              </w:rPr>
              <w:t>33,981,806.21</w:t>
            </w:r>
            <w:r>
              <w:rPr>
                <w:color w:val="000000"/>
                <w:spacing w:val="0"/>
                <w:w w:val="100"/>
                <w:position w:val="0"/>
                <w:sz w:val="20"/>
                <w:szCs w:val="20"/>
              </w:rPr>
              <w:t>元，剩余未分配利润结转至下一年度。</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年度，公司不送红 股，不实施资本公积金转增股本方案。</w:t>
            </w:r>
          </w:p>
          <w:p>
            <w:pPr>
              <w:pStyle w:val="Style2"/>
              <w:keepNext w:val="0"/>
              <w:keepLines w:val="0"/>
              <w:widowControl w:val="0"/>
              <w:shd w:val="clear" w:color="auto" w:fill="auto"/>
              <w:bidi w:val="0"/>
              <w:spacing w:before="0" w:after="0" w:line="275" w:lineRule="exact"/>
              <w:ind w:left="0" w:right="0" w:firstLine="440"/>
              <w:jc w:val="both"/>
              <w:rPr>
                <w:sz w:val="20"/>
                <w:szCs w:val="20"/>
              </w:rPr>
            </w:pPr>
            <w:r>
              <w:rPr>
                <w:color w:val="000000"/>
                <w:spacing w:val="0"/>
                <w:w w:val="100"/>
                <w:position w:val="0"/>
                <w:sz w:val="20"/>
                <w:szCs w:val="20"/>
              </w:rPr>
              <w:t>上述利润分配预案的拟定符合《公司法》、《证券法》、《公司章程》等相关规定。</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三</w:t>
      </w:r>
      <w:bookmarkEnd w:id="213"/>
      <w:r>
        <w:rPr>
          <w:color w:val="000000"/>
          <w:spacing w:val="0"/>
          <w:w w:val="100"/>
          <w:position w:val="0"/>
        </w:rPr>
        <w:t>、承诺事项履行情况</w:t>
      </w:r>
      <w:bookmarkEnd w:id="211"/>
      <w:bookmarkEnd w:id="212"/>
      <w:bookmarkEnd w:id="214"/>
    </w:p>
    <w:p>
      <w:pPr>
        <w:pStyle w:val="Style28"/>
        <w:keepNext/>
        <w:keepLines/>
        <w:widowControl w:val="0"/>
        <w:shd w:val="clear" w:color="auto" w:fill="auto"/>
        <w:bidi w:val="0"/>
        <w:spacing w:before="0" w:after="320" w:line="317" w:lineRule="exact"/>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1</w:t>
      </w:r>
      <w:bookmarkEnd w:id="217"/>
      <w:r>
        <w:rPr>
          <w:color w:val="000000"/>
          <w:spacing w:val="0"/>
          <w:w w:val="100"/>
          <w:position w:val="0"/>
        </w:rPr>
        <w:t>、公司实际控制人、股东、关联方、收购人以及公司等承诺相关方在报告期内履行完毕及截至报告期末 尚未履行完毕的承诺事项</w:t>
      </w:r>
      <w:bookmarkEnd w:id="215"/>
      <w:bookmarkEnd w:id="216"/>
      <w:bookmarkEnd w:id="218"/>
    </w:p>
    <w:tbl>
      <w:tblPr>
        <w:tblOverlap w:val="never"/>
        <w:jc w:val="center"/>
        <w:tblLayout w:type="fixed"/>
      </w:tblPr>
      <w:tblGrid>
        <w:gridCol w:w="1560"/>
        <w:gridCol w:w="2131"/>
        <w:gridCol w:w="1416"/>
        <w:gridCol w:w="1560"/>
        <w:gridCol w:w="994"/>
        <w:gridCol w:w="989"/>
        <w:gridCol w:w="931"/>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履行情况</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收购报告书或权益 变动报告书中所作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清华控股有限公司、同方股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关于同业竞争、关 联交易、资金占用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rPr>
                <w:sz w:val="16"/>
                <w:szCs w:val="16"/>
              </w:rPr>
            </w:pPr>
            <w:r>
              <w:rPr>
                <w:color w:val="000000"/>
                <w:spacing w:val="0"/>
                <w:w w:val="100"/>
                <w:position w:val="0"/>
                <w:sz w:val="16"/>
                <w:szCs w:val="16"/>
              </w:rPr>
              <w:t>避免同业竞争的承 诺；规范关联交易 的承诺；保持公司 独立性的承诺。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严格遵守 承诺</w:t>
            </w:r>
          </w:p>
        </w:tc>
      </w:tr>
      <w:tr>
        <w:trPr>
          <w:trHeight w:val="103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紫光集团有限公司、西藏紫 光春华投资有限公司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关于同业竞争、关 联交易、资金占用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left"/>
              <w:rPr>
                <w:sz w:val="16"/>
                <w:szCs w:val="16"/>
              </w:rPr>
            </w:pPr>
            <w:r>
              <w:rPr>
                <w:color w:val="000000"/>
                <w:spacing w:val="0"/>
                <w:w w:val="100"/>
                <w:position w:val="0"/>
                <w:sz w:val="16"/>
                <w:szCs w:val="16"/>
              </w:rPr>
              <w:t>避免同业竞争的承 诺；规范关联交易 的承诺；保持公司 独立性的承诺。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严格遵守 承诺</w:t>
            </w:r>
          </w:p>
        </w:tc>
      </w:tr>
    </w:tbl>
    <w:tbl>
      <w:tblPr>
        <w:tblOverlap w:val="never"/>
        <w:jc w:val="center"/>
        <w:tblLayout w:type="fixed"/>
      </w:tblPr>
      <w:tblGrid>
        <w:gridCol w:w="1565"/>
        <w:gridCol w:w="2126"/>
        <w:gridCol w:w="1416"/>
        <w:gridCol w:w="1560"/>
        <w:gridCol w:w="994"/>
        <w:gridCol w:w="989"/>
        <w:gridCol w:w="931"/>
      </w:tblGrid>
      <w:tr>
        <w:trPr>
          <w:trHeight w:val="12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资产重组时所作承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4" w:lineRule="exact"/>
              <w:ind w:left="0" w:right="0" w:firstLine="0"/>
              <w:jc w:val="left"/>
              <w:rPr>
                <w:sz w:val="16"/>
                <w:szCs w:val="16"/>
              </w:rPr>
            </w:pPr>
            <w:r>
              <w:rPr>
                <w:color w:val="000000"/>
                <w:spacing w:val="0"/>
                <w:w w:val="100"/>
                <w:position w:val="0"/>
                <w:sz w:val="16"/>
                <w:szCs w:val="16"/>
              </w:rPr>
              <w:t>霍尔果斯国微股权投资管 理合伙企业（有限合伙）、 霍尔果斯天惠人股权投资 管理合伙企业（有限合伙）、 黄学良、祝昌华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关于同业竞争、关 联交易、资金占用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规范关联交易的承 诺；避免同业竞争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严格遵守 承诺</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首次公开发行或再 融资时所作承诺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其他对公司中小股 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r>
    </w:tbl>
    <w:p>
      <w:pPr>
        <w:pStyle w:val="Style33"/>
        <w:keepNext w:val="0"/>
        <w:keepLines w:val="0"/>
        <w:widowControl w:val="0"/>
        <w:shd w:val="clear" w:color="auto" w:fill="auto"/>
        <w:bidi w:val="0"/>
        <w:spacing w:before="0" w:after="0" w:line="240" w:lineRule="auto"/>
        <w:ind w:left="5" w:right="0" w:firstLine="0"/>
        <w:jc w:val="left"/>
        <w:rPr>
          <w:sz w:val="22"/>
          <w:szCs w:val="22"/>
        </w:rPr>
      </w:pPr>
      <w:bookmarkStart w:id="219" w:name="bookmark219"/>
      <w:r>
        <w:rPr>
          <w:b/>
          <w:bCs/>
          <w:color w:val="000000"/>
          <w:spacing w:val="0"/>
          <w:w w:val="100"/>
          <w:position w:val="0"/>
          <w:sz w:val="22"/>
          <w:szCs w:val="22"/>
        </w:rPr>
        <w:t>四、控股股东及其关联方对上市公司的非经营性占用资金情况</w:t>
      </w:r>
      <w:bookmarkEnd w:id="219"/>
    </w:p>
    <w:p>
      <w:pPr>
        <w:pStyle w:val="Style31"/>
        <w:keepNext w:val="0"/>
        <w:keepLines w:val="0"/>
        <w:widowControl w:val="0"/>
        <w:shd w:val="clear" w:color="auto" w:fill="auto"/>
        <w:bidi w:val="0"/>
        <w:spacing w:before="0" w:after="0" w:line="600" w:lineRule="exact"/>
        <w:ind w:left="0" w:right="0" w:firstLine="480"/>
        <w:jc w:val="left"/>
      </w:pPr>
      <w:r>
        <w:rPr>
          <w:color w:val="000000"/>
          <w:spacing w:val="0"/>
          <w:w w:val="100"/>
          <w:position w:val="0"/>
        </w:rPr>
        <w:t>公司报告期不存在控股股东及其关联方对上市公司的非经营性占用资金。</w:t>
      </w:r>
    </w:p>
    <w:p>
      <w:pPr>
        <w:pStyle w:val="Style23"/>
        <w:keepNext/>
        <w:keepLines/>
        <w:widowControl w:val="0"/>
        <w:shd w:val="clear" w:color="auto" w:fill="auto"/>
        <w:tabs>
          <w:tab w:pos="517" w:val="left"/>
        </w:tabs>
        <w:bidi w:val="0"/>
        <w:spacing w:before="0" w:after="0" w:line="600" w:lineRule="exact"/>
        <w:ind w:left="0" w:right="0" w:firstLine="0"/>
        <w:jc w:val="left"/>
        <w:rPr>
          <w:sz w:val="20"/>
          <w:szCs w:val="20"/>
        </w:rPr>
      </w:pPr>
      <w:bookmarkStart w:id="220" w:name="bookmark220"/>
      <w:bookmarkStart w:id="221" w:name="bookmark221"/>
      <w:bookmarkStart w:id="222" w:name="bookmark222"/>
      <w:bookmarkStart w:id="223" w:name="bookmark223"/>
      <w:r>
        <w:rPr>
          <w:color w:val="000000"/>
          <w:spacing w:val="0"/>
          <w:w w:val="100"/>
          <w:position w:val="0"/>
          <w:sz w:val="22"/>
          <w:szCs w:val="22"/>
        </w:rPr>
        <w:t>五</w:t>
      </w:r>
      <w:bookmarkEnd w:id="222"/>
      <w:r>
        <w:rPr>
          <w:color w:val="000000"/>
          <w:spacing w:val="0"/>
          <w:w w:val="100"/>
          <w:position w:val="0"/>
          <w:sz w:val="22"/>
          <w:szCs w:val="22"/>
        </w:rPr>
        <w:t>、</w:t>
        <w:tab/>
        <w:t xml:space="preserve">董事会、监事会、独立董事（如有）对会计师事务所本报告期“非标准审计报告”的说明 </w:t>
      </w:r>
      <w:r>
        <w:rPr>
          <w:color w:val="000000"/>
          <w:spacing w:val="0"/>
          <w:w w:val="100"/>
          <w:position w:val="0"/>
          <w:sz w:val="20"/>
          <w:szCs w:val="20"/>
        </w:rPr>
        <w:t>□</w:t>
      </w:r>
      <w:r>
        <w:rPr>
          <w:color w:val="000000"/>
          <w:spacing w:val="0"/>
          <w:w w:val="100"/>
          <w:position w:val="0"/>
          <w:sz w:val="20"/>
          <w:szCs w:val="20"/>
        </w:rPr>
        <w:t>适用/不适用</w:t>
      </w:r>
      <w:bookmarkEnd w:id="220"/>
      <w:bookmarkEnd w:id="221"/>
      <w:bookmarkEnd w:id="223"/>
    </w:p>
    <w:p>
      <w:pPr>
        <w:pStyle w:val="Style23"/>
        <w:keepNext/>
        <w:keepLines/>
        <w:widowControl w:val="0"/>
        <w:shd w:val="clear" w:color="auto" w:fill="auto"/>
        <w:tabs>
          <w:tab w:pos="517" w:val="left"/>
        </w:tabs>
        <w:bidi w:val="0"/>
        <w:spacing w:before="0" w:after="0" w:line="600" w:lineRule="exact"/>
        <w:ind w:left="0" w:right="0" w:firstLine="0"/>
        <w:jc w:val="left"/>
      </w:pPr>
      <w:bookmarkStart w:id="224" w:name="bookmark224"/>
      <w:bookmarkStart w:id="225" w:name="bookmark225"/>
      <w:bookmarkStart w:id="226" w:name="bookmark226"/>
      <w:bookmarkStart w:id="227" w:name="bookmark227"/>
      <w:r>
        <w:rPr>
          <w:color w:val="000000"/>
          <w:spacing w:val="0"/>
          <w:w w:val="100"/>
          <w:position w:val="0"/>
        </w:rPr>
        <w:t>六</w:t>
      </w:r>
      <w:bookmarkEnd w:id="226"/>
      <w:r>
        <w:rPr>
          <w:color w:val="000000"/>
          <w:spacing w:val="0"/>
          <w:w w:val="100"/>
          <w:position w:val="0"/>
        </w:rPr>
        <w:t>、</w:t>
        <w:tab/>
        <w:t>与上年度财务报告相比，会计政策、会计估计和核算方法发生变化的情况说明</w:t>
      </w:r>
      <w:bookmarkEnd w:id="224"/>
      <w:bookmarkEnd w:id="225"/>
      <w:bookmarkEnd w:id="227"/>
    </w:p>
    <w:p>
      <w:pPr>
        <w:pStyle w:val="Style31"/>
        <w:keepNext w:val="0"/>
        <w:keepLines w:val="0"/>
        <w:widowControl w:val="0"/>
        <w:shd w:val="clear" w:color="auto" w:fill="auto"/>
        <w:bidi w:val="0"/>
        <w:spacing w:before="0" w:after="0" w:line="600" w:lineRule="exact"/>
        <w:ind w:left="0" w:right="0" w:firstLine="480"/>
        <w:jc w:val="left"/>
      </w:pPr>
      <w:r>
        <w:rPr>
          <w:color w:val="000000"/>
          <w:spacing w:val="0"/>
          <w:w w:val="100"/>
          <w:position w:val="0"/>
        </w:rPr>
        <w:t>公司报告期无会计政策、会计估计和核算方法发生变化的情况。</w:t>
      </w:r>
    </w:p>
    <w:p>
      <w:pPr>
        <w:pStyle w:val="Style23"/>
        <w:keepNext/>
        <w:keepLines/>
        <w:widowControl w:val="0"/>
        <w:shd w:val="clear" w:color="auto" w:fill="auto"/>
        <w:tabs>
          <w:tab w:pos="517" w:val="left"/>
        </w:tabs>
        <w:bidi w:val="0"/>
        <w:spacing w:before="0" w:after="0" w:line="600" w:lineRule="exact"/>
        <w:ind w:left="0" w:right="0" w:firstLine="0"/>
        <w:jc w:val="left"/>
      </w:pPr>
      <w:bookmarkStart w:id="228" w:name="bookmark228"/>
      <w:bookmarkStart w:id="229" w:name="bookmark229"/>
      <w:bookmarkStart w:id="230" w:name="bookmark230"/>
      <w:bookmarkStart w:id="231" w:name="bookmark231"/>
      <w:r>
        <w:rPr>
          <w:color w:val="000000"/>
          <w:spacing w:val="0"/>
          <w:w w:val="100"/>
          <w:position w:val="0"/>
        </w:rPr>
        <w:t>七</w:t>
      </w:r>
      <w:bookmarkEnd w:id="230"/>
      <w:r>
        <w:rPr>
          <w:color w:val="000000"/>
          <w:spacing w:val="0"/>
          <w:w w:val="100"/>
          <w:position w:val="0"/>
        </w:rPr>
        <w:t>、</w:t>
        <w:tab/>
        <w:t>报告期内发生重大会计差错更正需追溯重述的情况说明</w:t>
      </w:r>
      <w:bookmarkEnd w:id="228"/>
      <w:bookmarkEnd w:id="229"/>
      <w:bookmarkEnd w:id="231"/>
    </w:p>
    <w:p>
      <w:pPr>
        <w:pStyle w:val="Style31"/>
        <w:keepNext w:val="0"/>
        <w:keepLines w:val="0"/>
        <w:widowControl w:val="0"/>
        <w:shd w:val="clear" w:color="auto" w:fill="auto"/>
        <w:bidi w:val="0"/>
        <w:spacing w:before="0" w:after="0" w:line="600" w:lineRule="exact"/>
        <w:ind w:left="0" w:right="0" w:firstLine="480"/>
        <w:jc w:val="left"/>
      </w:pPr>
      <w:r>
        <w:rPr>
          <w:color w:val="000000"/>
          <w:spacing w:val="0"/>
          <w:w w:val="100"/>
          <w:position w:val="0"/>
        </w:rPr>
        <w:t>公司报告期无重大会计差错更正需追溯重述的情况。</w:t>
      </w:r>
    </w:p>
    <w:p>
      <w:pPr>
        <w:pStyle w:val="Style23"/>
        <w:keepNext/>
        <w:keepLines/>
        <w:widowControl w:val="0"/>
        <w:shd w:val="clear" w:color="auto" w:fill="auto"/>
        <w:tabs>
          <w:tab w:pos="517" w:val="left"/>
        </w:tabs>
        <w:bidi w:val="0"/>
        <w:spacing w:before="0" w:after="280" w:line="600" w:lineRule="exact"/>
        <w:ind w:left="0" w:right="0" w:firstLine="0"/>
        <w:jc w:val="left"/>
      </w:pPr>
      <w:bookmarkStart w:id="232" w:name="bookmark232"/>
      <w:bookmarkStart w:id="233" w:name="bookmark233"/>
      <w:bookmarkStart w:id="234" w:name="bookmark234"/>
      <w:bookmarkStart w:id="235" w:name="bookmark235"/>
      <w:r>
        <w:rPr>
          <w:color w:val="000000"/>
          <w:spacing w:val="0"/>
          <w:w w:val="100"/>
          <w:position w:val="0"/>
        </w:rPr>
        <w:t>八</w:t>
      </w:r>
      <w:bookmarkEnd w:id="234"/>
      <w:r>
        <w:rPr>
          <w:color w:val="000000"/>
          <w:spacing w:val="0"/>
          <w:w w:val="100"/>
          <w:position w:val="0"/>
        </w:rPr>
        <w:t>、</w:t>
        <w:tab/>
        <w:t>与上年度财务报告相比，合并报表范围发生变化的情况说明</w:t>
      </w:r>
      <w:bookmarkEnd w:id="232"/>
      <w:bookmarkEnd w:id="233"/>
      <w:bookmarkEnd w:id="235"/>
    </w:p>
    <w:p>
      <w:pPr>
        <w:pStyle w:val="Style31"/>
        <w:keepNext w:val="0"/>
        <w:keepLines w:val="0"/>
        <w:widowControl w:val="0"/>
        <w:shd w:val="clear" w:color="auto" w:fill="auto"/>
        <w:bidi w:val="0"/>
        <w:spacing w:before="0" w:after="0" w:line="319" w:lineRule="exact"/>
        <w:ind w:left="0" w:right="0" w:firstLine="480"/>
        <w:jc w:val="both"/>
      </w:pPr>
      <w:r>
        <w:rPr>
          <w:color w:val="000000"/>
          <w:spacing w:val="0"/>
          <w:w w:val="100"/>
          <w:position w:val="0"/>
        </w:rPr>
        <w:t>公司本期合并范围增加</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家子公司，为</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月在河北省玉田县设立的全资子公司唐山 国芯晶源电子有限公司，注册资本为</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万元人民币。</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月，注册资本变更为</w:t>
      </w:r>
      <w:r>
        <w:rPr>
          <w:rFonts w:ascii="Times New Roman" w:eastAsia="Times New Roman" w:hAnsi="Times New Roman" w:cs="Times New Roman"/>
          <w:color w:val="000000"/>
          <w:spacing w:val="0"/>
          <w:w w:val="100"/>
          <w:position w:val="0"/>
          <w:sz w:val="24"/>
          <w:szCs w:val="24"/>
        </w:rPr>
        <w:t xml:space="preserve">20,000.00 </w:t>
      </w:r>
      <w:r>
        <w:rPr>
          <w:color w:val="000000"/>
          <w:spacing w:val="0"/>
          <w:w w:val="100"/>
          <w:position w:val="0"/>
        </w:rPr>
        <w:t>万元。</w:t>
      </w:r>
    </w:p>
    <w:p>
      <w:pPr>
        <w:pStyle w:val="Style23"/>
        <w:keepNext/>
        <w:keepLines/>
        <w:widowControl w:val="0"/>
        <w:shd w:val="clear" w:color="auto" w:fill="auto"/>
        <w:tabs>
          <w:tab w:pos="517" w:val="left"/>
        </w:tabs>
        <w:bidi w:val="0"/>
        <w:spacing w:before="0" w:after="360" w:line="600" w:lineRule="exact"/>
        <w:ind w:left="0" w:right="0" w:firstLine="0"/>
        <w:jc w:val="left"/>
      </w:pPr>
      <w:bookmarkStart w:id="236" w:name="bookmark236"/>
      <w:bookmarkStart w:id="237" w:name="bookmark237"/>
      <w:bookmarkStart w:id="238" w:name="bookmark238"/>
      <w:bookmarkStart w:id="239" w:name="bookmark239"/>
      <w:r>
        <w:rPr>
          <w:color w:val="000000"/>
          <w:spacing w:val="0"/>
          <w:w w:val="100"/>
          <w:position w:val="0"/>
        </w:rPr>
        <w:t>九</w:t>
      </w:r>
      <w:bookmarkEnd w:id="238"/>
      <w:r>
        <w:rPr>
          <w:color w:val="000000"/>
          <w:spacing w:val="0"/>
          <w:w w:val="100"/>
          <w:position w:val="0"/>
        </w:rPr>
        <w:t>、</w:t>
        <w:tab/>
        <w:t>聘任、解聘会计师事务所情况</w:t>
      </w:r>
      <w:bookmarkEnd w:id="236"/>
      <w:bookmarkEnd w:id="237"/>
      <w:bookmarkEnd w:id="239"/>
    </w:p>
    <w:p>
      <w:pPr>
        <w:pStyle w:val="Style33"/>
        <w:keepNext w:val="0"/>
        <w:keepLines w:val="0"/>
        <w:widowControl w:val="0"/>
        <w:shd w:val="clear" w:color="auto" w:fill="auto"/>
        <w:bidi w:val="0"/>
        <w:spacing w:before="0" w:after="0" w:line="600" w:lineRule="exact"/>
        <w:ind w:left="0" w:right="0" w:firstLine="0"/>
        <w:jc w:val="left"/>
        <w:rPr>
          <w:sz w:val="22"/>
          <w:szCs w:val="22"/>
        </w:rPr>
      </w:pPr>
      <w:r>
        <w:rPr>
          <w:b/>
          <w:bCs/>
          <w:color w:val="000000"/>
          <w:spacing w:val="0"/>
          <w:w w:val="100"/>
          <w:position w:val="0"/>
          <w:sz w:val="22"/>
          <w:szCs w:val="22"/>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北京兴华会计师事务所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特殊普通合伙</w:t>
            </w:r>
            <w:r>
              <w:rPr>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时彦禄、张娟</w:t>
            </w:r>
          </w:p>
        </w:tc>
      </w:tr>
    </w:tbl>
    <w:p>
      <w:pPr>
        <w:widowControl w:val="0"/>
        <w:spacing w:after="139" w:line="1" w:lineRule="exact"/>
      </w:pPr>
    </w:p>
    <w:p>
      <w:pPr>
        <w:pStyle w:val="Style3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当期是否改聘会计师事务所</w:t>
      </w:r>
    </w:p>
    <w:p>
      <w:pPr>
        <w:pStyle w:val="Style31"/>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是/否</w:t>
      </w: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适用/不适用</w:t>
      </w:r>
    </w:p>
    <w:p>
      <w:pPr>
        <w:pStyle w:val="Style23"/>
        <w:keepNext/>
        <w:keepLines/>
        <w:widowControl w:val="0"/>
        <w:shd w:val="clear" w:color="auto" w:fill="auto"/>
        <w:bidi w:val="0"/>
        <w:spacing w:before="0" w:after="360" w:line="240" w:lineRule="auto"/>
        <w:ind w:left="0" w:right="0" w:firstLine="0"/>
        <w:jc w:val="left"/>
      </w:pPr>
      <w:bookmarkStart w:id="240" w:name="bookmark240"/>
      <w:bookmarkStart w:id="241" w:name="bookmark241"/>
      <w:bookmarkStart w:id="242" w:name="bookmark242"/>
      <w:r>
        <w:rPr>
          <w:color w:val="000000"/>
          <w:spacing w:val="0"/>
          <w:w w:val="100"/>
          <w:position w:val="0"/>
        </w:rPr>
        <w:t>十、年度报告披露后面临暂停上市和终止上市情况</w:t>
      </w:r>
      <w:bookmarkEnd w:id="240"/>
      <w:bookmarkEnd w:id="241"/>
      <w:bookmarkEnd w:id="242"/>
    </w:p>
    <w:p>
      <w:pPr>
        <w:pStyle w:val="Style31"/>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适用/不适用</w:t>
      </w:r>
    </w:p>
    <w:p>
      <w:pPr>
        <w:pStyle w:val="Style23"/>
        <w:keepNext/>
        <w:keepLines/>
        <w:widowControl w:val="0"/>
        <w:shd w:val="clear" w:color="auto" w:fill="auto"/>
        <w:bidi w:val="0"/>
        <w:spacing w:before="0" w:after="360" w:line="240" w:lineRule="auto"/>
        <w:ind w:left="0" w:right="0" w:firstLine="0"/>
        <w:jc w:val="left"/>
      </w:pPr>
      <w:bookmarkStart w:id="243" w:name="bookmark243"/>
      <w:bookmarkStart w:id="244" w:name="bookmark244"/>
      <w:bookmarkStart w:id="245" w:name="bookmark245"/>
      <w:r>
        <w:rPr>
          <w:color w:val="000000"/>
          <w:spacing w:val="0"/>
          <w:w w:val="100"/>
          <w:position w:val="0"/>
        </w:rPr>
        <w:t>十一、破产重整相关事项</w:t>
      </w:r>
      <w:bookmarkEnd w:id="243"/>
      <w:bookmarkEnd w:id="244"/>
      <w:bookmarkEnd w:id="245"/>
    </w:p>
    <w:p>
      <w:pPr>
        <w:pStyle w:val="Style31"/>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after="360" w:line="240" w:lineRule="auto"/>
        <w:ind w:left="0" w:right="0" w:firstLine="0"/>
        <w:jc w:val="left"/>
      </w:pPr>
      <w:bookmarkStart w:id="246" w:name="bookmark246"/>
      <w:bookmarkStart w:id="247" w:name="bookmark247"/>
      <w:bookmarkStart w:id="248" w:name="bookmark248"/>
      <w:r>
        <w:rPr>
          <w:color w:val="000000"/>
          <w:spacing w:val="0"/>
          <w:w w:val="100"/>
          <w:position w:val="0"/>
        </w:rPr>
        <w:t>十二、重大诉讼、仲裁事项</w:t>
      </w:r>
      <w:bookmarkEnd w:id="246"/>
      <w:bookmarkEnd w:id="247"/>
      <w:bookmarkEnd w:id="248"/>
    </w:p>
    <w:p>
      <w:pPr>
        <w:pStyle w:val="Style31"/>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本报告期公司无重大诉讼、仲裁事项。</w:t>
      </w:r>
    </w:p>
    <w:p>
      <w:pPr>
        <w:pStyle w:val="Style23"/>
        <w:keepNext/>
        <w:keepLines/>
        <w:widowControl w:val="0"/>
        <w:shd w:val="clear" w:color="auto" w:fill="auto"/>
        <w:bidi w:val="0"/>
        <w:spacing w:before="0" w:after="360" w:line="240" w:lineRule="auto"/>
        <w:ind w:left="0" w:right="0" w:firstLine="0"/>
        <w:jc w:val="left"/>
      </w:pPr>
      <w:bookmarkStart w:id="249" w:name="bookmark249"/>
      <w:bookmarkStart w:id="250" w:name="bookmark250"/>
      <w:bookmarkStart w:id="251" w:name="bookmark251"/>
      <w:r>
        <w:rPr>
          <w:color w:val="000000"/>
          <w:spacing w:val="0"/>
          <w:w w:val="100"/>
          <w:position w:val="0"/>
        </w:rPr>
        <w:t>十三、处罚及整改情况</w:t>
      </w:r>
      <w:bookmarkEnd w:id="249"/>
      <w:bookmarkEnd w:id="250"/>
      <w:bookmarkEnd w:id="251"/>
    </w:p>
    <w:p>
      <w:pPr>
        <w:pStyle w:val="Style31"/>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公司报告期不存在处罚及整改情况。</w:t>
      </w:r>
    </w:p>
    <w:p>
      <w:pPr>
        <w:pStyle w:val="Style23"/>
        <w:keepNext/>
        <w:keepLines/>
        <w:widowControl w:val="0"/>
        <w:shd w:val="clear" w:color="auto" w:fill="auto"/>
        <w:bidi w:val="0"/>
        <w:spacing w:before="0" w:after="360" w:line="240" w:lineRule="auto"/>
        <w:ind w:left="0" w:right="0" w:firstLine="0"/>
        <w:jc w:val="left"/>
      </w:pPr>
      <w:bookmarkStart w:id="252" w:name="bookmark252"/>
      <w:bookmarkStart w:id="253" w:name="bookmark253"/>
      <w:bookmarkStart w:id="254" w:name="bookmark254"/>
      <w:r>
        <w:rPr>
          <w:color w:val="000000"/>
          <w:spacing w:val="0"/>
          <w:w w:val="100"/>
          <w:position w:val="0"/>
        </w:rPr>
        <w:t>十四、公司及其控股股东、实际控制人的诚信状况</w:t>
      </w:r>
      <w:bookmarkEnd w:id="252"/>
      <w:bookmarkEnd w:id="253"/>
      <w:bookmarkEnd w:id="254"/>
    </w:p>
    <w:p>
      <w:pPr>
        <w:pStyle w:val="Style31"/>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适用/不适用</w:t>
      </w:r>
    </w:p>
    <w:p>
      <w:pPr>
        <w:pStyle w:val="Style23"/>
        <w:keepNext/>
        <w:keepLines/>
        <w:widowControl w:val="0"/>
        <w:shd w:val="clear" w:color="auto" w:fill="auto"/>
        <w:bidi w:val="0"/>
        <w:spacing w:before="0" w:after="360" w:line="240" w:lineRule="auto"/>
        <w:ind w:left="0" w:right="0" w:firstLine="0"/>
        <w:jc w:val="left"/>
      </w:pPr>
      <w:bookmarkStart w:id="255" w:name="bookmark255"/>
      <w:bookmarkStart w:id="256" w:name="bookmark256"/>
      <w:bookmarkStart w:id="257" w:name="bookmark257"/>
      <w:r>
        <w:rPr>
          <w:color w:val="000000"/>
          <w:spacing w:val="0"/>
          <w:w w:val="100"/>
          <w:position w:val="0"/>
        </w:rPr>
        <w:t>十五、公司股权激励计划、员工持股计划或其他员工激励措施的实施情况</w:t>
      </w:r>
      <w:bookmarkEnd w:id="255"/>
      <w:bookmarkEnd w:id="256"/>
      <w:bookmarkEnd w:id="257"/>
    </w:p>
    <w:p>
      <w:pPr>
        <w:pStyle w:val="Style31"/>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公司报告期无股权激励计划、员工持股计划或其他员工激励措施及其实施情况。</w:t>
      </w:r>
    </w:p>
    <w:p>
      <w:pPr>
        <w:pStyle w:val="Style23"/>
        <w:keepNext/>
        <w:keepLines/>
        <w:widowControl w:val="0"/>
        <w:shd w:val="clear" w:color="auto" w:fill="auto"/>
        <w:bidi w:val="0"/>
        <w:spacing w:before="0" w:after="360" w:line="240" w:lineRule="auto"/>
        <w:ind w:left="0" w:right="0" w:firstLine="0"/>
        <w:jc w:val="left"/>
      </w:pPr>
      <w:bookmarkStart w:id="258" w:name="bookmark258"/>
      <w:bookmarkStart w:id="259" w:name="bookmark259"/>
      <w:bookmarkStart w:id="260" w:name="bookmark260"/>
      <w:r>
        <w:rPr>
          <w:color w:val="000000"/>
          <w:spacing w:val="0"/>
          <w:w w:val="100"/>
          <w:position w:val="0"/>
        </w:rPr>
        <w:t>十六、重大关联交易</w:t>
      </w:r>
      <w:bookmarkEnd w:id="258"/>
      <w:bookmarkEnd w:id="259"/>
      <w:bookmarkEnd w:id="260"/>
    </w:p>
    <w:p>
      <w:pPr>
        <w:pStyle w:val="Style28"/>
        <w:keepNext/>
        <w:keepLines/>
        <w:widowControl w:val="0"/>
        <w:shd w:val="clear" w:color="auto" w:fill="auto"/>
        <w:tabs>
          <w:tab w:pos="368" w:val="left"/>
        </w:tabs>
        <w:bidi w:val="0"/>
        <w:spacing w:before="0" w:after="360" w:line="240" w:lineRule="auto"/>
        <w:ind w:left="0" w:right="0" w:firstLine="0"/>
        <w:jc w:val="left"/>
      </w:pPr>
      <w:bookmarkStart w:id="261" w:name="bookmark261"/>
      <w:bookmarkStart w:id="262" w:name="bookmark262"/>
      <w:bookmarkStart w:id="263" w:name="bookmark263"/>
      <w:bookmarkStart w:id="264" w:name="bookmark264"/>
      <w:r>
        <w:rPr>
          <w:rFonts w:ascii="Times New Roman" w:eastAsia="Times New Roman" w:hAnsi="Times New Roman" w:cs="Times New Roman"/>
          <w:color w:val="000000"/>
          <w:spacing w:val="0"/>
          <w:w w:val="100"/>
          <w:position w:val="0"/>
        </w:rPr>
        <w:t>1</w:t>
      </w:r>
      <w:bookmarkEnd w:id="263"/>
      <w:r>
        <w:rPr>
          <w:color w:val="000000"/>
          <w:spacing w:val="0"/>
          <w:w w:val="100"/>
          <w:position w:val="0"/>
        </w:rPr>
        <w:t>、</w:t>
        <w:tab/>
        <w:t>与日常经营相关的关联交易</w:t>
      </w:r>
      <w:bookmarkEnd w:id="261"/>
      <w:bookmarkEnd w:id="262"/>
      <w:bookmarkEnd w:id="264"/>
    </w:p>
    <w:p>
      <w:pPr>
        <w:pStyle w:val="Style31"/>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公司报告期未发生与日常经营相关的重大关联交易。</w:t>
      </w:r>
    </w:p>
    <w:p>
      <w:pPr>
        <w:pStyle w:val="Style28"/>
        <w:keepNext/>
        <w:keepLines/>
        <w:widowControl w:val="0"/>
        <w:shd w:val="clear" w:color="auto" w:fill="auto"/>
        <w:tabs>
          <w:tab w:pos="378" w:val="left"/>
        </w:tabs>
        <w:bidi w:val="0"/>
        <w:spacing w:before="0" w:after="360" w:line="240" w:lineRule="auto"/>
        <w:ind w:left="0" w:right="0" w:firstLine="0"/>
        <w:jc w:val="left"/>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2</w:t>
      </w:r>
      <w:bookmarkEnd w:id="267"/>
      <w:r>
        <w:rPr>
          <w:color w:val="000000"/>
          <w:spacing w:val="0"/>
          <w:w w:val="100"/>
          <w:position w:val="0"/>
        </w:rPr>
        <w:t>、</w:t>
        <w:tab/>
        <w:t>资产或股权收购、出售发生的关联交易</w:t>
      </w:r>
      <w:bookmarkEnd w:id="265"/>
      <w:bookmarkEnd w:id="266"/>
      <w:bookmarkEnd w:id="268"/>
    </w:p>
    <w:p>
      <w:pPr>
        <w:pStyle w:val="Style31"/>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公司报告期未发生资产或股权收购、出售的重大关联交易。</w:t>
      </w:r>
    </w:p>
    <w:p>
      <w:pPr>
        <w:pStyle w:val="Style28"/>
        <w:keepNext/>
        <w:keepLines/>
        <w:widowControl w:val="0"/>
        <w:shd w:val="clear" w:color="auto" w:fill="auto"/>
        <w:tabs>
          <w:tab w:pos="378" w:val="left"/>
        </w:tabs>
        <w:bidi w:val="0"/>
        <w:spacing w:before="0" w:after="360" w:line="240" w:lineRule="auto"/>
        <w:ind w:left="0" w:right="0" w:firstLine="0"/>
        <w:jc w:val="left"/>
      </w:pPr>
      <w:bookmarkStart w:id="269" w:name="bookmark269"/>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3</w:t>
      </w:r>
      <w:bookmarkEnd w:id="271"/>
      <w:r>
        <w:rPr>
          <w:color w:val="000000"/>
          <w:spacing w:val="0"/>
          <w:w w:val="100"/>
          <w:position w:val="0"/>
        </w:rPr>
        <w:t>、</w:t>
        <w:tab/>
        <w:t>共同对外投资的关联交易</w:t>
      </w:r>
      <w:bookmarkEnd w:id="269"/>
      <w:bookmarkEnd w:id="270"/>
      <w:bookmarkEnd w:id="272"/>
    </w:p>
    <w:p>
      <w:pPr>
        <w:pStyle w:val="Style31"/>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公司报告期未发生共同对外投资的重大关联交易。</w:t>
      </w:r>
    </w:p>
    <w:p>
      <w:pPr>
        <w:pStyle w:val="Style28"/>
        <w:keepNext/>
        <w:keepLines/>
        <w:widowControl w:val="0"/>
        <w:shd w:val="clear" w:color="auto" w:fill="auto"/>
        <w:tabs>
          <w:tab w:pos="378" w:val="left"/>
        </w:tabs>
        <w:bidi w:val="0"/>
        <w:spacing w:before="0" w:after="360" w:line="240" w:lineRule="auto"/>
        <w:ind w:left="0" w:right="0" w:firstLine="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4</w:t>
      </w:r>
      <w:bookmarkEnd w:id="275"/>
      <w:r>
        <w:rPr>
          <w:color w:val="000000"/>
          <w:spacing w:val="0"/>
          <w:w w:val="100"/>
          <w:position w:val="0"/>
        </w:rPr>
        <w:t>、</w:t>
        <w:tab/>
        <w:t>关联债权债务往来</w:t>
      </w:r>
      <w:bookmarkEnd w:id="273"/>
      <w:bookmarkEnd w:id="274"/>
      <w:bookmarkEnd w:id="276"/>
    </w:p>
    <w:p>
      <w:pPr>
        <w:pStyle w:val="Style31"/>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公司报告期不存在重大关联债权债务往来。</w:t>
      </w:r>
    </w:p>
    <w:p>
      <w:pPr>
        <w:pStyle w:val="Style28"/>
        <w:keepNext/>
        <w:keepLines/>
        <w:widowControl w:val="0"/>
        <w:shd w:val="clear" w:color="auto" w:fill="auto"/>
        <w:bidi w:val="0"/>
        <w:spacing w:before="0" w:after="280" w:line="240" w:lineRule="auto"/>
        <w:ind w:left="0" w:right="0" w:firstLine="0"/>
        <w:jc w:val="both"/>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5</w:t>
      </w:r>
      <w:bookmarkEnd w:id="279"/>
      <w:r>
        <w:rPr>
          <w:color w:val="000000"/>
          <w:spacing w:val="0"/>
          <w:w w:val="100"/>
          <w:position w:val="0"/>
        </w:rPr>
        <w:t>、其他重大关联交易</w:t>
      </w:r>
      <w:bookmarkEnd w:id="277"/>
      <w:bookmarkEnd w:id="278"/>
      <w:bookmarkEnd w:id="280"/>
    </w:p>
    <w:p>
      <w:pPr>
        <w:pStyle w:val="Style31"/>
        <w:keepNext w:val="0"/>
        <w:keepLines w:val="0"/>
        <w:widowControl w:val="0"/>
        <w:shd w:val="clear" w:color="auto" w:fill="auto"/>
        <w:bidi w:val="0"/>
        <w:spacing w:before="0" w:after="180" w:line="312" w:lineRule="exact"/>
        <w:ind w:left="0" w:right="0" w:firstLine="50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年度股东大会审议批准，公司与关联企业清华控股集团财务有限责任公司（以 下简称“财务公司”）签署为期两年的《金融服务协议》。根据金融服务协议，财务公司在经 营范围内向公司提供一系列金融服务，包括但不限于综合授信、存款服务、结算服务及中国 银监会批准的财务公司可从事的其他业务。财务公司为本公司提供金融服务的额度为：（</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 存款服务：按照深圳证券交易所的相关规定办理；（</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）综合授信服务：</w:t>
      </w:r>
      <w:r>
        <w:rPr>
          <w:rFonts w:ascii="Times New Roman" w:eastAsia="Times New Roman" w:hAnsi="Times New Roman" w:cs="Times New Roman"/>
          <w:color w:val="000000"/>
          <w:spacing w:val="0"/>
          <w:w w:val="100"/>
          <w:position w:val="0"/>
          <w:sz w:val="24"/>
          <w:szCs w:val="24"/>
        </w:rPr>
        <w:t>2016-2018</w:t>
      </w:r>
      <w:r>
        <w:rPr>
          <w:color w:val="000000"/>
          <w:spacing w:val="0"/>
          <w:w w:val="100"/>
          <w:position w:val="0"/>
        </w:rPr>
        <w:t>年度提供 的综合授信余额最高不超过人民币肆亿元整。截至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日，公司在财务公司资金存 款余额为</w:t>
      </w:r>
      <w:r>
        <w:rPr>
          <w:rFonts w:ascii="Times New Roman" w:eastAsia="Times New Roman" w:hAnsi="Times New Roman" w:cs="Times New Roman"/>
          <w:color w:val="000000"/>
          <w:spacing w:val="0"/>
          <w:w w:val="100"/>
          <w:position w:val="0"/>
          <w:sz w:val="24"/>
          <w:szCs w:val="24"/>
        </w:rPr>
        <w:t>3221.98</w:t>
      </w:r>
      <w:r>
        <w:rPr>
          <w:color w:val="000000"/>
          <w:spacing w:val="0"/>
          <w:w w:val="100"/>
          <w:position w:val="0"/>
        </w:rPr>
        <w:t>万元，贷款余额为</w:t>
      </w:r>
      <w:r>
        <w:rPr>
          <w:rFonts w:ascii="Times New Roman" w:eastAsia="Times New Roman" w:hAnsi="Times New Roman" w:cs="Times New Roman"/>
          <w:color w:val="000000"/>
          <w:spacing w:val="0"/>
          <w:w w:val="100"/>
          <w:position w:val="0"/>
          <w:sz w:val="24"/>
          <w:szCs w:val="24"/>
        </w:rPr>
        <w:t>5000.00</w:t>
      </w:r>
      <w:r>
        <w:rPr>
          <w:color w:val="000000"/>
          <w:spacing w:val="0"/>
          <w:w w:val="100"/>
          <w:position w:val="0"/>
        </w:rPr>
        <w:t>万元。</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重大关联交易临时报告披露网站相关查询</w:t>
      </w:r>
    </w:p>
    <w:tbl>
      <w:tblPr>
        <w:tblOverlap w:val="never"/>
        <w:jc w:val="center"/>
        <w:tblLayout w:type="fixed"/>
      </w:tblPr>
      <w:tblGrid>
        <w:gridCol w:w="3466"/>
        <w:gridCol w:w="2650"/>
        <w:gridCol w:w="346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临时公告披露网站名称</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《关于公司与清华控股集团财务有限公司 签署</w:t>
            </w:r>
            <w:r>
              <w:rPr>
                <w:color w:val="000000"/>
                <w:spacing w:val="0"/>
                <w:w w:val="100"/>
                <w:position w:val="0"/>
                <w:sz w:val="18"/>
                <w:szCs w:val="18"/>
              </w:rPr>
              <w:t>〈</w:t>
            </w:r>
            <w:r>
              <w:rPr>
                <w:color w:val="000000"/>
                <w:spacing w:val="0"/>
                <w:w w:val="100"/>
                <w:position w:val="0"/>
                <w:sz w:val="16"/>
                <w:szCs w:val="16"/>
              </w:rPr>
              <w:t>金融服务协议</w:t>
            </w:r>
            <w:r>
              <w:rPr>
                <w:color w:val="000000"/>
                <w:spacing w:val="0"/>
                <w:w w:val="100"/>
                <w:position w:val="0"/>
                <w:sz w:val="18"/>
                <w:szCs w:val="18"/>
              </w:rPr>
              <w:t>〉</w:t>
            </w:r>
            <w:r>
              <w:rPr>
                <w:color w:val="000000"/>
                <w:spacing w:val="0"/>
                <w:w w:val="100"/>
                <w:position w:val="0"/>
                <w:sz w:val="16"/>
                <w:szCs w:val="16"/>
              </w:rPr>
              <w:t>的关联交易公告》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巨潮资讯网站(</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sz w:val="16"/>
                <w:szCs w:val="16"/>
              </w:rPr>
              <w:t>)</w:t>
            </w:r>
          </w:p>
        </w:tc>
      </w:tr>
    </w:tbl>
    <w:p>
      <w:pPr>
        <w:widowControl w:val="0"/>
        <w:spacing w:after="179" w:line="1" w:lineRule="exact"/>
      </w:pPr>
    </w:p>
    <w:p>
      <w:pPr>
        <w:pStyle w:val="Style31"/>
        <w:keepNext w:val="0"/>
        <w:keepLines w:val="0"/>
        <w:widowControl w:val="0"/>
        <w:shd w:val="clear" w:color="auto" w:fill="auto"/>
        <w:bidi w:val="0"/>
        <w:spacing w:before="0" w:after="360" w:line="240" w:lineRule="auto"/>
        <w:ind w:left="0" w:right="0" w:firstLine="500"/>
        <w:jc w:val="both"/>
      </w:pPr>
      <w:r>
        <w:rPr>
          <w:color w:val="000000"/>
          <w:spacing w:val="0"/>
          <w:w w:val="100"/>
          <w:position w:val="0"/>
        </w:rPr>
        <w:t>公司报告期无其他重大关联交易。</w:t>
      </w:r>
    </w:p>
    <w:p>
      <w:pPr>
        <w:pStyle w:val="Style23"/>
        <w:keepNext/>
        <w:keepLines/>
        <w:widowControl w:val="0"/>
        <w:shd w:val="clear" w:color="auto" w:fill="auto"/>
        <w:bidi w:val="0"/>
        <w:spacing w:before="0" w:after="360" w:line="240" w:lineRule="auto"/>
        <w:ind w:left="0" w:right="0" w:firstLine="0"/>
        <w:jc w:val="both"/>
      </w:pPr>
      <w:bookmarkStart w:id="281" w:name="bookmark281"/>
      <w:bookmarkStart w:id="282" w:name="bookmark282"/>
      <w:bookmarkStart w:id="283" w:name="bookmark283"/>
      <w:r>
        <w:rPr>
          <w:color w:val="000000"/>
          <w:spacing w:val="0"/>
          <w:w w:val="100"/>
          <w:position w:val="0"/>
        </w:rPr>
        <w:t>十七、重大合同及其履行情况</w:t>
      </w:r>
      <w:bookmarkEnd w:id="281"/>
      <w:bookmarkEnd w:id="282"/>
      <w:bookmarkEnd w:id="283"/>
    </w:p>
    <w:p>
      <w:pPr>
        <w:pStyle w:val="Style28"/>
        <w:keepNext/>
        <w:keepLines/>
        <w:widowControl w:val="0"/>
        <w:shd w:val="clear" w:color="auto" w:fill="auto"/>
        <w:tabs>
          <w:tab w:pos="374" w:val="left"/>
        </w:tabs>
        <w:bidi w:val="0"/>
        <w:spacing w:before="0" w:after="180" w:line="240" w:lineRule="auto"/>
        <w:ind w:left="0" w:right="0" w:firstLine="0"/>
        <w:jc w:val="both"/>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1</w:t>
      </w:r>
      <w:bookmarkEnd w:id="286"/>
      <w:r>
        <w:rPr>
          <w:color w:val="000000"/>
          <w:spacing w:val="0"/>
          <w:w w:val="100"/>
          <w:position w:val="0"/>
        </w:rPr>
        <w:t>、</w:t>
        <w:tab/>
        <w:t>托管、承包、租赁事项情况</w:t>
      </w:r>
      <w:bookmarkEnd w:id="284"/>
      <w:bookmarkEnd w:id="285"/>
      <w:bookmarkEnd w:id="287"/>
    </w:p>
    <w:p>
      <w:pPr>
        <w:pStyle w:val="Style28"/>
        <w:keepNext/>
        <w:keepLines/>
        <w:widowControl w:val="0"/>
        <w:shd w:val="clear" w:color="auto" w:fill="auto"/>
        <w:tabs>
          <w:tab w:pos="493" w:val="left"/>
        </w:tabs>
        <w:bidi w:val="0"/>
        <w:spacing w:before="0" w:after="180" w:line="240" w:lineRule="auto"/>
        <w:ind w:left="0" w:right="0" w:firstLine="0"/>
        <w:jc w:val="both"/>
      </w:pPr>
      <w:bookmarkStart w:id="288" w:name="bookmark288"/>
      <w:bookmarkStart w:id="289" w:name="bookmark289"/>
      <w:bookmarkStart w:id="290" w:name="bookmark290"/>
      <w:bookmarkStart w:id="291" w:name="bookmark291"/>
      <w:r>
        <w:rPr>
          <w:color w:val="000000"/>
          <w:spacing w:val="0"/>
          <w:w w:val="100"/>
          <w:position w:val="0"/>
        </w:rPr>
        <w:t>（</w:t>
      </w:r>
      <w:bookmarkEnd w:id="290"/>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288"/>
      <w:bookmarkEnd w:id="289"/>
      <w:bookmarkEnd w:id="291"/>
    </w:p>
    <w:p>
      <w:pPr>
        <w:pStyle w:val="Style31"/>
        <w:keepNext w:val="0"/>
        <w:keepLines w:val="0"/>
        <w:widowControl w:val="0"/>
        <w:shd w:val="clear" w:color="auto" w:fill="auto"/>
        <w:bidi w:val="0"/>
        <w:spacing w:before="0" w:after="180" w:line="240" w:lineRule="auto"/>
        <w:ind w:left="0" w:right="0" w:firstLine="500"/>
        <w:jc w:val="both"/>
      </w:pPr>
      <w:r>
        <w:rPr>
          <w:color w:val="000000"/>
          <w:spacing w:val="0"/>
          <w:w w:val="100"/>
          <w:position w:val="0"/>
        </w:rPr>
        <w:t>公司报告期不存在托管情况。</w:t>
      </w:r>
    </w:p>
    <w:p>
      <w:pPr>
        <w:pStyle w:val="Style28"/>
        <w:keepNext/>
        <w:keepLines/>
        <w:widowControl w:val="0"/>
        <w:shd w:val="clear" w:color="auto" w:fill="auto"/>
        <w:tabs>
          <w:tab w:pos="493" w:val="left"/>
        </w:tabs>
        <w:bidi w:val="0"/>
        <w:spacing w:before="0" w:after="180" w:line="240" w:lineRule="auto"/>
        <w:ind w:left="0" w:right="0" w:firstLine="0"/>
        <w:jc w:val="both"/>
      </w:pPr>
      <w:bookmarkStart w:id="292" w:name="bookmark292"/>
      <w:bookmarkStart w:id="293" w:name="bookmark293"/>
      <w:bookmarkStart w:id="294" w:name="bookmark294"/>
      <w:bookmarkStart w:id="295" w:name="bookmark295"/>
      <w:r>
        <w:rPr>
          <w:color w:val="000000"/>
          <w:spacing w:val="0"/>
          <w:w w:val="100"/>
          <w:position w:val="0"/>
        </w:rPr>
        <w:t>（</w:t>
      </w:r>
      <w:bookmarkEnd w:id="29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292"/>
      <w:bookmarkEnd w:id="293"/>
      <w:bookmarkEnd w:id="295"/>
    </w:p>
    <w:p>
      <w:pPr>
        <w:pStyle w:val="Style31"/>
        <w:keepNext w:val="0"/>
        <w:keepLines w:val="0"/>
        <w:widowControl w:val="0"/>
        <w:shd w:val="clear" w:color="auto" w:fill="auto"/>
        <w:bidi w:val="0"/>
        <w:spacing w:before="0" w:after="180" w:line="240" w:lineRule="auto"/>
        <w:ind w:left="0" w:right="0" w:firstLine="500"/>
        <w:jc w:val="both"/>
      </w:pPr>
      <w:r>
        <w:rPr>
          <w:color w:val="000000"/>
          <w:spacing w:val="0"/>
          <w:w w:val="100"/>
          <w:position w:val="0"/>
        </w:rPr>
        <w:t>公司报告期不存在承包情况。</w:t>
      </w:r>
    </w:p>
    <w:p>
      <w:pPr>
        <w:pStyle w:val="Style28"/>
        <w:keepNext/>
        <w:keepLines/>
        <w:widowControl w:val="0"/>
        <w:shd w:val="clear" w:color="auto" w:fill="auto"/>
        <w:tabs>
          <w:tab w:pos="493" w:val="left"/>
        </w:tabs>
        <w:bidi w:val="0"/>
        <w:spacing w:before="0" w:after="180" w:line="240" w:lineRule="auto"/>
        <w:ind w:left="0" w:right="0" w:firstLine="0"/>
        <w:jc w:val="both"/>
      </w:pPr>
      <w:bookmarkStart w:id="296" w:name="bookmark296"/>
      <w:bookmarkStart w:id="297" w:name="bookmark297"/>
      <w:bookmarkStart w:id="298" w:name="bookmark298"/>
      <w:bookmarkStart w:id="299" w:name="bookmark299"/>
      <w:r>
        <w:rPr>
          <w:color w:val="000000"/>
          <w:spacing w:val="0"/>
          <w:w w:val="100"/>
          <w:position w:val="0"/>
        </w:rPr>
        <w:t>（</w:t>
      </w:r>
      <w:bookmarkEnd w:id="29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296"/>
      <w:bookmarkEnd w:id="297"/>
      <w:bookmarkEnd w:id="299"/>
    </w:p>
    <w:p>
      <w:pPr>
        <w:pStyle w:val="Style31"/>
        <w:keepNext w:val="0"/>
        <w:keepLines w:val="0"/>
        <w:widowControl w:val="0"/>
        <w:shd w:val="clear" w:color="auto" w:fill="auto"/>
        <w:bidi w:val="0"/>
        <w:spacing w:before="0" w:after="180" w:line="240" w:lineRule="auto"/>
        <w:ind w:left="0" w:right="0" w:firstLine="500"/>
        <w:jc w:val="both"/>
      </w:pPr>
      <w:r>
        <w:rPr>
          <w:color w:val="000000"/>
          <w:spacing w:val="0"/>
          <w:w w:val="100"/>
          <w:position w:val="0"/>
        </w:rPr>
        <w:t>公司报告期不存在重大租赁情况。</w:t>
      </w:r>
    </w:p>
    <w:p>
      <w:pPr>
        <w:pStyle w:val="Style28"/>
        <w:keepNext/>
        <w:keepLines/>
        <w:widowControl w:val="0"/>
        <w:shd w:val="clear" w:color="auto" w:fill="auto"/>
        <w:tabs>
          <w:tab w:pos="378" w:val="left"/>
        </w:tabs>
        <w:bidi w:val="0"/>
        <w:spacing w:before="0" w:after="360" w:line="240" w:lineRule="auto"/>
        <w:ind w:left="0" w:right="0" w:firstLine="0"/>
        <w:jc w:val="both"/>
      </w:pPr>
      <w:bookmarkStart w:id="300" w:name="bookmark300"/>
      <w:bookmarkStart w:id="301" w:name="bookmark301"/>
      <w:bookmarkStart w:id="302" w:name="bookmark302"/>
      <w:bookmarkStart w:id="303" w:name="bookmark303"/>
      <w:r>
        <w:rPr>
          <w:rFonts w:ascii="Times New Roman" w:eastAsia="Times New Roman" w:hAnsi="Times New Roman" w:cs="Times New Roman"/>
          <w:color w:val="000000"/>
          <w:spacing w:val="0"/>
          <w:w w:val="100"/>
          <w:position w:val="0"/>
        </w:rPr>
        <w:t>2</w:t>
      </w:r>
      <w:bookmarkEnd w:id="302"/>
      <w:r>
        <w:rPr>
          <w:color w:val="000000"/>
          <w:spacing w:val="0"/>
          <w:w w:val="100"/>
          <w:position w:val="0"/>
        </w:rPr>
        <w:t>、</w:t>
        <w:tab/>
        <w:t>重大担保</w:t>
      </w:r>
      <w:bookmarkEnd w:id="300"/>
      <w:bookmarkEnd w:id="301"/>
      <w:bookmarkEnd w:id="303"/>
    </w:p>
    <w:p>
      <w:pPr>
        <w:pStyle w:val="Style28"/>
        <w:keepNext/>
        <w:keepLines/>
        <w:widowControl w:val="0"/>
        <w:shd w:val="clear" w:color="auto" w:fill="auto"/>
        <w:bidi w:val="0"/>
        <w:spacing w:before="0" w:after="360" w:line="240" w:lineRule="auto"/>
        <w:ind w:left="0" w:right="0" w:firstLine="0"/>
        <w:jc w:val="both"/>
      </w:pPr>
      <w:bookmarkStart w:id="304" w:name="bookmark304"/>
      <w:bookmarkStart w:id="305" w:name="bookmark305"/>
      <w:bookmarkStart w:id="306" w:name="bookmark306"/>
      <w:bookmarkStart w:id="307" w:name="bookmark307"/>
      <w:r>
        <w:rPr>
          <w:color w:val="000000"/>
          <w:spacing w:val="0"/>
          <w:w w:val="100"/>
          <w:position w:val="0"/>
        </w:rPr>
        <w:t>（</w:t>
      </w:r>
      <w:bookmarkEnd w:id="306"/>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04"/>
      <w:bookmarkEnd w:id="305"/>
      <w:bookmarkEnd w:id="307"/>
    </w:p>
    <w:p>
      <w:pPr>
        <w:pStyle w:val="Style33"/>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14"/>
        <w:gridCol w:w="926"/>
        <w:gridCol w:w="922"/>
        <w:gridCol w:w="1296"/>
        <w:gridCol w:w="1066"/>
        <w:gridCol w:w="1032"/>
        <w:gridCol w:w="1051"/>
        <w:gridCol w:w="792"/>
        <w:gridCol w:w="78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公司及其子公司对外担保情况（不包括对子公司的担保）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担保对象名称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实际发生日期 （协议签署日）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是否为关 联方担保</w:t>
            </w:r>
          </w:p>
        </w:tc>
      </w:tr>
      <w:tr>
        <w:trPr>
          <w:trHeight w:val="2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70"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公司与子公司之间担保情况</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担保对象名称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实际发生日期 （协议签署日）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是否为关 联方担保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西安紫光国芯半导体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center"/>
              <w:rPr>
                <w:sz w:val="16"/>
                <w:szCs w:val="16"/>
              </w:rPr>
            </w:pPr>
            <w:r>
              <w:rPr>
                <w:color w:val="000000"/>
                <w:spacing w:val="0"/>
                <w:w w:val="100"/>
                <w:position w:val="0"/>
                <w:sz w:val="16"/>
                <w:szCs w:val="16"/>
              </w:rPr>
              <w:t>连带责任保</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485" w:hRule="exact"/>
        </w:trPr>
        <w:tc>
          <w:tcPr>
            <w:gridSpan w:val="2"/>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报告期内审批对子公司担保额度 合计</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sz w:val="16"/>
                <w:szCs w:val="16"/>
              </w:rPr>
              <w:t>）</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1,090</w:t>
            </w:r>
          </w:p>
        </w:tc>
        <w:tc>
          <w:tcPr>
            <w:gridSpan w:val="2"/>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报告期内对子公司担保实 际发生额合计</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6"/>
                <w:szCs w:val="16"/>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1,020</w:t>
            </w:r>
          </w:p>
        </w:tc>
      </w:tr>
    </w:tbl>
    <w:tbl>
      <w:tblPr>
        <w:tblOverlap w:val="never"/>
        <w:jc w:val="center"/>
        <w:tblLayout w:type="fixed"/>
      </w:tblPr>
      <w:tblGrid>
        <w:gridCol w:w="1714"/>
        <w:gridCol w:w="922"/>
        <w:gridCol w:w="912"/>
        <w:gridCol w:w="1310"/>
        <w:gridCol w:w="1046"/>
        <w:gridCol w:w="1051"/>
        <w:gridCol w:w="1046"/>
        <w:gridCol w:w="787"/>
        <w:gridCol w:w="797"/>
      </w:tblGrid>
      <w:tr>
        <w:trPr>
          <w:trHeight w:val="480" w:hRule="exact"/>
        </w:trPr>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报告期末已审批的对子公司担保 额度合计</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6"/>
                <w:szCs w:val="16"/>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1,090</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报告期末对子公司实际担</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sz w:val="16"/>
                <w:szCs w:val="16"/>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1,020</w:t>
            </w:r>
          </w:p>
        </w:tc>
      </w:tr>
      <w:tr>
        <w:trPr>
          <w:trHeight w:val="370"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子公司对子公司的担保情况</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担保对象名称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实际发生日期 （协议签署日）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是否为关 联方担保</w:t>
            </w:r>
          </w:p>
        </w:tc>
      </w:tr>
      <w:tr>
        <w:trPr>
          <w:trHeight w:val="2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240" w:hRule="exact"/>
        </w:trPr>
        <w:tc>
          <w:tcPr>
            <w:gridSpan w:val="9"/>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公司担保总额（即前三大项的合计）</w:t>
            </w:r>
          </w:p>
        </w:tc>
      </w:tr>
      <w:tr>
        <w:trPr>
          <w:trHeight w:val="48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报告期内审批担保额度合计</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sz w:val="16"/>
                <w:szCs w:val="16"/>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报告期内担保实际发生额</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sz w:val="16"/>
                <w:szCs w:val="16"/>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1,020</w:t>
            </w:r>
          </w:p>
        </w:tc>
      </w:tr>
      <w:tr>
        <w:trPr>
          <w:trHeight w:val="475" w:hRule="exact"/>
        </w:trPr>
        <w:tc>
          <w:tcPr>
            <w:gridSpan w:val="2"/>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 xml:space="preserve">报告期末已审批的担保额度合计 </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sz w:val="16"/>
                <w:szCs w:val="16"/>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1,090</w:t>
            </w:r>
          </w:p>
        </w:tc>
        <w:tc>
          <w:tcPr>
            <w:gridSpan w:val="2"/>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报告期末实际担保余额合 计</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6"/>
                <w:szCs w:val="16"/>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6"/>
                <w:szCs w:val="16"/>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tc>
      </w:tr>
    </w:tbl>
    <w:p>
      <w:pPr>
        <w:pStyle w:val="Style33"/>
        <w:keepNext w:val="0"/>
        <w:keepLines w:val="0"/>
        <w:widowControl w:val="0"/>
        <w:shd w:val="clear" w:color="auto" w:fill="auto"/>
        <w:bidi w:val="0"/>
        <w:spacing w:before="0" w:after="0" w:line="240" w:lineRule="auto"/>
        <w:ind w:left="96" w:right="0" w:firstLine="0"/>
        <w:jc w:val="left"/>
        <w:rPr>
          <w:sz w:val="20"/>
          <w:szCs w:val="20"/>
        </w:rPr>
      </w:pPr>
      <w:bookmarkStart w:id="308" w:name="bookmark30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）违规对外担保情况</w:t>
      </w:r>
      <w:bookmarkEnd w:id="308"/>
    </w:p>
    <w:p>
      <w:pPr>
        <w:widowControl w:val="0"/>
        <w:spacing w:after="279" w:line="1" w:lineRule="exact"/>
      </w:pPr>
    </w:p>
    <w:p>
      <w:pPr>
        <w:pStyle w:val="Style31"/>
        <w:keepNext w:val="0"/>
        <w:keepLines w:val="0"/>
        <w:widowControl w:val="0"/>
        <w:shd w:val="clear" w:color="auto" w:fill="auto"/>
        <w:bidi w:val="0"/>
        <w:spacing w:before="0" w:after="180" w:line="313" w:lineRule="exact"/>
        <w:ind w:left="0" w:right="0" w:firstLine="500"/>
        <w:jc w:val="both"/>
      </w:pPr>
      <w:r>
        <w:rPr>
          <w:color w:val="000000"/>
          <w:spacing w:val="0"/>
          <w:w w:val="100"/>
          <w:position w:val="0"/>
        </w:rPr>
        <w:t>公司报告期无违规对外担保情况。</w:t>
      </w:r>
    </w:p>
    <w:p>
      <w:pPr>
        <w:pStyle w:val="Style28"/>
        <w:keepNext/>
        <w:keepLines/>
        <w:widowControl w:val="0"/>
        <w:shd w:val="clear" w:color="auto" w:fill="auto"/>
        <w:tabs>
          <w:tab w:pos="378" w:val="left"/>
        </w:tabs>
        <w:bidi w:val="0"/>
        <w:spacing w:before="0" w:after="180" w:line="240" w:lineRule="auto"/>
        <w:ind w:left="0" w:right="0" w:firstLine="0"/>
        <w:jc w:val="both"/>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3</w:t>
      </w:r>
      <w:bookmarkEnd w:id="311"/>
      <w:r>
        <w:rPr>
          <w:color w:val="000000"/>
          <w:spacing w:val="0"/>
          <w:w w:val="100"/>
          <w:position w:val="0"/>
        </w:rPr>
        <w:t>、</w:t>
        <w:tab/>
        <w:t>委托他人进行现金资产管理情况</w:t>
      </w:r>
      <w:bookmarkEnd w:id="309"/>
      <w:bookmarkEnd w:id="310"/>
      <w:bookmarkEnd w:id="312"/>
    </w:p>
    <w:p>
      <w:pPr>
        <w:pStyle w:val="Style28"/>
        <w:keepNext/>
        <w:keepLines/>
        <w:widowControl w:val="0"/>
        <w:shd w:val="clear" w:color="auto" w:fill="auto"/>
        <w:tabs>
          <w:tab w:pos="493" w:val="left"/>
        </w:tabs>
        <w:bidi w:val="0"/>
        <w:spacing w:before="0" w:after="120" w:line="240" w:lineRule="auto"/>
        <w:ind w:left="0" w:right="0" w:firstLine="0"/>
        <w:jc w:val="both"/>
      </w:pPr>
      <w:bookmarkStart w:id="313" w:name="bookmark313"/>
      <w:bookmarkStart w:id="314" w:name="bookmark314"/>
      <w:bookmarkStart w:id="315" w:name="bookmark315"/>
      <w:bookmarkStart w:id="316" w:name="bookmark316"/>
      <w:r>
        <w:rPr>
          <w:color w:val="000000"/>
          <w:spacing w:val="0"/>
          <w:w w:val="100"/>
          <w:position w:val="0"/>
        </w:rPr>
        <w:t>（</w:t>
      </w:r>
      <w:bookmarkEnd w:id="315"/>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13"/>
      <w:bookmarkEnd w:id="314"/>
      <w:bookmarkEnd w:id="316"/>
    </w:p>
    <w:p>
      <w:pPr>
        <w:pStyle w:val="Style31"/>
        <w:keepNext w:val="0"/>
        <w:keepLines w:val="0"/>
        <w:widowControl w:val="0"/>
        <w:shd w:val="clear" w:color="auto" w:fill="auto"/>
        <w:bidi w:val="0"/>
        <w:spacing w:before="0" w:after="180" w:line="313" w:lineRule="exact"/>
        <w:ind w:left="0" w:right="0" w:firstLine="500"/>
        <w:jc w:val="both"/>
      </w:pPr>
      <w:r>
        <w:rPr>
          <w:color w:val="000000"/>
          <w:spacing w:val="0"/>
          <w:w w:val="100"/>
          <w:position w:val="0"/>
        </w:rPr>
        <w:t>公司报告期不存在委托理财。</w:t>
      </w:r>
    </w:p>
    <w:p>
      <w:pPr>
        <w:pStyle w:val="Style28"/>
        <w:keepNext/>
        <w:keepLines/>
        <w:widowControl w:val="0"/>
        <w:shd w:val="clear" w:color="auto" w:fill="auto"/>
        <w:tabs>
          <w:tab w:pos="493" w:val="left"/>
        </w:tabs>
        <w:bidi w:val="0"/>
        <w:spacing w:before="0" w:after="120" w:line="240" w:lineRule="auto"/>
        <w:ind w:left="0" w:right="0" w:firstLine="0"/>
        <w:jc w:val="both"/>
      </w:pPr>
      <w:bookmarkStart w:id="317" w:name="bookmark317"/>
      <w:bookmarkStart w:id="318" w:name="bookmark318"/>
      <w:bookmarkStart w:id="319" w:name="bookmark319"/>
      <w:bookmarkStart w:id="320" w:name="bookmark320"/>
      <w:r>
        <w:rPr>
          <w:color w:val="000000"/>
          <w:spacing w:val="0"/>
          <w:w w:val="100"/>
          <w:position w:val="0"/>
        </w:rPr>
        <w:t>（</w:t>
      </w:r>
      <w:bookmarkEnd w:id="319"/>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17"/>
      <w:bookmarkEnd w:id="318"/>
      <w:bookmarkEnd w:id="320"/>
    </w:p>
    <w:p>
      <w:pPr>
        <w:pStyle w:val="Style31"/>
        <w:keepNext w:val="0"/>
        <w:keepLines w:val="0"/>
        <w:widowControl w:val="0"/>
        <w:shd w:val="clear" w:color="auto" w:fill="auto"/>
        <w:bidi w:val="0"/>
        <w:spacing w:before="0" w:after="180" w:line="313" w:lineRule="exact"/>
        <w:ind w:left="0" w:right="0" w:firstLine="500"/>
        <w:jc w:val="both"/>
      </w:pPr>
      <w:r>
        <w:rPr>
          <w:color w:val="000000"/>
          <w:spacing w:val="0"/>
          <w:w w:val="100"/>
          <w:position w:val="0"/>
        </w:rPr>
        <w:t>公司报告期不存在委托贷款。</w:t>
      </w:r>
    </w:p>
    <w:p>
      <w:pPr>
        <w:pStyle w:val="Style28"/>
        <w:keepNext/>
        <w:keepLines/>
        <w:widowControl w:val="0"/>
        <w:shd w:val="clear" w:color="auto" w:fill="auto"/>
        <w:tabs>
          <w:tab w:pos="378" w:val="left"/>
        </w:tabs>
        <w:bidi w:val="0"/>
        <w:spacing w:before="0" w:after="120" w:line="240" w:lineRule="auto"/>
        <w:ind w:left="0" w:right="0" w:firstLine="0"/>
        <w:jc w:val="both"/>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4</w:t>
      </w:r>
      <w:bookmarkEnd w:id="323"/>
      <w:r>
        <w:rPr>
          <w:color w:val="000000"/>
          <w:spacing w:val="0"/>
          <w:w w:val="100"/>
          <w:position w:val="0"/>
        </w:rPr>
        <w:t>、</w:t>
        <w:tab/>
        <w:t>其他重大合同</w:t>
      </w:r>
      <w:bookmarkEnd w:id="321"/>
      <w:bookmarkEnd w:id="322"/>
      <w:bookmarkEnd w:id="324"/>
    </w:p>
    <w:p>
      <w:pPr>
        <w:pStyle w:val="Style31"/>
        <w:keepNext w:val="0"/>
        <w:keepLines w:val="0"/>
        <w:widowControl w:val="0"/>
        <w:shd w:val="clear" w:color="auto" w:fill="auto"/>
        <w:bidi w:val="0"/>
        <w:spacing w:before="0" w:after="280" w:line="313" w:lineRule="exact"/>
        <w:ind w:left="0" w:right="0" w:firstLine="500"/>
        <w:jc w:val="both"/>
      </w:pPr>
      <w:r>
        <w:rPr>
          <w:color w:val="000000"/>
          <w:spacing w:val="0"/>
          <w:w w:val="100"/>
          <w:position w:val="0"/>
        </w:rPr>
        <w:t>公司报告期不存在其他重大合同。</w:t>
      </w:r>
    </w:p>
    <w:p>
      <w:pPr>
        <w:pStyle w:val="Style23"/>
        <w:keepNext/>
        <w:keepLines/>
        <w:widowControl w:val="0"/>
        <w:shd w:val="clear" w:color="auto" w:fill="auto"/>
        <w:bidi w:val="0"/>
        <w:spacing w:before="0" w:after="360" w:line="313" w:lineRule="exact"/>
        <w:ind w:left="0" w:right="0" w:firstLine="0"/>
        <w:jc w:val="left"/>
      </w:pPr>
      <w:bookmarkStart w:id="325" w:name="bookmark325"/>
      <w:bookmarkStart w:id="326" w:name="bookmark326"/>
      <w:bookmarkStart w:id="327" w:name="bookmark327"/>
      <w:r>
        <w:rPr>
          <w:color w:val="000000"/>
          <w:spacing w:val="0"/>
          <w:w w:val="100"/>
          <w:position w:val="0"/>
        </w:rPr>
        <w:t>十八、社会责任情况</w:t>
      </w:r>
      <w:bookmarkEnd w:id="325"/>
      <w:bookmarkEnd w:id="326"/>
      <w:bookmarkEnd w:id="327"/>
    </w:p>
    <w:p>
      <w:pPr>
        <w:pStyle w:val="Style28"/>
        <w:keepNext/>
        <w:keepLines/>
        <w:widowControl w:val="0"/>
        <w:shd w:val="clear" w:color="auto" w:fill="auto"/>
        <w:tabs>
          <w:tab w:pos="368" w:val="left"/>
        </w:tabs>
        <w:bidi w:val="0"/>
        <w:spacing w:before="0" w:after="360" w:line="240" w:lineRule="auto"/>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1</w:t>
      </w:r>
      <w:bookmarkEnd w:id="330"/>
      <w:r>
        <w:rPr>
          <w:color w:val="000000"/>
          <w:spacing w:val="0"/>
          <w:w w:val="100"/>
          <w:position w:val="0"/>
        </w:rPr>
        <w:t>、</w:t>
        <w:tab/>
        <w:t>履行精准扶贫社会责任情况</w:t>
      </w:r>
      <w:bookmarkEnd w:id="328"/>
      <w:bookmarkEnd w:id="329"/>
      <w:bookmarkEnd w:id="331"/>
    </w:p>
    <w:p>
      <w:pPr>
        <w:pStyle w:val="Style28"/>
        <w:keepNext/>
        <w:keepLines/>
        <w:widowControl w:val="0"/>
        <w:shd w:val="clear" w:color="auto" w:fill="auto"/>
        <w:bidi w:val="0"/>
        <w:spacing w:before="0" w:after="360" w:line="240" w:lineRule="auto"/>
        <w:ind w:left="0" w:right="0" w:firstLine="0"/>
        <w:jc w:val="left"/>
      </w:pPr>
      <w:bookmarkStart w:id="328" w:name="bookmark328"/>
      <w:bookmarkStart w:id="329" w:name="bookmark329"/>
      <w:r>
        <w:rPr>
          <w:color w:val="000000"/>
          <w:spacing w:val="0"/>
          <w:w w:val="100"/>
          <w:position w:val="0"/>
        </w:rPr>
        <w:t>□</w:t>
      </w:r>
      <w:r>
        <w:rPr>
          <w:color w:val="000000"/>
          <w:spacing w:val="0"/>
          <w:w w:val="100"/>
          <w:position w:val="0"/>
        </w:rPr>
        <w:t>适用/不适用</w:t>
      </w:r>
      <w:bookmarkEnd w:id="328"/>
      <w:bookmarkEnd w:id="329"/>
    </w:p>
    <w:p>
      <w:pPr>
        <w:pStyle w:val="Style28"/>
        <w:keepNext/>
        <w:keepLines/>
        <w:widowControl w:val="0"/>
        <w:shd w:val="clear" w:color="auto" w:fill="auto"/>
        <w:tabs>
          <w:tab w:pos="378" w:val="left"/>
        </w:tabs>
        <w:bidi w:val="0"/>
        <w:spacing w:before="0" w:after="28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2</w:t>
      </w:r>
      <w:bookmarkEnd w:id="334"/>
      <w:r>
        <w:rPr>
          <w:color w:val="000000"/>
          <w:spacing w:val="0"/>
          <w:w w:val="100"/>
          <w:position w:val="0"/>
        </w:rPr>
        <w:t>、</w:t>
        <w:tab/>
        <w:t>履行其他社会责任的情况</w:t>
      </w:r>
      <w:bookmarkEnd w:id="332"/>
      <w:bookmarkEnd w:id="333"/>
      <w:bookmarkEnd w:id="335"/>
    </w:p>
    <w:p>
      <w:pPr>
        <w:pStyle w:val="Style31"/>
        <w:keepNext w:val="0"/>
        <w:keepLines w:val="0"/>
        <w:widowControl w:val="0"/>
        <w:shd w:val="clear" w:color="auto" w:fill="auto"/>
        <w:bidi w:val="0"/>
        <w:spacing w:before="0" w:line="317" w:lineRule="exact"/>
        <w:ind w:left="0" w:right="0" w:firstLine="500"/>
        <w:jc w:val="both"/>
      </w:pPr>
      <w:r>
        <w:rPr>
          <w:color w:val="000000"/>
          <w:spacing w:val="0"/>
          <w:w w:val="100"/>
          <w:position w:val="0"/>
        </w:rPr>
        <w:t>报告期内，公司积极承担社会责任，履行企业应尽的义务，坚持做到经济效益与社会效 益并重，在追求经济效益的同时注重环境保护和节能降耗，促进公司与社会、自然的协调和 谐发展。</w:t>
      </w:r>
    </w:p>
    <w:p>
      <w:pPr>
        <w:pStyle w:val="Style31"/>
        <w:keepNext w:val="0"/>
        <w:keepLines w:val="0"/>
        <w:widowControl w:val="0"/>
        <w:shd w:val="clear" w:color="auto" w:fill="auto"/>
        <w:bidi w:val="0"/>
        <w:spacing w:before="0" w:line="309" w:lineRule="exact"/>
        <w:ind w:left="0" w:right="0" w:firstLine="500"/>
        <w:jc w:val="both"/>
      </w:pPr>
      <w:r>
        <w:rPr>
          <w:color w:val="000000"/>
          <w:spacing w:val="0"/>
          <w:w w:val="100"/>
          <w:position w:val="0"/>
        </w:rPr>
        <w:t>公司依法诚信经营，主动接受监管部门、社会各界的监督，持续完善公司治理结构，充 分尊重和维护相关利益者的合法权益。严格按照相关法律法规的要求，及时、真实、准确、 完整地履行信息披露义务，在为股东创造价值的同时，保证全体股东对公司重大事项的知情 权和参与权。</w:t>
      </w:r>
    </w:p>
    <w:p>
      <w:pPr>
        <w:pStyle w:val="Style31"/>
        <w:keepNext w:val="0"/>
        <w:keepLines w:val="0"/>
        <w:widowControl w:val="0"/>
        <w:shd w:val="clear" w:color="auto" w:fill="auto"/>
        <w:bidi w:val="0"/>
        <w:spacing w:before="0" w:after="180" w:line="317" w:lineRule="exact"/>
        <w:ind w:left="0" w:right="0" w:firstLine="500"/>
        <w:jc w:val="both"/>
      </w:pPr>
      <w:r>
        <w:rPr>
          <w:color w:val="000000"/>
          <w:spacing w:val="0"/>
          <w:w w:val="100"/>
          <w:position w:val="0"/>
        </w:rPr>
        <w:t>公司始终坚持以人为本的核心价值观，依法保护员工的合法权益，不断改善员工的工作 环境，重视员工的健康与安全，增强员工的归属感和凝聚力，实现员工与企业的共同成长。</w:t>
      </w:r>
    </w:p>
    <w:p>
      <w:pPr>
        <w:pStyle w:val="Style31"/>
        <w:keepNext w:val="0"/>
        <w:keepLines w:val="0"/>
        <w:widowControl w:val="0"/>
        <w:shd w:val="clear" w:color="auto" w:fill="auto"/>
        <w:bidi w:val="0"/>
        <w:spacing w:before="0" w:line="313" w:lineRule="exact"/>
        <w:ind w:left="0" w:right="0" w:firstLine="0"/>
        <w:jc w:val="left"/>
      </w:pPr>
      <w:r>
        <w:rPr>
          <w:b/>
          <w:bCs/>
          <w:color w:val="000000"/>
          <w:spacing w:val="0"/>
          <w:w w:val="100"/>
          <w:position w:val="0"/>
        </w:rPr>
        <w:t>上市公司及其子公司是否属于环境保护部门公布的重点排污单位</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是/否</w:t>
      </w:r>
    </w:p>
    <w:p>
      <w:pPr>
        <w:pStyle w:val="Style31"/>
        <w:keepNext w:val="0"/>
        <w:keepLines w:val="0"/>
        <w:widowControl w:val="0"/>
        <w:shd w:val="clear" w:color="auto" w:fill="auto"/>
        <w:bidi w:val="0"/>
        <w:spacing w:before="0" w:line="313" w:lineRule="exact"/>
        <w:ind w:left="0" w:right="0" w:firstLine="0"/>
        <w:jc w:val="left"/>
      </w:pPr>
      <w:r>
        <w:rPr>
          <w:b/>
          <w:bCs/>
          <w:color w:val="000000"/>
          <w:spacing w:val="0"/>
          <w:w w:val="100"/>
          <w:position w:val="0"/>
        </w:rPr>
        <w:t>是否发布社会责任报告</w:t>
      </w:r>
    </w:p>
    <w:p>
      <w:pPr>
        <w:pStyle w:val="Style31"/>
        <w:keepNext w:val="0"/>
        <w:keepLines w:val="0"/>
        <w:widowControl w:val="0"/>
        <w:shd w:val="clear" w:color="auto" w:fill="auto"/>
        <w:bidi w:val="0"/>
        <w:spacing w:before="0" w:after="280" w:line="240" w:lineRule="auto"/>
        <w:ind w:left="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是/否</w:t>
      </w:r>
    </w:p>
    <w:p>
      <w:pPr>
        <w:pStyle w:val="Style23"/>
        <w:keepNext/>
        <w:keepLines/>
        <w:widowControl w:val="0"/>
        <w:shd w:val="clear" w:color="auto" w:fill="auto"/>
        <w:bidi w:val="0"/>
        <w:spacing w:before="0" w:after="280" w:line="313" w:lineRule="exact"/>
        <w:ind w:left="0" w:right="0" w:firstLine="0"/>
        <w:jc w:val="left"/>
      </w:pPr>
      <w:bookmarkStart w:id="336" w:name="bookmark336"/>
      <w:bookmarkStart w:id="337" w:name="bookmark337"/>
      <w:bookmarkStart w:id="338" w:name="bookmark338"/>
      <w:r>
        <w:rPr>
          <w:color w:val="000000"/>
          <w:spacing w:val="0"/>
          <w:w w:val="100"/>
          <w:position w:val="0"/>
        </w:rPr>
        <w:t>十九、其他重大事项的说明</w:t>
      </w:r>
      <w:bookmarkEnd w:id="336"/>
      <w:bookmarkEnd w:id="337"/>
      <w:bookmarkEnd w:id="338"/>
    </w:p>
    <w:p>
      <w:pPr>
        <w:pStyle w:val="Style23"/>
        <w:keepNext/>
        <w:keepLines/>
        <w:widowControl w:val="0"/>
        <w:shd w:val="clear" w:color="auto" w:fill="auto"/>
        <w:tabs>
          <w:tab w:pos="837" w:val="left"/>
        </w:tabs>
        <w:bidi w:val="0"/>
        <w:spacing w:before="0" w:after="120" w:line="313" w:lineRule="exact"/>
        <w:ind w:left="0" w:right="0" w:firstLine="480"/>
        <w:jc w:val="both"/>
      </w:pPr>
      <w:bookmarkStart w:id="336" w:name="bookmark336"/>
      <w:bookmarkStart w:id="337" w:name="bookmark337"/>
      <w:bookmarkStart w:id="339" w:name="bookmark339"/>
      <w:r>
        <w:rPr>
          <w:color w:val="000000"/>
          <w:spacing w:val="0"/>
          <w:w w:val="100"/>
          <w:position w:val="0"/>
        </w:rPr>
        <w:t>1</w:t>
      </w:r>
      <w:bookmarkEnd w:id="339"/>
      <w:r>
        <w:rPr>
          <w:color w:val="000000"/>
          <w:spacing w:val="0"/>
          <w:w w:val="100"/>
          <w:position w:val="0"/>
        </w:rPr>
        <w:t>、</w:t>
        <w:tab/>
        <w:t>2015年度募集资金25亿元的非公开发行股份事项</w:t>
      </w:r>
      <w:bookmarkEnd w:id="336"/>
      <w:bookmarkEnd w:id="337"/>
    </w:p>
    <w:p>
      <w:pPr>
        <w:pStyle w:val="Style31"/>
        <w:keepNext w:val="0"/>
        <w:keepLines w:val="0"/>
        <w:widowControl w:val="0"/>
        <w:shd w:val="clear" w:color="auto" w:fill="auto"/>
        <w:bidi w:val="0"/>
        <w:spacing w:before="0" w:line="313" w:lineRule="exact"/>
        <w:ind w:left="0" w:right="0" w:firstLine="4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日召开的第五届董事会第十二次会议和</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日召开的</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年第 一次临时股东大会审议通过了公司非公开发行股票的相关议案，同意公司向不超过十名特定 投资者非公开发行不超过</w:t>
      </w:r>
      <w:r>
        <w:rPr>
          <w:rFonts w:ascii="Times New Roman" w:eastAsia="Times New Roman" w:hAnsi="Times New Roman" w:cs="Times New Roman"/>
          <w:color w:val="000000"/>
          <w:spacing w:val="0"/>
          <w:w w:val="100"/>
          <w:position w:val="0"/>
          <w:sz w:val="24"/>
          <w:szCs w:val="24"/>
        </w:rPr>
        <w:t>79,186,228</w:t>
      </w:r>
      <w:r>
        <w:rPr>
          <w:color w:val="000000"/>
          <w:spacing w:val="0"/>
          <w:w w:val="100"/>
          <w:position w:val="0"/>
        </w:rPr>
        <w:t>股股票，募集资金总额不超过</w:t>
      </w:r>
      <w:r>
        <w:rPr>
          <w:rFonts w:ascii="Times New Roman" w:eastAsia="Times New Roman" w:hAnsi="Times New Roman" w:cs="Times New Roman"/>
          <w:color w:val="000000"/>
          <w:spacing w:val="0"/>
          <w:w w:val="100"/>
          <w:position w:val="0"/>
          <w:sz w:val="24"/>
          <w:szCs w:val="24"/>
        </w:rPr>
        <w:t>25.3</w:t>
      </w:r>
      <w:r>
        <w:rPr>
          <w:color w:val="000000"/>
          <w:spacing w:val="0"/>
          <w:w w:val="100"/>
          <w:position w:val="0"/>
        </w:rPr>
        <w:t>亿元。</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 公司收到《中国证监会行政许可申请受理通知书》（</w:t>
      </w:r>
      <w:r>
        <w:rPr>
          <w:rFonts w:ascii="Times New Roman" w:eastAsia="Times New Roman" w:hAnsi="Times New Roman" w:cs="Times New Roman"/>
          <w:color w:val="000000"/>
          <w:spacing w:val="0"/>
          <w:w w:val="100"/>
          <w:position w:val="0"/>
          <w:sz w:val="24"/>
          <w:szCs w:val="24"/>
        </w:rPr>
        <w:t>151314</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月，公司决定向 中国证监会申请撤回本次非公开发行股票申请文件，经公司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日召开的第五届董事 会第十七次会议和</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日召开的</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年第一次临时股东大会审议通过，公司于</w:t>
      </w:r>
      <w:r>
        <w:rPr>
          <w:rFonts w:ascii="Times New Roman" w:eastAsia="Times New Roman" w:hAnsi="Times New Roman" w:cs="Times New Roman"/>
          <w:color w:val="000000"/>
          <w:spacing w:val="0"/>
          <w:w w:val="100"/>
          <w:position w:val="0"/>
          <w:sz w:val="24"/>
          <w:szCs w:val="24"/>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月向中国证监会递交了撤回审核的申请，中国证监会于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日出具了《中国证监 会行政许可申请终止审查通知书》（</w:t>
      </w:r>
      <w:r>
        <w:rPr>
          <w:rFonts w:ascii="Times New Roman" w:eastAsia="Times New Roman" w:hAnsi="Times New Roman" w:cs="Times New Roman"/>
          <w:color w:val="000000"/>
          <w:spacing w:val="0"/>
          <w:w w:val="100"/>
          <w:position w:val="0"/>
          <w:sz w:val="24"/>
          <w:szCs w:val="24"/>
        </w:rPr>
        <w:t>[2016]400</w:t>
      </w:r>
      <w:r>
        <w:rPr>
          <w:color w:val="000000"/>
          <w:spacing w:val="0"/>
          <w:w w:val="100"/>
          <w:position w:val="0"/>
        </w:rPr>
        <w:t>号），终止对该行政许可申请的审查。</w:t>
      </w:r>
    </w:p>
    <w:p>
      <w:pPr>
        <w:pStyle w:val="Style31"/>
        <w:keepNext w:val="0"/>
        <w:keepLines w:val="0"/>
        <w:widowControl w:val="0"/>
        <w:shd w:val="clear" w:color="auto" w:fill="auto"/>
        <w:bidi w:val="0"/>
        <w:spacing w:before="0" w:line="312" w:lineRule="exact"/>
        <w:ind w:left="0" w:right="0" w:firstLine="480"/>
        <w:jc w:val="both"/>
      </w:pPr>
      <w:r>
        <w:rPr>
          <w:color w:val="000000"/>
          <w:spacing w:val="0"/>
          <w:w w:val="100"/>
          <w:position w:val="0"/>
        </w:rPr>
        <w:t>详细内容请查看公司于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 在《中国证券报》及巨潮资讯网（</w:t>
      </w:r>
      <w:r>
        <w:rPr>
          <w:rFonts w:ascii="Times New Roman" w:eastAsia="Times New Roman" w:hAnsi="Times New Roman" w:cs="Times New Roman"/>
          <w:color w:val="000000"/>
          <w:spacing w:val="0"/>
          <w:w w:val="100"/>
          <w:position w:val="0"/>
          <w:sz w:val="24"/>
          <w:szCs w:val="24"/>
        </w:rPr>
        <w:t>http://www.cninfo.com.cn</w:t>
      </w:r>
      <w:r>
        <w:rPr>
          <w:color w:val="000000"/>
          <w:spacing w:val="0"/>
          <w:w w:val="100"/>
          <w:position w:val="0"/>
        </w:rPr>
        <w:t>）</w:t>
      </w:r>
      <w:r>
        <w:rPr>
          <w:color w:val="000000"/>
          <w:spacing w:val="0"/>
          <w:w w:val="100"/>
          <w:position w:val="0"/>
        </w:rPr>
        <w:t>上披露的相关公告。</w:t>
      </w:r>
    </w:p>
    <w:p>
      <w:pPr>
        <w:pStyle w:val="Style31"/>
        <w:keepNext w:val="0"/>
        <w:keepLines w:val="0"/>
        <w:widowControl w:val="0"/>
        <w:shd w:val="clear" w:color="auto" w:fill="auto"/>
        <w:tabs>
          <w:tab w:pos="838" w:val="left"/>
        </w:tabs>
        <w:bidi w:val="0"/>
        <w:spacing w:before="0" w:line="313" w:lineRule="exact"/>
        <w:ind w:left="0" w:right="0" w:firstLine="480"/>
        <w:jc w:val="both"/>
      </w:pPr>
      <w:bookmarkStart w:id="340" w:name="bookmark340"/>
      <w:r>
        <w:rPr>
          <w:b/>
          <w:bCs/>
          <w:color w:val="000000"/>
          <w:spacing w:val="0"/>
          <w:w w:val="100"/>
          <w:position w:val="0"/>
        </w:rPr>
        <w:t>2</w:t>
      </w:r>
      <w:bookmarkEnd w:id="340"/>
      <w:r>
        <w:rPr>
          <w:b/>
          <w:bCs/>
          <w:color w:val="000000"/>
          <w:spacing w:val="0"/>
          <w:w w:val="100"/>
          <w:position w:val="0"/>
        </w:rPr>
        <w:t>、</w:t>
        <w:tab/>
        <w:t>2015年度募集资金800亿元的非公开发行股份事项</w:t>
      </w:r>
    </w:p>
    <w:p>
      <w:pPr>
        <w:pStyle w:val="Style31"/>
        <w:keepNext w:val="0"/>
        <w:keepLines w:val="0"/>
        <w:widowControl w:val="0"/>
        <w:shd w:val="clear" w:color="auto" w:fill="auto"/>
        <w:bidi w:val="0"/>
        <w:spacing w:before="0" w:line="316" w:lineRule="exact"/>
        <w:ind w:left="0" w:right="0" w:firstLine="480"/>
        <w:jc w:val="both"/>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日，公司召开的第五届董事会第十七次会议审议通过了公司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年非公开发 行股票预案及相关议案，公司拟向</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名认购对象非公开发行股票数量为</w:t>
      </w:r>
      <w:r>
        <w:rPr>
          <w:rFonts w:ascii="Times New Roman" w:eastAsia="Times New Roman" w:hAnsi="Times New Roman" w:cs="Times New Roman"/>
          <w:color w:val="000000"/>
          <w:spacing w:val="0"/>
          <w:w w:val="100"/>
          <w:position w:val="0"/>
          <w:sz w:val="24"/>
          <w:szCs w:val="24"/>
        </w:rPr>
        <w:t>2,958,579,878</w:t>
      </w:r>
      <w:r>
        <w:rPr>
          <w:color w:val="000000"/>
          <w:spacing w:val="0"/>
          <w:w w:val="100"/>
          <w:position w:val="0"/>
        </w:rPr>
        <w:t>股，募集 资金总额为不超过</w:t>
      </w:r>
      <w:r>
        <w:rPr>
          <w:rFonts w:ascii="Times New Roman" w:eastAsia="Times New Roman" w:hAnsi="Times New Roman" w:cs="Times New Roman"/>
          <w:color w:val="000000"/>
          <w:spacing w:val="0"/>
          <w:w w:val="100"/>
          <w:position w:val="0"/>
          <w:sz w:val="24"/>
          <w:szCs w:val="24"/>
        </w:rPr>
        <w:t>8,000,000</w:t>
      </w:r>
      <w:r>
        <w:rPr>
          <w:color w:val="000000"/>
          <w:spacing w:val="0"/>
          <w:w w:val="100"/>
          <w:position w:val="0"/>
        </w:rPr>
        <w:t>万元。公司已于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日与各认购方签署了附条件生效的 《非公开发行股票认购协议（合同）》。</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日，公司召开的第五届董事会第二十七 次会议对本次非公开发行股票预案及本次非公开发行股票募集资金运用的可行性研究报告进 行了修订。</w:t>
      </w:r>
    </w:p>
    <w:p>
      <w:pPr>
        <w:pStyle w:val="Style31"/>
        <w:keepNext w:val="0"/>
        <w:keepLines w:val="0"/>
        <w:widowControl w:val="0"/>
        <w:shd w:val="clear" w:color="auto" w:fill="auto"/>
        <w:bidi w:val="0"/>
        <w:spacing w:before="0" w:line="314" w:lineRule="exact"/>
        <w:ind w:left="0" w:right="0" w:firstLine="480"/>
        <w:jc w:val="both"/>
      </w:pPr>
      <w:r>
        <w:rPr>
          <w:color w:val="000000"/>
          <w:spacing w:val="0"/>
          <w:w w:val="100"/>
          <w:position w:val="0"/>
        </w:rPr>
        <w:t>截止目前，本次非公开发行的募投项目中认购南茂科技股份有限公司和力成科技股份有 限公司私募股份事项的重大资产重组已终止。本次非公开发行股份事项尚需公司股东大会审 议，并经相关国有资产监督管理部门批准和中国证监会核准后方可实施。</w:t>
      </w:r>
    </w:p>
    <w:p>
      <w:pPr>
        <w:pStyle w:val="Style31"/>
        <w:keepNext w:val="0"/>
        <w:keepLines w:val="0"/>
        <w:widowControl w:val="0"/>
        <w:shd w:val="clear" w:color="auto" w:fill="auto"/>
        <w:bidi w:val="0"/>
        <w:spacing w:before="0" w:line="307" w:lineRule="exact"/>
        <w:ind w:left="0" w:right="0" w:firstLine="480"/>
        <w:jc w:val="both"/>
      </w:pPr>
      <w:r>
        <w:rPr>
          <w:color w:val="000000"/>
          <w:spacing w:val="0"/>
          <w:w w:val="100"/>
          <w:position w:val="0"/>
        </w:rPr>
        <w:t>详细内容请查看公司于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 xml:space="preserve">日在《中国证券报》及巨潮资讯网 </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http://www.cninfo.com.cn</w:t>
      </w:r>
      <w:r>
        <w:rPr>
          <w:color w:val="000000"/>
          <w:spacing w:val="0"/>
          <w:w w:val="100"/>
          <w:position w:val="0"/>
        </w:rPr>
        <w:t>）</w:t>
      </w:r>
      <w:r>
        <w:rPr>
          <w:color w:val="000000"/>
          <w:spacing w:val="0"/>
          <w:w w:val="100"/>
          <w:position w:val="0"/>
        </w:rPr>
        <w:t>上披露的相关公告。</w:t>
      </w:r>
    </w:p>
    <w:p>
      <w:pPr>
        <w:pStyle w:val="Style31"/>
        <w:keepNext w:val="0"/>
        <w:keepLines w:val="0"/>
        <w:widowControl w:val="0"/>
        <w:shd w:val="clear" w:color="auto" w:fill="auto"/>
        <w:tabs>
          <w:tab w:pos="838" w:val="left"/>
        </w:tabs>
        <w:bidi w:val="0"/>
        <w:spacing w:before="0" w:line="313" w:lineRule="exact"/>
        <w:ind w:left="0" w:right="0" w:firstLine="480"/>
        <w:jc w:val="both"/>
      </w:pPr>
      <w:bookmarkStart w:id="341" w:name="bookmark341"/>
      <w:r>
        <w:rPr>
          <w:b/>
          <w:bCs/>
          <w:color w:val="000000"/>
          <w:spacing w:val="0"/>
          <w:w w:val="100"/>
          <w:position w:val="0"/>
        </w:rPr>
        <w:t>3</w:t>
      </w:r>
      <w:bookmarkEnd w:id="341"/>
      <w:r>
        <w:rPr>
          <w:b/>
          <w:bCs/>
          <w:color w:val="000000"/>
          <w:spacing w:val="0"/>
          <w:w w:val="100"/>
          <w:position w:val="0"/>
        </w:rPr>
        <w:t>、</w:t>
        <w:tab/>
        <w:t>重大资产重组事项</w:t>
      </w:r>
    </w:p>
    <w:p>
      <w:pPr>
        <w:pStyle w:val="Style31"/>
        <w:keepNext w:val="0"/>
        <w:keepLines w:val="0"/>
        <w:widowControl w:val="0"/>
        <w:shd w:val="clear" w:color="auto" w:fill="auto"/>
        <w:bidi w:val="0"/>
        <w:spacing w:before="0" w:after="180" w:line="312" w:lineRule="exact"/>
        <w:ind w:left="0" w:right="0" w:firstLine="48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日，公司召开第五届董事会第二十二次会议，审议通过了《关于</w:t>
      </w:r>
      <w:r>
        <w:rPr>
          <w:color w:val="000000"/>
          <w:spacing w:val="0"/>
          <w:w w:val="100"/>
          <w:position w:val="0"/>
          <w:sz w:val="24"/>
          <w:szCs w:val="24"/>
        </w:rPr>
        <w:t>〈</w:t>
      </w:r>
      <w:r>
        <w:rPr>
          <w:color w:val="000000"/>
          <w:spacing w:val="0"/>
          <w:w w:val="100"/>
          <w:position w:val="0"/>
        </w:rPr>
        <w:t>同方国芯 电子股份有限公司重大资产购买报告书（草案）</w:t>
      </w:r>
      <w:r>
        <w:rPr>
          <w:color w:val="000000"/>
          <w:spacing w:val="0"/>
          <w:w w:val="100"/>
          <w:position w:val="0"/>
          <w:sz w:val="24"/>
          <w:szCs w:val="24"/>
        </w:rPr>
        <w:t>〉</w:t>
      </w:r>
      <w:r>
        <w:rPr>
          <w:color w:val="000000"/>
          <w:spacing w:val="0"/>
          <w:w w:val="100"/>
          <w:position w:val="0"/>
        </w:rPr>
        <w:t>及其摘要的议案》等与本次重大资产重组相 关的议案，公司拟通过全资子公司拓展创芯和茂业创芯以现金方式分别认购力成科技股份有 限公司（以下简称“力成科技”）和南茂科技股份有限公司（以下简称“南茂科技”）私募 发行的股份。公司已于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日和</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日分别与力成科技、南茂科技签订了《认股协 议书》。</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日，公司收到深圳证券交易所中小板公司管理部出具的《关于对同方国 芯电子股份有限公司的重组问询函》（中小板重组问询函（不需行政许可）【</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日，公司对问询函进行了回复，并对重大资产购买报告书（草案）等相关文件进 行了相应补充或修订。</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 xml:space="preserve">日，公司股票复牌。该重大资产重组事项尚需经公司股东 </w:t>
      </w:r>
      <w:r>
        <w:rPr>
          <w:color w:val="000000"/>
          <w:spacing w:val="0"/>
          <w:w w:val="100"/>
          <w:position w:val="0"/>
        </w:rPr>
        <w:t>大会审议批准、并取得相关各主管部门的批准和授权。</w:t>
      </w:r>
    </w:p>
    <w:p>
      <w:pPr>
        <w:pStyle w:val="Style31"/>
        <w:keepNext w:val="0"/>
        <w:keepLines w:val="0"/>
        <w:widowControl w:val="0"/>
        <w:shd w:val="clear" w:color="auto" w:fill="auto"/>
        <w:bidi w:val="0"/>
        <w:spacing w:before="0" w:after="140" w:line="315" w:lineRule="exact"/>
        <w:ind w:left="0" w:right="0" w:firstLine="48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日和</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日，公司分别将认购力成科技、南茂科技股份事项所需申请材料提 交台湾经济部投资审议委员会(以下简称“投审会”)，</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月，公司会同中 介机构针对投审会的反馈意见进行了三次回复及相关材料的补充。此后，上述审核一直处于 停滞状态，后续没有新的反馈意见及审核结论。</w:t>
      </w:r>
    </w:p>
    <w:p>
      <w:pPr>
        <w:pStyle w:val="Style31"/>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鉴于投审会审核的不确定性及资本市场环境的较大变化，</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日，经公司第五 届董事会第三十一次会议审议同意，公司与南茂科技签署了《终止协议书》，不再认购其本 次私募发行的股份。</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日，公司收到力成科技的《通知函》，鉴于公司未能在与力 成科技签署的《认股协议书》约定的期限内取得台湾投审会的核准，力成科技董事会已决议 不继续本次私募股份发行。</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日，经公司第五届董事会第三十三次会议审议同意， 公司决定与力成科技签署《终止协议书》，不再认购其本次私募发行的股份。截止本报告披 露日，该重大资产重组已终止。</w:t>
      </w:r>
    </w:p>
    <w:p>
      <w:pPr>
        <w:pStyle w:val="Style2"/>
        <w:keepNext w:val="0"/>
        <w:keepLines w:val="0"/>
        <w:widowControl w:val="0"/>
        <w:shd w:val="clear" w:color="auto" w:fill="auto"/>
        <w:bidi w:val="0"/>
        <w:spacing w:before="0" w:after="140" w:line="322" w:lineRule="exact"/>
        <w:ind w:left="0" w:right="0" w:firstLine="480"/>
        <w:jc w:val="both"/>
      </w:pPr>
      <w:r>
        <w:rPr>
          <w:color w:val="000000"/>
          <w:spacing w:val="0"/>
          <w:w w:val="100"/>
          <w:position w:val="0"/>
        </w:rPr>
        <w:t>详细内容请查看公司分别于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日在《中国证券报》及巨潮资讯网</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http:// www.cninfo.com.cn</w:t>
      </w:r>
      <w:r>
        <w:rPr>
          <w:color w:val="000000"/>
          <w:spacing w:val="0"/>
          <w:w w:val="100"/>
          <w:position w:val="0"/>
        </w:rPr>
        <w:t>)</w:t>
      </w:r>
      <w:r>
        <w:rPr>
          <w:color w:val="000000"/>
          <w:spacing w:val="0"/>
          <w:w w:val="100"/>
          <w:position w:val="0"/>
        </w:rPr>
        <w:t>上披露 的相关公告。</w:t>
      </w:r>
    </w:p>
    <w:p>
      <w:pPr>
        <w:pStyle w:val="Style31"/>
        <w:keepNext w:val="0"/>
        <w:keepLines w:val="0"/>
        <w:widowControl w:val="0"/>
        <w:shd w:val="clear" w:color="auto" w:fill="auto"/>
        <w:tabs>
          <w:tab w:pos="840" w:val="left"/>
        </w:tabs>
        <w:bidi w:val="0"/>
        <w:spacing w:before="0" w:after="140" w:line="314" w:lineRule="exact"/>
        <w:ind w:left="0" w:right="0" w:firstLine="480"/>
        <w:jc w:val="both"/>
      </w:pPr>
      <w:bookmarkStart w:id="342" w:name="bookmark342"/>
      <w:r>
        <w:rPr>
          <w:b/>
          <w:bCs/>
          <w:color w:val="000000"/>
          <w:spacing w:val="0"/>
          <w:w w:val="100"/>
          <w:position w:val="0"/>
        </w:rPr>
        <w:t>4</w:t>
      </w:r>
      <w:bookmarkEnd w:id="342"/>
      <w:r>
        <w:rPr>
          <w:b/>
          <w:bCs/>
          <w:color w:val="000000"/>
          <w:spacing w:val="0"/>
          <w:w w:val="100"/>
          <w:position w:val="0"/>
        </w:rPr>
        <w:t>、</w:t>
        <w:tab/>
        <w:t>控股股东变更事项</w:t>
      </w:r>
    </w:p>
    <w:p>
      <w:pPr>
        <w:pStyle w:val="Style31"/>
        <w:keepNext w:val="0"/>
        <w:keepLines w:val="0"/>
        <w:widowControl w:val="0"/>
        <w:shd w:val="clear" w:color="auto" w:fill="auto"/>
        <w:bidi w:val="0"/>
        <w:spacing w:before="0" w:after="140" w:line="314" w:lineRule="exact"/>
        <w:ind w:left="0" w:right="0" w:firstLine="480"/>
        <w:jc w:val="both"/>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日，公司原控股股东同方股份有限公司与清华控股下属控股子公司紫光集团 有限公司的全资子公司西藏紫光春华投资有限公司(简称“紫光春华”)签署了《股份转让 协议》，拟将其持有的本公司</w:t>
      </w:r>
      <w:r>
        <w:rPr>
          <w:rFonts w:ascii="Times New Roman" w:eastAsia="Times New Roman" w:hAnsi="Times New Roman" w:cs="Times New Roman"/>
          <w:color w:val="000000"/>
          <w:spacing w:val="0"/>
          <w:w w:val="100"/>
          <w:position w:val="0"/>
          <w:sz w:val="24"/>
          <w:szCs w:val="24"/>
        </w:rPr>
        <w:t>36.39%</w:t>
      </w:r>
      <w:r>
        <w:rPr>
          <w:color w:val="000000"/>
          <w:spacing w:val="0"/>
          <w:w w:val="100"/>
          <w:position w:val="0"/>
        </w:rPr>
        <w:t>股权转让给紫光春华。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日，紫光春华收到中 国证券监督管理委员会《关于核准豁免西藏紫光春华投资有限公司要约收购同方国芯电子股 份有限公司股份义务的批复》</w:t>
      </w:r>
      <w:r>
        <w:rPr>
          <w:color w:val="000000"/>
          <w:spacing w:val="0"/>
          <w:w w:val="100"/>
          <w:position w:val="0"/>
          <w:sz w:val="24"/>
          <w:szCs w:val="24"/>
        </w:rPr>
        <w:t>(</w:t>
      </w:r>
      <w:r>
        <w:rPr>
          <w:color w:val="000000"/>
          <w:spacing w:val="0"/>
          <w:w w:val="100"/>
          <w:position w:val="0"/>
        </w:rPr>
        <w:t>证监许可</w:t>
      </w:r>
      <w:r>
        <w:rPr>
          <w:rFonts w:ascii="Times New Roman" w:eastAsia="Times New Roman" w:hAnsi="Times New Roman" w:cs="Times New Roman"/>
          <w:color w:val="000000"/>
          <w:spacing w:val="0"/>
          <w:w w:val="100"/>
          <w:position w:val="0"/>
          <w:sz w:val="24"/>
          <w:szCs w:val="24"/>
        </w:rPr>
        <w:t>[2016]555</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日，同方股份有限公司收 到中国证券登记结算有限责任公司出具的《证券过户登记确认书》，相关股权过户登记手续 已于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日办理完毕。至此，紫光春华持有本公司</w:t>
      </w:r>
      <w:r>
        <w:rPr>
          <w:rFonts w:ascii="Times New Roman" w:eastAsia="Times New Roman" w:hAnsi="Times New Roman" w:cs="Times New Roman"/>
          <w:color w:val="000000"/>
          <w:spacing w:val="0"/>
          <w:w w:val="100"/>
          <w:position w:val="0"/>
          <w:sz w:val="24"/>
          <w:szCs w:val="24"/>
        </w:rPr>
        <w:t>220,835,000</w:t>
      </w:r>
      <w:r>
        <w:rPr>
          <w:color w:val="000000"/>
          <w:spacing w:val="0"/>
          <w:w w:val="100"/>
          <w:position w:val="0"/>
        </w:rPr>
        <w:t>股股份，占本公司总股 本的</w:t>
      </w:r>
      <w:r>
        <w:rPr>
          <w:rFonts w:ascii="Times New Roman" w:eastAsia="Times New Roman" w:hAnsi="Times New Roman" w:cs="Times New Roman"/>
          <w:color w:val="000000"/>
          <w:spacing w:val="0"/>
          <w:w w:val="100"/>
          <w:position w:val="0"/>
          <w:sz w:val="24"/>
          <w:szCs w:val="24"/>
        </w:rPr>
        <w:t>36.39%</w:t>
      </w:r>
      <w:r>
        <w:rPr>
          <w:color w:val="000000"/>
          <w:spacing w:val="0"/>
          <w:w w:val="100"/>
          <w:position w:val="0"/>
        </w:rPr>
        <w:t>，成为本公司的控股股东，紫光集团成为公司间接控股股东；同方股份持有本公 司</w:t>
      </w:r>
      <w:r>
        <w:rPr>
          <w:rFonts w:ascii="Times New Roman" w:eastAsia="Times New Roman" w:hAnsi="Times New Roman" w:cs="Times New Roman"/>
          <w:color w:val="000000"/>
          <w:spacing w:val="0"/>
          <w:w w:val="100"/>
          <w:position w:val="0"/>
          <w:sz w:val="24"/>
          <w:szCs w:val="24"/>
        </w:rPr>
        <w:t>30,280,244</w:t>
      </w:r>
      <w:r>
        <w:rPr>
          <w:color w:val="000000"/>
          <w:spacing w:val="0"/>
          <w:w w:val="100"/>
          <w:position w:val="0"/>
        </w:rPr>
        <w:t>股股份，占本公司总股本的</w:t>
      </w:r>
      <w:r>
        <w:rPr>
          <w:rFonts w:ascii="Times New Roman" w:eastAsia="Times New Roman" w:hAnsi="Times New Roman" w:cs="Times New Roman"/>
          <w:color w:val="000000"/>
          <w:spacing w:val="0"/>
          <w:w w:val="100"/>
          <w:position w:val="0"/>
          <w:sz w:val="24"/>
          <w:szCs w:val="24"/>
        </w:rPr>
        <w:t>4.99%</w:t>
      </w:r>
      <w:r>
        <w:rPr>
          <w:color w:val="000000"/>
          <w:spacing w:val="0"/>
          <w:w w:val="100"/>
          <w:position w:val="0"/>
        </w:rPr>
        <w:t>，不再为本公司控股股东，公司实际控制人未 发生变更，仍为清华控股有限公司，最终实际控制人为教育部。</w:t>
      </w:r>
    </w:p>
    <w:p>
      <w:pPr>
        <w:pStyle w:val="Style31"/>
        <w:keepNext w:val="0"/>
        <w:keepLines w:val="0"/>
        <w:widowControl w:val="0"/>
        <w:shd w:val="clear" w:color="auto" w:fill="auto"/>
        <w:bidi w:val="0"/>
        <w:spacing w:before="0" w:after="140" w:line="317" w:lineRule="exact"/>
        <w:ind w:left="0" w:right="0" w:firstLine="480"/>
        <w:jc w:val="both"/>
      </w:pPr>
      <w:r>
        <w:rPr>
          <w:color w:val="000000"/>
          <w:spacing w:val="0"/>
          <w:w w:val="100"/>
          <w:position w:val="0"/>
        </w:rPr>
        <w:t>详细内容请查看公司于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日在《中国证券报》 及巨潮资讯网(</w:t>
      </w:r>
      <w:r>
        <w:rPr>
          <w:rFonts w:ascii="Times New Roman" w:eastAsia="Times New Roman" w:hAnsi="Times New Roman" w:cs="Times New Roman"/>
          <w:color w:val="000000"/>
          <w:spacing w:val="0"/>
          <w:w w:val="100"/>
          <w:position w:val="0"/>
          <w:sz w:val="24"/>
          <w:szCs w:val="24"/>
        </w:rPr>
        <w:t>http:// www.cninfo.com.cn</w:t>
      </w:r>
      <w:r>
        <w:rPr>
          <w:color w:val="000000"/>
          <w:spacing w:val="0"/>
          <w:w w:val="100"/>
          <w:position w:val="0"/>
        </w:rPr>
        <w:t>)</w:t>
      </w:r>
      <w:r>
        <w:rPr>
          <w:color w:val="000000"/>
          <w:spacing w:val="0"/>
          <w:w w:val="100"/>
          <w:position w:val="0"/>
        </w:rPr>
        <w:t>上披露的相关公告。</w:t>
      </w:r>
    </w:p>
    <w:p>
      <w:pPr>
        <w:pStyle w:val="Style31"/>
        <w:keepNext w:val="0"/>
        <w:keepLines w:val="0"/>
        <w:widowControl w:val="0"/>
        <w:shd w:val="clear" w:color="auto" w:fill="auto"/>
        <w:tabs>
          <w:tab w:pos="840" w:val="left"/>
        </w:tabs>
        <w:bidi w:val="0"/>
        <w:spacing w:before="0" w:after="140" w:line="314" w:lineRule="exact"/>
        <w:ind w:left="0" w:right="0" w:firstLine="480"/>
        <w:jc w:val="both"/>
      </w:pPr>
      <w:bookmarkStart w:id="343" w:name="bookmark343"/>
      <w:r>
        <w:rPr>
          <w:b/>
          <w:bCs/>
          <w:color w:val="000000"/>
          <w:spacing w:val="0"/>
          <w:w w:val="100"/>
          <w:position w:val="0"/>
        </w:rPr>
        <w:t>5</w:t>
      </w:r>
      <w:bookmarkEnd w:id="343"/>
      <w:r>
        <w:rPr>
          <w:b/>
          <w:bCs/>
          <w:color w:val="000000"/>
          <w:spacing w:val="0"/>
          <w:w w:val="100"/>
          <w:position w:val="0"/>
        </w:rPr>
        <w:t>、</w:t>
        <w:tab/>
        <w:t>公司名称变更事项</w:t>
      </w:r>
    </w:p>
    <w:p>
      <w:pPr>
        <w:pStyle w:val="Style31"/>
        <w:keepNext w:val="0"/>
        <w:keepLines w:val="0"/>
        <w:widowControl w:val="0"/>
        <w:shd w:val="clear" w:color="auto" w:fill="auto"/>
        <w:bidi w:val="0"/>
        <w:spacing w:before="0" w:after="180" w:line="311" w:lineRule="exact"/>
        <w:ind w:left="0" w:right="0" w:firstLine="480"/>
        <w:jc w:val="both"/>
      </w:pPr>
      <w:r>
        <w:rPr>
          <w:color w:val="000000"/>
          <w:spacing w:val="0"/>
          <w:w w:val="100"/>
          <w:position w:val="0"/>
        </w:rPr>
        <w:t>公司控股股东变更为西藏紫光春华投资有限公司后，根据公司发展的需要，经公司</w:t>
      </w:r>
      <w:r>
        <w:rPr>
          <w:rFonts w:ascii="Times New Roman" w:eastAsia="Times New Roman" w:hAnsi="Times New Roman" w:cs="Times New Roman"/>
          <w:color w:val="000000"/>
          <w:spacing w:val="0"/>
          <w:w w:val="100"/>
          <w:position w:val="0"/>
          <w:sz w:val="24"/>
          <w:szCs w:val="24"/>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日召开的公司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年第一次临时股东大会审议通过及工商管理部门核准，公司名称由 “同方国芯电子股份有限公司”变更为“紫光国芯股份有限公司”，并于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日在唐 山市工商行政管理局办理完毕登记变更手续，并取得了换发的《营业执照》。经深圳证券交 易所核准，自</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日起，公司证券简称由“同方国芯”变更为“紫光国芯”，公司证 券代码不变，仍为“</w:t>
      </w:r>
      <w:r>
        <w:rPr>
          <w:rFonts w:ascii="Times New Roman" w:eastAsia="Times New Roman" w:hAnsi="Times New Roman" w:cs="Times New Roman"/>
          <w:color w:val="000000"/>
          <w:spacing w:val="0"/>
          <w:w w:val="100"/>
          <w:position w:val="0"/>
          <w:sz w:val="24"/>
          <w:szCs w:val="24"/>
        </w:rPr>
        <w:t>002049</w:t>
      </w:r>
      <w:r>
        <w:rPr>
          <w:color w:val="000000"/>
          <w:spacing w:val="0"/>
          <w:w w:val="100"/>
          <w:position w:val="0"/>
        </w:rPr>
        <w:t>”。</w:t>
      </w:r>
    </w:p>
    <w:p>
      <w:pPr>
        <w:pStyle w:val="Style31"/>
        <w:keepNext w:val="0"/>
        <w:keepLines w:val="0"/>
        <w:widowControl w:val="0"/>
        <w:shd w:val="clear" w:color="auto" w:fill="auto"/>
        <w:bidi w:val="0"/>
        <w:spacing w:before="0" w:after="140" w:line="307" w:lineRule="exact"/>
        <w:ind w:left="0" w:right="0" w:firstLine="480"/>
        <w:jc w:val="both"/>
      </w:pPr>
      <w:r>
        <w:rPr>
          <w:color w:val="000000"/>
          <w:spacing w:val="0"/>
          <w:w w:val="100"/>
          <w:position w:val="0"/>
        </w:rPr>
        <w:t>详细内容请查看公司于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 xml:space="preserve">日在《中国证券报》及巨潮资讯网 </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http:// www.cninfo.com.cn</w:t>
      </w:r>
      <w:r>
        <w:rPr>
          <w:color w:val="000000"/>
          <w:spacing w:val="0"/>
          <w:w w:val="100"/>
          <w:position w:val="0"/>
        </w:rPr>
        <w:t>)</w:t>
      </w:r>
      <w:r>
        <w:rPr>
          <w:color w:val="000000"/>
          <w:spacing w:val="0"/>
          <w:w w:val="100"/>
          <w:position w:val="0"/>
        </w:rPr>
        <w:t>上披露的相关公告。</w:t>
      </w:r>
    </w:p>
    <w:p>
      <w:pPr>
        <w:pStyle w:val="Style31"/>
        <w:keepNext w:val="0"/>
        <w:keepLines w:val="0"/>
        <w:widowControl w:val="0"/>
        <w:shd w:val="clear" w:color="auto" w:fill="auto"/>
        <w:tabs>
          <w:tab w:pos="840" w:val="left"/>
        </w:tabs>
        <w:bidi w:val="0"/>
        <w:spacing w:before="0" w:after="140" w:line="314" w:lineRule="exact"/>
        <w:ind w:left="0" w:right="0" w:firstLine="480"/>
        <w:jc w:val="both"/>
      </w:pPr>
      <w:bookmarkStart w:id="344" w:name="bookmark344"/>
      <w:r>
        <w:rPr>
          <w:b/>
          <w:bCs/>
          <w:color w:val="000000"/>
          <w:spacing w:val="0"/>
          <w:w w:val="100"/>
          <w:position w:val="0"/>
        </w:rPr>
        <w:t>6</w:t>
      </w:r>
      <w:bookmarkEnd w:id="344"/>
      <w:r>
        <w:rPr>
          <w:b/>
          <w:bCs/>
          <w:color w:val="000000"/>
          <w:spacing w:val="0"/>
          <w:w w:val="100"/>
          <w:position w:val="0"/>
        </w:rPr>
        <w:t>、</w:t>
        <w:tab/>
        <w:t>转让北京同方以衡创业投资中心合伙权益事项</w:t>
      </w:r>
    </w:p>
    <w:p>
      <w:pPr>
        <w:pStyle w:val="Style31"/>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为集中资源做大做精主业，经公司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 xml:space="preserve">日召开的第五届董事会第二十八次会议审 </w:t>
      </w:r>
      <w:r>
        <w:rPr>
          <w:color w:val="000000"/>
          <w:spacing w:val="0"/>
          <w:w w:val="100"/>
          <w:position w:val="0"/>
        </w:rPr>
        <w:t>议通过，公司将所持有的北京同方以衡创业投资中心(有限合伙)的合伙权益转让给北京亚 仕同方科技有限公司，转让价格为人民币</w:t>
      </w:r>
      <w:r>
        <w:rPr>
          <w:rFonts w:ascii="Times New Roman" w:eastAsia="Times New Roman" w:hAnsi="Times New Roman" w:cs="Times New Roman"/>
          <w:color w:val="000000"/>
          <w:spacing w:val="0"/>
          <w:w w:val="100"/>
          <w:position w:val="0"/>
          <w:sz w:val="24"/>
          <w:szCs w:val="24"/>
        </w:rPr>
        <w:t>1,375</w:t>
      </w:r>
      <w:r>
        <w:rPr>
          <w:color w:val="000000"/>
          <w:spacing w:val="0"/>
          <w:w w:val="100"/>
          <w:position w:val="0"/>
        </w:rPr>
        <w:t>万元。本次转让完成后，公司不再持有北京同 方以衡创业投资中心(有限合伙)任何权益。该公司已于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日完成工商变更手续。</w:t>
      </w:r>
    </w:p>
    <w:p>
      <w:pPr>
        <w:pStyle w:val="Style31"/>
        <w:keepNext w:val="0"/>
        <w:keepLines w:val="0"/>
        <w:widowControl w:val="0"/>
        <w:shd w:val="clear" w:color="auto" w:fill="auto"/>
        <w:bidi w:val="0"/>
        <w:spacing w:before="0" w:after="140" w:line="307" w:lineRule="exact"/>
        <w:ind w:left="0" w:right="0" w:firstLine="480"/>
        <w:jc w:val="both"/>
      </w:pPr>
      <w:r>
        <w:rPr>
          <w:color w:val="000000"/>
          <w:spacing w:val="0"/>
          <w:w w:val="100"/>
          <w:position w:val="0"/>
        </w:rPr>
        <w:t>详细内容请查看公司于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日在《中国证券报》及巨潮资讯网(</w:t>
      </w:r>
      <w:r>
        <w:rPr>
          <w:rFonts w:ascii="Times New Roman" w:eastAsia="Times New Roman" w:hAnsi="Times New Roman" w:cs="Times New Roman"/>
          <w:color w:val="000000"/>
          <w:spacing w:val="0"/>
          <w:w w:val="100"/>
          <w:position w:val="0"/>
          <w:sz w:val="24"/>
          <w:szCs w:val="24"/>
        </w:rPr>
        <w:t>http:// www.cninfo.com.cn</w:t>
      </w:r>
      <w:r>
        <w:rPr>
          <w:color w:val="000000"/>
          <w:spacing w:val="0"/>
          <w:w w:val="100"/>
          <w:position w:val="0"/>
        </w:rPr>
        <w:t>)</w:t>
      </w:r>
      <w:r>
        <w:rPr>
          <w:color w:val="000000"/>
          <w:spacing w:val="0"/>
          <w:w w:val="100"/>
          <w:position w:val="0"/>
        </w:rPr>
        <w:t>上披露的相关公告。</w:t>
      </w:r>
    </w:p>
    <w:p>
      <w:pPr>
        <w:pStyle w:val="Style31"/>
        <w:keepNext w:val="0"/>
        <w:keepLines w:val="0"/>
        <w:widowControl w:val="0"/>
        <w:shd w:val="clear" w:color="auto" w:fill="auto"/>
        <w:tabs>
          <w:tab w:pos="871" w:val="left"/>
        </w:tabs>
        <w:bidi w:val="0"/>
        <w:spacing w:before="0" w:after="140" w:line="309" w:lineRule="exact"/>
        <w:ind w:left="0" w:right="0" w:firstLine="480"/>
        <w:jc w:val="both"/>
      </w:pPr>
      <w:bookmarkStart w:id="345" w:name="bookmark345"/>
      <w:r>
        <w:rPr>
          <w:b/>
          <w:bCs/>
          <w:color w:val="000000"/>
          <w:spacing w:val="0"/>
          <w:w w:val="100"/>
          <w:position w:val="0"/>
        </w:rPr>
        <w:t>7</w:t>
      </w:r>
      <w:bookmarkEnd w:id="345"/>
      <w:r>
        <w:rPr>
          <w:b/>
          <w:bCs/>
          <w:color w:val="000000"/>
          <w:spacing w:val="0"/>
          <w:w w:val="100"/>
          <w:position w:val="0"/>
        </w:rPr>
        <w:t>、</w:t>
        <w:tab/>
        <w:t>晶体业务内部整合、架构调整事项</w:t>
      </w:r>
    </w:p>
    <w:p>
      <w:pPr>
        <w:pStyle w:val="Style31"/>
        <w:keepNext w:val="0"/>
        <w:keepLines w:val="0"/>
        <w:widowControl w:val="0"/>
        <w:shd w:val="clear" w:color="auto" w:fill="auto"/>
        <w:bidi w:val="0"/>
        <w:spacing w:before="0" w:after="140" w:line="310" w:lineRule="exact"/>
        <w:ind w:left="0" w:right="0" w:firstLine="480"/>
        <w:jc w:val="both"/>
      </w:pPr>
      <w:r>
        <w:rPr>
          <w:color w:val="000000"/>
          <w:spacing w:val="0"/>
          <w:w w:val="100"/>
          <w:position w:val="0"/>
        </w:rPr>
        <w:t>为提升公司管理效率，理顺公司架构，整合内部资源，经公司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日召开的第五 届董事会第二十八次会议审议通过，公司对晶体业务进行了内部调整，将上市公司母公司中 的晶体业务相关的资产及子公司剥离至全资子公司唐山国芯晶源电子有限公司中。本次调整 后，公司全部晶体业务由唐山国芯晶源电子有限公司运营，母公司将不再直接经营晶体相关 业务。同时，公司对唐山国芯晶源电子有限公司进行了增资，将其注册资本由</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 xml:space="preserve">万元增加至 </w:t>
      </w:r>
      <w:r>
        <w:rPr>
          <w:rFonts w:ascii="Times New Roman" w:eastAsia="Times New Roman" w:hAnsi="Times New Roman" w:cs="Times New Roman"/>
          <w:color w:val="000000"/>
          <w:spacing w:val="0"/>
          <w:w w:val="100"/>
          <w:position w:val="0"/>
          <w:sz w:val="24"/>
          <w:szCs w:val="24"/>
        </w:rPr>
        <w:t>20,000</w:t>
      </w:r>
      <w:r>
        <w:rPr>
          <w:color w:val="000000"/>
          <w:spacing w:val="0"/>
          <w:w w:val="100"/>
          <w:position w:val="0"/>
        </w:rPr>
        <w:t>万元，该公司于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日领取了玉田县市场监督管理局换发的营业执照。</w:t>
      </w:r>
    </w:p>
    <w:p>
      <w:pPr>
        <w:pStyle w:val="Style31"/>
        <w:keepNext w:val="0"/>
        <w:keepLines w:val="0"/>
        <w:widowControl w:val="0"/>
        <w:shd w:val="clear" w:color="auto" w:fill="auto"/>
        <w:bidi w:val="0"/>
        <w:spacing w:before="0" w:after="140" w:line="307" w:lineRule="exact"/>
        <w:ind w:left="0" w:right="0" w:firstLine="480"/>
        <w:jc w:val="both"/>
      </w:pPr>
      <w:r>
        <w:rPr>
          <w:color w:val="000000"/>
          <w:spacing w:val="0"/>
          <w:w w:val="100"/>
          <w:position w:val="0"/>
        </w:rPr>
        <w:t>详细内容请查看公司于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日在《中国证券报》及巨潮资讯网(</w:t>
      </w:r>
      <w:r>
        <w:rPr>
          <w:rFonts w:ascii="Times New Roman" w:eastAsia="Times New Roman" w:hAnsi="Times New Roman" w:cs="Times New Roman"/>
          <w:color w:val="000000"/>
          <w:spacing w:val="0"/>
          <w:w w:val="100"/>
          <w:position w:val="0"/>
          <w:sz w:val="24"/>
          <w:szCs w:val="24"/>
        </w:rPr>
        <w:t>http:// www.cninfo.com.cn</w:t>
      </w:r>
      <w:r>
        <w:rPr>
          <w:color w:val="000000"/>
          <w:spacing w:val="0"/>
          <w:w w:val="100"/>
          <w:position w:val="0"/>
        </w:rPr>
        <w:t>)</w:t>
      </w:r>
      <w:r>
        <w:rPr>
          <w:color w:val="000000"/>
          <w:spacing w:val="0"/>
          <w:w w:val="100"/>
          <w:position w:val="0"/>
        </w:rPr>
        <w:t>上披露的相关公告。</w:t>
      </w:r>
    </w:p>
    <w:p>
      <w:pPr>
        <w:pStyle w:val="Style31"/>
        <w:keepNext w:val="0"/>
        <w:keepLines w:val="0"/>
        <w:widowControl w:val="0"/>
        <w:shd w:val="clear" w:color="auto" w:fill="auto"/>
        <w:tabs>
          <w:tab w:pos="871" w:val="left"/>
        </w:tabs>
        <w:bidi w:val="0"/>
        <w:spacing w:before="0" w:after="140" w:line="309" w:lineRule="exact"/>
        <w:ind w:left="0" w:right="0" w:firstLine="480"/>
        <w:jc w:val="both"/>
      </w:pPr>
      <w:bookmarkStart w:id="346" w:name="bookmark346"/>
      <w:r>
        <w:rPr>
          <w:b/>
          <w:bCs/>
          <w:color w:val="000000"/>
          <w:spacing w:val="0"/>
          <w:w w:val="100"/>
          <w:position w:val="0"/>
        </w:rPr>
        <w:t>8</w:t>
      </w:r>
      <w:bookmarkEnd w:id="346"/>
      <w:r>
        <w:rPr>
          <w:b/>
          <w:bCs/>
          <w:color w:val="000000"/>
          <w:spacing w:val="0"/>
          <w:w w:val="100"/>
          <w:position w:val="0"/>
        </w:rPr>
        <w:t>、</w:t>
        <w:tab/>
        <w:t>投资设立全资子公司紫光国芯微电子有限公司</w:t>
      </w:r>
    </w:p>
    <w:p>
      <w:pPr>
        <w:pStyle w:val="Style31"/>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日召开的第五届董事会第二十九次会议审议通过，公司以自有资金在 北京投资设立了全资子公司紫光国芯微电子有限公司，注册资本为人民币</w:t>
      </w:r>
      <w:r>
        <w:rPr>
          <w:rFonts w:ascii="Times New Roman" w:eastAsia="Times New Roman" w:hAnsi="Times New Roman" w:cs="Times New Roman"/>
          <w:color w:val="000000"/>
          <w:spacing w:val="0"/>
          <w:w w:val="100"/>
          <w:position w:val="0"/>
          <w:sz w:val="24"/>
          <w:szCs w:val="24"/>
        </w:rPr>
        <w:t>10,000</w:t>
      </w:r>
      <w:r>
        <w:rPr>
          <w:color w:val="000000"/>
          <w:spacing w:val="0"/>
          <w:w w:val="100"/>
          <w:position w:val="0"/>
        </w:rPr>
        <w:t>万元，公司 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日在北京市工商行政管理局海淀分局领取了营业执照。</w:t>
      </w:r>
    </w:p>
    <w:p>
      <w:pPr>
        <w:pStyle w:val="Style31"/>
        <w:keepNext w:val="0"/>
        <w:keepLines w:val="0"/>
        <w:widowControl w:val="0"/>
        <w:shd w:val="clear" w:color="auto" w:fill="auto"/>
        <w:bidi w:val="0"/>
        <w:spacing w:before="0" w:after="300" w:line="307" w:lineRule="exact"/>
        <w:ind w:left="0" w:right="0" w:firstLine="480"/>
        <w:jc w:val="both"/>
      </w:pPr>
      <w:r>
        <w:rPr>
          <w:color w:val="000000"/>
          <w:spacing w:val="0"/>
          <w:w w:val="100"/>
          <w:position w:val="0"/>
        </w:rPr>
        <w:t>详细内容请查看公司于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日在《中国证券报》及巨潮资讯网(</w:t>
      </w:r>
      <w:r>
        <w:rPr>
          <w:rFonts w:ascii="Times New Roman" w:eastAsia="Times New Roman" w:hAnsi="Times New Roman" w:cs="Times New Roman"/>
          <w:color w:val="000000"/>
          <w:spacing w:val="0"/>
          <w:w w:val="100"/>
          <w:position w:val="0"/>
          <w:sz w:val="24"/>
          <w:szCs w:val="24"/>
        </w:rPr>
        <w:t>http:// www.cninfo.com.cn</w:t>
      </w:r>
      <w:r>
        <w:rPr>
          <w:color w:val="000000"/>
          <w:spacing w:val="0"/>
          <w:w w:val="100"/>
          <w:position w:val="0"/>
        </w:rPr>
        <w:t>)</w:t>
      </w:r>
      <w:r>
        <w:rPr>
          <w:color w:val="000000"/>
          <w:spacing w:val="0"/>
          <w:w w:val="100"/>
          <w:position w:val="0"/>
        </w:rPr>
        <w:t>上披露的相关公告。</w:t>
      </w:r>
    </w:p>
    <w:p>
      <w:pPr>
        <w:pStyle w:val="Style23"/>
        <w:keepNext/>
        <w:keepLines/>
        <w:widowControl w:val="0"/>
        <w:shd w:val="clear" w:color="auto" w:fill="auto"/>
        <w:bidi w:val="0"/>
        <w:spacing w:before="0" w:after="300" w:line="309" w:lineRule="exact"/>
        <w:ind w:left="0" w:right="0" w:firstLine="0"/>
        <w:jc w:val="both"/>
      </w:pPr>
      <w:bookmarkStart w:id="347" w:name="bookmark347"/>
      <w:bookmarkStart w:id="348" w:name="bookmark348"/>
      <w:bookmarkStart w:id="349" w:name="bookmark349"/>
      <w:r>
        <w:rPr>
          <w:color w:val="000000"/>
          <w:spacing w:val="0"/>
          <w:w w:val="100"/>
          <w:position w:val="0"/>
        </w:rPr>
        <w:t>二十、公司子公司重大事项</w:t>
      </w:r>
      <w:bookmarkEnd w:id="347"/>
      <w:bookmarkEnd w:id="348"/>
      <w:bookmarkEnd w:id="349"/>
    </w:p>
    <w:p>
      <w:pPr>
        <w:pStyle w:val="Style31"/>
        <w:keepNext w:val="0"/>
        <w:keepLines w:val="0"/>
        <w:widowControl w:val="0"/>
        <w:shd w:val="clear" w:color="auto" w:fill="auto"/>
        <w:bidi w:val="0"/>
        <w:spacing w:before="0" w:after="140" w:line="309" w:lineRule="exact"/>
        <w:ind w:left="0" w:right="0" w:firstLine="480"/>
        <w:jc w:val="both"/>
        <w:sectPr>
          <w:footnotePr>
            <w:pos w:val="pageBottom"/>
            <w:numFmt w:val="decimal"/>
            <w:numRestart w:val="continuous"/>
          </w:footnotePr>
          <w:pgSz w:w="11900" w:h="16840"/>
          <w:pgMar w:top="1412" w:right="1018" w:bottom="1446" w:left="1075" w:header="0" w:footer="3" w:gutter="0"/>
          <w:cols w:space="720"/>
          <w:noEndnote/>
          <w:rtlGutter w:val="0"/>
          <w:docGrid w:linePitch="360"/>
        </w:sectPr>
      </w:pPr>
      <w:r>
        <w:rPr>
          <w:color w:val="000000"/>
          <w:spacing w:val="0"/>
          <w:w w:val="100"/>
          <w:position w:val="0"/>
        </w:rPr>
        <w:t>无。</w:t>
      </w:r>
    </w:p>
    <w:p>
      <w:pPr>
        <w:pStyle w:val="Style15"/>
        <w:keepNext/>
        <w:keepLines/>
        <w:widowControl w:val="0"/>
        <w:shd w:val="clear" w:color="auto" w:fill="auto"/>
        <w:bidi w:val="0"/>
        <w:spacing w:before="520" w:after="540" w:line="240" w:lineRule="auto"/>
        <w:ind w:left="0" w:right="0" w:firstLine="0"/>
        <w:jc w:val="center"/>
      </w:pPr>
      <w:bookmarkStart w:id="350" w:name="bookmark350"/>
      <w:bookmarkStart w:id="351" w:name="bookmark351"/>
      <w:bookmarkStart w:id="352" w:name="bookmark352"/>
      <w:r>
        <w:rPr>
          <w:color w:val="000000"/>
          <w:spacing w:val="0"/>
          <w:w w:val="100"/>
          <w:position w:val="0"/>
        </w:rPr>
        <w:t>第六节股份变动及股东情况</w:t>
      </w:r>
      <w:bookmarkEnd w:id="350"/>
      <w:bookmarkEnd w:id="351"/>
      <w:bookmarkEnd w:id="352"/>
    </w:p>
    <w:p>
      <w:pPr>
        <w:pStyle w:val="Style23"/>
        <w:keepNext/>
        <w:keepLines/>
        <w:widowControl w:val="0"/>
        <w:shd w:val="clear" w:color="auto" w:fill="auto"/>
        <w:bidi w:val="0"/>
        <w:spacing w:before="0" w:after="360" w:line="240" w:lineRule="auto"/>
        <w:ind w:left="0" w:right="0" w:firstLine="0"/>
        <w:jc w:val="left"/>
      </w:pPr>
      <w:bookmarkStart w:id="353" w:name="bookmark353"/>
      <w:bookmarkStart w:id="354" w:name="bookmark354"/>
      <w:bookmarkStart w:id="355" w:name="bookmark355"/>
      <w:bookmarkStart w:id="356" w:name="bookmark356"/>
      <w:bookmarkStart w:id="357" w:name="bookmark357"/>
      <w:r>
        <w:rPr>
          <w:color w:val="000000"/>
          <w:spacing w:val="0"/>
          <w:w w:val="100"/>
          <w:position w:val="0"/>
        </w:rPr>
        <w:t>一</w:t>
      </w:r>
      <w:bookmarkEnd w:id="356"/>
      <w:r>
        <w:rPr>
          <w:color w:val="000000"/>
          <w:spacing w:val="0"/>
          <w:w w:val="100"/>
          <w:position w:val="0"/>
        </w:rPr>
        <w:t>、股份变动情况</w:t>
      </w:r>
      <w:bookmarkEnd w:id="354"/>
      <w:bookmarkEnd w:id="355"/>
      <w:bookmarkEnd w:id="357"/>
      <w:bookmarkEnd w:id="353"/>
    </w:p>
    <w:p>
      <w:pPr>
        <w:pStyle w:val="Style28"/>
        <w:keepNext/>
        <w:keepLines/>
        <w:widowControl w:val="0"/>
        <w:shd w:val="clear" w:color="auto" w:fill="auto"/>
        <w:bidi w:val="0"/>
        <w:spacing w:before="0" w:after="36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1</w:t>
      </w:r>
      <w:bookmarkEnd w:id="360"/>
      <w:r>
        <w:rPr>
          <w:color w:val="000000"/>
          <w:spacing w:val="0"/>
          <w:w w:val="100"/>
          <w:position w:val="0"/>
        </w:rPr>
        <w:t>、股份变动情况</w:t>
      </w:r>
      <w:bookmarkEnd w:id="358"/>
      <w:bookmarkEnd w:id="359"/>
      <w:bookmarkEnd w:id="36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87"/>
        <w:gridCol w:w="1066"/>
        <w:gridCol w:w="826"/>
        <w:gridCol w:w="523"/>
        <w:gridCol w:w="566"/>
        <w:gridCol w:w="706"/>
        <w:gridCol w:w="994"/>
        <w:gridCol w:w="1133"/>
        <w:gridCol w:w="1138"/>
        <w:gridCol w:w="715"/>
      </w:tblGrid>
      <w:tr>
        <w:trPr>
          <w:trHeight w:val="331"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本次变动增减（</w:t>
            </w:r>
            <w:r>
              <w:rPr>
                <w:color w:val="000000"/>
                <w:spacing w:val="0"/>
                <w:w w:val="100"/>
                <w:position w:val="0"/>
                <w:sz w:val="16"/>
                <w:szCs w:val="16"/>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本次变动后</w:t>
            </w:r>
          </w:p>
        </w:tc>
      </w:tr>
      <w:tr>
        <w:trPr>
          <w:trHeight w:val="55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发行 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14,240,636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-7,223,361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-7,223,361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7,017,275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14,240,636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-7,223,361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-7,223,361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7,017,275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14,240,636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-7,223,361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-7,223,361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7,017,275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592,577,332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7,223,361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7,223,361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599,800,693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592,577,332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7,223,361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7,223,361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599,800,693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606,817,968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606,817,968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3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股份变动的原因</w:t>
      </w:r>
    </w:p>
    <w:p>
      <w:pPr>
        <w:pStyle w:val="Style31"/>
        <w:keepNext w:val="0"/>
        <w:keepLines w:val="0"/>
        <w:widowControl w:val="0"/>
        <w:shd w:val="clear" w:color="auto" w:fill="auto"/>
        <w:bidi w:val="0"/>
        <w:spacing w:before="0" w:after="360" w:line="312" w:lineRule="exact"/>
        <w:ind w:left="0" w:right="0" w:firstLine="500"/>
        <w:jc w:val="left"/>
      </w:pPr>
      <w:r>
        <w:rPr>
          <w:color w:val="000000"/>
          <w:spacing w:val="0"/>
          <w:w w:val="100"/>
          <w:position w:val="0"/>
        </w:rPr>
        <w:t>报告期内，公司董事、监事与高管任职变动及年度解锁引起高管股份锁定数量的变动, 从而导致公司限售股份数量与无限售股份数量发生变化。</w:t>
      </w:r>
    </w:p>
    <w:p>
      <w:pPr>
        <w:pStyle w:val="Style28"/>
        <w:keepNext/>
        <w:keepLines/>
        <w:widowControl w:val="0"/>
        <w:shd w:val="clear" w:color="auto" w:fill="auto"/>
        <w:bidi w:val="0"/>
        <w:spacing w:before="0" w:after="36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2</w:t>
      </w:r>
      <w:bookmarkEnd w:id="364"/>
      <w:r>
        <w:rPr>
          <w:color w:val="000000"/>
          <w:spacing w:val="0"/>
          <w:w w:val="100"/>
          <w:position w:val="0"/>
        </w:rPr>
        <w:t>、限售股份变动情况</w:t>
      </w:r>
      <w:bookmarkEnd w:id="362"/>
      <w:bookmarkEnd w:id="363"/>
      <w:bookmarkEnd w:id="36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38"/>
        <w:gridCol w:w="1133"/>
        <w:gridCol w:w="1138"/>
        <w:gridCol w:w="994"/>
        <w:gridCol w:w="989"/>
        <w:gridCol w:w="1987"/>
        <w:gridCol w:w="2208"/>
      </w:tblGrid>
      <w:tr>
        <w:trPr>
          <w:trHeight w:val="4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股东名称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期初限售股 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本期解除限 售股数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本期增加限 售股数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期末限售股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解除限售日期</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赵维健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7,472,714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3,736,357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3,736,357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离任董事、高管，所持股 份按相关规定锁定。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日</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葛元庆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2,465,995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2,465,995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按规定解除锁定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阎立群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758,389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184,066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574,323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日</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张立强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离任监事，所持股份按相 关规定锁定。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日解除锁定</w:t>
            </w:r>
          </w:p>
          <w:p>
            <w:pPr>
              <w:pStyle w:val="Style2"/>
              <w:keepNext w:val="0"/>
              <w:keepLines w:val="0"/>
              <w:widowControl w:val="0"/>
              <w:shd w:val="clear" w:color="auto" w:fill="auto"/>
              <w:bidi w:val="0"/>
              <w:spacing w:before="0" w:after="0" w:line="240"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82,500 </w:t>
            </w:r>
            <w:r>
              <w:rPr>
                <w:color w:val="000000"/>
                <w:spacing w:val="0"/>
                <w:w w:val="100"/>
                <w:position w:val="0"/>
                <w:sz w:val="16"/>
                <w:szCs w:val="16"/>
              </w:rPr>
              <w:t>股；</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6"/>
                <w:szCs w:val="16"/>
              </w:rPr>
              <w:t>日解除锁定</w:t>
            </w:r>
            <w:r>
              <w:rPr>
                <w:rFonts w:ascii="Times New Roman" w:eastAsia="Times New Roman" w:hAnsi="Times New Roman" w:cs="Times New Roman"/>
                <w:color w:val="000000"/>
                <w:spacing w:val="0"/>
                <w:w w:val="100"/>
                <w:position w:val="0"/>
                <w:sz w:val="18"/>
                <w:szCs w:val="18"/>
              </w:rPr>
              <w:t>240,600</w:t>
            </w:r>
            <w:r>
              <w:rPr>
                <w:color w:val="000000"/>
                <w:spacing w:val="0"/>
                <w:w w:val="100"/>
                <w:position w:val="0"/>
                <w:sz w:val="16"/>
                <w:szCs w:val="16"/>
              </w:rPr>
              <w:t>股。</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吴行军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1,644,497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1,644,497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离任监事，所持股份按相 关规定锁定。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6"/>
                <w:szCs w:val="16"/>
              </w:rPr>
              <w:t>日</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段立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1,455,391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1,455,391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离任董事、副总裁，所持 股份按相关规定锁定。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6"/>
                <w:szCs w:val="16"/>
              </w:rPr>
              <w:t>日</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李祥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离任监事，所持股份按相 关规定锁定。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6"/>
                <w:szCs w:val="16"/>
              </w:rPr>
              <w:t>日</w:t>
            </w:r>
          </w:p>
        </w:tc>
      </w:tr>
      <w:tr>
        <w:trPr>
          <w:trHeight w:val="49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14,240,636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7,343,661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7,017,275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3"/>
        <w:keepNext/>
        <w:keepLines/>
        <w:widowControl w:val="0"/>
        <w:shd w:val="clear" w:color="auto" w:fill="auto"/>
        <w:tabs>
          <w:tab w:pos="517" w:val="left"/>
        </w:tabs>
        <w:bidi w:val="0"/>
        <w:spacing w:before="0" w:after="360" w:line="240" w:lineRule="auto"/>
        <w:ind w:left="0" w:right="0" w:firstLine="0"/>
        <w:jc w:val="left"/>
      </w:pPr>
      <w:bookmarkStart w:id="366" w:name="bookmark366"/>
      <w:bookmarkStart w:id="367" w:name="bookmark367"/>
      <w:bookmarkStart w:id="368" w:name="bookmark368"/>
      <w:bookmarkStart w:id="369" w:name="bookmark369"/>
      <w:r>
        <w:rPr>
          <w:color w:val="000000"/>
          <w:spacing w:val="0"/>
          <w:w w:val="100"/>
          <w:position w:val="0"/>
        </w:rPr>
        <w:t>二</w:t>
      </w:r>
      <w:bookmarkEnd w:id="368"/>
      <w:r>
        <w:rPr>
          <w:color w:val="000000"/>
          <w:spacing w:val="0"/>
          <w:w w:val="100"/>
          <w:position w:val="0"/>
        </w:rPr>
        <w:t>、</w:t>
        <w:tab/>
        <w:t>证券发行与上市情况</w:t>
      </w:r>
      <w:bookmarkEnd w:id="366"/>
      <w:bookmarkEnd w:id="367"/>
      <w:bookmarkEnd w:id="369"/>
    </w:p>
    <w:p>
      <w:pPr>
        <w:pStyle w:val="Style31"/>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适用/不适用</w:t>
      </w:r>
    </w:p>
    <w:p>
      <w:pPr>
        <w:pStyle w:val="Style23"/>
        <w:keepNext/>
        <w:keepLines/>
        <w:widowControl w:val="0"/>
        <w:shd w:val="clear" w:color="auto" w:fill="auto"/>
        <w:tabs>
          <w:tab w:pos="517" w:val="left"/>
        </w:tabs>
        <w:bidi w:val="0"/>
        <w:spacing w:before="0" w:after="36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三</w:t>
      </w:r>
      <w:bookmarkEnd w:id="372"/>
      <w:r>
        <w:rPr>
          <w:color w:val="000000"/>
          <w:spacing w:val="0"/>
          <w:w w:val="100"/>
          <w:position w:val="0"/>
        </w:rPr>
        <w:t>、</w:t>
        <w:tab/>
        <w:t>股东和实际控制人情况</w:t>
      </w:r>
      <w:bookmarkEnd w:id="370"/>
      <w:bookmarkEnd w:id="371"/>
      <w:bookmarkEnd w:id="373"/>
    </w:p>
    <w:p>
      <w:pPr>
        <w:pStyle w:val="Style28"/>
        <w:keepNext/>
        <w:keepLines/>
        <w:widowControl w:val="0"/>
        <w:shd w:val="clear" w:color="auto" w:fill="auto"/>
        <w:bidi w:val="0"/>
        <w:spacing w:before="0" w:after="36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1</w:t>
      </w:r>
      <w:bookmarkEnd w:id="376"/>
      <w:r>
        <w:rPr>
          <w:color w:val="000000"/>
          <w:spacing w:val="0"/>
          <w:w w:val="100"/>
          <w:position w:val="0"/>
        </w:rPr>
        <w:t>、公司股东数量及持股情况</w:t>
      </w:r>
      <w:bookmarkEnd w:id="374"/>
      <w:bookmarkEnd w:id="375"/>
      <w:bookmarkEnd w:id="377"/>
    </w:p>
    <w:p>
      <w:pPr>
        <w:pStyle w:val="Style2"/>
        <w:keepNext w:val="0"/>
        <w:keepLines w:val="0"/>
        <w:widowControl w:val="0"/>
        <w:shd w:val="clear" w:color="auto" w:fill="auto"/>
        <w:bidi w:val="0"/>
        <w:spacing w:before="0" w:after="80" w:line="240" w:lineRule="auto"/>
        <w:ind w:left="0" w:right="0" w:firstLine="0"/>
        <w:jc w:val="right"/>
        <w:rPr>
          <w:sz w:val="16"/>
          <w:szCs w:val="16"/>
        </w:rPr>
      </w:pPr>
      <w:r>
        <w:rPr>
          <w:color w:val="000000"/>
          <w:spacing w:val="0"/>
          <w:w w:val="100"/>
          <w:position w:val="0"/>
          <w:sz w:val="16"/>
          <w:szCs w:val="16"/>
        </w:rPr>
        <w:t>单位：股</w:t>
      </w:r>
    </w:p>
    <w:tbl>
      <w:tblPr>
        <w:tblOverlap w:val="never"/>
        <w:jc w:val="center"/>
        <w:tblLayout w:type="fixed"/>
      </w:tblPr>
      <w:tblGrid>
        <w:gridCol w:w="1200"/>
        <w:gridCol w:w="931"/>
        <w:gridCol w:w="994"/>
        <w:gridCol w:w="422"/>
        <w:gridCol w:w="427"/>
        <w:gridCol w:w="139"/>
        <w:gridCol w:w="427"/>
        <w:gridCol w:w="566"/>
        <w:gridCol w:w="710"/>
        <w:gridCol w:w="422"/>
        <w:gridCol w:w="619"/>
        <w:gridCol w:w="235"/>
        <w:gridCol w:w="989"/>
        <w:gridCol w:w="283"/>
        <w:gridCol w:w="144"/>
        <w:gridCol w:w="139"/>
        <w:gridCol w:w="931"/>
      </w:tblGrid>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报告期末普通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46,982</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年度报告披露日 前上一月末普通 股股东总数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45,741</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报告期末表决 权恢复的优先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年度报告披露日前上 一月末表决权恢复的 优先股股东总数</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504" w:hRule="exact"/>
        </w:trPr>
        <w:tc>
          <w:tcPr>
            <w:gridSpan w:val="1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持股</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以上的股东或前</w:t>
            </w:r>
            <w:r>
              <w:rPr>
                <w:rFonts w:ascii="Times New Roman" w:eastAsia="Times New Roman" w:hAnsi="Times New Roman" w:cs="Times New Roman"/>
                <w:b/>
                <w:bCs/>
                <w:color w:val="000000"/>
                <w:spacing w:val="0"/>
                <w:w w:val="100"/>
                <w:position w:val="0"/>
                <w:sz w:val="20"/>
                <w:szCs w:val="20"/>
              </w:rPr>
              <w:t>10</w:t>
            </w:r>
            <w:r>
              <w:rPr>
                <w:b/>
                <w:bCs/>
                <w:color w:val="000000"/>
                <w:spacing w:val="0"/>
                <w:w w:val="100"/>
                <w:position w:val="0"/>
                <w:sz w:val="20"/>
                <w:szCs w:val="20"/>
              </w:rPr>
              <w:t>名股东持股情况</w:t>
            </w:r>
          </w:p>
        </w:tc>
      </w:tr>
      <w:tr>
        <w:trPr>
          <w:trHeight w:val="28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股东性质</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持股比例</w:t>
            </w:r>
          </w:p>
        </w:tc>
        <w:tc>
          <w:tcPr>
            <w:gridSpan w:val="3"/>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报告期末持 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报告期内增 减变动情况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持有无限售 条件的股份</w:t>
            </w:r>
          </w:p>
          <w:p>
            <w:pPr>
              <w:pStyle w:val="Style2"/>
              <w:keepNext w:val="0"/>
              <w:keepLines w:val="0"/>
              <w:widowControl w:val="0"/>
              <w:shd w:val="clear" w:color="auto" w:fill="auto"/>
              <w:bidi w:val="0"/>
              <w:spacing w:before="0" w:after="0" w:line="235" w:lineRule="exact"/>
              <w:ind w:left="0" w:right="300" w:firstLine="0"/>
              <w:jc w:val="right"/>
              <w:rPr>
                <w:sz w:val="16"/>
                <w:szCs w:val="16"/>
              </w:rPr>
            </w:pPr>
            <w:r>
              <w:rPr>
                <w:color w:val="000000"/>
                <w:spacing w:val="0"/>
                <w:w w:val="100"/>
                <w:position w:val="0"/>
                <w:sz w:val="16"/>
                <w:szCs w:val="16"/>
              </w:rPr>
              <w:t>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质押或冻结情况</w:t>
            </w:r>
          </w:p>
        </w:tc>
      </w:tr>
      <w:tr>
        <w:trPr>
          <w:trHeight w:val="518" w:hRule="exact"/>
        </w:trPr>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股份 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数量</w:t>
            </w:r>
          </w:p>
        </w:tc>
      </w:tr>
      <w:tr>
        <w:trPr>
          <w:trHeight w:val="53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西藏紫光春华投资有限公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境内非国有 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36.39%</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220,835,000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220,835,000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220,835,000</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同方股份有限公司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境内非国有 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4.99%</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30,280,244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-220,835,000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30,280,244</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霍尔果斯天惠人股权投资 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境内非国有 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3.96%</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23,999,982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-689,340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23,999,982</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10,180,000</w:t>
            </w:r>
          </w:p>
        </w:tc>
      </w:tr>
      <w:tr>
        <w:trPr>
          <w:trHeight w:val="35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张士云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3.73%</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22,639,864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22,639,864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22,639,864</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22,639,864</w:t>
            </w:r>
          </w:p>
        </w:tc>
      </w:tr>
      <w:tr>
        <w:trPr>
          <w:trHeight w:val="35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阎永江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1.83%</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11,134,320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2,373,800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11,134,320</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6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中国建设银行股份有限公 司一富国中证军工指数分 级证券投资基金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1.57%</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9,540,537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568,325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9,540,537</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中央汇金资产管理有限责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国有法人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9,121,700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9,121,700</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共青城清晶微投资管理合 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境内非国有 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1.38%</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8,369,440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8,369,440</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赵维健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1.21%</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7,336,414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-136,300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3,600,057</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韩雷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0.63%</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3,821,352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-2,874,900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3,821,352</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战略投资者或一般法人因配售新股成为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名股东的情况</w:t>
            </w:r>
          </w:p>
        </w:tc>
        <w:tc>
          <w:tcPr>
            <w:gridSpan w:val="1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无。</w:t>
            </w:r>
          </w:p>
        </w:tc>
      </w:tr>
      <w:tr>
        <w:trPr>
          <w:trHeight w:val="77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上述股东关联关系或一致行动的说明</w:t>
            </w:r>
          </w:p>
        </w:tc>
        <w:tc>
          <w:tcPr>
            <w:gridSpan w:val="1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8" w:lineRule="exact"/>
              <w:ind w:left="0" w:right="0" w:firstLine="0"/>
              <w:jc w:val="both"/>
              <w:rPr>
                <w:sz w:val="16"/>
                <w:szCs w:val="16"/>
              </w:rPr>
            </w:pPr>
            <w:r>
              <w:rPr>
                <w:color w:val="000000"/>
                <w:spacing w:val="0"/>
                <w:w w:val="100"/>
                <w:position w:val="0"/>
                <w:sz w:val="16"/>
                <w:szCs w:val="16"/>
              </w:rPr>
              <w:t>上述股东中，西藏紫光春华投资有限公司和同方股份有限公司的实际控制人均为清 华控股有限公司；赵维健为共青城清晶微投资管理合伙企业（有限合伙）执行事务 合伙人，并持有其</w:t>
            </w:r>
            <w:r>
              <w:rPr>
                <w:rFonts w:ascii="Times New Roman" w:eastAsia="Times New Roman" w:hAnsi="Times New Roman" w:cs="Times New Roman"/>
                <w:color w:val="000000"/>
                <w:spacing w:val="0"/>
                <w:w w:val="100"/>
                <w:position w:val="0"/>
                <w:sz w:val="18"/>
                <w:szCs w:val="18"/>
              </w:rPr>
              <w:t>35.71%</w:t>
            </w:r>
            <w:r>
              <w:rPr>
                <w:color w:val="000000"/>
                <w:spacing w:val="0"/>
                <w:w w:val="100"/>
                <w:position w:val="0"/>
                <w:sz w:val="16"/>
                <w:szCs w:val="16"/>
              </w:rPr>
              <w:t>的股权。</w:t>
            </w:r>
          </w:p>
        </w:tc>
      </w:tr>
      <w:tr>
        <w:trPr>
          <w:trHeight w:val="427" w:hRule="exact"/>
        </w:trPr>
        <w:tc>
          <w:tcPr>
            <w:gridSpan w:val="1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前</w:t>
            </w:r>
            <w:r>
              <w:rPr>
                <w:rFonts w:ascii="Times New Roman" w:eastAsia="Times New Roman" w:hAnsi="Times New Roman" w:cs="Times New Roman"/>
                <w:b/>
                <w:bCs/>
                <w:color w:val="000000"/>
                <w:spacing w:val="0"/>
                <w:w w:val="100"/>
                <w:position w:val="0"/>
                <w:sz w:val="20"/>
                <w:szCs w:val="20"/>
              </w:rPr>
              <w:t>10</w:t>
            </w:r>
            <w:r>
              <w:rPr>
                <w:b/>
                <w:bCs/>
                <w:color w:val="000000"/>
                <w:spacing w:val="0"/>
                <w:w w:val="100"/>
                <w:position w:val="0"/>
                <w:sz w:val="20"/>
                <w:szCs w:val="20"/>
              </w:rPr>
              <w:t>名无限售条件股东持股情况</w:t>
            </w:r>
          </w:p>
        </w:tc>
      </w:tr>
      <w:tr>
        <w:trPr>
          <w:trHeight w:val="350" w:hRule="exact"/>
        </w:trPr>
        <w:tc>
          <w:tcPr>
            <w:gridSpan w:val="6"/>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报告期末持有无限售条件股份数量</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股份种类</w:t>
            </w:r>
          </w:p>
        </w:tc>
      </w:tr>
      <w:tr>
        <w:trPr>
          <w:trHeight w:val="346" w:hRule="exact"/>
        </w:trPr>
        <w:tc>
          <w:tcPr>
            <w:gridSpan w:val="6"/>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股份种类</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数量</w:t>
            </w:r>
          </w:p>
        </w:tc>
      </w:tr>
      <w:tr>
        <w:trPr>
          <w:trHeight w:val="350" w:hRule="exact"/>
        </w:trPr>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西藏紫光春华投资有限公司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220,835,000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220,835,000</w:t>
            </w:r>
          </w:p>
        </w:tc>
      </w:tr>
      <w:tr>
        <w:trPr>
          <w:trHeight w:val="355" w:hRule="exact"/>
        </w:trPr>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同方股份有限公司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30,280,244</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30,280,244</w:t>
            </w:r>
          </w:p>
        </w:tc>
      </w:tr>
      <w:tr>
        <w:trPr>
          <w:trHeight w:val="346" w:hRule="exact"/>
        </w:trPr>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霍尔果斯天惠人股权投资管理合伙企业（有限合伙）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23,999,982</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23,999,982</w:t>
            </w:r>
          </w:p>
        </w:tc>
      </w:tr>
      <w:tr>
        <w:trPr>
          <w:trHeight w:val="350" w:hRule="exact"/>
        </w:trPr>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张士云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22,639,864</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22,639,864</w:t>
            </w:r>
          </w:p>
        </w:tc>
      </w:tr>
      <w:tr>
        <w:trPr>
          <w:trHeight w:val="360" w:hRule="exact"/>
        </w:trPr>
        <w:tc>
          <w:tcPr>
            <w:gridSpan w:val="6"/>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阎永江</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11,134,320</w:t>
            </w:r>
          </w:p>
        </w:tc>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人民币普通股</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11,134,320</w:t>
            </w:r>
          </w:p>
        </w:tc>
      </w:tr>
    </w:tbl>
    <w:p>
      <w:pPr>
        <w:spacing w:lineRule="exact" w:line="1"/>
        <w:rPr>
          <w:sz w:val="2"/>
          <w:szCs w:val="2"/>
        </w:rPr>
      </w:pPr>
      <w:r>
        <w:br w:type="page"/>
      </w:r>
    </w:p>
    <w:tbl>
      <w:tblPr>
        <w:tblOverlap w:val="never"/>
        <w:jc w:val="center"/>
        <w:tblLayout w:type="fixed"/>
      </w:tblPr>
      <w:tblGrid>
        <w:gridCol w:w="4114"/>
        <w:gridCol w:w="2760"/>
        <w:gridCol w:w="1493"/>
        <w:gridCol w:w="1214"/>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中国建设银行股份有限公司一富国中证军工指数分 级证券投资基金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9,540,537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9,540,537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中央汇金资产管理有限责任公司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9,121,700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9,121,700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共青城清晶微投资管理合伙企业（有限合伙）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8,369,440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8,369,440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韩雷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3,821,352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3,821,352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赵维健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3,600,057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3,600,057</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名无限售 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名股东之间关联关系或一致行动 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8" w:lineRule="exact"/>
              <w:ind w:left="0" w:right="0" w:firstLine="0"/>
              <w:jc w:val="both"/>
              <w:rPr>
                <w:sz w:val="16"/>
                <w:szCs w:val="16"/>
              </w:rPr>
            </w:pPr>
            <w:r>
              <w:rPr>
                <w:color w:val="000000"/>
                <w:spacing w:val="0"/>
                <w:w w:val="100"/>
                <w:position w:val="0"/>
                <w:sz w:val="16"/>
                <w:szCs w:val="16"/>
              </w:rPr>
              <w:t>上述股东中，西藏紫光春华投资有限公司和同方股份有限公司的实际 控制人均为清华控股有限公司；赵维健为共青城清晶微投资管理合伙 企业（有限合伙）执行事务合伙人，并持有其</w:t>
            </w:r>
            <w:r>
              <w:rPr>
                <w:rFonts w:ascii="Times New Roman" w:eastAsia="Times New Roman" w:hAnsi="Times New Roman" w:cs="Times New Roman"/>
                <w:color w:val="000000"/>
                <w:spacing w:val="0"/>
                <w:w w:val="100"/>
                <w:position w:val="0"/>
                <w:sz w:val="18"/>
                <w:szCs w:val="18"/>
              </w:rPr>
              <w:t>35.71%</w:t>
            </w:r>
            <w:r>
              <w:rPr>
                <w:color w:val="000000"/>
                <w:spacing w:val="0"/>
                <w:w w:val="100"/>
                <w:position w:val="0"/>
                <w:sz w:val="16"/>
                <w:szCs w:val="16"/>
              </w:rPr>
              <w:t>的股权。</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名普通股股东参与融资融券业务情况说明</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无</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公司前</w:t>
      </w:r>
      <w:r>
        <w:rPr>
          <w:rFonts w:ascii="Arial" w:eastAsia="Arial" w:hAnsi="Arial" w:cs="Arial"/>
          <w:color w:val="000000"/>
          <w:spacing w:val="0"/>
          <w:w w:val="100"/>
          <w:position w:val="0"/>
        </w:rPr>
        <w:t>10</w:t>
      </w:r>
      <w:r>
        <w:rPr>
          <w:b/>
          <w:bCs/>
          <w:color w:val="000000"/>
          <w:spacing w:val="0"/>
          <w:w w:val="100"/>
          <w:position w:val="0"/>
        </w:rPr>
        <w:t>名普通股股东、前</w:t>
      </w:r>
      <w:r>
        <w:rPr>
          <w:rFonts w:ascii="Arial" w:eastAsia="Arial" w:hAnsi="Arial" w:cs="Arial"/>
          <w:color w:val="000000"/>
          <w:spacing w:val="0"/>
          <w:w w:val="100"/>
          <w:position w:val="0"/>
        </w:rPr>
        <w:t>10</w:t>
      </w:r>
      <w:r>
        <w:rPr>
          <w:b/>
          <w:bCs/>
          <w:color w:val="000000"/>
          <w:spacing w:val="0"/>
          <w:w w:val="100"/>
          <w:position w:val="0"/>
        </w:rPr>
        <w:t>名无限售条件普通股股东在报告期内是否进行约定购回交易</w:t>
      </w:r>
    </w:p>
    <w:p>
      <w:pPr>
        <w:pStyle w:val="Style31"/>
        <w:keepNext w:val="0"/>
        <w:keepLines w:val="0"/>
        <w:widowControl w:val="0"/>
        <w:shd w:val="clear" w:color="auto" w:fill="auto"/>
        <w:bidi w:val="0"/>
        <w:spacing w:before="0" w:after="360" w:line="307" w:lineRule="exact"/>
        <w:ind w:left="0" w:right="0" w:firstLine="500"/>
        <w:jc w:val="both"/>
      </w:pPr>
      <w:r>
        <w:rPr>
          <w:color w:val="000000"/>
          <w:spacing w:val="0"/>
          <w:w w:val="100"/>
          <w:position w:val="0"/>
        </w:rPr>
        <w:t>报告期内，股东阎永江通过“中信证券股份有限公司约定购回专用账户”进行约定购回 交易，期初约定购回股份数量为</w:t>
      </w:r>
      <w:r>
        <w:rPr>
          <w:rFonts w:ascii="Times New Roman" w:eastAsia="Times New Roman" w:hAnsi="Times New Roman" w:cs="Times New Roman"/>
          <w:color w:val="000000"/>
          <w:spacing w:val="0"/>
          <w:w w:val="100"/>
          <w:position w:val="0"/>
          <w:sz w:val="24"/>
          <w:szCs w:val="24"/>
        </w:rPr>
        <w:t>3,048,800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24"/>
          <w:szCs w:val="24"/>
        </w:rPr>
        <w:t>0.50%</w:t>
      </w:r>
      <w:r>
        <w:rPr>
          <w:color w:val="000000"/>
          <w:spacing w:val="0"/>
          <w:w w:val="100"/>
          <w:position w:val="0"/>
        </w:rPr>
        <w:t>,报告期内购回交易所涉 股份数量</w:t>
      </w:r>
      <w:r>
        <w:rPr>
          <w:rFonts w:ascii="Times New Roman" w:eastAsia="Times New Roman" w:hAnsi="Times New Roman" w:cs="Times New Roman"/>
          <w:color w:val="000000"/>
          <w:spacing w:val="0"/>
          <w:w w:val="100"/>
          <w:position w:val="0"/>
          <w:sz w:val="24"/>
          <w:szCs w:val="24"/>
        </w:rPr>
        <w:t>2,373,800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24"/>
          <w:szCs w:val="24"/>
        </w:rPr>
        <w:t>0.39%</w:t>
      </w:r>
      <w:r>
        <w:rPr>
          <w:color w:val="000000"/>
          <w:spacing w:val="0"/>
          <w:w w:val="100"/>
          <w:position w:val="0"/>
        </w:rPr>
        <w:t>，报告期末约定购回股份数量为</w:t>
      </w:r>
      <w:r>
        <w:rPr>
          <w:rFonts w:ascii="Times New Roman" w:eastAsia="Times New Roman" w:hAnsi="Times New Roman" w:cs="Times New Roman"/>
          <w:color w:val="000000"/>
          <w:spacing w:val="0"/>
          <w:w w:val="100"/>
          <w:position w:val="0"/>
          <w:sz w:val="24"/>
          <w:szCs w:val="24"/>
        </w:rPr>
        <w:t>675,000</w:t>
      </w:r>
      <w:r>
        <w:rPr>
          <w:color w:val="000000"/>
          <w:spacing w:val="0"/>
          <w:w w:val="100"/>
          <w:position w:val="0"/>
        </w:rPr>
        <w:t>股，占 公司总股本的</w:t>
      </w:r>
      <w:r>
        <w:rPr>
          <w:rFonts w:ascii="Times New Roman" w:eastAsia="Times New Roman" w:hAnsi="Times New Roman" w:cs="Times New Roman"/>
          <w:color w:val="000000"/>
          <w:spacing w:val="0"/>
          <w:w w:val="100"/>
          <w:position w:val="0"/>
          <w:sz w:val="24"/>
          <w:szCs w:val="24"/>
        </w:rPr>
        <w:t>0.11%</w:t>
      </w:r>
      <w:r>
        <w:rPr>
          <w:color w:val="000000"/>
          <w:spacing w:val="0"/>
          <w:w w:val="100"/>
          <w:position w:val="0"/>
        </w:rPr>
        <w:t>；截止报告期末，股东阎永江持股</w:t>
      </w:r>
      <w:r>
        <w:rPr>
          <w:rFonts w:ascii="Times New Roman" w:eastAsia="Times New Roman" w:hAnsi="Times New Roman" w:cs="Times New Roman"/>
          <w:color w:val="000000"/>
          <w:spacing w:val="0"/>
          <w:w w:val="100"/>
          <w:position w:val="0"/>
          <w:sz w:val="24"/>
          <w:szCs w:val="24"/>
        </w:rPr>
        <w:t>11,134,320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24"/>
          <w:szCs w:val="24"/>
        </w:rPr>
        <w:t>1.83%</w:t>
      </w:r>
      <w:r>
        <w:rPr>
          <w:color w:val="000000"/>
          <w:spacing w:val="0"/>
          <w:w w:val="100"/>
          <w:position w:val="0"/>
        </w:rPr>
        <w:t>。</w:t>
      </w:r>
    </w:p>
    <w:p>
      <w:pPr>
        <w:pStyle w:val="Style28"/>
        <w:keepNext/>
        <w:keepLines/>
        <w:widowControl w:val="0"/>
        <w:shd w:val="clear" w:color="auto" w:fill="auto"/>
        <w:bidi w:val="0"/>
        <w:spacing w:before="0" w:after="36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2</w:t>
      </w:r>
      <w:bookmarkEnd w:id="380"/>
      <w:r>
        <w:rPr>
          <w:color w:val="000000"/>
          <w:spacing w:val="0"/>
          <w:w w:val="100"/>
          <w:position w:val="0"/>
        </w:rPr>
        <w:t>、公司控股股东情况</w:t>
      </w:r>
      <w:bookmarkEnd w:id="378"/>
      <w:bookmarkEnd w:id="379"/>
      <w:bookmarkEnd w:id="381"/>
    </w:p>
    <w:p>
      <w:pPr>
        <w:pStyle w:val="Style31"/>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控股股东性质：中央国有控股</w:t>
      </w:r>
    </w:p>
    <w:p>
      <w:pPr>
        <w:pStyle w:val="Style31"/>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控股股东类型：法人</w:t>
      </w:r>
    </w:p>
    <w:tbl>
      <w:tblPr>
        <w:tblOverlap w:val="never"/>
        <w:jc w:val="center"/>
        <w:tblLayout w:type="fixed"/>
      </w:tblPr>
      <w:tblGrid>
        <w:gridCol w:w="2002"/>
        <w:gridCol w:w="1262"/>
        <w:gridCol w:w="1843"/>
        <w:gridCol w:w="2270"/>
        <w:gridCol w:w="22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法定代表人</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主要经营业务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西藏紫光春华投资有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赵伟国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91540091321397563P</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股权投资；创业投资。</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控股股东报告期内控 股和参股的其他境内 外上市公司的股权情 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持有航天通信控股集团股份有限公司</w:t>
            </w:r>
            <w:r>
              <w:rPr>
                <w:rFonts w:ascii="Times New Roman" w:eastAsia="Times New Roman" w:hAnsi="Times New Roman" w:cs="Times New Roman"/>
                <w:color w:val="000000"/>
                <w:spacing w:val="0"/>
                <w:w w:val="100"/>
                <w:position w:val="0"/>
                <w:sz w:val="20"/>
                <w:szCs w:val="20"/>
              </w:rPr>
              <w:t>2.45%</w:t>
            </w:r>
            <w:r>
              <w:rPr>
                <w:color w:val="000000"/>
                <w:spacing w:val="0"/>
                <w:w w:val="100"/>
                <w:position w:val="0"/>
                <w:sz w:val="20"/>
                <w:szCs w:val="20"/>
              </w:rPr>
              <w:t>的股权，持有铜陵中发三佳科技股份有 限公司</w:t>
            </w:r>
            <w:r>
              <w:rPr>
                <w:rFonts w:ascii="Times New Roman" w:eastAsia="Times New Roman" w:hAnsi="Times New Roman" w:cs="Times New Roman"/>
                <w:color w:val="000000"/>
                <w:spacing w:val="0"/>
                <w:w w:val="100"/>
                <w:position w:val="0"/>
                <w:sz w:val="20"/>
                <w:szCs w:val="20"/>
              </w:rPr>
              <w:t>0.63%</w:t>
            </w:r>
            <w:r>
              <w:rPr>
                <w:color w:val="000000"/>
                <w:spacing w:val="0"/>
                <w:w w:val="100"/>
                <w:position w:val="0"/>
                <w:sz w:val="20"/>
                <w:szCs w:val="20"/>
              </w:rPr>
              <w:t>的股权，持有中兴通讯股份有限公司</w:t>
            </w:r>
            <w:r>
              <w:rPr>
                <w:rFonts w:ascii="Times New Roman" w:eastAsia="Times New Roman" w:hAnsi="Times New Roman" w:cs="Times New Roman"/>
                <w:color w:val="000000"/>
                <w:spacing w:val="0"/>
                <w:w w:val="100"/>
                <w:position w:val="0"/>
                <w:sz w:val="20"/>
                <w:szCs w:val="20"/>
              </w:rPr>
              <w:t>0.69%</w:t>
            </w:r>
            <w:r>
              <w:rPr>
                <w:color w:val="000000"/>
                <w:spacing w:val="0"/>
                <w:w w:val="100"/>
                <w:position w:val="0"/>
                <w:sz w:val="20"/>
                <w:szCs w:val="20"/>
              </w:rPr>
              <w:t>的股权。</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控股股东报告期内变更</w:t>
      </w:r>
    </w:p>
    <w:tbl>
      <w:tblPr>
        <w:tblOverlap w:val="never"/>
        <w:jc w:val="center"/>
        <w:tblLayout w:type="fixed"/>
      </w:tblPr>
      <w:tblGrid>
        <w:gridCol w:w="3408"/>
        <w:gridCol w:w="61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新控股股东名称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西藏紫光春华投资有限公司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变更日期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指定网站查询索引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《关于控股股东协议转让股份完成过户登记暨控股股东变更的公 告》刊登在巨潮资讯网（</w:t>
            </w:r>
            <w:r>
              <w:rPr>
                <w:rFonts w:ascii="Times New Roman" w:eastAsia="Times New Roman" w:hAnsi="Times New Roman" w:cs="Times New Roman"/>
                <w:color w:val="000000"/>
                <w:spacing w:val="0"/>
                <w:w w:val="100"/>
                <w:position w:val="0"/>
                <w:sz w:val="20"/>
                <w:szCs w:val="20"/>
              </w:rPr>
              <w:t>http:// www.cninfo.com.cn</w:t>
            </w:r>
            <w:r>
              <w:rPr>
                <w:color w:val="000000"/>
                <w:spacing w:val="0"/>
                <w:w w:val="100"/>
                <w:position w:val="0"/>
                <w:sz w:val="20"/>
                <w:szCs w:val="2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指定网站披露日期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日</w:t>
            </w:r>
          </w:p>
        </w:tc>
      </w:tr>
    </w:tbl>
    <w:p>
      <w:pPr>
        <w:widowControl w:val="0"/>
        <w:spacing w:after="639" w:line="1" w:lineRule="exact"/>
      </w:pPr>
    </w:p>
    <w:p>
      <w:pPr>
        <w:pStyle w:val="Style28"/>
        <w:keepNext/>
        <w:keepLines/>
        <w:widowControl w:val="0"/>
        <w:shd w:val="clear" w:color="auto" w:fill="auto"/>
        <w:bidi w:val="0"/>
        <w:spacing w:before="0" w:after="36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3</w:t>
      </w:r>
      <w:bookmarkEnd w:id="384"/>
      <w:r>
        <w:rPr>
          <w:color w:val="000000"/>
          <w:spacing w:val="0"/>
          <w:w w:val="100"/>
          <w:position w:val="0"/>
        </w:rPr>
        <w:t>、公司实际控制人情况</w:t>
      </w:r>
      <w:bookmarkEnd w:id="382"/>
      <w:bookmarkEnd w:id="383"/>
      <w:bookmarkEnd w:id="385"/>
    </w:p>
    <w:p>
      <w:pPr>
        <w:pStyle w:val="Style31"/>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实际控制人性质：中央国资管理机构</w:t>
      </w:r>
    </w:p>
    <w:p>
      <w:pPr>
        <w:pStyle w:val="Style31"/>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实际控制人类型：法人</w:t>
      </w:r>
      <w:r>
        <w:br w:type="page"/>
      </w:r>
    </w:p>
    <w:tbl>
      <w:tblPr>
        <w:tblOverlap w:val="never"/>
        <w:jc w:val="center"/>
        <w:tblLayout w:type="fixed"/>
      </w:tblPr>
      <w:tblGrid>
        <w:gridCol w:w="2002"/>
        <w:gridCol w:w="1262"/>
        <w:gridCol w:w="1987"/>
        <w:gridCol w:w="2126"/>
        <w:gridCol w:w="22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实际控制人名称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法定代表人</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主要经营业务</w:t>
            </w:r>
          </w:p>
        </w:tc>
      </w:tr>
      <w:tr>
        <w:trPr>
          <w:trHeight w:val="11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徐井宏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1992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91110000101985670J</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资产管理；资产受托管 理；实业投资及管理； 企业收购、兼并、资产 重组的策划等</w:t>
            </w:r>
          </w:p>
        </w:tc>
      </w:tr>
      <w:tr>
        <w:trPr>
          <w:trHeight w:val="119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实际控制人报告期内 控制的其他境内外上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持有同方股份有限公司</w:t>
            </w:r>
            <w:r>
              <w:rPr>
                <w:rFonts w:ascii="Times New Roman" w:eastAsia="Times New Roman" w:hAnsi="Times New Roman" w:cs="Times New Roman"/>
                <w:color w:val="000000"/>
                <w:spacing w:val="0"/>
                <w:w w:val="100"/>
                <w:position w:val="0"/>
                <w:sz w:val="20"/>
                <w:szCs w:val="20"/>
              </w:rPr>
              <w:t>25.42%</w:t>
            </w:r>
            <w:r>
              <w:rPr>
                <w:color w:val="000000"/>
                <w:spacing w:val="0"/>
                <w:w w:val="100"/>
                <w:position w:val="0"/>
                <w:sz w:val="20"/>
                <w:szCs w:val="20"/>
              </w:rPr>
              <w:t>的股权，持有诚志股份有限公司</w:t>
            </w:r>
            <w:r>
              <w:rPr>
                <w:rFonts w:ascii="Times New Roman" w:eastAsia="Times New Roman" w:hAnsi="Times New Roman" w:cs="Times New Roman"/>
                <w:color w:val="000000"/>
                <w:spacing w:val="0"/>
                <w:w w:val="100"/>
                <w:position w:val="0"/>
                <w:sz w:val="20"/>
                <w:szCs w:val="20"/>
              </w:rPr>
              <w:t>11.76%</w:t>
            </w:r>
            <w:r>
              <w:rPr>
                <w:color w:val="000000"/>
                <w:spacing w:val="0"/>
                <w:w w:val="100"/>
                <w:position w:val="0"/>
                <w:sz w:val="20"/>
                <w:szCs w:val="20"/>
              </w:rPr>
              <w:t>的股权，持 有紫光股份有限公司</w:t>
            </w:r>
            <w:r>
              <w:rPr>
                <w:rFonts w:ascii="Times New Roman" w:eastAsia="Times New Roman" w:hAnsi="Times New Roman" w:cs="Times New Roman"/>
                <w:color w:val="000000"/>
                <w:spacing w:val="0"/>
                <w:w w:val="100"/>
                <w:position w:val="0"/>
                <w:sz w:val="20"/>
                <w:szCs w:val="20"/>
              </w:rPr>
              <w:t>1.2944%</w:t>
            </w:r>
            <w:r>
              <w:rPr>
                <w:color w:val="000000"/>
                <w:spacing w:val="0"/>
                <w:w w:val="100"/>
                <w:position w:val="0"/>
                <w:sz w:val="20"/>
                <w:szCs w:val="20"/>
              </w:rPr>
              <w:t>的股权，持有国金证券股份有限公司</w:t>
            </w:r>
            <w:r>
              <w:rPr>
                <w:rFonts w:ascii="Times New Roman" w:eastAsia="Times New Roman" w:hAnsi="Times New Roman" w:cs="Times New Roman"/>
                <w:color w:val="000000"/>
                <w:spacing w:val="0"/>
                <w:w w:val="100"/>
                <w:position w:val="0"/>
                <w:sz w:val="20"/>
                <w:szCs w:val="20"/>
              </w:rPr>
              <w:t>5.64%</w:t>
            </w:r>
            <w:r>
              <w:rPr>
                <w:color w:val="000000"/>
                <w:spacing w:val="0"/>
                <w:w w:val="100"/>
                <w:position w:val="0"/>
                <w:sz w:val="20"/>
                <w:szCs w:val="20"/>
              </w:rPr>
              <w:t>的股权， 持有启迪桑德环境资源股份有限公司</w:t>
            </w:r>
            <w:r>
              <w:rPr>
                <w:rFonts w:ascii="Times New Roman" w:eastAsia="Times New Roman" w:hAnsi="Times New Roman" w:cs="Times New Roman"/>
                <w:color w:val="000000"/>
                <w:spacing w:val="0"/>
                <w:w w:val="100"/>
                <w:position w:val="0"/>
                <w:sz w:val="20"/>
                <w:szCs w:val="20"/>
              </w:rPr>
              <w:t>5.94%</w:t>
            </w:r>
            <w:r>
              <w:rPr>
                <w:color w:val="000000"/>
                <w:spacing w:val="0"/>
                <w:w w:val="100"/>
                <w:position w:val="0"/>
                <w:sz w:val="20"/>
                <w:szCs w:val="20"/>
              </w:rPr>
              <w:t xml:space="preserve">的股权，持有北京银行股份有限公司 </w:t>
            </w:r>
            <w:r>
              <w:rPr>
                <w:rFonts w:ascii="Times New Roman" w:eastAsia="Times New Roman" w:hAnsi="Times New Roman" w:cs="Times New Roman"/>
                <w:color w:val="000000"/>
                <w:spacing w:val="0"/>
                <w:w w:val="100"/>
                <w:position w:val="0"/>
                <w:sz w:val="20"/>
                <w:szCs w:val="20"/>
              </w:rPr>
              <w:t>0.005%</w:t>
            </w:r>
            <w:r>
              <w:rPr>
                <w:color w:val="000000"/>
                <w:spacing w:val="0"/>
                <w:w w:val="100"/>
                <w:position w:val="0"/>
                <w:sz w:val="20"/>
                <w:szCs w:val="20"/>
              </w:rPr>
              <w:t>的股权。</w:t>
            </w:r>
          </w:p>
        </w:tc>
      </w:tr>
    </w:tbl>
    <w:p>
      <w:pPr>
        <w:widowControl w:val="0"/>
        <w:spacing w:after="159" w:line="1" w:lineRule="exact"/>
      </w:pPr>
    </w:p>
    <w:p>
      <w:pPr>
        <w:pStyle w:val="Style31"/>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实际控制人报告期内变更</w:t>
      </w:r>
    </w:p>
    <w:p>
      <w:pPr>
        <w:pStyle w:val="Style31"/>
        <w:keepNext w:val="0"/>
        <w:keepLines w:val="0"/>
        <w:widowControl w:val="0"/>
        <w:shd w:val="clear" w:color="auto" w:fill="auto"/>
        <w:bidi w:val="0"/>
        <w:spacing w:before="0" w:after="160" w:line="240" w:lineRule="auto"/>
        <w:ind w:left="0" w:right="0" w:firstLine="500"/>
        <w:jc w:val="left"/>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公司与实际控制人之间的产权及控制关系的方框图</w:t>
      </w:r>
    </w:p>
    <w:p>
      <w:pPr>
        <w:widowControl w:val="0"/>
        <w:jc w:val="center"/>
        <w:rPr>
          <w:sz w:val="2"/>
          <w:szCs w:val="2"/>
        </w:rPr>
      </w:pPr>
      <w:r>
        <w:drawing>
          <wp:inline>
            <wp:extent cx="2072640" cy="378587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2072640" cy="3785870"/>
                    </a:xfrm>
                    <a:prstGeom prst="rect"/>
                  </pic:spPr>
                </pic:pic>
              </a:graphicData>
            </a:graphic>
          </wp:inline>
        </w:drawing>
      </w:r>
    </w:p>
    <w:p>
      <w:pPr>
        <w:widowControl w:val="0"/>
        <w:spacing w:after="359" w:line="1" w:lineRule="exact"/>
      </w:pPr>
    </w:p>
    <w:p>
      <w:pPr>
        <w:pStyle w:val="Style31"/>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实际控制人通过信托或其他资产管理方式控制公司</w:t>
      </w:r>
    </w:p>
    <w:p>
      <w:pPr>
        <w:pStyle w:val="Style31"/>
        <w:keepNext w:val="0"/>
        <w:keepLines w:val="0"/>
        <w:widowControl w:val="0"/>
        <w:shd w:val="clear" w:color="auto" w:fill="auto"/>
        <w:bidi w:val="0"/>
        <w:spacing w:before="0" w:after="300" w:line="240" w:lineRule="auto"/>
        <w:ind w:left="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适用/不适用</w:t>
      </w:r>
    </w:p>
    <w:p>
      <w:pPr>
        <w:pStyle w:val="Style28"/>
        <w:keepNext/>
        <w:keepLines/>
        <w:widowControl w:val="0"/>
        <w:shd w:val="clear" w:color="auto" w:fill="auto"/>
        <w:tabs>
          <w:tab w:pos="378" w:val="left"/>
        </w:tabs>
        <w:bidi w:val="0"/>
        <w:spacing w:before="0" w:after="300" w:line="24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4</w:t>
      </w:r>
      <w:bookmarkEnd w:id="38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386"/>
      <w:bookmarkEnd w:id="387"/>
      <w:bookmarkEnd w:id="389"/>
    </w:p>
    <w:p>
      <w:pPr>
        <w:pStyle w:val="Style28"/>
        <w:keepNext/>
        <w:keepLines/>
        <w:widowControl w:val="0"/>
        <w:shd w:val="clear" w:color="auto" w:fill="auto"/>
        <w:bidi w:val="0"/>
        <w:spacing w:before="0" w:after="300" w:line="240" w:lineRule="auto"/>
        <w:ind w:left="0" w:right="0" w:firstLine="0"/>
        <w:jc w:val="left"/>
      </w:pPr>
      <w:bookmarkStart w:id="386" w:name="bookmark386"/>
      <w:bookmarkStart w:id="387" w:name="bookmark387"/>
      <w:r>
        <w:rPr>
          <w:color w:val="000000"/>
          <w:spacing w:val="0"/>
          <w:w w:val="100"/>
          <w:position w:val="0"/>
        </w:rPr>
        <w:t>□</w:t>
      </w:r>
      <w:r>
        <w:rPr>
          <w:color w:val="000000"/>
          <w:spacing w:val="0"/>
          <w:w w:val="100"/>
          <w:position w:val="0"/>
        </w:rPr>
        <w:t>适用/不适用</w:t>
      </w:r>
      <w:bookmarkEnd w:id="386"/>
      <w:bookmarkEnd w:id="387"/>
    </w:p>
    <w:p>
      <w:pPr>
        <w:pStyle w:val="Style28"/>
        <w:keepNext/>
        <w:keepLines/>
        <w:widowControl w:val="0"/>
        <w:shd w:val="clear" w:color="auto" w:fill="auto"/>
        <w:bidi w:val="0"/>
        <w:spacing w:before="0" w:after="30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5</w:t>
      </w:r>
      <w:bookmarkEnd w:id="392"/>
      <w:r>
        <w:rPr>
          <w:color w:val="000000"/>
          <w:spacing w:val="0"/>
          <w:w w:val="100"/>
          <w:position w:val="0"/>
        </w:rPr>
        <w:t>、 控股股东、实际控制人、重组方及其他承诺主体股份限制减持情况</w:t>
      </w:r>
      <w:bookmarkEnd w:id="390"/>
      <w:bookmarkEnd w:id="391"/>
      <w:bookmarkEnd w:id="393"/>
    </w:p>
    <w:p>
      <w:pPr>
        <w:pStyle w:val="Style28"/>
        <w:keepNext/>
        <w:keepLines/>
        <w:widowControl w:val="0"/>
        <w:shd w:val="clear" w:color="auto" w:fill="auto"/>
        <w:bidi w:val="0"/>
        <w:spacing w:before="0" w:after="300" w:line="240" w:lineRule="auto"/>
        <w:ind w:left="0" w:right="0" w:firstLine="0"/>
        <w:jc w:val="left"/>
      </w:pPr>
      <w:bookmarkStart w:id="390" w:name="bookmark390"/>
      <w:bookmarkStart w:id="391" w:name="bookmark391"/>
      <w:r>
        <w:rPr>
          <w:color w:val="000000"/>
          <w:spacing w:val="0"/>
          <w:w w:val="100"/>
          <w:position w:val="0"/>
        </w:rPr>
        <w:t>□</w:t>
      </w:r>
      <w:r>
        <w:rPr>
          <w:color w:val="000000"/>
          <w:spacing w:val="0"/>
          <w:w w:val="100"/>
          <w:position w:val="0"/>
        </w:rPr>
        <w:t>适用/不适用</w:t>
      </w:r>
      <w:bookmarkEnd w:id="390"/>
      <w:bookmarkEnd w:id="391"/>
    </w:p>
    <w:p>
      <w:pPr>
        <w:pStyle w:val="Style15"/>
        <w:keepNext/>
        <w:keepLines/>
        <w:widowControl w:val="0"/>
        <w:shd w:val="clear" w:color="auto" w:fill="auto"/>
        <w:bidi w:val="0"/>
        <w:spacing w:before="0" w:after="540" w:line="240" w:lineRule="auto"/>
        <w:ind w:left="0" w:right="0" w:firstLine="0"/>
        <w:jc w:val="center"/>
      </w:pPr>
      <w:bookmarkStart w:id="394" w:name="bookmark394"/>
      <w:bookmarkStart w:id="395" w:name="bookmark395"/>
      <w:bookmarkStart w:id="396" w:name="bookmark396"/>
      <w:r>
        <w:rPr>
          <w:color w:val="000000"/>
          <w:spacing w:val="0"/>
          <w:w w:val="100"/>
          <w:position w:val="0"/>
        </w:rPr>
        <w:t>第七节优先股相关情况</w:t>
      </w:r>
      <w:bookmarkEnd w:id="394"/>
      <w:bookmarkEnd w:id="395"/>
      <w:bookmarkEnd w:id="396"/>
    </w:p>
    <w:p>
      <w:pPr>
        <w:pStyle w:val="Style31"/>
        <w:keepNext w:val="0"/>
        <w:keepLines w:val="0"/>
        <w:widowControl w:val="0"/>
        <w:shd w:val="clear" w:color="auto" w:fill="auto"/>
        <w:bidi w:val="0"/>
        <w:spacing w:before="0" w:after="0" w:line="240" w:lineRule="auto"/>
        <w:ind w:left="0" w:right="0" w:firstLine="500"/>
        <w:jc w:val="left"/>
      </w:pPr>
      <w:bookmarkStart w:id="397" w:name="bookmark397"/>
      <w:r>
        <w:rPr>
          <w:color w:val="000000"/>
          <w:spacing w:val="0"/>
          <w:w w:val="100"/>
          <w:position w:val="0"/>
        </w:rPr>
        <w:t>报告期公司不存在优先股。</w:t>
      </w:r>
      <w:bookmarkEnd w:id="397"/>
      <w:r>
        <w:br w:type="page"/>
      </w:r>
    </w:p>
    <w:p>
      <w:pPr>
        <w:pStyle w:val="Style15"/>
        <w:keepNext/>
        <w:keepLines/>
        <w:widowControl w:val="0"/>
        <w:shd w:val="clear" w:color="auto" w:fill="auto"/>
        <w:bidi w:val="0"/>
        <w:spacing w:before="0" w:after="360" w:line="240" w:lineRule="auto"/>
        <w:ind w:left="0" w:right="0" w:firstLine="0"/>
        <w:jc w:val="center"/>
      </w:pPr>
      <w:bookmarkStart w:id="398" w:name="bookmark398"/>
      <w:bookmarkStart w:id="399" w:name="bookmark399"/>
      <w:bookmarkStart w:id="400" w:name="bookmark400"/>
      <w:r>
        <w:rPr>
          <w:color w:val="000000"/>
          <w:spacing w:val="0"/>
          <w:w w:val="100"/>
          <w:position w:val="0"/>
        </w:rPr>
        <w:t>第八节董事、监事、高级管理人员和员工情况</w:t>
      </w:r>
      <w:bookmarkEnd w:id="398"/>
      <w:bookmarkEnd w:id="399"/>
      <w:bookmarkEnd w:id="400"/>
    </w:p>
    <w:p>
      <w:pPr>
        <w:pStyle w:val="Style23"/>
        <w:keepNext/>
        <w:keepLines/>
        <w:widowControl w:val="0"/>
        <w:shd w:val="clear" w:color="auto" w:fill="auto"/>
        <w:bidi w:val="0"/>
        <w:spacing w:before="0" w:line="240" w:lineRule="auto"/>
        <w:ind w:left="0" w:right="0" w:firstLine="240"/>
        <w:jc w:val="left"/>
      </w:pPr>
      <w:bookmarkStart w:id="401" w:name="bookmark401"/>
      <w:bookmarkStart w:id="402" w:name="bookmark402"/>
      <w:bookmarkStart w:id="403" w:name="bookmark403"/>
      <w:bookmarkStart w:id="404" w:name="bookmark404"/>
      <w:r>
        <w:rPr>
          <w:color w:val="000000"/>
          <w:spacing w:val="0"/>
          <w:w w:val="100"/>
          <w:position w:val="0"/>
        </w:rPr>
        <w:t>、董事、监事和高级管理人员持股变动</w:t>
      </w:r>
      <w:bookmarkEnd w:id="402"/>
      <w:bookmarkEnd w:id="403"/>
      <w:bookmarkEnd w:id="404"/>
      <w:bookmarkEnd w:id="401"/>
    </w:p>
    <w:tbl>
      <w:tblPr>
        <w:tblOverlap w:val="never"/>
        <w:jc w:val="center"/>
        <w:tblLayout w:type="fixed"/>
      </w:tblPr>
      <w:tblGrid>
        <w:gridCol w:w="715"/>
        <w:gridCol w:w="1133"/>
        <w:gridCol w:w="566"/>
        <w:gridCol w:w="566"/>
        <w:gridCol w:w="566"/>
        <w:gridCol w:w="854"/>
        <w:gridCol w:w="850"/>
        <w:gridCol w:w="989"/>
        <w:gridCol w:w="854"/>
        <w:gridCol w:w="850"/>
        <w:gridCol w:w="706"/>
        <w:gridCol w:w="10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任职 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期初持股数 （股）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40" w:line="230" w:lineRule="exact"/>
              <w:ind w:left="0" w:right="0" w:firstLine="0"/>
              <w:jc w:val="right"/>
              <w:rPr>
                <w:sz w:val="16"/>
                <w:szCs w:val="16"/>
              </w:rPr>
            </w:pPr>
            <w:r>
              <w:rPr>
                <w:color w:val="000000"/>
                <w:spacing w:val="0"/>
                <w:w w:val="100"/>
                <w:position w:val="0"/>
                <w:sz w:val="16"/>
                <w:szCs w:val="16"/>
              </w:rPr>
              <w:t>本期增持 股份数量</w:t>
            </w:r>
          </w:p>
          <w:p>
            <w:pPr>
              <w:pStyle w:val="Style2"/>
              <w:keepNext w:val="0"/>
              <w:keepLines w:val="0"/>
              <w:widowControl w:val="0"/>
              <w:shd w:val="clear" w:color="auto" w:fill="auto"/>
              <w:bidi w:val="0"/>
              <w:spacing w:before="0" w:after="0" w:line="230" w:lineRule="exact"/>
              <w:ind w:left="0" w:right="0" w:firstLine="0"/>
              <w:jc w:val="right"/>
              <w:rPr>
                <w:sz w:val="16"/>
                <w:szCs w:val="16"/>
              </w:rPr>
            </w:pPr>
            <w:r>
              <w:rPr>
                <w:color w:val="000000"/>
                <w:spacing w:val="0"/>
                <w:w w:val="100"/>
                <w:position w:val="0"/>
                <w:sz w:val="16"/>
                <w:szCs w:val="16"/>
              </w:rPr>
              <w:t>（股）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40" w:line="230" w:lineRule="exact"/>
              <w:ind w:left="0" w:right="0" w:firstLine="0"/>
              <w:jc w:val="center"/>
              <w:rPr>
                <w:sz w:val="16"/>
                <w:szCs w:val="16"/>
              </w:rPr>
            </w:pPr>
            <w:r>
              <w:rPr>
                <w:color w:val="000000"/>
                <w:spacing w:val="0"/>
                <w:w w:val="100"/>
                <w:position w:val="0"/>
                <w:sz w:val="16"/>
                <w:szCs w:val="16"/>
              </w:rPr>
              <w:t>本期减持 股份数量</w:t>
            </w:r>
          </w:p>
          <w:p>
            <w:pPr>
              <w:pStyle w:val="Style2"/>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其他增 减变动</w:t>
            </w:r>
          </w:p>
          <w:p>
            <w:pPr>
              <w:pStyle w:val="Style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期末持股数 （股）</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赵伟国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任志军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副董事长、总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高启全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祝昌华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陈金占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陈贤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曹阳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6"/>
                <w:szCs w:val="16"/>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刘卫东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郑铂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沈立峰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职工代表监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6"/>
                <w:szCs w:val="16"/>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乔志城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6"/>
                <w:szCs w:val="16"/>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葛元庆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3,287,994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3,287,994</w:t>
            </w: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任奇伟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阎立群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765,764</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杜林虎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副总裁、董 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杨秋平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黄学良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6"/>
                <w:szCs w:val="16"/>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潘晋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王映浒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沈泓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张立强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职工代表监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421,200</w:t>
            </w: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王清智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职工代表监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6"/>
                <w:szCs w:val="16"/>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4,534,958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4,474,958</w:t>
            </w:r>
          </w:p>
        </w:tc>
      </w:tr>
    </w:tbl>
    <w:p>
      <w:pPr>
        <w:spacing w:lineRule="exact" w:line="1"/>
        <w:rPr>
          <w:sz w:val="2"/>
          <w:szCs w:val="2"/>
        </w:rPr>
      </w:pPr>
      <w:r>
        <w:br w:type="page"/>
      </w:r>
    </w:p>
    <w:p>
      <w:pPr>
        <w:pStyle w:val="Style33"/>
        <w:keepNext w:val="0"/>
        <w:keepLines w:val="0"/>
        <w:widowControl w:val="0"/>
        <w:shd w:val="clear" w:color="auto" w:fill="auto"/>
        <w:bidi w:val="0"/>
        <w:spacing w:before="0" w:after="0" w:line="240" w:lineRule="auto"/>
        <w:ind w:left="14" w:right="0" w:firstLine="0"/>
        <w:jc w:val="left"/>
        <w:rPr>
          <w:sz w:val="22"/>
          <w:szCs w:val="22"/>
        </w:rPr>
      </w:pPr>
      <w:bookmarkStart w:id="405" w:name="bookmark405"/>
      <w:r>
        <w:rPr>
          <w:b/>
          <w:bCs/>
          <w:color w:val="000000"/>
          <w:spacing w:val="0"/>
          <w:w w:val="100"/>
          <w:position w:val="0"/>
          <w:sz w:val="22"/>
          <w:szCs w:val="22"/>
        </w:rPr>
        <w:t>二、公司董事、监事、高级管理人员变动情况</w:t>
      </w:r>
      <w:bookmarkEnd w:id="405"/>
    </w:p>
    <w:tbl>
      <w:tblPr>
        <w:tblOverlap w:val="never"/>
        <w:jc w:val="center"/>
        <w:tblLayout w:type="fixed"/>
      </w:tblPr>
      <w:tblGrid>
        <w:gridCol w:w="1334"/>
        <w:gridCol w:w="1330"/>
        <w:gridCol w:w="1330"/>
        <w:gridCol w:w="2702"/>
        <w:gridCol w:w="288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黄学良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潘晋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工作原因。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阎立群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工作原因。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任志军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董事会聘任。</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任志军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股东大会选举。</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高启全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股东大会选举。</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王映浒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工作原因。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沈泓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工作原因。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张立强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工作原因。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王清智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工作原因。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郑伯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股东大会选举。</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沈立峰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职工代表大会选举。</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乔志城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任免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董事会聘任。</w:t>
            </w:r>
          </w:p>
        </w:tc>
      </w:tr>
    </w:tbl>
    <w:p>
      <w:pPr>
        <w:pStyle w:val="Style33"/>
        <w:keepNext w:val="0"/>
        <w:keepLines w:val="0"/>
        <w:widowControl w:val="0"/>
        <w:shd w:val="clear" w:color="auto" w:fill="auto"/>
        <w:bidi w:val="0"/>
        <w:spacing w:before="0" w:after="0" w:line="240" w:lineRule="auto"/>
        <w:ind w:left="14" w:right="0" w:firstLine="0"/>
        <w:jc w:val="left"/>
        <w:rPr>
          <w:sz w:val="22"/>
          <w:szCs w:val="22"/>
        </w:rPr>
      </w:pPr>
      <w:bookmarkStart w:id="406" w:name="bookmark406"/>
      <w:r>
        <w:rPr>
          <w:b/>
          <w:bCs/>
          <w:color w:val="000000"/>
          <w:spacing w:val="0"/>
          <w:w w:val="100"/>
          <w:position w:val="0"/>
          <w:sz w:val="22"/>
          <w:szCs w:val="22"/>
        </w:rPr>
        <w:t>三、任职情况</w:t>
      </w:r>
      <w:bookmarkEnd w:id="406"/>
    </w:p>
    <w:p>
      <w:pPr>
        <w:widowControl w:val="0"/>
        <w:spacing w:after="279" w:line="1" w:lineRule="exact"/>
      </w:pPr>
    </w:p>
    <w:p>
      <w:pPr>
        <w:pStyle w:val="Style31"/>
        <w:keepNext w:val="0"/>
        <w:keepLines w:val="0"/>
        <w:widowControl w:val="0"/>
        <w:shd w:val="clear" w:color="auto" w:fill="auto"/>
        <w:bidi w:val="0"/>
        <w:spacing w:before="0" w:line="313" w:lineRule="exact"/>
        <w:ind w:left="0" w:right="0" w:firstLine="0"/>
        <w:jc w:val="left"/>
      </w:pPr>
      <w:r>
        <w:rPr>
          <w:b/>
          <w:bCs/>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bidi w:val="0"/>
        <w:spacing w:before="0" w:line="313" w:lineRule="exact"/>
        <w:ind w:left="0" w:right="0" w:firstLine="440"/>
        <w:jc w:val="left"/>
      </w:pPr>
      <w:bookmarkStart w:id="407" w:name="bookmark407"/>
      <w:r>
        <w:rPr>
          <w:b/>
          <w:bCs/>
          <w:color w:val="000000"/>
          <w:spacing w:val="0"/>
          <w:w w:val="100"/>
          <w:position w:val="0"/>
        </w:rPr>
        <w:t>（</w:t>
      </w:r>
      <w:bookmarkEnd w:id="407"/>
      <w:r>
        <w:rPr>
          <w:b/>
          <w:bCs/>
          <w:color w:val="000000"/>
          <w:spacing w:val="0"/>
          <w:w w:val="100"/>
          <w:position w:val="0"/>
        </w:rPr>
        <w:t>一）董事</w:t>
      </w:r>
    </w:p>
    <w:p>
      <w:pPr>
        <w:pStyle w:val="Style31"/>
        <w:keepNext w:val="0"/>
        <w:keepLines w:val="0"/>
        <w:widowControl w:val="0"/>
        <w:shd w:val="clear" w:color="auto" w:fill="auto"/>
        <w:bidi w:val="0"/>
        <w:spacing w:before="0" w:line="311" w:lineRule="exact"/>
        <w:ind w:left="0" w:right="0" w:firstLine="480"/>
        <w:jc w:val="left"/>
      </w:pPr>
      <w:r>
        <w:rPr>
          <w:color w:val="000000"/>
          <w:spacing w:val="0"/>
          <w:w w:val="100"/>
          <w:position w:val="0"/>
        </w:rPr>
        <w:t>赵伟国先生：</w:t>
      </w:r>
      <w:r>
        <w:rPr>
          <w:rFonts w:ascii="Times New Roman" w:eastAsia="Times New Roman" w:hAnsi="Times New Roman" w:cs="Times New Roman"/>
          <w:color w:val="000000"/>
          <w:spacing w:val="0"/>
          <w:w w:val="100"/>
          <w:position w:val="0"/>
          <w:sz w:val="24"/>
          <w:szCs w:val="24"/>
        </w:rPr>
        <w:t>1967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月出生，中国国籍，工学硕士，毕业于清华大学电子工程专业。曾 任北京布劳森技术有限公司副总工程师，紫光集团自动化工程事业部副总经理，北京同方电 子科技有限公司总经理，紫光股份有限公司董事等职。</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rPr>
        <w:t>年至今，任北京健坤投资集团有 限公司董事长；</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年至今，历任紫光集团有限公司总裁、总裁兼董事长、董事长；</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 至今，兼任天津大学管理学院教授；</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月至今，兼任清华控股有限公司董事、高级副总 裁；</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月至今，兼任</w:t>
      </w:r>
      <w:r>
        <w:rPr>
          <w:rFonts w:ascii="Times New Roman" w:eastAsia="Times New Roman" w:hAnsi="Times New Roman" w:cs="Times New Roman"/>
          <w:color w:val="000000"/>
          <w:spacing w:val="0"/>
          <w:w w:val="100"/>
          <w:position w:val="0"/>
          <w:sz w:val="24"/>
          <w:szCs w:val="24"/>
        </w:rPr>
        <w:t>TCL</w:t>
      </w:r>
      <w:r>
        <w:rPr>
          <w:color w:val="000000"/>
          <w:spacing w:val="0"/>
          <w:w w:val="100"/>
          <w:position w:val="0"/>
        </w:rPr>
        <w:t>集团股份有限公司董事；</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月至今，任紫光股份有限公 司董事长；</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年至今，兼任中国高端芯片联盟副理事长；</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月起任本公司董事长。</w:t>
      </w:r>
    </w:p>
    <w:p>
      <w:pPr>
        <w:pStyle w:val="Style31"/>
        <w:keepNext w:val="0"/>
        <w:keepLines w:val="0"/>
        <w:widowControl w:val="0"/>
        <w:shd w:val="clear" w:color="auto" w:fill="auto"/>
        <w:bidi w:val="0"/>
        <w:spacing w:before="0" w:line="315" w:lineRule="exact"/>
        <w:ind w:left="0" w:right="0" w:firstLine="480"/>
        <w:jc w:val="left"/>
      </w:pPr>
      <w:r>
        <w:rPr>
          <w:color w:val="000000"/>
          <w:spacing w:val="0"/>
          <w:w w:val="100"/>
          <w:position w:val="0"/>
        </w:rPr>
        <w:t>任志军先生：</w:t>
      </w:r>
      <w:r>
        <w:rPr>
          <w:rFonts w:ascii="Times New Roman" w:eastAsia="Times New Roman" w:hAnsi="Times New Roman" w:cs="Times New Roman"/>
          <w:color w:val="000000"/>
          <w:spacing w:val="0"/>
          <w:w w:val="100"/>
          <w:position w:val="0"/>
          <w:sz w:val="24"/>
          <w:szCs w:val="24"/>
        </w:rPr>
        <w:t>1966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 xml:space="preserve">月出生，中国国籍，工学博士，教授级高级工程师，享受政府特 殊津贴。曾在清华大学电子工程系、北京邮电大学与加拿大北方电讯电信研究开发中心工作。 </w:t>
      </w:r>
      <w:r>
        <w:rPr>
          <w:rFonts w:ascii="Times New Roman" w:eastAsia="Times New Roman" w:hAnsi="Times New Roman" w:cs="Times New Roman"/>
          <w:color w:val="000000"/>
          <w:spacing w:val="0"/>
          <w:w w:val="100"/>
          <w:position w:val="0"/>
          <w:sz w:val="24"/>
          <w:szCs w:val="24"/>
        </w:rPr>
        <w:t>1999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月，历任亿阳信通股份有限公司副总裁、总裁、董事长；</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月，任紫光集团执行副总裁；</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月，任锐迪科创微电子（北京）有限 公司董事长；</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月至今，受聘北京邮电大学电信学院兼职教授；</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月至今，历任 本公司副总裁、总裁、副董事长兼总裁。</w:t>
      </w:r>
    </w:p>
    <w:p>
      <w:pPr>
        <w:pStyle w:val="Style31"/>
        <w:keepNext w:val="0"/>
        <w:keepLines w:val="0"/>
        <w:widowControl w:val="0"/>
        <w:shd w:val="clear" w:color="auto" w:fill="auto"/>
        <w:bidi w:val="0"/>
        <w:spacing w:before="0" w:after="100" w:line="313" w:lineRule="exact"/>
        <w:ind w:left="0" w:right="0" w:firstLine="480"/>
        <w:jc w:val="left"/>
      </w:pPr>
      <w:r>
        <w:rPr>
          <w:color w:val="000000"/>
          <w:spacing w:val="0"/>
          <w:w w:val="100"/>
          <w:position w:val="0"/>
        </w:rPr>
        <w:t>高启全先生：</w:t>
      </w:r>
      <w:r>
        <w:rPr>
          <w:rFonts w:ascii="Times New Roman" w:eastAsia="Times New Roman" w:hAnsi="Times New Roman" w:cs="Times New Roman"/>
          <w:color w:val="000000"/>
          <w:spacing w:val="0"/>
          <w:w w:val="100"/>
          <w:position w:val="0"/>
          <w:sz w:val="24"/>
          <w:szCs w:val="24"/>
        </w:rPr>
        <w:t>1953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月出生，中国台湾地区人，工学硕士。</w:t>
      </w:r>
      <w:r>
        <w:rPr>
          <w:rFonts w:ascii="Times New Roman" w:eastAsia="Times New Roman" w:hAnsi="Times New Roman" w:cs="Times New Roman"/>
          <w:color w:val="000000"/>
          <w:spacing w:val="0"/>
          <w:w w:val="100"/>
          <w:position w:val="0"/>
          <w:sz w:val="24"/>
          <w:szCs w:val="24"/>
        </w:rPr>
        <w:t>1979</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1981</w:t>
      </w:r>
      <w:r>
        <w:rPr>
          <w:color w:val="000000"/>
          <w:spacing w:val="0"/>
          <w:w w:val="100"/>
          <w:position w:val="0"/>
        </w:rPr>
        <w:t>年任美国</w:t>
      </w:r>
      <w:r>
        <w:rPr>
          <w:rFonts w:ascii="Times New Roman" w:eastAsia="Times New Roman" w:hAnsi="Times New Roman" w:cs="Times New Roman"/>
          <w:color w:val="000000"/>
          <w:spacing w:val="0"/>
          <w:w w:val="100"/>
          <w:position w:val="0"/>
          <w:sz w:val="24"/>
          <w:szCs w:val="24"/>
        </w:rPr>
        <w:t>Fair Child</w:t>
      </w:r>
      <w:r>
        <w:rPr>
          <w:color w:val="000000"/>
          <w:spacing w:val="0"/>
          <w:w w:val="100"/>
          <w:position w:val="0"/>
        </w:rPr>
        <w:t>电子公司工程师；</w:t>
      </w:r>
      <w:r>
        <w:rPr>
          <w:rFonts w:ascii="Times New Roman" w:eastAsia="Times New Roman" w:hAnsi="Times New Roman" w:cs="Times New Roman"/>
          <w:color w:val="000000"/>
          <w:spacing w:val="0"/>
          <w:w w:val="100"/>
          <w:position w:val="0"/>
          <w:sz w:val="24"/>
          <w:szCs w:val="24"/>
        </w:rPr>
        <w:t>1981</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1987</w:t>
      </w:r>
      <w:r>
        <w:rPr>
          <w:color w:val="000000"/>
          <w:spacing w:val="0"/>
          <w:w w:val="100"/>
          <w:position w:val="0"/>
        </w:rPr>
        <w:t>年于英特尔</w:t>
      </w:r>
      <w:r>
        <w:rPr>
          <w:rFonts w:ascii="Times New Roman" w:eastAsia="Times New Roman" w:hAnsi="Times New Roman" w:cs="Times New Roman"/>
          <w:color w:val="000000"/>
          <w:spacing w:val="0"/>
          <w:w w:val="100"/>
          <w:position w:val="0"/>
          <w:sz w:val="24"/>
          <w:szCs w:val="24"/>
        </w:rPr>
        <w:t xml:space="preserve">I nte </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记忆体公司担任研发部经理；</w:t>
      </w:r>
      <w:r>
        <w:rPr>
          <w:rFonts w:ascii="Times New Roman" w:eastAsia="Times New Roman" w:hAnsi="Times New Roman" w:cs="Times New Roman"/>
          <w:color w:val="000000"/>
          <w:spacing w:val="0"/>
          <w:w w:val="100"/>
          <w:position w:val="0"/>
          <w:sz w:val="24"/>
          <w:szCs w:val="24"/>
        </w:rPr>
        <w:t>1987</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24"/>
          <w:szCs w:val="24"/>
        </w:rPr>
        <w:t>1989</w:t>
      </w:r>
      <w:r>
        <w:rPr>
          <w:color w:val="000000"/>
          <w:spacing w:val="0"/>
          <w:w w:val="100"/>
          <w:position w:val="0"/>
        </w:rPr>
        <w:t>年服务于台积电</w:t>
      </w:r>
      <w:r>
        <w:rPr>
          <w:rFonts w:ascii="Times New Roman" w:eastAsia="Times New Roman" w:hAnsi="Times New Roman" w:cs="Times New Roman"/>
          <w:color w:val="000000"/>
          <w:spacing w:val="0"/>
          <w:w w:val="100"/>
          <w:position w:val="0"/>
          <w:sz w:val="24"/>
          <w:szCs w:val="24"/>
        </w:rPr>
        <w:t>TSMC</w:t>
      </w:r>
      <w:r>
        <w:rPr>
          <w:color w:val="000000"/>
          <w:spacing w:val="0"/>
          <w:w w:val="100"/>
          <w:position w:val="0"/>
        </w:rPr>
        <w:t>，</w:t>
      </w:r>
      <w:r>
        <w:rPr>
          <w:color w:val="000000"/>
          <w:spacing w:val="0"/>
          <w:w w:val="100"/>
          <w:position w:val="0"/>
        </w:rPr>
        <w:t>担任一厂厂长；</w:t>
      </w:r>
      <w:r>
        <w:rPr>
          <w:rFonts w:ascii="Times New Roman" w:eastAsia="Times New Roman" w:hAnsi="Times New Roman" w:cs="Times New Roman"/>
          <w:color w:val="000000"/>
          <w:spacing w:val="0"/>
          <w:w w:val="100"/>
          <w:position w:val="0"/>
          <w:sz w:val="24"/>
          <w:szCs w:val="24"/>
        </w:rPr>
        <w:t>1989</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1995</w:t>
      </w:r>
      <w:r>
        <w:rPr>
          <w:color w:val="000000"/>
          <w:spacing w:val="0"/>
          <w:w w:val="100"/>
          <w:position w:val="0"/>
        </w:rPr>
        <w:t>年任职旺宏公司</w:t>
      </w:r>
      <w:r>
        <w:rPr>
          <w:rFonts w:ascii="Times New Roman" w:eastAsia="Times New Roman" w:hAnsi="Times New Roman" w:cs="Times New Roman"/>
          <w:color w:val="000000"/>
          <w:spacing w:val="0"/>
          <w:w w:val="100"/>
          <w:position w:val="0"/>
          <w:sz w:val="24"/>
          <w:szCs w:val="24"/>
        </w:rPr>
        <w:t>Macronix</w:t>
      </w:r>
      <w:r>
        <w:rPr>
          <w:color w:val="000000"/>
          <w:spacing w:val="0"/>
          <w:w w:val="100"/>
          <w:position w:val="0"/>
        </w:rPr>
        <w:t>，</w:t>
      </w:r>
      <w:r>
        <w:rPr>
          <w:color w:val="000000"/>
          <w:spacing w:val="0"/>
          <w:w w:val="100"/>
          <w:position w:val="0"/>
        </w:rPr>
        <w:t>为创办 人之一；</w:t>
      </w:r>
      <w:r>
        <w:rPr>
          <w:rFonts w:ascii="Times New Roman" w:eastAsia="Times New Roman" w:hAnsi="Times New Roman" w:cs="Times New Roman"/>
          <w:color w:val="000000"/>
          <w:spacing w:val="0"/>
          <w:w w:val="100"/>
          <w:position w:val="0"/>
          <w:sz w:val="24"/>
          <w:szCs w:val="24"/>
        </w:rPr>
        <w:t>1996</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年任职台塑企业旗下的</w:t>
      </w:r>
      <w:r>
        <w:rPr>
          <w:rFonts w:ascii="Times New Roman" w:eastAsia="Times New Roman" w:hAnsi="Times New Roman" w:cs="Times New Roman"/>
          <w:color w:val="000000"/>
          <w:spacing w:val="0"/>
          <w:w w:val="100"/>
          <w:position w:val="0"/>
          <w:sz w:val="24"/>
          <w:szCs w:val="24"/>
        </w:rPr>
        <w:t>DRAM</w:t>
      </w:r>
      <w:r>
        <w:rPr>
          <w:color w:val="000000"/>
          <w:spacing w:val="0"/>
          <w:w w:val="100"/>
          <w:position w:val="0"/>
        </w:rPr>
        <w:t>存储器芯片公司，曾担任南亚科技</w:t>
      </w:r>
      <w:r>
        <w:rPr>
          <w:rFonts w:ascii="Times New Roman" w:eastAsia="Times New Roman" w:hAnsi="Times New Roman" w:cs="Times New Roman"/>
          <w:color w:val="000000"/>
          <w:spacing w:val="0"/>
          <w:w w:val="100"/>
          <w:position w:val="0"/>
          <w:sz w:val="24"/>
          <w:szCs w:val="24"/>
        </w:rPr>
        <w:t>（Nanya</w:t>
      </w:r>
      <w:r>
        <w:rPr>
          <w:color w:val="000000"/>
          <w:spacing w:val="0"/>
          <w:w w:val="100"/>
          <w:position w:val="0"/>
        </w:rPr>
        <w:t xml:space="preserve">） </w:t>
      </w:r>
      <w:r>
        <w:rPr>
          <w:color w:val="000000"/>
          <w:spacing w:val="0"/>
          <w:w w:val="100"/>
          <w:position w:val="0"/>
        </w:rPr>
        <w:t>全球业务执行副总与营运执行副总及总经理职务，</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rPr>
        <w:t>年出任华亚科技（</w:t>
      </w:r>
      <w:r>
        <w:rPr>
          <w:rFonts w:ascii="Times New Roman" w:eastAsia="Times New Roman" w:hAnsi="Times New Roman" w:cs="Times New Roman"/>
          <w:color w:val="000000"/>
          <w:spacing w:val="0"/>
          <w:w w:val="100"/>
          <w:position w:val="0"/>
          <w:sz w:val="24"/>
          <w:szCs w:val="24"/>
        </w:rPr>
        <w:t>Inotera</w:t>
      </w:r>
      <w:r>
        <w:rPr>
          <w:color w:val="000000"/>
          <w:spacing w:val="0"/>
          <w:w w:val="100"/>
          <w:position w:val="0"/>
        </w:rPr>
        <w:t xml:space="preserve">）总经理， </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年担任南亚科技总经理主导公司策略营运，同时并担任华亚科技董事长等职务；</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月加入紫光集团有限公司；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月起任本公司董事。</w:t>
      </w:r>
    </w:p>
    <w:p>
      <w:pPr>
        <w:pStyle w:val="Style31"/>
        <w:keepNext w:val="0"/>
        <w:keepLines w:val="0"/>
        <w:widowControl w:val="0"/>
        <w:shd w:val="clear" w:color="auto" w:fill="auto"/>
        <w:bidi w:val="0"/>
        <w:spacing w:before="0" w:after="100" w:line="315" w:lineRule="exact"/>
        <w:ind w:left="0" w:right="0" w:firstLine="480"/>
        <w:jc w:val="both"/>
      </w:pPr>
      <w:r>
        <w:rPr>
          <w:color w:val="000000"/>
          <w:spacing w:val="0"/>
          <w:w w:val="100"/>
          <w:position w:val="0"/>
        </w:rPr>
        <w:t>祝昌华先生：</w:t>
      </w:r>
      <w:r>
        <w:rPr>
          <w:rFonts w:ascii="Times New Roman" w:eastAsia="Times New Roman" w:hAnsi="Times New Roman" w:cs="Times New Roman"/>
          <w:color w:val="000000"/>
          <w:spacing w:val="0"/>
          <w:w w:val="100"/>
          <w:position w:val="0"/>
          <w:sz w:val="24"/>
          <w:szCs w:val="24"/>
        </w:rPr>
        <w:t>1962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月出生，中国国籍，硕士，高级工程师。</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月至今，历任深 圳市国微电子有限公司董事、总裁、董事长；现兼任深圳市紫光同创电子有限公司董事长兼 总裁；霍尔果斯天惠人股权投资管理合伙企业（有限合伙）执行事务合伙人。祝昌华先生为 深圳半导体行业协会会长。</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月起任本公司董事、副总裁。</w:t>
      </w:r>
    </w:p>
    <w:p>
      <w:pPr>
        <w:pStyle w:val="Style31"/>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陈金占先生：</w:t>
      </w:r>
      <w:r>
        <w:rPr>
          <w:rFonts w:ascii="Times New Roman" w:eastAsia="Times New Roman" w:hAnsi="Times New Roman" w:cs="Times New Roman"/>
          <w:color w:val="000000"/>
          <w:spacing w:val="0"/>
          <w:w w:val="100"/>
          <w:position w:val="0"/>
          <w:sz w:val="24"/>
          <w:szCs w:val="24"/>
        </w:rPr>
        <w:t>1952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月出生，中国国籍，本科学历，律师。</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月历 任国都证券有限责任公司副总裁、合规总监；</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月曾任同方股份有限公司 独立董事；</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月曾任中欧基金管理有限公司董事；</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 曾任茂名石化实华股份有限公司独立董事；现任职于北京市经纬律师事务所，</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月起任 本公司独立董事。</w:t>
      </w:r>
    </w:p>
    <w:p>
      <w:pPr>
        <w:pStyle w:val="Style31"/>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陈贤先生：</w:t>
      </w:r>
      <w:r>
        <w:rPr>
          <w:rFonts w:ascii="Times New Roman" w:eastAsia="Times New Roman" w:hAnsi="Times New Roman" w:cs="Times New Roman"/>
          <w:color w:val="000000"/>
          <w:spacing w:val="0"/>
          <w:w w:val="100"/>
          <w:position w:val="0"/>
          <w:sz w:val="24"/>
          <w:szCs w:val="24"/>
        </w:rPr>
        <w:t>1945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月出生，中国国籍，高级工程师，享受国务院政府特殊津贴专家。 历任北京大学微电子学研究所室主任，国家电子工业部副处长、机械电子工业部处长，中国 电子信息产业集团公司微电子事业部经理、规划部经理，华越微电子有限公司董事长、总经 理，中国电子信息产业集团公司信息技术研究院战略部主任、中国华大集成电路设计集团有 限公司董事、上海华虹（集团）有限公司董事。</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年至今，在中国半导体行业协会工作， 历任协会副秘书长、秘书长，现任协会副理事长，兼任扬州扬杰电子科技股份有限公司独立 董事、嘉兴斯达半导体股份有限公司独立董事、气派科技股份有限公司独立董事、华大半导 体有限公司独立董事、南通富士通微电子股份有限公司独立董事，</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月起任本公司独立 董事。</w:t>
      </w:r>
    </w:p>
    <w:p>
      <w:pPr>
        <w:pStyle w:val="Style31"/>
        <w:keepNext w:val="0"/>
        <w:keepLines w:val="0"/>
        <w:widowControl w:val="0"/>
        <w:shd w:val="clear" w:color="auto" w:fill="auto"/>
        <w:bidi w:val="0"/>
        <w:spacing w:before="0" w:after="100" w:line="310" w:lineRule="exact"/>
        <w:ind w:left="0" w:right="0" w:firstLine="480"/>
        <w:jc w:val="both"/>
      </w:pPr>
      <w:r>
        <w:rPr>
          <w:color w:val="000000"/>
          <w:spacing w:val="0"/>
          <w:w w:val="100"/>
          <w:position w:val="0"/>
        </w:rPr>
        <w:t>曹阳先生：</w:t>
      </w:r>
      <w:r>
        <w:rPr>
          <w:rFonts w:ascii="Times New Roman" w:eastAsia="Times New Roman" w:hAnsi="Times New Roman" w:cs="Times New Roman"/>
          <w:color w:val="000000"/>
          <w:spacing w:val="0"/>
          <w:w w:val="100"/>
          <w:position w:val="0"/>
          <w:sz w:val="24"/>
          <w:szCs w:val="24"/>
        </w:rPr>
        <w:t>1973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月出生，中国国籍，注册会计师，国家会计学院特聘教授。</w:t>
      </w:r>
      <w:r>
        <w:rPr>
          <w:rFonts w:ascii="Times New Roman" w:eastAsia="Times New Roman" w:hAnsi="Times New Roman" w:cs="Times New Roman"/>
          <w:color w:val="000000"/>
          <w:spacing w:val="0"/>
          <w:w w:val="100"/>
          <w:position w:val="0"/>
          <w:sz w:val="24"/>
          <w:szCs w:val="24"/>
        </w:rPr>
        <w:t>1999</w:t>
      </w:r>
      <w:r>
        <w:rPr>
          <w:color w:val="000000"/>
          <w:spacing w:val="0"/>
          <w:w w:val="100"/>
          <w:position w:val="0"/>
        </w:rPr>
        <w:t>年至 今任致同会计师事务所经理、合伙人，现兼任普莱柯生物工程股份有限公司独立董事。</w:t>
      </w:r>
      <w:r>
        <w:rPr>
          <w:rFonts w:ascii="Times New Roman" w:eastAsia="Times New Roman" w:hAnsi="Times New Roman" w:cs="Times New Roman"/>
          <w:color w:val="000000"/>
          <w:spacing w:val="0"/>
          <w:w w:val="100"/>
          <w:position w:val="0"/>
          <w:sz w:val="24"/>
          <w:szCs w:val="24"/>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月起任本公司独立董事。</w:t>
      </w:r>
    </w:p>
    <w:p>
      <w:pPr>
        <w:pStyle w:val="Style31"/>
        <w:keepNext w:val="0"/>
        <w:keepLines w:val="0"/>
        <w:widowControl w:val="0"/>
        <w:shd w:val="clear" w:color="auto" w:fill="auto"/>
        <w:tabs>
          <w:tab w:pos="1038" w:val="left"/>
        </w:tabs>
        <w:bidi w:val="0"/>
        <w:spacing w:before="0" w:after="100" w:line="314" w:lineRule="exact"/>
        <w:ind w:left="0" w:right="0" w:firstLine="440"/>
        <w:jc w:val="both"/>
      </w:pPr>
      <w:bookmarkStart w:id="408" w:name="bookmark408"/>
      <w:r>
        <w:rPr>
          <w:b/>
          <w:bCs/>
          <w:color w:val="000000"/>
          <w:spacing w:val="0"/>
          <w:w w:val="100"/>
          <w:position w:val="0"/>
        </w:rPr>
        <w:t>（</w:t>
      </w:r>
      <w:bookmarkEnd w:id="408"/>
      <w:r>
        <w:rPr>
          <w:b/>
          <w:bCs/>
          <w:color w:val="000000"/>
          <w:spacing w:val="0"/>
          <w:w w:val="100"/>
          <w:position w:val="0"/>
        </w:rPr>
        <w:t>二）</w:t>
        <w:tab/>
        <w:t>监事</w:t>
      </w:r>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刘卫东先生：</w:t>
      </w:r>
      <w:r>
        <w:rPr>
          <w:rFonts w:ascii="Times New Roman" w:eastAsia="Times New Roman" w:hAnsi="Times New Roman" w:cs="Times New Roman"/>
          <w:color w:val="000000"/>
          <w:spacing w:val="0"/>
          <w:w w:val="100"/>
          <w:position w:val="0"/>
          <w:sz w:val="24"/>
          <w:szCs w:val="24"/>
        </w:rPr>
        <w:t>1963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月出生，中国国籍，硕士。</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rPr>
        <w:t>年至今，历任同方股份有限公司审 计部副总经理、副总会计师、总会计师、财务负责人。现任同方股份有限公司副总裁、财务 负责人。</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月起任本公司监事会主席。</w:t>
      </w:r>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郑伯先生：</w:t>
      </w:r>
      <w:r>
        <w:rPr>
          <w:rFonts w:ascii="Times New Roman" w:eastAsia="Times New Roman" w:hAnsi="Times New Roman" w:cs="Times New Roman"/>
          <w:color w:val="000000"/>
          <w:spacing w:val="0"/>
          <w:w w:val="100"/>
          <w:position w:val="0"/>
          <w:sz w:val="24"/>
          <w:szCs w:val="24"/>
        </w:rPr>
        <w:t>1984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月出生，中国国籍，本科学历。</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月于德勤华永 会计师事务所北京分所任顾问，</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月于安永（中国）企业咨询有限公司任 高级顾问，</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月任华锐风电科技（集团）股份有限公司税务经理，</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9 </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月于华润医药集团任职财务管理部经理，</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年至今于紫光集团有限公司历任投 资管理部副总经理、投资管理部总经理。现兼任紫光集团有限公司监事、厦门紫光学大股份 有限公司董事。</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月起任本公司监事。</w:t>
      </w:r>
    </w:p>
    <w:p>
      <w:pPr>
        <w:pStyle w:val="Style31"/>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沈立峰先生：</w:t>
      </w:r>
      <w:r>
        <w:rPr>
          <w:rFonts w:ascii="Times New Roman" w:eastAsia="Times New Roman" w:hAnsi="Times New Roman" w:cs="Times New Roman"/>
          <w:color w:val="000000"/>
          <w:spacing w:val="0"/>
          <w:w w:val="100"/>
          <w:position w:val="0"/>
          <w:sz w:val="24"/>
          <w:szCs w:val="24"/>
        </w:rPr>
        <w:t>1979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月出生，中国国籍，中专学历，</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月加入本公司从事技术工 作，现任唐山国芯晶源电子有限公司五厂生产主管。</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月起任本公司职工代表监事。</w:t>
      </w:r>
    </w:p>
    <w:p>
      <w:pPr>
        <w:pStyle w:val="Style31"/>
        <w:keepNext w:val="0"/>
        <w:keepLines w:val="0"/>
        <w:widowControl w:val="0"/>
        <w:shd w:val="clear" w:color="auto" w:fill="auto"/>
        <w:tabs>
          <w:tab w:pos="1038" w:val="left"/>
        </w:tabs>
        <w:bidi w:val="0"/>
        <w:spacing w:before="0" w:after="100" w:line="314" w:lineRule="exact"/>
        <w:ind w:left="0" w:right="0" w:firstLine="440"/>
        <w:jc w:val="both"/>
      </w:pPr>
      <w:bookmarkStart w:id="409" w:name="bookmark409"/>
      <w:r>
        <w:rPr>
          <w:b/>
          <w:bCs/>
          <w:color w:val="000000"/>
          <w:spacing w:val="0"/>
          <w:w w:val="100"/>
          <w:position w:val="0"/>
        </w:rPr>
        <w:t>（</w:t>
      </w:r>
      <w:bookmarkEnd w:id="409"/>
      <w:r>
        <w:rPr>
          <w:b/>
          <w:bCs/>
          <w:color w:val="000000"/>
          <w:spacing w:val="0"/>
          <w:w w:val="100"/>
          <w:position w:val="0"/>
        </w:rPr>
        <w:t>三）</w:t>
        <w:tab/>
        <w:t>高级管理人员</w:t>
      </w:r>
    </w:p>
    <w:p>
      <w:pPr>
        <w:pStyle w:val="Style3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任志军先生：公司副董事长、总裁，简历同上。</w:t>
      </w:r>
    </w:p>
    <w:p>
      <w:pPr>
        <w:pStyle w:val="Style3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祝昌华先生：公司董事、副总裁，简历同上。</w:t>
      </w:r>
    </w:p>
    <w:p>
      <w:pPr>
        <w:pStyle w:val="Style31"/>
        <w:keepNext w:val="0"/>
        <w:keepLines w:val="0"/>
        <w:widowControl w:val="0"/>
        <w:shd w:val="clear" w:color="auto" w:fill="auto"/>
        <w:bidi w:val="0"/>
        <w:spacing w:before="0" w:line="307" w:lineRule="exact"/>
        <w:ind w:left="0" w:right="0" w:firstLine="480"/>
        <w:jc w:val="both"/>
      </w:pPr>
      <w:r>
        <w:rPr>
          <w:color w:val="000000"/>
          <w:spacing w:val="0"/>
          <w:w w:val="100"/>
          <w:position w:val="0"/>
        </w:rPr>
        <w:t>乔志城先生：</w:t>
      </w:r>
      <w:r>
        <w:rPr>
          <w:rFonts w:ascii="Times New Roman" w:eastAsia="Times New Roman" w:hAnsi="Times New Roman" w:cs="Times New Roman"/>
          <w:color w:val="000000"/>
          <w:spacing w:val="0"/>
          <w:w w:val="100"/>
          <w:position w:val="0"/>
          <w:sz w:val="24"/>
          <w:szCs w:val="24"/>
        </w:rPr>
        <w:t>1972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月出生，中国国籍，经济学博士。</w:t>
      </w:r>
      <w:r>
        <w:rPr>
          <w:rFonts w:ascii="Times New Roman" w:eastAsia="Times New Roman" w:hAnsi="Times New Roman" w:cs="Times New Roman"/>
          <w:color w:val="231F20"/>
          <w:spacing w:val="0"/>
          <w:w w:val="100"/>
          <w:position w:val="0"/>
          <w:sz w:val="24"/>
          <w:szCs w:val="24"/>
        </w:rPr>
        <w:t>1998</w:t>
      </w:r>
      <w:r>
        <w:rPr>
          <w:color w:val="231F20"/>
          <w:spacing w:val="0"/>
          <w:w w:val="100"/>
          <w:position w:val="0"/>
        </w:rPr>
        <w:t>年至</w:t>
      </w:r>
      <w:r>
        <w:rPr>
          <w:rFonts w:ascii="Times New Roman" w:eastAsia="Times New Roman" w:hAnsi="Times New Roman" w:cs="Times New Roman"/>
          <w:color w:val="231F20"/>
          <w:spacing w:val="0"/>
          <w:w w:val="100"/>
          <w:position w:val="0"/>
          <w:sz w:val="24"/>
          <w:szCs w:val="24"/>
        </w:rPr>
        <w:t>2003</w:t>
      </w:r>
      <w:r>
        <w:rPr>
          <w:color w:val="231F20"/>
          <w:spacing w:val="0"/>
          <w:w w:val="100"/>
          <w:position w:val="0"/>
        </w:rPr>
        <w:t xml:space="preserve">年任职于涌金集团， </w:t>
      </w:r>
      <w:r>
        <w:rPr>
          <w:rFonts w:ascii="Times New Roman" w:eastAsia="Times New Roman" w:hAnsi="Times New Roman" w:cs="Times New Roman"/>
          <w:color w:val="231F20"/>
          <w:spacing w:val="0"/>
          <w:w w:val="100"/>
          <w:position w:val="0"/>
          <w:sz w:val="24"/>
          <w:szCs w:val="24"/>
        </w:rPr>
        <w:t>2004</w:t>
      </w:r>
      <w:r>
        <w:rPr>
          <w:color w:val="231F20"/>
          <w:spacing w:val="0"/>
          <w:w w:val="100"/>
          <w:position w:val="0"/>
        </w:rPr>
        <w:t>年至</w:t>
      </w:r>
      <w:r>
        <w:rPr>
          <w:rFonts w:ascii="Times New Roman" w:eastAsia="Times New Roman" w:hAnsi="Times New Roman" w:cs="Times New Roman"/>
          <w:color w:val="231F20"/>
          <w:spacing w:val="0"/>
          <w:w w:val="100"/>
          <w:position w:val="0"/>
          <w:sz w:val="24"/>
          <w:szCs w:val="24"/>
        </w:rPr>
        <w:t>2010</w:t>
      </w:r>
      <w:r>
        <w:rPr>
          <w:color w:val="231F20"/>
          <w:spacing w:val="0"/>
          <w:w w:val="100"/>
          <w:position w:val="0"/>
        </w:rPr>
        <w:t>年</w:t>
      </w:r>
      <w:r>
        <w:rPr>
          <w:rFonts w:ascii="Times New Roman" w:eastAsia="Times New Roman" w:hAnsi="Times New Roman" w:cs="Times New Roman"/>
          <w:color w:val="231F20"/>
          <w:spacing w:val="0"/>
          <w:w w:val="100"/>
          <w:position w:val="0"/>
          <w:sz w:val="24"/>
          <w:szCs w:val="24"/>
        </w:rPr>
        <w:t>8</w:t>
      </w:r>
      <w:r>
        <w:rPr>
          <w:color w:val="231F20"/>
          <w:spacing w:val="0"/>
          <w:w w:val="100"/>
          <w:position w:val="0"/>
        </w:rPr>
        <w:t>月曾任株洲千金药业股份有限公司</w:t>
      </w:r>
      <w:r>
        <w:rPr>
          <w:color w:val="000000"/>
          <w:spacing w:val="0"/>
          <w:w w:val="100"/>
          <w:position w:val="0"/>
        </w:rPr>
        <w:t>投资总监、总经理、副董事长；</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9 </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月曾任上海复星医药（集团）股份有限公司高级副总裁、首席财务官、董事会秘 书；</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月曾任紫光古汉集团股份有限公司董事长；</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 任紫光集团有限公司高级副总裁。</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月起，任本公司副总裁。</w:t>
      </w:r>
    </w:p>
    <w:p>
      <w:pPr>
        <w:pStyle w:val="Style31"/>
        <w:keepNext w:val="0"/>
        <w:keepLines w:val="0"/>
        <w:widowControl w:val="0"/>
        <w:shd w:val="clear" w:color="auto" w:fill="auto"/>
        <w:bidi w:val="0"/>
        <w:spacing w:before="0" w:line="314" w:lineRule="exact"/>
        <w:ind w:left="0" w:right="0" w:firstLine="500"/>
        <w:jc w:val="both"/>
      </w:pPr>
      <w:r>
        <w:rPr>
          <w:color w:val="000000"/>
          <w:spacing w:val="0"/>
          <w:w w:val="100"/>
          <w:position w:val="0"/>
        </w:rPr>
        <w:t>葛元庆先生：</w:t>
      </w:r>
      <w:r>
        <w:rPr>
          <w:rFonts w:ascii="Times New Roman" w:eastAsia="Times New Roman" w:hAnsi="Times New Roman" w:cs="Times New Roman"/>
          <w:color w:val="000000"/>
          <w:spacing w:val="0"/>
          <w:w w:val="100"/>
          <w:position w:val="0"/>
          <w:sz w:val="24"/>
          <w:szCs w:val="24"/>
        </w:rPr>
        <w:t>1959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月出生，中国国籍，本科学历。</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年创办北京同方微电子有限公 司并任副总经理。</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月起任本公司副总裁，现兼任北京同方微电子有限公司董事长、北 京晶源裕丰光学电子器件有限公司总经理。</w:t>
      </w:r>
    </w:p>
    <w:p>
      <w:pPr>
        <w:pStyle w:val="Style31"/>
        <w:keepNext w:val="0"/>
        <w:keepLines w:val="0"/>
        <w:widowControl w:val="0"/>
        <w:shd w:val="clear" w:color="auto" w:fill="auto"/>
        <w:bidi w:val="0"/>
        <w:spacing w:before="0" w:line="307" w:lineRule="exact"/>
        <w:ind w:left="0" w:right="0" w:firstLine="500"/>
        <w:jc w:val="both"/>
      </w:pPr>
      <w:r>
        <w:rPr>
          <w:color w:val="000000"/>
          <w:spacing w:val="0"/>
          <w:w w:val="100"/>
          <w:position w:val="0"/>
        </w:rPr>
        <w:t>任奇伟先生：</w:t>
      </w:r>
      <w:r>
        <w:rPr>
          <w:rFonts w:ascii="Times New Roman" w:eastAsia="Times New Roman" w:hAnsi="Times New Roman" w:cs="Times New Roman"/>
          <w:color w:val="000000"/>
          <w:spacing w:val="0"/>
          <w:w w:val="100"/>
          <w:position w:val="0"/>
          <w:sz w:val="24"/>
          <w:szCs w:val="24"/>
        </w:rPr>
        <w:t>1969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月出生，中国国籍，工学博士。</w:t>
      </w:r>
      <w:r>
        <w:rPr>
          <w:rFonts w:ascii="Times New Roman" w:eastAsia="Times New Roman" w:hAnsi="Times New Roman" w:cs="Times New Roman"/>
          <w:color w:val="000000"/>
          <w:spacing w:val="0"/>
          <w:w w:val="100"/>
          <w:position w:val="0"/>
          <w:sz w:val="24"/>
          <w:szCs w:val="24"/>
        </w:rPr>
        <w:t>1992</w:t>
      </w:r>
      <w:r>
        <w:rPr>
          <w:color w:val="000000"/>
          <w:spacing w:val="0"/>
          <w:w w:val="100"/>
          <w:position w:val="0"/>
        </w:rPr>
        <w:t>年起从事存储器测试、集成电 路工艺和锗硅异质结器件等研究工作。</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年加入荷兰飞利浦半导体公司，从事内嵌存储器 设计和研发工作。</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 xml:space="preserve">年加入奇梦达科技（西安）有限公司，任存储器设计部经理、总监。 </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 xml:space="preserve">年改制重建西安华芯半导体有限公司，任董事总经理，同时历任山东华芯半导体副总裁、 高级副总裁。十余年来一直在存储器领域从事技术研究、产品开发及公司管理等相关工作， </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年入选国家“千人计划”专家。</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月起，任本公司副总裁，兼任西安紫光国芯半 导体有限公司董事、总经理，西安交通大学电信学院兼职教授。</w:t>
      </w:r>
    </w:p>
    <w:p>
      <w:pPr>
        <w:pStyle w:val="Style31"/>
        <w:keepNext w:val="0"/>
        <w:keepLines w:val="0"/>
        <w:widowControl w:val="0"/>
        <w:shd w:val="clear" w:color="auto" w:fill="auto"/>
        <w:bidi w:val="0"/>
        <w:spacing w:before="0" w:line="310" w:lineRule="exact"/>
        <w:ind w:left="0" w:right="0" w:firstLine="500"/>
        <w:jc w:val="both"/>
      </w:pPr>
      <w:r>
        <w:rPr>
          <w:color w:val="000000"/>
          <w:spacing w:val="0"/>
          <w:w w:val="100"/>
          <w:position w:val="0"/>
        </w:rPr>
        <w:t>阎立群先生：</w:t>
      </w:r>
      <w:r>
        <w:rPr>
          <w:rFonts w:ascii="Times New Roman" w:eastAsia="Times New Roman" w:hAnsi="Times New Roman" w:cs="Times New Roman"/>
          <w:color w:val="000000"/>
          <w:spacing w:val="0"/>
          <w:w w:val="100"/>
          <w:position w:val="0"/>
          <w:sz w:val="24"/>
          <w:szCs w:val="24"/>
        </w:rPr>
        <w:t>1974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月出生，中国国籍，本科学历，工程师。历任本公司</w:t>
      </w:r>
      <w:r>
        <w:rPr>
          <w:rFonts w:ascii="Times New Roman" w:eastAsia="Times New Roman" w:hAnsi="Times New Roman" w:cs="Times New Roman"/>
          <w:color w:val="000000"/>
          <w:spacing w:val="0"/>
          <w:w w:val="100"/>
          <w:position w:val="0"/>
          <w:sz w:val="24"/>
          <w:szCs w:val="24"/>
        </w:rPr>
        <w:t>SMD</w:t>
      </w:r>
      <w:r>
        <w:rPr>
          <w:color w:val="000000"/>
          <w:spacing w:val="0"/>
          <w:w w:val="100"/>
          <w:position w:val="0"/>
        </w:rPr>
        <w:t>产品制 造部经理、生产总监、董事兼副总裁，现任唐山晶源电子有限公司总经理、唐山国芯晶源电 子有限公司总经理。</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月起任本公司副总裁。</w:t>
      </w:r>
    </w:p>
    <w:p>
      <w:pPr>
        <w:pStyle w:val="Style31"/>
        <w:keepNext w:val="0"/>
        <w:keepLines w:val="0"/>
        <w:widowControl w:val="0"/>
        <w:shd w:val="clear" w:color="auto" w:fill="auto"/>
        <w:bidi w:val="0"/>
        <w:spacing w:before="0" w:line="319" w:lineRule="exact"/>
        <w:ind w:left="0" w:right="0" w:firstLine="500"/>
        <w:jc w:val="both"/>
      </w:pPr>
      <w:r>
        <w:rPr>
          <w:color w:val="000000"/>
          <w:spacing w:val="0"/>
          <w:w w:val="100"/>
          <w:position w:val="0"/>
        </w:rPr>
        <w:t>杜林虎先生：</w:t>
      </w:r>
      <w:r>
        <w:rPr>
          <w:rFonts w:ascii="Times New Roman" w:eastAsia="Times New Roman" w:hAnsi="Times New Roman" w:cs="Times New Roman"/>
          <w:color w:val="000000"/>
          <w:spacing w:val="0"/>
          <w:w w:val="100"/>
          <w:position w:val="0"/>
          <w:sz w:val="24"/>
          <w:szCs w:val="24"/>
        </w:rPr>
        <w:t>1973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月出生，中国国籍，硕士学历，工程师。</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年，在同方 股份投资发展部工作，主要从事行业分析、公司研究及证券事务工作。</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月起任公司 副总裁兼董事会秘书。</w:t>
      </w:r>
    </w:p>
    <w:p>
      <w:pPr>
        <w:pStyle w:val="Style31"/>
        <w:keepNext w:val="0"/>
        <w:keepLines w:val="0"/>
        <w:widowControl w:val="0"/>
        <w:shd w:val="clear" w:color="auto" w:fill="auto"/>
        <w:tabs>
          <w:tab w:pos="1926" w:val="left"/>
        </w:tabs>
        <w:bidi w:val="0"/>
        <w:spacing w:before="0" w:after="0" w:line="307" w:lineRule="exact"/>
        <w:ind w:left="0" w:right="0" w:firstLine="500"/>
        <w:jc w:val="both"/>
      </w:pPr>
      <w:r>
        <w:rPr>
          <w:color w:val="000000"/>
          <w:spacing w:val="0"/>
          <w:w w:val="100"/>
          <w:position w:val="0"/>
        </w:rPr>
        <w:t>杨秋平女士：</w:t>
        <w:tab/>
      </w:r>
      <w:r>
        <w:rPr>
          <w:rFonts w:ascii="Times New Roman" w:eastAsia="Times New Roman" w:hAnsi="Times New Roman" w:cs="Times New Roman"/>
          <w:color w:val="000000"/>
          <w:spacing w:val="0"/>
          <w:w w:val="100"/>
          <w:position w:val="0"/>
          <w:sz w:val="24"/>
          <w:szCs w:val="24"/>
        </w:rPr>
        <w:t>1974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月出生，中国国籍，本科学历，注册会计师、高级会计师、注册管</w:t>
      </w:r>
    </w:p>
    <w:p>
      <w:pPr>
        <w:pStyle w:val="Style31"/>
        <w:keepNext w:val="0"/>
        <w:keepLines w:val="0"/>
        <w:widowControl w:val="0"/>
        <w:shd w:val="clear" w:color="auto" w:fill="auto"/>
        <w:bidi w:val="0"/>
        <w:spacing w:before="0" w:line="307" w:lineRule="exact"/>
        <w:ind w:left="0" w:right="0" w:firstLine="0"/>
        <w:jc w:val="both"/>
      </w:pPr>
      <w:r>
        <w:rPr>
          <w:color w:val="000000"/>
          <w:spacing w:val="0"/>
          <w:w w:val="100"/>
          <w:position w:val="0"/>
        </w:rPr>
        <w:t>理会计师、国际注册内部审计师。</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 xml:space="preserve">年在信永中和会计师事务所任高级项目经理。 </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年任同方股份有限公司审计部副总经理。</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月起任公司财务总监。</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在股东单位任职情况</w:t>
      </w:r>
    </w:p>
    <w:tbl>
      <w:tblPr>
        <w:tblOverlap w:val="never"/>
        <w:jc w:val="center"/>
        <w:tblLayout w:type="fixed"/>
      </w:tblPr>
      <w:tblGrid>
        <w:gridCol w:w="998"/>
        <w:gridCol w:w="2549"/>
        <w:gridCol w:w="1982"/>
        <w:gridCol w:w="1277"/>
        <w:gridCol w:w="1277"/>
        <w:gridCol w:w="15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任职人员 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在股东单位担任的职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任期终止日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在股东单位是否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赵伟国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西藏紫光春华投资有限公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刘卫东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祝昌华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霍尔果斯天惠人股权投资 管理合伙企业（有限合伙）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执行事务合伙人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否</w:t>
            </w:r>
          </w:p>
        </w:tc>
      </w:tr>
    </w:tbl>
    <w:p>
      <w:pPr>
        <w:widowControl w:val="0"/>
        <w:spacing w:after="119" w:line="1" w:lineRule="exact"/>
      </w:pPr>
    </w:p>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在其他单位任职情况</w:t>
      </w:r>
    </w:p>
    <w:tbl>
      <w:tblPr>
        <w:tblOverlap w:val="never"/>
        <w:jc w:val="center"/>
        <w:tblLayout w:type="fixed"/>
      </w:tblPr>
      <w:tblGrid>
        <w:gridCol w:w="998"/>
        <w:gridCol w:w="3115"/>
        <w:gridCol w:w="1493"/>
        <w:gridCol w:w="1229"/>
        <w:gridCol w:w="1248"/>
        <w:gridCol w:w="1570"/>
      </w:tblGrid>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任职人员 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在其他单位担 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任期终止日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在其他单位是否 领取报酬津贴</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赵伟国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清华控股有限公司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高级副总裁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赵伟国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紫光集团有限公司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赵伟国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北京健坤投资集团有限公司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bl>
    <w:p>
      <w:pPr>
        <w:spacing w:lineRule="exact" w:line="1"/>
        <w:rPr>
          <w:sz w:val="2"/>
          <w:szCs w:val="2"/>
        </w:rPr>
      </w:pPr>
      <w:r>
        <w:br w:type="page"/>
      </w:r>
    </w:p>
    <w:tbl>
      <w:tblPr>
        <w:tblOverlap w:val="never"/>
        <w:jc w:val="center"/>
        <w:tblLayout w:type="fixed"/>
      </w:tblPr>
      <w:tblGrid>
        <w:gridCol w:w="998"/>
        <w:gridCol w:w="3115"/>
        <w:gridCol w:w="1493"/>
        <w:gridCol w:w="1229"/>
        <w:gridCol w:w="1248"/>
        <w:gridCol w:w="1570"/>
      </w:tblGrid>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赵伟国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紫光股份有限公司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赵伟国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TCL</w:t>
            </w:r>
            <w:r>
              <w:rPr>
                <w:color w:val="000000"/>
                <w:spacing w:val="0"/>
                <w:w w:val="100"/>
                <w:position w:val="0"/>
                <w:sz w:val="20"/>
                <w:szCs w:val="20"/>
              </w:rPr>
              <w:t>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赵伟国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天津大学管理学院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兼职教授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任志军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北京邮电大学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兼职教授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高启全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紫光集团有限公司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陈金占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北京市经纬律师事务所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律师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陈贤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中国半导体行业协会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副理事长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陈贤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扬州扬杰电子科技股份有限公司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陈贤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嘉兴斯达半导体股份有限公司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陈贤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气派科技股份有限公司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陈贤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华大半导体有限公司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陈贤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南通富士通微电子股份有限公司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曹阳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致同会计师事务所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经理、合伙人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1999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曹阳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普莱柯生物工程股份有限公司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郑伯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紫光集团有限公司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监事、投资管理 部总经理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郑伯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厦门紫光学大股份有限公司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任奇伟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西安交通大学电信学院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兼职教授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bl>
    <w:p>
      <w:pPr>
        <w:widowControl w:val="0"/>
        <w:spacing w:after="119" w:line="1" w:lineRule="exact"/>
      </w:pPr>
    </w:p>
    <w:p>
      <w:pPr>
        <w:pStyle w:val="Style31"/>
        <w:keepNext w:val="0"/>
        <w:keepLines w:val="0"/>
        <w:widowControl w:val="0"/>
        <w:shd w:val="clear" w:color="auto" w:fill="auto"/>
        <w:bidi w:val="0"/>
        <w:spacing w:before="0" w:after="180" w:line="314" w:lineRule="exact"/>
        <w:ind w:left="0" w:right="0" w:firstLine="0"/>
        <w:jc w:val="left"/>
      </w:pPr>
      <w:r>
        <w:rPr>
          <w:b/>
          <w:bCs/>
          <w:color w:val="000000"/>
          <w:spacing w:val="0"/>
          <w:w w:val="100"/>
          <w:position w:val="0"/>
        </w:rPr>
        <w:t>公司现任及报告期内离任董事、监事和高级管理人员近三年证券监管机构处罚的情况</w:t>
      </w:r>
    </w:p>
    <w:p>
      <w:pPr>
        <w:pStyle w:val="Style31"/>
        <w:keepNext w:val="0"/>
        <w:keepLines w:val="0"/>
        <w:widowControl w:val="0"/>
        <w:shd w:val="clear" w:color="auto" w:fill="auto"/>
        <w:bidi w:val="0"/>
        <w:spacing w:before="0" w:after="300" w:line="240" w:lineRule="auto"/>
        <w:ind w:left="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适用/不适用</w:t>
      </w:r>
    </w:p>
    <w:p>
      <w:pPr>
        <w:pStyle w:val="Style23"/>
        <w:keepNext/>
        <w:keepLines/>
        <w:widowControl w:val="0"/>
        <w:shd w:val="clear" w:color="auto" w:fill="auto"/>
        <w:bidi w:val="0"/>
        <w:spacing w:before="0" w:after="300" w:line="314" w:lineRule="exact"/>
        <w:ind w:left="0" w:right="0" w:firstLine="0"/>
        <w:jc w:val="left"/>
      </w:pPr>
      <w:bookmarkStart w:id="410" w:name="bookmark410"/>
      <w:bookmarkStart w:id="411" w:name="bookmark411"/>
      <w:bookmarkStart w:id="412" w:name="bookmark412"/>
      <w:bookmarkStart w:id="413" w:name="bookmark413"/>
      <w:r>
        <w:rPr>
          <w:color w:val="000000"/>
          <w:spacing w:val="0"/>
          <w:w w:val="100"/>
          <w:position w:val="0"/>
        </w:rPr>
        <w:t>四</w:t>
      </w:r>
      <w:bookmarkEnd w:id="412"/>
      <w:r>
        <w:rPr>
          <w:color w:val="000000"/>
          <w:spacing w:val="0"/>
          <w:w w:val="100"/>
          <w:position w:val="0"/>
        </w:rPr>
        <w:t>、董事、监事、高级管理人员报酬情况</w:t>
      </w:r>
      <w:bookmarkEnd w:id="410"/>
      <w:bookmarkEnd w:id="411"/>
      <w:bookmarkEnd w:id="413"/>
    </w:p>
    <w:p>
      <w:pPr>
        <w:pStyle w:val="Style23"/>
        <w:keepNext/>
        <w:keepLines/>
        <w:widowControl w:val="0"/>
        <w:shd w:val="clear" w:color="auto" w:fill="auto"/>
        <w:bidi w:val="0"/>
        <w:spacing w:before="0" w:after="120" w:line="314" w:lineRule="exact"/>
        <w:ind w:left="0" w:right="0" w:firstLine="0"/>
        <w:jc w:val="left"/>
      </w:pPr>
      <w:bookmarkStart w:id="410" w:name="bookmark410"/>
      <w:bookmarkStart w:id="411" w:name="bookmark411"/>
      <w:r>
        <w:rPr>
          <w:color w:val="000000"/>
          <w:spacing w:val="0"/>
          <w:w w:val="100"/>
          <w:position w:val="0"/>
        </w:rPr>
        <w:t>董事、监事、高级管理人员报酬的决策程序、确定依据、实际支付情况</w:t>
      </w:r>
      <w:bookmarkEnd w:id="410"/>
      <w:bookmarkEnd w:id="411"/>
    </w:p>
    <w:p>
      <w:pPr>
        <w:pStyle w:val="Style31"/>
        <w:keepNext w:val="0"/>
        <w:keepLines w:val="0"/>
        <w:widowControl w:val="0"/>
        <w:shd w:val="clear" w:color="auto" w:fill="auto"/>
        <w:tabs>
          <w:tab w:pos="713" w:val="left"/>
        </w:tabs>
        <w:bidi w:val="0"/>
        <w:spacing w:before="0" w:line="317" w:lineRule="exact"/>
        <w:ind w:left="0" w:right="0" w:firstLine="420"/>
        <w:jc w:val="both"/>
      </w:pPr>
      <w:bookmarkStart w:id="414" w:name="bookmark414"/>
      <w:r>
        <w:rPr>
          <w:rFonts w:ascii="Times New Roman" w:eastAsia="Times New Roman" w:hAnsi="Times New Roman" w:cs="Times New Roman"/>
          <w:color w:val="000000"/>
          <w:spacing w:val="0"/>
          <w:w w:val="100"/>
          <w:position w:val="0"/>
          <w:sz w:val="24"/>
          <w:szCs w:val="24"/>
        </w:rPr>
        <w:t>1</w:t>
      </w:r>
      <w:bookmarkEnd w:id="414"/>
      <w:r>
        <w:rPr>
          <w:color w:val="000000"/>
          <w:spacing w:val="0"/>
          <w:w w:val="100"/>
          <w:position w:val="0"/>
        </w:rPr>
        <w:t>、</w:t>
        <w:tab/>
        <w:t>根据《公司章程》规定和公司实际经营情况，公司董事、监事的报酬分别由董事会、 监事会提出议案，股东大会批准；高级管理人员的报酬由总裁提出方案，报董事会批准。</w:t>
      </w:r>
    </w:p>
    <w:p>
      <w:pPr>
        <w:pStyle w:val="Style31"/>
        <w:keepNext w:val="0"/>
        <w:keepLines w:val="0"/>
        <w:widowControl w:val="0"/>
        <w:shd w:val="clear" w:color="auto" w:fill="auto"/>
        <w:tabs>
          <w:tab w:pos="814" w:val="left"/>
        </w:tabs>
        <w:bidi w:val="0"/>
        <w:spacing w:before="0" w:line="312" w:lineRule="exact"/>
        <w:ind w:left="0" w:right="0" w:firstLine="420"/>
        <w:jc w:val="both"/>
      </w:pPr>
      <w:bookmarkStart w:id="415" w:name="bookmark415"/>
      <w:r>
        <w:rPr>
          <w:rFonts w:ascii="Times New Roman" w:eastAsia="Times New Roman" w:hAnsi="Times New Roman" w:cs="Times New Roman"/>
          <w:color w:val="000000"/>
          <w:spacing w:val="0"/>
          <w:w w:val="100"/>
          <w:position w:val="0"/>
          <w:sz w:val="24"/>
          <w:szCs w:val="24"/>
        </w:rPr>
        <w:t>2</w:t>
      </w:r>
      <w:bookmarkEnd w:id="415"/>
      <w:r>
        <w:rPr>
          <w:color w:val="000000"/>
          <w:spacing w:val="0"/>
          <w:w w:val="100"/>
          <w:position w:val="0"/>
        </w:rPr>
        <w:t>、</w:t>
        <w:tab/>
        <w:t>公司董事、监事、高级管理人员的年度报酬由公司董事会薪酬与考核委员会制定标准， 依据公司的经营状况和个人的岗位职务结合绩效考核结果实际支付。独立董事薪酬由</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 度股东大会审议确定为每人</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年。</w:t>
      </w:r>
    </w:p>
    <w:p>
      <w:pPr>
        <w:pStyle w:val="Style31"/>
        <w:keepNext w:val="0"/>
        <w:keepLines w:val="0"/>
        <w:widowControl w:val="0"/>
        <w:shd w:val="clear" w:color="auto" w:fill="auto"/>
        <w:tabs>
          <w:tab w:pos="406" w:val="left"/>
        </w:tabs>
        <w:bidi w:val="0"/>
        <w:spacing w:before="0" w:after="100" w:line="314" w:lineRule="exact"/>
        <w:ind w:left="0" w:right="0" w:firstLine="420"/>
        <w:jc w:val="left"/>
      </w:pPr>
      <w:bookmarkStart w:id="416" w:name="bookmark416"/>
      <w:r>
        <w:rPr>
          <w:rFonts w:ascii="Times New Roman" w:eastAsia="Times New Roman" w:hAnsi="Times New Roman" w:cs="Times New Roman"/>
          <w:color w:val="000000"/>
          <w:spacing w:val="0"/>
          <w:w w:val="100"/>
          <w:position w:val="0"/>
          <w:sz w:val="24"/>
          <w:szCs w:val="24"/>
        </w:rPr>
        <w:t>3</w:t>
      </w:r>
      <w:bookmarkEnd w:id="416"/>
      <w:r>
        <w:rPr>
          <w:color w:val="000000"/>
          <w:spacing w:val="0"/>
          <w:w w:val="100"/>
          <w:position w:val="0"/>
        </w:rPr>
        <w:t>、</w:t>
        <w:tab/>
        <w:t>公司高级管理人员按月支付基本薪酬，年终考核结算。独立董事的薪酬每季度支付一</w:t>
        <w:br w:type="page"/>
      </w:r>
      <w:r>
        <w:rPr>
          <w:color w:val="000000"/>
          <w:spacing w:val="0"/>
          <w:w w:val="100"/>
          <w:position w:val="0"/>
        </w:rPr>
        <w:t>次。</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年度，独立董事在公司领取的津贴总额</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万元（税前），高级管理人员在公司领取 的报酬总额为</w:t>
      </w:r>
      <w:r>
        <w:rPr>
          <w:rFonts w:ascii="Times New Roman" w:eastAsia="Times New Roman" w:hAnsi="Times New Roman" w:cs="Times New Roman"/>
          <w:color w:val="000000"/>
          <w:spacing w:val="0"/>
          <w:w w:val="100"/>
          <w:position w:val="0"/>
          <w:sz w:val="24"/>
          <w:szCs w:val="24"/>
        </w:rPr>
        <w:t>854.55</w:t>
      </w:r>
      <w:r>
        <w:rPr>
          <w:color w:val="000000"/>
          <w:spacing w:val="0"/>
          <w:w w:val="100"/>
          <w:position w:val="0"/>
        </w:rPr>
        <w:t>万元（税前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31"/>
        <w:keepNext w:val="0"/>
        <w:keepLines w:val="0"/>
        <w:widowControl w:val="0"/>
        <w:shd w:val="clear" w:color="auto" w:fill="auto"/>
        <w:bidi w:val="0"/>
        <w:spacing w:before="0" w:after="160" w:line="317" w:lineRule="exact"/>
        <w:ind w:left="0" w:right="0" w:firstLine="0"/>
        <w:jc w:val="left"/>
      </w:pPr>
      <w:r>
        <w:rPr>
          <w:b/>
          <w:bCs/>
          <w:color w:val="000000"/>
          <w:spacing w:val="0"/>
          <w:w w:val="100"/>
          <w:position w:val="0"/>
        </w:rPr>
        <w:t>公司报告期内董事、监事和高级管理人员报酬情况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469"/>
        <w:gridCol w:w="1267"/>
        <w:gridCol w:w="1142"/>
        <w:gridCol w:w="1416"/>
        <w:gridCol w:w="1416"/>
        <w:gridCol w:w="150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从公司获得的 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是否在公司关 联方获取报酬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赵伟国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任志军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副董事长、总裁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高启全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祝昌华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陈金占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陈贤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曹阳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刘卫东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郑伯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沈立峰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乔志城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葛元庆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任奇伟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阎立群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杜林虎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副总裁、董秘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杨秋平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黄学良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潘晋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王映浒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沈泓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张立强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王清智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907.02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159" w:line="1" w:lineRule="exact"/>
      </w:pPr>
    </w:p>
    <w:p>
      <w:pPr>
        <w:pStyle w:val="Style31"/>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公司董事、监事、高级管理人员报告期内被授予的股权激励情况</w:t>
      </w:r>
    </w:p>
    <w:p>
      <w:pPr>
        <w:pStyle w:val="Style31"/>
        <w:keepNext w:val="0"/>
        <w:keepLines w:val="0"/>
        <w:widowControl w:val="0"/>
        <w:shd w:val="clear" w:color="auto" w:fill="auto"/>
        <w:bidi w:val="0"/>
        <w:spacing w:before="0" w:after="160" w:line="240" w:lineRule="auto"/>
        <w:ind w:left="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适用</w:t>
      </w:r>
      <w:r>
        <w:rPr>
          <w:rFonts w:ascii="Arial" w:eastAsia="Arial" w:hAnsi="Arial" w:cs="Arial"/>
          <w:color w:val="000000"/>
          <w:spacing w:val="0"/>
          <w:w w:val="100"/>
          <w:position w:val="0"/>
          <w:sz w:val="16"/>
          <w:szCs w:val="16"/>
        </w:rPr>
        <w:t>V</w:t>
      </w:r>
      <w:r>
        <w:rPr>
          <w:b/>
          <w:bCs/>
          <w:color w:val="000000"/>
          <w:spacing w:val="0"/>
          <w:w w:val="100"/>
          <w:position w:val="0"/>
          <w:sz w:val="20"/>
          <w:szCs w:val="20"/>
        </w:rPr>
        <w:t>不适用</w:t>
      </w:r>
      <w:r>
        <w:br w:type="page"/>
      </w:r>
    </w:p>
    <w:p>
      <w:pPr>
        <w:pStyle w:val="Style23"/>
        <w:keepNext/>
        <w:keepLines/>
        <w:widowControl w:val="0"/>
        <w:shd w:val="clear" w:color="auto" w:fill="auto"/>
        <w:bidi w:val="0"/>
        <w:spacing w:before="0" w:after="36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五</w:t>
      </w:r>
      <w:bookmarkEnd w:id="419"/>
      <w:r>
        <w:rPr>
          <w:color w:val="000000"/>
          <w:spacing w:val="0"/>
          <w:w w:val="100"/>
          <w:position w:val="0"/>
        </w:rPr>
        <w:t>、公司员工情况</w:t>
      </w:r>
      <w:bookmarkEnd w:id="417"/>
      <w:bookmarkEnd w:id="418"/>
      <w:bookmarkEnd w:id="420"/>
    </w:p>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421" w:name="bookmark421"/>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、员工数量、专业构成及教育程度</w:t>
      </w:r>
      <w:bookmarkEnd w:id="421"/>
    </w:p>
    <w:tbl>
      <w:tblPr>
        <w:tblOverlap w:val="never"/>
        <w:jc w:val="center"/>
        <w:tblLayout w:type="fixed"/>
      </w:tblPr>
      <w:tblGrid>
        <w:gridCol w:w="5107"/>
        <w:gridCol w:w="4474"/>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2,039</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2,039</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w:t>
            </w:r>
          </w:p>
        </w:tc>
      </w:tr>
      <w:tr>
        <w:trPr>
          <w:trHeight w:val="2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w:t>
            </w:r>
          </w:p>
        </w:tc>
      </w:tr>
      <w:tr>
        <w:trPr>
          <w:trHeight w:val="293"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专业构成类别</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专业构成人数（人）</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716</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116</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1,053</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106</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2,039</w:t>
            </w:r>
          </w:p>
        </w:tc>
      </w:tr>
      <w:tr>
        <w:trPr>
          <w:trHeight w:val="2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w:t>
            </w:r>
          </w:p>
        </w:tc>
      </w:tr>
      <w:tr>
        <w:trPr>
          <w:trHeight w:val="293"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教育程度类别</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数量（人）</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硕士及以上学历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515</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本科学历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656</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专科学历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186</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专科以下学历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682</w:t>
            </w:r>
          </w:p>
        </w:tc>
      </w:tr>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2,039</w:t>
            </w:r>
          </w:p>
        </w:tc>
      </w:tr>
    </w:tbl>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422" w:name="bookmark42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、薪酬政策</w:t>
      </w:r>
      <w:bookmarkEnd w:id="422"/>
    </w:p>
    <w:p>
      <w:pPr>
        <w:widowControl w:val="0"/>
        <w:spacing w:after="219" w:line="1" w:lineRule="exact"/>
      </w:pPr>
    </w:p>
    <w:p>
      <w:pPr>
        <w:pStyle w:val="Style31"/>
        <w:keepNext w:val="0"/>
        <w:keepLines w:val="0"/>
        <w:widowControl w:val="0"/>
        <w:shd w:val="clear" w:color="auto" w:fill="auto"/>
        <w:bidi w:val="0"/>
        <w:spacing w:before="0" w:after="300" w:line="313" w:lineRule="exact"/>
        <w:ind w:left="0" w:right="0" w:firstLine="500"/>
        <w:jc w:val="both"/>
      </w:pPr>
      <w:r>
        <w:rPr>
          <w:color w:val="000000"/>
          <w:spacing w:val="0"/>
          <w:w w:val="100"/>
          <w:position w:val="0"/>
        </w:rPr>
        <w:t>公司按照《劳动法》等国家有关法律规定，结合公司的实际情况，制定了科学、规范的 薪酬管理制度。员工薪酬按岗定薪并与绩效考核相结合，按月发放。以公司年度业绩完成情 况和个人业绩考核结果作为员工晋升或调整薪资的重要依据，同时，公司制定了技术和管理 创新奖励办法，鼓励员工立足本职岗位，勇于创新，充分调动员工的积极性和创造性，不断 提高员工的满意度和向心力。</w:t>
      </w:r>
    </w:p>
    <w:p>
      <w:pPr>
        <w:pStyle w:val="Style28"/>
        <w:keepNext/>
        <w:keepLines/>
        <w:widowControl w:val="0"/>
        <w:shd w:val="clear" w:color="auto" w:fill="auto"/>
        <w:tabs>
          <w:tab w:pos="367" w:val="left"/>
        </w:tabs>
        <w:bidi w:val="0"/>
        <w:spacing w:before="0" w:after="220" w:line="240" w:lineRule="auto"/>
        <w:ind w:left="0" w:right="0" w:firstLine="0"/>
        <w:jc w:val="both"/>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3</w:t>
      </w:r>
      <w:bookmarkEnd w:id="425"/>
      <w:r>
        <w:rPr>
          <w:color w:val="000000"/>
          <w:spacing w:val="0"/>
          <w:w w:val="100"/>
          <w:position w:val="0"/>
        </w:rPr>
        <w:t>、</w:t>
        <w:tab/>
        <w:t>培训计划</w:t>
      </w:r>
      <w:bookmarkEnd w:id="423"/>
      <w:bookmarkEnd w:id="424"/>
      <w:bookmarkEnd w:id="426"/>
    </w:p>
    <w:p>
      <w:pPr>
        <w:pStyle w:val="Style31"/>
        <w:keepNext w:val="0"/>
        <w:keepLines w:val="0"/>
        <w:widowControl w:val="0"/>
        <w:shd w:val="clear" w:color="auto" w:fill="auto"/>
        <w:bidi w:val="0"/>
        <w:spacing w:before="0" w:after="300" w:line="314" w:lineRule="exact"/>
        <w:ind w:left="0" w:right="0" w:firstLine="500"/>
        <w:jc w:val="both"/>
      </w:pPr>
      <w:r>
        <w:rPr>
          <w:color w:val="000000"/>
          <w:spacing w:val="0"/>
          <w:w w:val="100"/>
          <w:position w:val="0"/>
        </w:rPr>
        <w:t>公司重视人才培养和员工整体素质的提高，建立了员工入司培训、入职培训、岗位技能 培训、专业知识和技术提升培训等完整的培训体系，每年根据员工情况及公司发展需要制订 年度培训计划，使员工在个人素质、专业技术知识、工作技能、安全生产等方面得到持续有 效提升，实现公司和员工共同发展。</w:t>
      </w:r>
    </w:p>
    <w:p>
      <w:pPr>
        <w:pStyle w:val="Style28"/>
        <w:keepNext/>
        <w:keepLines/>
        <w:widowControl w:val="0"/>
        <w:shd w:val="clear" w:color="auto" w:fill="auto"/>
        <w:tabs>
          <w:tab w:pos="367" w:val="left"/>
        </w:tabs>
        <w:bidi w:val="0"/>
        <w:spacing w:before="0" w:after="300" w:line="240" w:lineRule="auto"/>
        <w:ind w:left="0" w:right="0" w:firstLine="0"/>
        <w:jc w:val="both"/>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4</w:t>
      </w:r>
      <w:bookmarkEnd w:id="429"/>
      <w:r>
        <w:rPr>
          <w:color w:val="000000"/>
          <w:spacing w:val="0"/>
          <w:w w:val="100"/>
          <w:position w:val="0"/>
        </w:rPr>
        <w:t>、</w:t>
        <w:tab/>
        <w:t>劳务外包情况</w:t>
      </w:r>
      <w:bookmarkEnd w:id="427"/>
      <w:bookmarkEnd w:id="428"/>
      <w:bookmarkEnd w:id="430"/>
    </w:p>
    <w:p>
      <w:pPr>
        <w:pStyle w:val="Style28"/>
        <w:keepNext/>
        <w:keepLines/>
        <w:widowControl w:val="0"/>
        <w:shd w:val="clear" w:color="auto" w:fill="auto"/>
        <w:bidi w:val="0"/>
        <w:spacing w:before="0" w:after="300" w:line="240" w:lineRule="auto"/>
        <w:ind w:left="0" w:right="0" w:firstLine="0"/>
        <w:jc w:val="both"/>
      </w:pPr>
      <w:bookmarkStart w:id="427" w:name="bookmark427"/>
      <w:bookmarkStart w:id="428" w:name="bookmark428"/>
      <w:r>
        <w:rPr>
          <w:color w:val="000000"/>
          <w:spacing w:val="0"/>
          <w:w w:val="100"/>
          <w:position w:val="0"/>
        </w:rPr>
        <w:t>□</w:t>
      </w:r>
      <w:r>
        <w:rPr>
          <w:color w:val="000000"/>
          <w:spacing w:val="0"/>
          <w:w w:val="100"/>
          <w:position w:val="0"/>
        </w:rPr>
        <w:t>适用/不适用</w:t>
      </w:r>
      <w:bookmarkEnd w:id="427"/>
      <w:bookmarkEnd w:id="428"/>
    </w:p>
    <w:p>
      <w:pPr>
        <w:pStyle w:val="Style15"/>
        <w:keepNext/>
        <w:keepLines/>
        <w:widowControl w:val="0"/>
        <w:shd w:val="clear" w:color="auto" w:fill="auto"/>
        <w:bidi w:val="0"/>
        <w:spacing w:before="0" w:after="480" w:line="240" w:lineRule="auto"/>
        <w:ind w:left="0" w:right="0" w:firstLine="0"/>
        <w:jc w:val="center"/>
      </w:pPr>
      <w:bookmarkStart w:id="431" w:name="bookmark431"/>
      <w:bookmarkStart w:id="432" w:name="bookmark432"/>
      <w:bookmarkStart w:id="433" w:name="bookmark433"/>
      <w:r>
        <w:rPr>
          <w:color w:val="000000"/>
          <w:spacing w:val="0"/>
          <w:w w:val="100"/>
          <w:position w:val="0"/>
        </w:rPr>
        <w:t>第九节公司治理</w:t>
      </w:r>
      <w:bookmarkEnd w:id="431"/>
      <w:bookmarkEnd w:id="432"/>
      <w:bookmarkEnd w:id="433"/>
    </w:p>
    <w:p>
      <w:pPr>
        <w:pStyle w:val="Style23"/>
        <w:keepNext/>
        <w:keepLines/>
        <w:widowControl w:val="0"/>
        <w:shd w:val="clear" w:color="auto" w:fill="auto"/>
        <w:bidi w:val="0"/>
        <w:spacing w:before="0" w:after="280" w:line="314" w:lineRule="exact"/>
        <w:ind w:left="0" w:right="0" w:firstLine="0"/>
        <w:jc w:val="both"/>
      </w:pPr>
      <w:bookmarkStart w:id="434" w:name="bookmark434"/>
      <w:bookmarkStart w:id="435" w:name="bookmark435"/>
      <w:bookmarkStart w:id="436" w:name="bookmark436"/>
      <w:bookmarkStart w:id="437" w:name="bookmark437"/>
      <w:bookmarkStart w:id="438" w:name="bookmark438"/>
      <w:r>
        <w:rPr>
          <w:color w:val="000000"/>
          <w:spacing w:val="0"/>
          <w:w w:val="100"/>
          <w:position w:val="0"/>
        </w:rPr>
        <w:t>一</w:t>
      </w:r>
      <w:bookmarkEnd w:id="437"/>
      <w:r>
        <w:rPr>
          <w:color w:val="000000"/>
          <w:spacing w:val="0"/>
          <w:w w:val="100"/>
          <w:position w:val="0"/>
        </w:rPr>
        <w:t>、公司治理的基本状况</w:t>
      </w:r>
      <w:bookmarkEnd w:id="435"/>
      <w:bookmarkEnd w:id="436"/>
      <w:bookmarkEnd w:id="438"/>
      <w:bookmarkEnd w:id="434"/>
    </w:p>
    <w:p>
      <w:pPr>
        <w:pStyle w:val="Style3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报告期内，公司严格按照《公司法》、《证券法》、《上市公司治理准则》、《深圳证 券交易所股票上市规则》、《深圳证券交易所中小企业板上市公司规范运作指引》等有关法 律、法规、规范性文件的要求，不断完善公司法人治理结构，建立、健全公司内部管理和控 制制度，持续提升公司治理水平，规范公司运作。</w:t>
      </w:r>
    </w:p>
    <w:p>
      <w:pPr>
        <w:pStyle w:val="Style3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报告期内，公司根据国家有关法律、法规和中国证监会、深圳证券交易所等监管部门的 要求，结合公司的实际情况，制定了《投资者投诉处理工作制度》，对公司《公司章程》、 《董事会议事规则》、《监事会议事规则》、《审计委员会工作细则》、《提名委员会工作 细则》、《薪酬与考核委员会工作细则》、《控股子公司管理制度》进行了修订。</w:t>
      </w:r>
    </w:p>
    <w:p>
      <w:pPr>
        <w:pStyle w:val="Style3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报告期末，公司治理实际情况符合中国证监会发布的有关上市公司治理的规范性文件要 求，符合公司已建立制度的规定。</w:t>
      </w:r>
    </w:p>
    <w:p>
      <w:pPr>
        <w:pStyle w:val="Style31"/>
        <w:keepNext w:val="0"/>
        <w:keepLines w:val="0"/>
        <w:widowControl w:val="0"/>
        <w:shd w:val="clear" w:color="auto" w:fill="auto"/>
        <w:tabs>
          <w:tab w:pos="802" w:val="left"/>
        </w:tabs>
        <w:bidi w:val="0"/>
        <w:spacing w:before="0" w:after="80" w:line="317" w:lineRule="exact"/>
        <w:ind w:left="0" w:right="0" w:firstLine="440"/>
        <w:jc w:val="both"/>
      </w:pPr>
      <w:bookmarkStart w:id="439" w:name="bookmark439"/>
      <w:r>
        <w:rPr>
          <w:rFonts w:ascii="Times New Roman" w:eastAsia="Times New Roman" w:hAnsi="Times New Roman" w:cs="Times New Roman"/>
          <w:color w:val="000000"/>
          <w:spacing w:val="0"/>
          <w:w w:val="100"/>
          <w:position w:val="0"/>
          <w:sz w:val="24"/>
          <w:szCs w:val="24"/>
        </w:rPr>
        <w:t>1</w:t>
      </w:r>
      <w:bookmarkEnd w:id="439"/>
      <w:r>
        <w:rPr>
          <w:color w:val="000000"/>
          <w:spacing w:val="0"/>
          <w:w w:val="100"/>
          <w:position w:val="0"/>
        </w:rPr>
        <w:t>、</w:t>
        <w:tab/>
        <w:t>关于股东与股东大会</w:t>
      </w:r>
    </w:p>
    <w:p>
      <w:pPr>
        <w:pStyle w:val="Style31"/>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公司严格按照《上市公司股东大会规则》、《公司章程》和《股东大会议事规则》的规 定和要求，规范股东大会召集、召开、表决程序。报告期内，公司召开</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次股东大会，均由公 司董事会召集召开，采用现场投票与网络投票相结合的方式，在审议影响中小投资者利益的 重大事项时，对中小投资者的表决单独计票并披露投票结果，平等对待所有股东，保证全体 股东对公司重大事项的知情权和参与权，确保全体股东能够充分行使自己的权利。</w:t>
      </w:r>
    </w:p>
    <w:p>
      <w:pPr>
        <w:pStyle w:val="Style31"/>
        <w:keepNext w:val="0"/>
        <w:keepLines w:val="0"/>
        <w:widowControl w:val="0"/>
        <w:shd w:val="clear" w:color="auto" w:fill="auto"/>
        <w:tabs>
          <w:tab w:pos="814" w:val="left"/>
        </w:tabs>
        <w:bidi w:val="0"/>
        <w:spacing w:before="0" w:after="80" w:line="276" w:lineRule="auto"/>
        <w:ind w:left="0" w:right="0" w:firstLine="440"/>
        <w:jc w:val="both"/>
      </w:pPr>
      <w:bookmarkStart w:id="440" w:name="bookmark440"/>
      <w:r>
        <w:rPr>
          <w:rFonts w:ascii="Times New Roman" w:eastAsia="Times New Roman" w:hAnsi="Times New Roman" w:cs="Times New Roman"/>
          <w:color w:val="000000"/>
          <w:spacing w:val="0"/>
          <w:w w:val="100"/>
          <w:position w:val="0"/>
          <w:sz w:val="24"/>
          <w:szCs w:val="24"/>
        </w:rPr>
        <w:t>2</w:t>
      </w:r>
      <w:bookmarkEnd w:id="440"/>
      <w:r>
        <w:rPr>
          <w:color w:val="000000"/>
          <w:spacing w:val="0"/>
          <w:w w:val="100"/>
          <w:position w:val="0"/>
        </w:rPr>
        <w:t>、</w:t>
        <w:tab/>
        <w:t>关于董事和董事会</w:t>
      </w:r>
    </w:p>
    <w:p>
      <w:pPr>
        <w:pStyle w:val="Style31"/>
        <w:keepNext w:val="0"/>
        <w:keepLines w:val="0"/>
        <w:widowControl w:val="0"/>
        <w:shd w:val="clear" w:color="auto" w:fill="auto"/>
        <w:bidi w:val="0"/>
        <w:spacing w:before="0" w:after="160" w:line="302" w:lineRule="exact"/>
        <w:ind w:left="0" w:right="0" w:firstLine="440"/>
        <w:jc w:val="both"/>
      </w:pPr>
      <w:r>
        <w:rPr>
          <w:color w:val="000000"/>
          <w:spacing w:val="0"/>
          <w:w w:val="100"/>
          <w:position w:val="0"/>
        </w:rPr>
        <w:t>公司严格按照《公司法》和《公司章程》规定的选聘程序选举董事，公司董事会成员</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人， 其中独立董事</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人，董事会的人数和人员构成符合法律、法规的要求，董事会下设三个专门委 员会。董事会严格按照《公司章程》、《董事会议事规则》召开会议，依法行使职权，公司 董事认真出席董事会、股东大会，诚实守信、勤勉尽责地履行董事义务和责任。</w:t>
      </w:r>
    </w:p>
    <w:p>
      <w:pPr>
        <w:pStyle w:val="Style31"/>
        <w:keepNext w:val="0"/>
        <w:keepLines w:val="0"/>
        <w:widowControl w:val="0"/>
        <w:shd w:val="clear" w:color="auto" w:fill="auto"/>
        <w:tabs>
          <w:tab w:pos="814" w:val="left"/>
        </w:tabs>
        <w:bidi w:val="0"/>
        <w:spacing w:before="0" w:after="80" w:line="276" w:lineRule="auto"/>
        <w:ind w:left="0" w:right="0" w:firstLine="440"/>
        <w:jc w:val="both"/>
      </w:pPr>
      <w:bookmarkStart w:id="441" w:name="bookmark441"/>
      <w:r>
        <w:rPr>
          <w:rFonts w:ascii="Times New Roman" w:eastAsia="Times New Roman" w:hAnsi="Times New Roman" w:cs="Times New Roman"/>
          <w:color w:val="000000"/>
          <w:spacing w:val="0"/>
          <w:w w:val="100"/>
          <w:position w:val="0"/>
          <w:sz w:val="24"/>
          <w:szCs w:val="24"/>
        </w:rPr>
        <w:t>3</w:t>
      </w:r>
      <w:bookmarkEnd w:id="441"/>
      <w:r>
        <w:rPr>
          <w:color w:val="000000"/>
          <w:spacing w:val="0"/>
          <w:w w:val="100"/>
          <w:position w:val="0"/>
        </w:rPr>
        <w:t>、</w:t>
        <w:tab/>
        <w:t>关于监事和监事会</w:t>
      </w:r>
    </w:p>
    <w:p>
      <w:pPr>
        <w:pStyle w:val="Style31"/>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公司监事会严格按照《公司法》、《公司章程》和《监事会议事规则》的选聘程序选举 监事，公司监事会成员</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人，其中，职工代表监事</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人，监事会的人数和人员构成符合法律、 法规要求。公司监事认真履行自己的职责，本着对全体股东负责的精神，依《公司章程》召 开监事会、出席股东大会，列席董事会，对董事会决策程序、决议事项、公司依法运作情况 及公司财务状况实施监督，对公司董事、高级管理人员履行职责的合法、合规性进行了有效 监督，维护了公司和全体股东的利益。</w:t>
      </w:r>
    </w:p>
    <w:p>
      <w:pPr>
        <w:pStyle w:val="Style31"/>
        <w:keepNext w:val="0"/>
        <w:keepLines w:val="0"/>
        <w:widowControl w:val="0"/>
        <w:shd w:val="clear" w:color="auto" w:fill="auto"/>
        <w:tabs>
          <w:tab w:pos="814" w:val="left"/>
        </w:tabs>
        <w:bidi w:val="0"/>
        <w:spacing w:before="0" w:after="80" w:line="314" w:lineRule="exact"/>
        <w:ind w:left="0" w:right="0" w:firstLine="440"/>
        <w:jc w:val="both"/>
      </w:pPr>
      <w:bookmarkStart w:id="442" w:name="bookmark442"/>
      <w:r>
        <w:rPr>
          <w:rFonts w:ascii="Times New Roman" w:eastAsia="Times New Roman" w:hAnsi="Times New Roman" w:cs="Times New Roman"/>
          <w:color w:val="000000"/>
          <w:spacing w:val="0"/>
          <w:w w:val="100"/>
          <w:position w:val="0"/>
          <w:sz w:val="24"/>
          <w:szCs w:val="24"/>
        </w:rPr>
        <w:t>4</w:t>
      </w:r>
      <w:bookmarkEnd w:id="442"/>
      <w:r>
        <w:rPr>
          <w:color w:val="000000"/>
          <w:spacing w:val="0"/>
          <w:w w:val="100"/>
          <w:position w:val="0"/>
        </w:rPr>
        <w:t>、</w:t>
        <w:tab/>
        <w:t>关于公司与控股股东</w:t>
      </w:r>
    </w:p>
    <w:p>
      <w:pPr>
        <w:pStyle w:val="Style31"/>
        <w:keepNext w:val="0"/>
        <w:keepLines w:val="0"/>
        <w:widowControl w:val="0"/>
        <w:shd w:val="clear" w:color="auto" w:fill="auto"/>
        <w:bidi w:val="0"/>
        <w:spacing w:before="0" w:after="160" w:line="315" w:lineRule="exact"/>
        <w:ind w:left="0" w:right="0" w:firstLine="440"/>
        <w:jc w:val="both"/>
      </w:pPr>
      <w:r>
        <w:rPr>
          <w:color w:val="000000"/>
          <w:spacing w:val="0"/>
          <w:w w:val="100"/>
          <w:position w:val="0"/>
        </w:rPr>
        <w:t>公司控股股东行为规范，依法行使其权利并承担相应义务，没有超越股东大会直接或间 接干预公司的决策和经营活动，损害公司或其它股东的合法权益。公司与控股股东在人员、 资产、财务、机构和业务方面做到了分开独立，公司董事会、监事会和内部机构能够独立运 作。</w:t>
      </w:r>
    </w:p>
    <w:p>
      <w:pPr>
        <w:pStyle w:val="Style31"/>
        <w:keepNext w:val="0"/>
        <w:keepLines w:val="0"/>
        <w:widowControl w:val="0"/>
        <w:shd w:val="clear" w:color="auto" w:fill="auto"/>
        <w:bidi w:val="0"/>
        <w:spacing w:before="0" w:line="240" w:lineRule="auto"/>
        <w:ind w:left="0" w:right="0" w:firstLine="440"/>
        <w:jc w:val="both"/>
      </w:pPr>
      <w:bookmarkStart w:id="443" w:name="bookmark443"/>
      <w:r>
        <w:rPr>
          <w:rFonts w:ascii="Times New Roman" w:eastAsia="Times New Roman" w:hAnsi="Times New Roman" w:cs="Times New Roman"/>
          <w:color w:val="000000"/>
          <w:spacing w:val="0"/>
          <w:w w:val="100"/>
          <w:position w:val="0"/>
          <w:sz w:val="24"/>
          <w:szCs w:val="24"/>
        </w:rPr>
        <w:t>5</w:t>
      </w:r>
      <w:bookmarkEnd w:id="443"/>
      <w:r>
        <w:rPr>
          <w:color w:val="000000"/>
          <w:spacing w:val="0"/>
          <w:w w:val="100"/>
          <w:position w:val="0"/>
        </w:rPr>
        <w:t>、关于绩效评价与激励约束机制</w:t>
      </w:r>
    </w:p>
    <w:p>
      <w:pPr>
        <w:pStyle w:val="Style31"/>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公司逐步完善高级管理人员的绩效评价体系和考核体系，高级管理人员的聘任公开、透 明，符合有关法律法规的要求。公司董事会、监事会能够严格按照规定向股东大会报告履行 职责的情况。</w:t>
      </w:r>
    </w:p>
    <w:p>
      <w:pPr>
        <w:pStyle w:val="Style31"/>
        <w:keepNext w:val="0"/>
        <w:keepLines w:val="0"/>
        <w:widowControl w:val="0"/>
        <w:shd w:val="clear" w:color="auto" w:fill="auto"/>
        <w:tabs>
          <w:tab w:pos="877" w:val="left"/>
        </w:tabs>
        <w:bidi w:val="0"/>
        <w:spacing w:before="0" w:after="60" w:line="276" w:lineRule="auto"/>
        <w:ind w:left="0" w:right="0" w:firstLine="480"/>
        <w:jc w:val="both"/>
      </w:pPr>
      <w:bookmarkStart w:id="444" w:name="bookmark444"/>
      <w:r>
        <w:rPr>
          <w:rFonts w:ascii="Times New Roman" w:eastAsia="Times New Roman" w:hAnsi="Times New Roman" w:cs="Times New Roman"/>
          <w:color w:val="000000"/>
          <w:spacing w:val="0"/>
          <w:w w:val="100"/>
          <w:position w:val="0"/>
          <w:sz w:val="24"/>
          <w:szCs w:val="24"/>
        </w:rPr>
        <w:t>6</w:t>
      </w:r>
      <w:bookmarkEnd w:id="444"/>
      <w:r>
        <w:rPr>
          <w:color w:val="000000"/>
          <w:spacing w:val="0"/>
          <w:w w:val="100"/>
          <w:position w:val="0"/>
        </w:rPr>
        <w:t>、</w:t>
        <w:tab/>
        <w:t>关于相关利益者</w:t>
      </w:r>
    </w:p>
    <w:p>
      <w:pPr>
        <w:pStyle w:val="Style31"/>
        <w:keepNext w:val="0"/>
        <w:keepLines w:val="0"/>
        <w:widowControl w:val="0"/>
        <w:shd w:val="clear" w:color="auto" w:fill="auto"/>
        <w:bidi w:val="0"/>
        <w:spacing w:before="0" w:after="140" w:line="317" w:lineRule="exact"/>
        <w:ind w:left="0" w:right="0" w:firstLine="480"/>
        <w:jc w:val="both"/>
      </w:pPr>
      <w:r>
        <w:rPr>
          <w:color w:val="000000"/>
          <w:spacing w:val="0"/>
          <w:w w:val="100"/>
          <w:position w:val="0"/>
        </w:rPr>
        <w:t>公司充分尊重和维护相关利益者的合法权益，实现股东、员工、社会等各方利益的均衡， 重视社会责任，与利益相关者共同推动公司持续、健康地发展。</w:t>
      </w:r>
    </w:p>
    <w:p>
      <w:pPr>
        <w:pStyle w:val="Style31"/>
        <w:keepNext w:val="0"/>
        <w:keepLines w:val="0"/>
        <w:widowControl w:val="0"/>
        <w:shd w:val="clear" w:color="auto" w:fill="auto"/>
        <w:tabs>
          <w:tab w:pos="837" w:val="left"/>
        </w:tabs>
        <w:bidi w:val="0"/>
        <w:spacing w:before="0" w:after="60" w:line="276" w:lineRule="auto"/>
        <w:ind w:left="0" w:right="0" w:firstLine="440"/>
        <w:jc w:val="both"/>
      </w:pPr>
      <w:bookmarkStart w:id="445" w:name="bookmark445"/>
      <w:r>
        <w:rPr>
          <w:rFonts w:ascii="Times New Roman" w:eastAsia="Times New Roman" w:hAnsi="Times New Roman" w:cs="Times New Roman"/>
          <w:color w:val="000000"/>
          <w:spacing w:val="0"/>
          <w:w w:val="100"/>
          <w:position w:val="0"/>
          <w:sz w:val="24"/>
          <w:szCs w:val="24"/>
        </w:rPr>
        <w:t>7</w:t>
      </w:r>
      <w:bookmarkEnd w:id="445"/>
      <w:r>
        <w:rPr>
          <w:color w:val="000000"/>
          <w:spacing w:val="0"/>
          <w:w w:val="100"/>
          <w:position w:val="0"/>
        </w:rPr>
        <w:t>、</w:t>
        <w:tab/>
        <w:t>关于信息披露与透明度</w:t>
      </w:r>
    </w:p>
    <w:p>
      <w:pPr>
        <w:pStyle w:val="Style31"/>
        <w:keepNext w:val="0"/>
        <w:keepLines w:val="0"/>
        <w:widowControl w:val="0"/>
        <w:shd w:val="clear" w:color="auto" w:fill="auto"/>
        <w:bidi w:val="0"/>
        <w:spacing w:before="0" w:after="300" w:line="312" w:lineRule="exact"/>
        <w:ind w:left="0" w:right="0" w:firstLine="480"/>
        <w:jc w:val="both"/>
      </w:pPr>
      <w:r>
        <w:rPr>
          <w:color w:val="000000"/>
          <w:spacing w:val="0"/>
          <w:w w:val="100"/>
          <w:position w:val="0"/>
        </w:rPr>
        <w:t>公司制定了《信息披露管理制度》、《投资者关系管理制度》，指定董事会秘书为公司 信息披露工作负责人，协调公司与投资者的关系，接待投资者和调研机构来访，及时回复互 动平台的提问。指定《中国证券报》和巨潮资讯网为公司信息披露媒体，认真履行信息披露 义务，严格按照有关法律、法规和要求，真实、准确、完整、及时地披露有关信息，确保公 司所有股东能够以平等的机会获得信息。</w:t>
      </w:r>
    </w:p>
    <w:p>
      <w:pPr>
        <w:pStyle w:val="Style31"/>
        <w:keepNext w:val="0"/>
        <w:keepLines w:val="0"/>
        <w:widowControl w:val="0"/>
        <w:shd w:val="clear" w:color="auto" w:fill="auto"/>
        <w:bidi w:val="0"/>
        <w:spacing w:before="0" w:after="300" w:line="422" w:lineRule="exact"/>
        <w:ind w:left="0" w:right="0" w:firstLine="0"/>
        <w:jc w:val="both"/>
      </w:pPr>
      <w:r>
        <w:rPr>
          <w:b/>
          <w:bCs/>
          <w:color w:val="000000"/>
          <w:spacing w:val="0"/>
          <w:w w:val="100"/>
          <w:position w:val="0"/>
        </w:rPr>
        <w:t xml:space="preserve">公司治理的实际状况与中国证监会发布的有关上市公司治理的规范性文件是否存在重大差异 </w:t>
      </w:r>
      <w:r>
        <w:rPr>
          <w:color w:val="000000"/>
          <w:spacing w:val="0"/>
          <w:w w:val="100"/>
          <w:position w:val="0"/>
        </w:rPr>
        <w:t>公司治理的实际状况与中国证监会发布的有关上市公司治理的规范性文件不存在重大差异。</w:t>
      </w:r>
    </w:p>
    <w:p>
      <w:pPr>
        <w:pStyle w:val="Style23"/>
        <w:keepNext/>
        <w:keepLines/>
        <w:widowControl w:val="0"/>
        <w:shd w:val="clear" w:color="auto" w:fill="auto"/>
        <w:bidi w:val="0"/>
        <w:spacing w:before="0" w:after="300" w:line="313" w:lineRule="exact"/>
        <w:ind w:left="0" w:right="0" w:firstLine="0"/>
        <w:jc w:val="both"/>
      </w:pPr>
      <w:bookmarkStart w:id="446" w:name="bookmark446"/>
      <w:bookmarkStart w:id="447" w:name="bookmark447"/>
      <w:bookmarkStart w:id="448" w:name="bookmark448"/>
      <w:bookmarkStart w:id="449" w:name="bookmark449"/>
      <w:r>
        <w:rPr>
          <w:color w:val="000000"/>
          <w:spacing w:val="0"/>
          <w:w w:val="100"/>
          <w:position w:val="0"/>
        </w:rPr>
        <w:t>二</w:t>
      </w:r>
      <w:bookmarkEnd w:id="448"/>
      <w:r>
        <w:rPr>
          <w:color w:val="000000"/>
          <w:spacing w:val="0"/>
          <w:w w:val="100"/>
          <w:position w:val="0"/>
        </w:rPr>
        <w:t>、公司相对于控股股东在业务、人员、资产、机构、财务等方面的独立情况</w:t>
      </w:r>
      <w:bookmarkEnd w:id="446"/>
      <w:bookmarkEnd w:id="447"/>
      <w:bookmarkEnd w:id="449"/>
    </w:p>
    <w:p>
      <w:pPr>
        <w:pStyle w:val="Style31"/>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公司与控股股东在业务、人员、资产、机构、财务等方面完全分开，具有独立完整的业 务及自主经营能力。</w:t>
      </w:r>
    </w:p>
    <w:p>
      <w:pPr>
        <w:pStyle w:val="Style31"/>
        <w:keepNext w:val="0"/>
        <w:keepLines w:val="0"/>
        <w:widowControl w:val="0"/>
        <w:shd w:val="clear" w:color="auto" w:fill="auto"/>
        <w:tabs>
          <w:tab w:pos="1126" w:val="left"/>
        </w:tabs>
        <w:bidi w:val="0"/>
        <w:spacing w:before="0" w:after="140" w:line="313" w:lineRule="exact"/>
        <w:ind w:left="0" w:right="0" w:firstLine="480"/>
        <w:jc w:val="both"/>
      </w:pPr>
      <w:bookmarkStart w:id="450" w:name="bookmark450"/>
      <w:r>
        <w:rPr>
          <w:color w:val="000000"/>
          <w:spacing w:val="0"/>
          <w:w w:val="100"/>
          <w:position w:val="0"/>
        </w:rPr>
        <w:t>（</w:t>
      </w:r>
      <w:bookmarkEnd w:id="450"/>
      <w:r>
        <w:rPr>
          <w:color w:val="000000"/>
          <w:spacing w:val="0"/>
          <w:w w:val="100"/>
          <w:position w:val="0"/>
        </w:rPr>
        <w:t>一）</w:t>
        <w:tab/>
        <w:t>业务独立方面</w:t>
      </w:r>
    </w:p>
    <w:p>
      <w:pPr>
        <w:pStyle w:val="Style31"/>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公司主要从事集成电路设计、开发、销售与技术服务，公司拥有独立的生产、采购和销 售系统，与控股股东及其关联企业之间不存在竞争关系或业务上的依赖，公司业务完全独立 于控股股东。</w:t>
      </w:r>
    </w:p>
    <w:p>
      <w:pPr>
        <w:pStyle w:val="Style31"/>
        <w:keepNext w:val="0"/>
        <w:keepLines w:val="0"/>
        <w:widowControl w:val="0"/>
        <w:shd w:val="clear" w:color="auto" w:fill="auto"/>
        <w:tabs>
          <w:tab w:pos="1086" w:val="left"/>
        </w:tabs>
        <w:bidi w:val="0"/>
        <w:spacing w:before="0" w:after="140" w:line="313" w:lineRule="exact"/>
        <w:ind w:left="0" w:right="0" w:firstLine="440"/>
        <w:jc w:val="both"/>
      </w:pPr>
      <w:bookmarkStart w:id="451" w:name="bookmark451"/>
      <w:r>
        <w:rPr>
          <w:color w:val="000000"/>
          <w:spacing w:val="0"/>
          <w:w w:val="100"/>
          <w:position w:val="0"/>
        </w:rPr>
        <w:t>（</w:t>
      </w:r>
      <w:bookmarkEnd w:id="451"/>
      <w:r>
        <w:rPr>
          <w:color w:val="000000"/>
          <w:spacing w:val="0"/>
          <w:w w:val="100"/>
          <w:position w:val="0"/>
        </w:rPr>
        <w:t>二）</w:t>
        <w:tab/>
        <w:t>人员独立方面</w:t>
      </w:r>
    </w:p>
    <w:p>
      <w:pPr>
        <w:pStyle w:val="Style31"/>
        <w:keepNext w:val="0"/>
        <w:keepLines w:val="0"/>
        <w:widowControl w:val="0"/>
        <w:shd w:val="clear" w:color="auto" w:fill="auto"/>
        <w:bidi w:val="0"/>
        <w:spacing w:before="0" w:after="140" w:line="313" w:lineRule="exact"/>
        <w:ind w:left="0" w:right="0" w:firstLine="480"/>
        <w:jc w:val="both"/>
      </w:pPr>
      <w:r>
        <w:rPr>
          <w:color w:val="000000"/>
          <w:spacing w:val="0"/>
          <w:w w:val="100"/>
          <w:position w:val="0"/>
        </w:rPr>
        <w:t>公司拥有独立的员工队伍，设立了独立的行政、财务、经营管理等部门，并建立了完整 的劳动、人事及工资管理等制度，公司人员独立于控股股东；公司的总裁、副总裁、财务总 监、董事会秘书等高级管理人员均在公司专职工作并领取薪酬，未在控股股东单位领薪，也 未在控股股东单位担任任何职务。公司董事、监事及高级管理人员严格按照《公司法》、《公 司章程》的有关规定，通过合法程序产生，不存在控股股东干预公司董事会和股东大会人事 任免决定的现象。</w:t>
      </w:r>
    </w:p>
    <w:p>
      <w:pPr>
        <w:pStyle w:val="Style31"/>
        <w:keepNext w:val="0"/>
        <w:keepLines w:val="0"/>
        <w:widowControl w:val="0"/>
        <w:shd w:val="clear" w:color="auto" w:fill="auto"/>
        <w:tabs>
          <w:tab w:pos="1126" w:val="left"/>
        </w:tabs>
        <w:bidi w:val="0"/>
        <w:spacing w:before="0" w:after="140" w:line="313" w:lineRule="exact"/>
        <w:ind w:left="0" w:right="0" w:firstLine="480"/>
        <w:jc w:val="both"/>
      </w:pPr>
      <w:bookmarkStart w:id="452" w:name="bookmark452"/>
      <w:r>
        <w:rPr>
          <w:color w:val="000000"/>
          <w:spacing w:val="0"/>
          <w:w w:val="100"/>
          <w:position w:val="0"/>
        </w:rPr>
        <w:t>（</w:t>
      </w:r>
      <w:bookmarkEnd w:id="452"/>
      <w:r>
        <w:rPr>
          <w:color w:val="000000"/>
          <w:spacing w:val="0"/>
          <w:w w:val="100"/>
          <w:position w:val="0"/>
        </w:rPr>
        <w:t>三）</w:t>
        <w:tab/>
        <w:t>资产完整方面</w:t>
      </w:r>
    </w:p>
    <w:p>
      <w:pPr>
        <w:pStyle w:val="Style31"/>
        <w:keepNext w:val="0"/>
        <w:keepLines w:val="0"/>
        <w:widowControl w:val="0"/>
        <w:shd w:val="clear" w:color="auto" w:fill="auto"/>
        <w:bidi w:val="0"/>
        <w:spacing w:before="0" w:after="140" w:line="314" w:lineRule="exact"/>
        <w:ind w:left="0" w:right="0" w:firstLine="480"/>
        <w:jc w:val="both"/>
      </w:pPr>
      <w:r>
        <w:rPr>
          <w:color w:val="000000"/>
          <w:spacing w:val="0"/>
          <w:w w:val="100"/>
          <w:position w:val="0"/>
        </w:rPr>
        <w:t>公司与控股股东之间产权关系明确，公司的资金、资产及其他资源不存在被其违规占用、 支配的情况。公司的资产完整，拥有与生产经营范围相适应的生产设备、辅助生产设备和专 利等资产，公司对所有资产拥有完全的控制与支配权。</w:t>
      </w:r>
    </w:p>
    <w:p>
      <w:pPr>
        <w:pStyle w:val="Style31"/>
        <w:keepNext w:val="0"/>
        <w:keepLines w:val="0"/>
        <w:widowControl w:val="0"/>
        <w:shd w:val="clear" w:color="auto" w:fill="auto"/>
        <w:tabs>
          <w:tab w:pos="1086" w:val="left"/>
        </w:tabs>
        <w:bidi w:val="0"/>
        <w:spacing w:before="0" w:after="140" w:line="313" w:lineRule="exact"/>
        <w:ind w:left="0" w:right="0" w:firstLine="440"/>
        <w:jc w:val="both"/>
      </w:pPr>
      <w:bookmarkStart w:id="453" w:name="bookmark453"/>
      <w:r>
        <w:rPr>
          <w:color w:val="000000"/>
          <w:spacing w:val="0"/>
          <w:w w:val="100"/>
          <w:position w:val="0"/>
        </w:rPr>
        <w:t>（</w:t>
      </w:r>
      <w:bookmarkEnd w:id="453"/>
      <w:r>
        <w:rPr>
          <w:color w:val="000000"/>
          <w:spacing w:val="0"/>
          <w:w w:val="100"/>
          <w:position w:val="0"/>
        </w:rPr>
        <w:t>四）</w:t>
        <w:tab/>
        <w:t>机构独立方面</w:t>
      </w:r>
    </w:p>
    <w:p>
      <w:pPr>
        <w:pStyle w:val="Style31"/>
        <w:keepNext w:val="0"/>
        <w:keepLines w:val="0"/>
        <w:widowControl w:val="0"/>
        <w:shd w:val="clear" w:color="auto" w:fill="auto"/>
        <w:bidi w:val="0"/>
        <w:spacing w:before="0" w:after="160" w:line="312" w:lineRule="exact"/>
        <w:ind w:left="0" w:right="0" w:firstLine="480"/>
        <w:jc w:val="both"/>
      </w:pPr>
      <w:r>
        <w:rPr>
          <w:color w:val="000000"/>
          <w:spacing w:val="0"/>
          <w:w w:val="100"/>
          <w:position w:val="0"/>
        </w:rPr>
        <w:t xml:space="preserve">公司董事会、监事会、管理层及其他内部机构独立运作，各职能部门在权责、人员等方 面与控股股东之间完全分开，控股股东及其职能部门与本公司及本公司的职能部门之间不存 </w:t>
      </w:r>
      <w:r>
        <w:rPr>
          <w:color w:val="000000"/>
          <w:spacing w:val="0"/>
          <w:w w:val="100"/>
          <w:position w:val="0"/>
        </w:rPr>
        <w:t>在隶属关系，不存在控股股东影响本公司生产经营管理独立性的现象。</w:t>
      </w:r>
    </w:p>
    <w:p>
      <w:pPr>
        <w:pStyle w:val="Style31"/>
        <w:keepNext w:val="0"/>
        <w:keepLines w:val="0"/>
        <w:widowControl w:val="0"/>
        <w:shd w:val="clear" w:color="auto" w:fill="auto"/>
        <w:bidi w:val="0"/>
        <w:spacing w:before="0" w:after="160" w:line="310" w:lineRule="exact"/>
        <w:ind w:left="0" w:right="0" w:firstLine="480"/>
        <w:jc w:val="left"/>
      </w:pPr>
      <w:bookmarkStart w:id="454" w:name="bookmark454"/>
      <w:r>
        <w:rPr>
          <w:color w:val="000000"/>
          <w:spacing w:val="0"/>
          <w:w w:val="100"/>
          <w:position w:val="0"/>
        </w:rPr>
        <w:t>（</w:t>
      </w:r>
      <w:bookmarkEnd w:id="454"/>
      <w:r>
        <w:rPr>
          <w:color w:val="000000"/>
          <w:spacing w:val="0"/>
          <w:w w:val="100"/>
          <w:position w:val="0"/>
        </w:rPr>
        <w:t>五）财务独立方面</w:t>
      </w:r>
    </w:p>
    <w:p>
      <w:pPr>
        <w:pStyle w:val="Style31"/>
        <w:keepNext w:val="0"/>
        <w:keepLines w:val="0"/>
        <w:widowControl w:val="0"/>
        <w:shd w:val="clear" w:color="auto" w:fill="auto"/>
        <w:bidi w:val="0"/>
        <w:spacing w:before="0" w:after="660" w:line="310" w:lineRule="exact"/>
        <w:ind w:left="0" w:right="0" w:firstLine="500"/>
        <w:jc w:val="both"/>
      </w:pPr>
      <w:r>
        <w:rPr>
          <w:color w:val="000000"/>
          <w:spacing w:val="0"/>
          <w:w w:val="100"/>
          <w:position w:val="0"/>
        </w:rPr>
        <w:t>公司设置了独立的财务部门，配备了专职财务人员，并按照相关法律、法规的要求建立 了健全的财务会计核算体系和财务管理制度，独立核算，不存在控股股东干预公司财务、会 计活动的情况。公司在商业银行独立开户，不存在与控股股东共用银行账户的情况。公司依 法独立进行纳税申报和履行纳税义务。</w:t>
      </w:r>
    </w:p>
    <w:p>
      <w:pPr>
        <w:pStyle w:val="Style23"/>
        <w:keepNext/>
        <w:keepLines/>
        <w:widowControl w:val="0"/>
        <w:shd w:val="clear" w:color="auto" w:fill="auto"/>
        <w:tabs>
          <w:tab w:pos="517" w:val="left"/>
        </w:tabs>
        <w:bidi w:val="0"/>
        <w:spacing w:before="0" w:after="360" w:line="240" w:lineRule="auto"/>
        <w:ind w:left="0" w:right="0" w:firstLine="0"/>
        <w:jc w:val="left"/>
      </w:pPr>
      <w:bookmarkStart w:id="455" w:name="bookmark455"/>
      <w:bookmarkStart w:id="456" w:name="bookmark456"/>
      <w:bookmarkStart w:id="457" w:name="bookmark457"/>
      <w:bookmarkStart w:id="458" w:name="bookmark458"/>
      <w:r>
        <w:rPr>
          <w:color w:val="000000"/>
          <w:spacing w:val="0"/>
          <w:w w:val="100"/>
          <w:position w:val="0"/>
        </w:rPr>
        <w:t>三</w:t>
      </w:r>
      <w:bookmarkEnd w:id="457"/>
      <w:r>
        <w:rPr>
          <w:color w:val="000000"/>
          <w:spacing w:val="0"/>
          <w:w w:val="100"/>
          <w:position w:val="0"/>
        </w:rPr>
        <w:t>、</w:t>
        <w:tab/>
        <w:t>同业竞争情况</w:t>
      </w:r>
      <w:bookmarkEnd w:id="455"/>
      <w:bookmarkEnd w:id="456"/>
      <w:bookmarkEnd w:id="458"/>
    </w:p>
    <w:p>
      <w:pPr>
        <w:pStyle w:val="Style31"/>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适用/不适用</w:t>
      </w:r>
    </w:p>
    <w:p>
      <w:pPr>
        <w:pStyle w:val="Style23"/>
        <w:keepNext/>
        <w:keepLines/>
        <w:widowControl w:val="0"/>
        <w:shd w:val="clear" w:color="auto" w:fill="auto"/>
        <w:tabs>
          <w:tab w:pos="517" w:val="left"/>
        </w:tabs>
        <w:bidi w:val="0"/>
        <w:spacing w:before="0" w:after="360" w:line="240" w:lineRule="auto"/>
        <w:ind w:left="0" w:right="0" w:firstLine="0"/>
        <w:jc w:val="left"/>
      </w:pPr>
      <w:bookmarkStart w:id="459" w:name="bookmark459"/>
      <w:bookmarkStart w:id="460" w:name="bookmark460"/>
      <w:bookmarkStart w:id="461" w:name="bookmark461"/>
      <w:bookmarkStart w:id="462" w:name="bookmark462"/>
      <w:r>
        <w:rPr>
          <w:color w:val="000000"/>
          <w:spacing w:val="0"/>
          <w:w w:val="100"/>
          <w:position w:val="0"/>
        </w:rPr>
        <w:t>四</w:t>
      </w:r>
      <w:bookmarkEnd w:id="461"/>
      <w:r>
        <w:rPr>
          <w:color w:val="000000"/>
          <w:spacing w:val="0"/>
          <w:w w:val="100"/>
          <w:position w:val="0"/>
        </w:rPr>
        <w:t>、</w:t>
        <w:tab/>
        <w:t>报告期内召开的年度股东大会和临时股东大会的有关情况</w:t>
      </w:r>
      <w:bookmarkEnd w:id="459"/>
      <w:bookmarkEnd w:id="460"/>
      <w:bookmarkEnd w:id="462"/>
    </w:p>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463" w:name="bookmark46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、本报告期股东大会情况</w:t>
      </w:r>
      <w:bookmarkEnd w:id="463"/>
    </w:p>
    <w:tbl>
      <w:tblPr>
        <w:tblOverlap w:val="never"/>
        <w:jc w:val="center"/>
        <w:tblLayout w:type="fixed"/>
      </w:tblPr>
      <w:tblGrid>
        <w:gridCol w:w="1598"/>
        <w:gridCol w:w="1243"/>
        <w:gridCol w:w="850"/>
        <w:gridCol w:w="1277"/>
        <w:gridCol w:w="1272"/>
        <w:gridCol w:w="334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color w:val="000000"/>
                <w:spacing w:val="0"/>
                <w:w w:val="100"/>
                <w:position w:val="0"/>
                <w:sz w:val="16"/>
                <w:szCs w:val="16"/>
              </w:rPr>
              <w:t>投资者参 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披露索引</w:t>
            </w:r>
          </w:p>
        </w:tc>
      </w:tr>
      <w:tr>
        <w:trPr>
          <w:trHeight w:val="9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6"/>
                <w:szCs w:val="16"/>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28" w:lineRule="exact"/>
              <w:ind w:left="0" w:right="0" w:firstLine="0"/>
              <w:jc w:val="left"/>
              <w:rPr>
                <w:sz w:val="16"/>
                <w:szCs w:val="16"/>
              </w:rPr>
            </w:pPr>
            <w:r>
              <w:rPr>
                <w:color w:val="000000"/>
                <w:spacing w:val="0"/>
                <w:w w:val="100"/>
                <w:position w:val="0"/>
                <w:sz w:val="16"/>
                <w:szCs w:val="16"/>
              </w:rPr>
              <w:t xml:space="preserve">刊登在《中国证券报》及巨潮资讯网 </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6"/>
                <w:szCs w:val="16"/>
              </w:rPr>
              <w:t>）</w:t>
            </w:r>
            <w:r>
              <w:rPr>
                <w:color w:val="000000"/>
                <w:spacing w:val="0"/>
                <w:w w:val="100"/>
                <w:position w:val="0"/>
                <w:sz w:val="16"/>
                <w:szCs w:val="16"/>
              </w:rPr>
              <w:t>上的《同方国</w:t>
            </w:r>
          </w:p>
          <w:p>
            <w:pPr>
              <w:pStyle w:val="Style2"/>
              <w:keepNext w:val="0"/>
              <w:keepLines w:val="0"/>
              <w:widowControl w:val="0"/>
              <w:shd w:val="clear" w:color="auto" w:fill="auto"/>
              <w:bidi w:val="0"/>
              <w:spacing w:before="0" w:after="0" w:line="228" w:lineRule="exact"/>
              <w:ind w:left="0" w:right="0" w:firstLine="0"/>
              <w:jc w:val="left"/>
              <w:rPr>
                <w:sz w:val="16"/>
                <w:szCs w:val="16"/>
              </w:rPr>
            </w:pPr>
            <w:r>
              <w:rPr>
                <w:color w:val="000000"/>
                <w:spacing w:val="0"/>
                <w:w w:val="100"/>
                <w:position w:val="0"/>
                <w:sz w:val="16"/>
                <w:szCs w:val="16"/>
              </w:rPr>
              <w:t>芯电子股份有限公司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6"/>
                <w:szCs w:val="16"/>
              </w:rPr>
              <w:t>年度股东大会 决议公告》（公告编号：</w:t>
            </w:r>
            <w:r>
              <w:rPr>
                <w:rFonts w:ascii="Times New Roman" w:eastAsia="Times New Roman" w:hAnsi="Times New Roman" w:cs="Times New Roman"/>
                <w:color w:val="000000"/>
                <w:spacing w:val="0"/>
                <w:w w:val="100"/>
                <w:position w:val="0"/>
                <w:sz w:val="18"/>
                <w:szCs w:val="18"/>
              </w:rPr>
              <w:t>2016-047</w:t>
            </w:r>
            <w:r>
              <w:rPr>
                <w:color w:val="000000"/>
                <w:spacing w:val="0"/>
                <w:w w:val="100"/>
                <w:position w:val="0"/>
                <w:sz w:val="16"/>
                <w:szCs w:val="16"/>
              </w:rPr>
              <w:t>）</w:t>
            </w:r>
          </w:p>
        </w:tc>
      </w:tr>
      <w:tr>
        <w:trPr>
          <w:trHeight w:val="9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6"/>
                <w:szCs w:val="16"/>
              </w:rPr>
              <w:t>年第一次临时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刊登在《中国证券报》及巨潮资讯网</w:t>
            </w:r>
          </w:p>
          <w:p>
            <w:pPr>
              <w:pStyle w:val="Style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6"/>
                <w:szCs w:val="16"/>
              </w:rPr>
              <w:t>）上的《同方国</w:t>
            </w:r>
            <w:r>
              <w:rPr>
                <w:color w:val="000000"/>
                <w:spacing w:val="0"/>
                <w:w w:val="100"/>
                <w:position w:val="0"/>
                <w:sz w:val="16"/>
                <w:szCs w:val="16"/>
              </w:rPr>
              <w:t xml:space="preserve"> 芯电子股份有限公司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6"/>
                <w:szCs w:val="16"/>
              </w:rPr>
              <w:t>年第一次临时 股东大会决议公告》（公告编号：</w:t>
            </w:r>
            <w:r>
              <w:rPr>
                <w:rFonts w:ascii="Times New Roman" w:eastAsia="Times New Roman" w:hAnsi="Times New Roman" w:cs="Times New Roman"/>
                <w:color w:val="000000"/>
                <w:spacing w:val="0"/>
                <w:w w:val="100"/>
                <w:position w:val="0"/>
                <w:sz w:val="18"/>
                <w:szCs w:val="18"/>
              </w:rPr>
              <w:t>2016-044</w:t>
            </w:r>
            <w:r>
              <w:rPr>
                <w:color w:val="000000"/>
                <w:spacing w:val="0"/>
                <w:w w:val="100"/>
                <w:position w:val="0"/>
                <w:sz w:val="16"/>
                <w:szCs w:val="16"/>
              </w:rPr>
              <w:t>）</w:t>
            </w:r>
          </w:p>
        </w:tc>
      </w:tr>
    </w:tbl>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注：投资者参与比例是指参会的未担任公司职务的自然人股东的持股数占公司总股本的比例。</w:t>
      </w:r>
    </w:p>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2</w:t>
      </w:r>
      <w:bookmarkEnd w:id="466"/>
      <w:r>
        <w:rPr>
          <w:color w:val="000000"/>
          <w:spacing w:val="0"/>
          <w:w w:val="100"/>
          <w:position w:val="0"/>
        </w:rPr>
        <w:t>、表决权恢复的优先股股东请求召开临时股东大会</w:t>
      </w:r>
      <w:bookmarkEnd w:id="464"/>
      <w:bookmarkEnd w:id="465"/>
      <w:bookmarkEnd w:id="467"/>
    </w:p>
    <w:p>
      <w:pPr>
        <w:pStyle w:val="Style28"/>
        <w:keepNext/>
        <w:keepLines/>
        <w:widowControl w:val="0"/>
        <w:shd w:val="clear" w:color="auto" w:fill="auto"/>
        <w:bidi w:val="0"/>
        <w:spacing w:before="0" w:after="360" w:line="240" w:lineRule="auto"/>
        <w:ind w:left="0" w:right="0" w:firstLine="0"/>
        <w:jc w:val="left"/>
      </w:pPr>
      <w:bookmarkStart w:id="464" w:name="bookmark464"/>
      <w:bookmarkStart w:id="465" w:name="bookmark465"/>
      <w:r>
        <w:rPr>
          <w:color w:val="000000"/>
          <w:spacing w:val="0"/>
          <w:w w:val="100"/>
          <w:position w:val="0"/>
        </w:rPr>
        <w:t>□</w:t>
      </w:r>
      <w:r>
        <w:rPr>
          <w:color w:val="000000"/>
          <w:spacing w:val="0"/>
          <w:w w:val="100"/>
          <w:position w:val="0"/>
        </w:rPr>
        <w:t>适用/不适用</w:t>
      </w:r>
      <w:bookmarkEnd w:id="464"/>
      <w:bookmarkEnd w:id="465"/>
    </w:p>
    <w:p>
      <w:pPr>
        <w:pStyle w:val="Style23"/>
        <w:keepNext/>
        <w:keepLines/>
        <w:widowControl w:val="0"/>
        <w:shd w:val="clear" w:color="auto" w:fill="auto"/>
        <w:bidi w:val="0"/>
        <w:spacing w:before="0" w:after="36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rPr>
        <w:t>五</w:t>
      </w:r>
      <w:bookmarkEnd w:id="470"/>
      <w:r>
        <w:rPr>
          <w:color w:val="000000"/>
          <w:spacing w:val="0"/>
          <w:w w:val="100"/>
          <w:position w:val="0"/>
        </w:rPr>
        <w:t>、报告期内独立董事履行职责的情况</w:t>
      </w:r>
      <w:bookmarkEnd w:id="468"/>
      <w:bookmarkEnd w:id="469"/>
      <w:bookmarkEnd w:id="471"/>
    </w:p>
    <w:p>
      <w:pPr>
        <w:pStyle w:val="Style28"/>
        <w:keepNext/>
        <w:keepLines/>
        <w:widowControl w:val="0"/>
        <w:shd w:val="clear" w:color="auto" w:fill="auto"/>
        <w:bidi w:val="0"/>
        <w:spacing w:before="0" w:after="360" w:line="240" w:lineRule="auto"/>
        <w:ind w:left="0" w:right="0" w:firstLine="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1</w:t>
      </w:r>
      <w:bookmarkEnd w:id="474"/>
      <w:r>
        <w:rPr>
          <w:color w:val="000000"/>
          <w:spacing w:val="0"/>
          <w:w w:val="100"/>
          <w:position w:val="0"/>
        </w:rPr>
        <w:t>、独立董事出席董事会及股东大会的情况</w:t>
      </w:r>
      <w:bookmarkEnd w:id="472"/>
      <w:bookmarkEnd w:id="473"/>
      <w:bookmarkEnd w:id="475"/>
    </w:p>
    <w:tbl>
      <w:tblPr>
        <w:tblOverlap w:val="never"/>
        <w:jc w:val="center"/>
        <w:tblLayout w:type="fixed"/>
      </w:tblPr>
      <w:tblGrid>
        <w:gridCol w:w="1627"/>
        <w:gridCol w:w="1325"/>
        <w:gridCol w:w="1325"/>
        <w:gridCol w:w="1325"/>
        <w:gridCol w:w="1325"/>
        <w:gridCol w:w="1018"/>
        <w:gridCol w:w="1637"/>
      </w:tblGrid>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独立董事出席董事会情况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20"/>
                <w:szCs w:val="20"/>
              </w:rPr>
            </w:pPr>
            <w:r>
              <w:rPr>
                <w:color w:val="000000"/>
                <w:spacing w:val="0"/>
                <w:w w:val="100"/>
                <w:position w:val="0"/>
                <w:sz w:val="20"/>
                <w:szCs w:val="20"/>
              </w:rPr>
              <w:t>本报告期应参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以通讯方式参 加次数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是否连续两次未 亲自参加会议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陈金占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陈贤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曹阳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r>
    </w:tbl>
    <w:p>
      <w:pPr>
        <w:pStyle w:val="Style28"/>
        <w:keepNext/>
        <w:keepLines/>
        <w:widowControl w:val="0"/>
        <w:shd w:val="clear" w:color="auto" w:fill="auto"/>
        <w:tabs>
          <w:tab w:pos="375" w:val="left"/>
        </w:tabs>
        <w:bidi w:val="0"/>
        <w:spacing w:before="0" w:after="300" w:line="240" w:lineRule="auto"/>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2</w:t>
      </w:r>
      <w:bookmarkEnd w:id="478"/>
      <w:r>
        <w:rPr>
          <w:color w:val="000000"/>
          <w:spacing w:val="0"/>
          <w:w w:val="100"/>
          <w:position w:val="0"/>
        </w:rPr>
        <w:t>、</w:t>
        <w:tab/>
        <w:t>独立董事对公司有关事项提出异议的情况</w:t>
      </w:r>
      <w:bookmarkEnd w:id="476"/>
      <w:bookmarkEnd w:id="477"/>
      <w:bookmarkEnd w:id="479"/>
    </w:p>
    <w:p>
      <w:pPr>
        <w:pStyle w:val="Style31"/>
        <w:keepNext w:val="0"/>
        <w:keepLines w:val="0"/>
        <w:widowControl w:val="0"/>
        <w:shd w:val="clear" w:color="auto" w:fill="auto"/>
        <w:bidi w:val="0"/>
        <w:spacing w:before="0" w:after="100" w:line="313" w:lineRule="exact"/>
        <w:ind w:left="0" w:right="0" w:firstLine="0"/>
        <w:jc w:val="left"/>
      </w:pPr>
      <w:r>
        <w:rPr>
          <w:b/>
          <w:bCs/>
          <w:color w:val="000000"/>
          <w:spacing w:val="0"/>
          <w:w w:val="100"/>
          <w:position w:val="0"/>
        </w:rPr>
        <w:t>独立董事对公司有关事项是否提出异议</w:t>
      </w:r>
    </w:p>
    <w:p>
      <w:pPr>
        <w:pStyle w:val="Style31"/>
        <w:keepNext w:val="0"/>
        <w:keepLines w:val="0"/>
        <w:widowControl w:val="0"/>
        <w:shd w:val="clear" w:color="auto" w:fill="auto"/>
        <w:bidi w:val="0"/>
        <w:spacing w:before="0" w:after="360" w:line="313" w:lineRule="exact"/>
        <w:ind w:left="0" w:right="0" w:firstLine="500"/>
        <w:jc w:val="both"/>
      </w:pPr>
      <w:r>
        <w:rPr>
          <w:color w:val="000000"/>
          <w:spacing w:val="0"/>
          <w:w w:val="100"/>
          <w:position w:val="0"/>
        </w:rPr>
        <w:t>报告期内独立董事对公司有关事项未提出异议。</w:t>
      </w:r>
    </w:p>
    <w:p>
      <w:pPr>
        <w:pStyle w:val="Style28"/>
        <w:keepNext/>
        <w:keepLines/>
        <w:widowControl w:val="0"/>
        <w:shd w:val="clear" w:color="auto" w:fill="auto"/>
        <w:tabs>
          <w:tab w:pos="375" w:val="left"/>
        </w:tabs>
        <w:bidi w:val="0"/>
        <w:spacing w:before="0" w:after="30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3</w:t>
      </w:r>
      <w:bookmarkEnd w:id="482"/>
      <w:r>
        <w:rPr>
          <w:color w:val="000000"/>
          <w:spacing w:val="0"/>
          <w:w w:val="100"/>
          <w:position w:val="0"/>
        </w:rPr>
        <w:t>、</w:t>
        <w:tab/>
        <w:t>独立董事履行职责的其他说明</w:t>
      </w:r>
      <w:bookmarkEnd w:id="480"/>
      <w:bookmarkEnd w:id="481"/>
      <w:bookmarkEnd w:id="483"/>
    </w:p>
    <w:p>
      <w:pPr>
        <w:pStyle w:val="Style31"/>
        <w:keepNext w:val="0"/>
        <w:keepLines w:val="0"/>
        <w:widowControl w:val="0"/>
        <w:shd w:val="clear" w:color="auto" w:fill="auto"/>
        <w:bidi w:val="0"/>
        <w:spacing w:before="0" w:after="100" w:line="313" w:lineRule="exact"/>
        <w:ind w:left="0" w:right="0" w:firstLine="0"/>
        <w:jc w:val="left"/>
      </w:pPr>
      <w:r>
        <w:rPr>
          <w:b/>
          <w:bCs/>
          <w:color w:val="000000"/>
          <w:spacing w:val="0"/>
          <w:w w:val="100"/>
          <w:position w:val="0"/>
        </w:rPr>
        <w:t>独立董事对公司有关建议被采纳或未被采纳的说明</w:t>
      </w:r>
    </w:p>
    <w:p>
      <w:pPr>
        <w:pStyle w:val="Style31"/>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报告期内，独立董事严格按照《上市公司治理准则》、《深圳证券交易所中小企业板上 市公司规范运作指引》及《公司章程》、《独立董事工作细则》等制度的规定履行职责，积 极出席董事会，股东大会会议，认真审议各项议案，深入公司现场调查，了解公司生产经营 及内部控制制度的建设及董事会决议的执行情况等，关注外部环境及市场变化对公司的影响, 利用自己的专业知识和经验，从各自专业的角度为公司战略发展、公司治理、内控建设、重 大经营决策等方面提供了专业性意见及合理化建议，为公司发展和规范运作作出了贡献。</w:t>
      </w:r>
    </w:p>
    <w:p>
      <w:pPr>
        <w:pStyle w:val="Style31"/>
        <w:keepNext w:val="0"/>
        <w:keepLines w:val="0"/>
        <w:widowControl w:val="0"/>
        <w:shd w:val="clear" w:color="auto" w:fill="auto"/>
        <w:bidi w:val="0"/>
        <w:spacing w:before="0" w:after="300" w:line="313" w:lineRule="exact"/>
        <w:ind w:left="0" w:right="0" w:firstLine="500"/>
        <w:jc w:val="both"/>
      </w:pPr>
      <w:r>
        <w:rPr>
          <w:color w:val="000000"/>
          <w:spacing w:val="0"/>
          <w:w w:val="100"/>
          <w:position w:val="0"/>
        </w:rPr>
        <w:t>报告期内，公司独立董事对公司重大资产重组、控股股东及其他关联方资金占用、对外 担保、续聘审计机构、内部控制评价报告、利润分配预案、补选公司董事、聘任公司高级管 理人员、转让北京同方以衡创业投资中心（有限合伙）合伙权益、终止认购南茂科技私募发 行的股份等事项发表了独立意见;对公司与清华控股集团财务有限公司签订《金融服务协议》、 与同方股份有限公司继续签订《写字楼租约》等关联交易事项，发表了事前认可和同意的独 立意见，为维护公司和全体股东的合法权益发挥了重要作用。</w:t>
      </w:r>
    </w:p>
    <w:p>
      <w:pPr>
        <w:pStyle w:val="Style23"/>
        <w:keepNext/>
        <w:keepLines/>
        <w:widowControl w:val="0"/>
        <w:shd w:val="clear" w:color="auto" w:fill="auto"/>
        <w:bidi w:val="0"/>
        <w:spacing w:before="0" w:after="300" w:line="313" w:lineRule="exact"/>
        <w:ind w:left="0" w:right="0" w:firstLine="0"/>
        <w:jc w:val="left"/>
      </w:pPr>
      <w:bookmarkStart w:id="484" w:name="bookmark484"/>
      <w:bookmarkStart w:id="485" w:name="bookmark485"/>
      <w:bookmarkStart w:id="486" w:name="bookmark486"/>
      <w:bookmarkStart w:id="487" w:name="bookmark487"/>
      <w:r>
        <w:rPr>
          <w:color w:val="000000"/>
          <w:spacing w:val="0"/>
          <w:w w:val="100"/>
          <w:position w:val="0"/>
        </w:rPr>
        <w:t>六</w:t>
      </w:r>
      <w:bookmarkEnd w:id="486"/>
      <w:r>
        <w:rPr>
          <w:color w:val="000000"/>
          <w:spacing w:val="0"/>
          <w:w w:val="100"/>
          <w:position w:val="0"/>
        </w:rPr>
        <w:t>、董事会下设专门委员会在报告期内履行职责情况</w:t>
      </w:r>
      <w:bookmarkEnd w:id="484"/>
      <w:bookmarkEnd w:id="485"/>
      <w:bookmarkEnd w:id="487"/>
    </w:p>
    <w:p>
      <w:pPr>
        <w:pStyle w:val="Style31"/>
        <w:keepNext w:val="0"/>
        <w:keepLines w:val="0"/>
        <w:widowControl w:val="0"/>
        <w:shd w:val="clear" w:color="auto" w:fill="auto"/>
        <w:bidi w:val="0"/>
        <w:spacing w:before="0" w:after="100" w:line="313" w:lineRule="exact"/>
        <w:ind w:left="0" w:right="0" w:firstLine="500"/>
        <w:jc w:val="both"/>
      </w:pPr>
      <w:bookmarkStart w:id="488" w:name="bookmark488"/>
      <w:r>
        <w:rPr>
          <w:color w:val="000000"/>
          <w:spacing w:val="0"/>
          <w:w w:val="100"/>
          <w:position w:val="0"/>
        </w:rPr>
        <w:t>（</w:t>
      </w:r>
      <w:bookmarkEnd w:id="488"/>
      <w:r>
        <w:rPr>
          <w:color w:val="000000"/>
          <w:spacing w:val="0"/>
          <w:w w:val="100"/>
          <w:position w:val="0"/>
        </w:rPr>
        <w:t>一）董事会审计委员会的履职情况</w:t>
      </w:r>
    </w:p>
    <w:p>
      <w:pPr>
        <w:pStyle w:val="Style31"/>
        <w:keepNext w:val="0"/>
        <w:keepLines w:val="0"/>
        <w:widowControl w:val="0"/>
        <w:shd w:val="clear" w:color="auto" w:fill="auto"/>
        <w:tabs>
          <w:tab w:pos="924" w:val="left"/>
        </w:tabs>
        <w:bidi w:val="0"/>
        <w:spacing w:before="0" w:after="100" w:line="313" w:lineRule="exact"/>
        <w:ind w:left="0" w:right="0" w:firstLine="500"/>
        <w:jc w:val="both"/>
      </w:pPr>
      <w:bookmarkStart w:id="489" w:name="bookmark489"/>
      <w:r>
        <w:rPr>
          <w:rFonts w:ascii="Times New Roman" w:eastAsia="Times New Roman" w:hAnsi="Times New Roman" w:cs="Times New Roman"/>
          <w:color w:val="000000"/>
          <w:spacing w:val="0"/>
          <w:w w:val="100"/>
          <w:position w:val="0"/>
          <w:sz w:val="24"/>
          <w:szCs w:val="24"/>
        </w:rPr>
        <w:t>1</w:t>
      </w:r>
      <w:bookmarkEnd w:id="489"/>
      <w:r>
        <w:rPr>
          <w:color w:val="000000"/>
          <w:spacing w:val="0"/>
          <w:w w:val="100"/>
          <w:position w:val="0"/>
        </w:rPr>
        <w:t>、</w:t>
        <w:tab/>
        <w:t>日常工作情况</w:t>
      </w:r>
    </w:p>
    <w:p>
      <w:pPr>
        <w:pStyle w:val="Style31"/>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 xml:space="preserve">公司董事会审计委员会严格按照《董事会审计委员会工作细则》的相关规定开展工作，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年度，审计委员会审议通过了公司内部审计部门提交的《</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年度内部审计工作总结》 和《</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年度内部审计工作计划》；每季度对内部审计部门提交的《内部审计工作报告》进 行审议；不定期对内部审计工作进行检查、指导。</w:t>
      </w:r>
    </w:p>
    <w:p>
      <w:pPr>
        <w:pStyle w:val="Style31"/>
        <w:keepNext w:val="0"/>
        <w:keepLines w:val="0"/>
        <w:widowControl w:val="0"/>
        <w:shd w:val="clear" w:color="auto" w:fill="auto"/>
        <w:tabs>
          <w:tab w:pos="924" w:val="left"/>
        </w:tabs>
        <w:bidi w:val="0"/>
        <w:spacing w:before="0" w:after="100" w:line="313" w:lineRule="exact"/>
        <w:ind w:left="0" w:right="0" w:firstLine="500"/>
        <w:jc w:val="both"/>
      </w:pPr>
      <w:bookmarkStart w:id="490" w:name="bookmark490"/>
      <w:r>
        <w:rPr>
          <w:rFonts w:ascii="Times New Roman" w:eastAsia="Times New Roman" w:hAnsi="Times New Roman" w:cs="Times New Roman"/>
          <w:color w:val="000000"/>
          <w:spacing w:val="0"/>
          <w:w w:val="100"/>
          <w:position w:val="0"/>
          <w:sz w:val="24"/>
          <w:szCs w:val="24"/>
        </w:rPr>
        <w:t>2</w:t>
      </w:r>
      <w:bookmarkEnd w:id="490"/>
      <w:r>
        <w:rPr>
          <w:color w:val="000000"/>
          <w:spacing w:val="0"/>
          <w:w w:val="100"/>
          <w:position w:val="0"/>
        </w:rPr>
        <w:t>、</w:t>
        <w:tab/>
        <w:t>年报工作情况</w:t>
      </w:r>
    </w:p>
    <w:p>
      <w:pPr>
        <w:pStyle w:val="Style31"/>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根据中国证监会、深圳证券交易所有关规定及公司《董事会审计委员会工作细则》、《董 事会审计委员会年度财务报告审议工作规程》，公司董事会审计委员会积极开展年报工作， 履行了以下工作职责：</w:t>
      </w:r>
    </w:p>
    <w:p>
      <w:pPr>
        <w:pStyle w:val="Style31"/>
        <w:keepNext w:val="0"/>
        <w:keepLines w:val="0"/>
        <w:widowControl w:val="0"/>
        <w:shd w:val="clear" w:color="auto" w:fill="auto"/>
        <w:tabs>
          <w:tab w:pos="1024" w:val="left"/>
        </w:tabs>
        <w:bidi w:val="0"/>
        <w:spacing w:before="0" w:after="100" w:line="313" w:lineRule="exact"/>
        <w:ind w:left="0" w:right="0" w:firstLine="500"/>
        <w:jc w:val="left"/>
      </w:pPr>
      <w:bookmarkStart w:id="491" w:name="bookmark491"/>
      <w:r>
        <w:rPr>
          <w:color w:val="000000"/>
          <w:spacing w:val="0"/>
          <w:w w:val="100"/>
          <w:position w:val="0"/>
        </w:rPr>
        <w:t>（</w:t>
      </w:r>
      <w:bookmarkEnd w:id="491"/>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与年度审计会计师事务所协商确定年度财务报告审计工作时间安排。</w:t>
      </w:r>
    </w:p>
    <w:p>
      <w:pPr>
        <w:pStyle w:val="Style31"/>
        <w:keepNext w:val="0"/>
        <w:keepLines w:val="0"/>
        <w:widowControl w:val="0"/>
        <w:shd w:val="clear" w:color="auto" w:fill="auto"/>
        <w:tabs>
          <w:tab w:pos="1024" w:val="left"/>
        </w:tabs>
        <w:bidi w:val="0"/>
        <w:spacing w:before="0" w:after="100" w:line="313" w:lineRule="exact"/>
        <w:ind w:left="0" w:right="0" w:firstLine="500"/>
        <w:jc w:val="both"/>
      </w:pPr>
      <w:bookmarkStart w:id="492" w:name="bookmark492"/>
      <w:r>
        <w:rPr>
          <w:color w:val="000000"/>
          <w:spacing w:val="0"/>
          <w:w w:val="100"/>
          <w:position w:val="0"/>
        </w:rPr>
        <w:t>（</w:t>
      </w:r>
      <w:bookmarkEnd w:id="492"/>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对财务报表的审阅情况</w:t>
      </w:r>
    </w:p>
    <w:p>
      <w:pPr>
        <w:pStyle w:val="Style31"/>
        <w:keepNext w:val="0"/>
        <w:keepLines w:val="0"/>
        <w:widowControl w:val="0"/>
        <w:shd w:val="clear" w:color="auto" w:fill="auto"/>
        <w:bidi w:val="0"/>
        <w:spacing w:before="0" w:after="100" w:line="313" w:lineRule="exact"/>
        <w:ind w:left="0" w:right="0" w:firstLine="500"/>
        <w:jc w:val="both"/>
      </w:pPr>
      <w:r>
        <w:rPr>
          <w:color w:val="000000"/>
          <w:spacing w:val="0"/>
          <w:w w:val="100"/>
          <w:position w:val="0"/>
        </w:rPr>
        <w:t>审计委员会对公司编制的</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年度财务会计报表进行了审阅，并形成书面审阅意见；在 年审注册会计师出具初步审计意见后，对财务报告进行了审阅，并出具了《关于对年审注册 会计师</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年度财务报告初审意见的书面审核意见》，认为：北京兴华会计师事务所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特殊普 通合伙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所出具的初审意见，客观、公允地反映了公司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年度的财务状况和经营成果，审计 委员会全体委员无异议。</w:t>
      </w:r>
    </w:p>
    <w:p>
      <w:pPr>
        <w:pStyle w:val="Style31"/>
        <w:keepNext w:val="0"/>
        <w:keepLines w:val="0"/>
        <w:widowControl w:val="0"/>
        <w:numPr>
          <w:ilvl w:val="0"/>
          <w:numId w:val="3"/>
        </w:numPr>
        <w:shd w:val="clear" w:color="auto" w:fill="auto"/>
        <w:tabs>
          <w:tab w:pos="966" w:val="left"/>
        </w:tabs>
        <w:bidi w:val="0"/>
        <w:spacing w:before="0" w:after="100" w:line="312" w:lineRule="exact"/>
        <w:ind w:left="0" w:right="0" w:firstLine="440"/>
        <w:jc w:val="left"/>
      </w:pPr>
      <w:bookmarkStart w:id="493" w:name="bookmark493"/>
      <w:bookmarkEnd w:id="493"/>
      <w:r>
        <w:rPr>
          <w:color w:val="000000"/>
          <w:spacing w:val="0"/>
          <w:w w:val="100"/>
          <w:position w:val="0"/>
        </w:rPr>
        <w:t>对会计师事务所的督促情况</w:t>
      </w:r>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公司年审注册会计师进场后，审计委员会根据审计工作安排，以电话、邮件、现场交流 等形式进行跟踪，关注审计进度，根据公司情况对会计师事务所提出了相关要求，并对审计 完成情况和审计报告的提交时间进行督促。</w:t>
      </w:r>
    </w:p>
    <w:p>
      <w:pPr>
        <w:pStyle w:val="Style31"/>
        <w:keepNext w:val="0"/>
        <w:keepLines w:val="0"/>
        <w:widowControl w:val="0"/>
        <w:numPr>
          <w:ilvl w:val="0"/>
          <w:numId w:val="3"/>
        </w:numPr>
        <w:shd w:val="clear" w:color="auto" w:fill="auto"/>
        <w:tabs>
          <w:tab w:pos="966" w:val="left"/>
        </w:tabs>
        <w:bidi w:val="0"/>
        <w:spacing w:before="0" w:after="100" w:line="312" w:lineRule="exact"/>
        <w:ind w:left="0" w:right="0" w:firstLine="440"/>
        <w:jc w:val="left"/>
      </w:pPr>
      <w:bookmarkStart w:id="494" w:name="bookmark494"/>
      <w:bookmarkEnd w:id="494"/>
      <w:r>
        <w:rPr>
          <w:color w:val="000000"/>
          <w:spacing w:val="0"/>
          <w:w w:val="100"/>
          <w:position w:val="0"/>
        </w:rPr>
        <w:t>对</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年财务会计报表、聘任会计师事务所等事项的表决情况</w:t>
      </w:r>
    </w:p>
    <w:p>
      <w:pPr>
        <w:pStyle w:val="Style31"/>
        <w:keepNext w:val="0"/>
        <w:keepLines w:val="0"/>
        <w:widowControl w:val="0"/>
        <w:shd w:val="clear" w:color="auto" w:fill="auto"/>
        <w:bidi w:val="0"/>
        <w:spacing w:before="0" w:after="160" w:line="317" w:lineRule="exact"/>
        <w:ind w:left="0" w:right="0" w:firstLine="480"/>
        <w:jc w:val="left"/>
      </w:pPr>
      <w:r>
        <w:rPr>
          <w:color w:val="000000"/>
          <w:spacing w:val="0"/>
          <w:w w:val="100"/>
          <w:position w:val="0"/>
        </w:rPr>
        <w:t>审计委员会审议通过《公司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年度财务报告》、《关于续聘北京兴华会计师事务所为 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年度审计机构的议案》、《董事会审计委员会对北京兴华会计师事务所</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年度审 计工作的总结报告》，并提交公司董事会审议。</w:t>
      </w:r>
    </w:p>
    <w:p>
      <w:pPr>
        <w:pStyle w:val="Style31"/>
        <w:keepNext w:val="0"/>
        <w:keepLines w:val="0"/>
        <w:widowControl w:val="0"/>
        <w:numPr>
          <w:ilvl w:val="0"/>
          <w:numId w:val="5"/>
        </w:numPr>
        <w:shd w:val="clear" w:color="auto" w:fill="auto"/>
        <w:bidi w:val="0"/>
        <w:spacing w:before="0" w:after="100" w:line="312" w:lineRule="exact"/>
        <w:ind w:left="0" w:right="0" w:firstLine="480"/>
        <w:jc w:val="left"/>
      </w:pPr>
      <w:bookmarkStart w:id="495" w:name="bookmark495"/>
      <w:bookmarkEnd w:id="495"/>
      <w:r>
        <w:rPr>
          <w:color w:val="000000"/>
          <w:spacing w:val="0"/>
          <w:w w:val="100"/>
          <w:position w:val="0"/>
        </w:rPr>
        <w:t>董事会提名委员会履职情况</w:t>
      </w:r>
    </w:p>
    <w:p>
      <w:pPr>
        <w:pStyle w:val="Style31"/>
        <w:keepNext w:val="0"/>
        <w:keepLines w:val="0"/>
        <w:widowControl w:val="0"/>
        <w:shd w:val="clear" w:color="auto" w:fill="auto"/>
        <w:bidi w:val="0"/>
        <w:spacing w:before="0" w:after="280" w:line="312" w:lineRule="exact"/>
        <w:ind w:left="0" w:right="0" w:firstLine="480"/>
        <w:jc w:val="left"/>
      </w:pPr>
      <w:r>
        <w:rPr>
          <w:color w:val="000000"/>
          <w:spacing w:val="0"/>
          <w:w w:val="100"/>
          <w:position w:val="0"/>
        </w:rPr>
        <w:t>报告期内，公司董事会提名委员会按照《董事会提名委员会工作细则》履行职责，对公 司董事会及控股股东提名的董事候选人、董事长提名的总裁候选人、总裁提名的副总裁候选 人的教育背景、工作经历等综合情况进行了审核，认为其均具备相应的资格和能力，并同意 提交公司董事会审议。</w:t>
      </w:r>
    </w:p>
    <w:p>
      <w:pPr>
        <w:pStyle w:val="Style23"/>
        <w:keepNext/>
        <w:keepLines/>
        <w:widowControl w:val="0"/>
        <w:shd w:val="clear" w:color="auto" w:fill="auto"/>
        <w:tabs>
          <w:tab w:pos="517" w:val="left"/>
        </w:tabs>
        <w:bidi w:val="0"/>
        <w:spacing w:before="0" w:after="280" w:line="312" w:lineRule="exact"/>
        <w:ind w:left="0" w:right="0" w:firstLine="0"/>
        <w:jc w:val="both"/>
      </w:pPr>
      <w:bookmarkStart w:id="496" w:name="bookmark496"/>
      <w:bookmarkStart w:id="497" w:name="bookmark497"/>
      <w:bookmarkStart w:id="498" w:name="bookmark498"/>
      <w:bookmarkStart w:id="499" w:name="bookmark499"/>
      <w:r>
        <w:rPr>
          <w:color w:val="000000"/>
          <w:spacing w:val="0"/>
          <w:w w:val="100"/>
          <w:position w:val="0"/>
        </w:rPr>
        <w:t>七</w:t>
      </w:r>
      <w:bookmarkEnd w:id="498"/>
      <w:r>
        <w:rPr>
          <w:color w:val="000000"/>
          <w:spacing w:val="0"/>
          <w:w w:val="100"/>
          <w:position w:val="0"/>
        </w:rPr>
        <w:t>、</w:t>
        <w:tab/>
        <w:t>监事会工作情况</w:t>
      </w:r>
      <w:bookmarkEnd w:id="496"/>
      <w:bookmarkEnd w:id="497"/>
      <w:bookmarkEnd w:id="499"/>
    </w:p>
    <w:p>
      <w:pPr>
        <w:pStyle w:val="Style23"/>
        <w:keepNext/>
        <w:keepLines/>
        <w:widowControl w:val="0"/>
        <w:shd w:val="clear" w:color="auto" w:fill="auto"/>
        <w:bidi w:val="0"/>
        <w:spacing w:before="0" w:after="160" w:line="312" w:lineRule="exact"/>
        <w:ind w:left="0" w:right="0" w:firstLine="0"/>
        <w:jc w:val="both"/>
      </w:pPr>
      <w:bookmarkStart w:id="496" w:name="bookmark496"/>
      <w:bookmarkStart w:id="497" w:name="bookmark497"/>
      <w:r>
        <w:rPr>
          <w:color w:val="000000"/>
          <w:spacing w:val="0"/>
          <w:w w:val="100"/>
          <w:position w:val="0"/>
        </w:rPr>
        <w:t>监事会在报告期内的监督活动中发现公司是否存在风险</w:t>
      </w:r>
      <w:bookmarkEnd w:id="496"/>
      <w:bookmarkEnd w:id="497"/>
    </w:p>
    <w:p>
      <w:pPr>
        <w:pStyle w:val="Style31"/>
        <w:keepNext w:val="0"/>
        <w:keepLines w:val="0"/>
        <w:widowControl w:val="0"/>
        <w:shd w:val="clear" w:color="auto" w:fill="auto"/>
        <w:bidi w:val="0"/>
        <w:spacing w:before="0" w:after="100" w:line="240" w:lineRule="auto"/>
        <w:ind w:left="0" w:right="0" w:firstLine="0"/>
        <w:jc w:val="both"/>
        <w:rPr>
          <w:sz w:val="20"/>
          <w:szCs w:val="20"/>
        </w:rPr>
      </w:pPr>
      <w:r>
        <w:rPr>
          <w:b/>
          <w:bCs/>
          <w:color w:val="000000"/>
          <w:spacing w:val="0"/>
          <w:w w:val="100"/>
          <w:position w:val="0"/>
          <w:sz w:val="20"/>
          <w:szCs w:val="20"/>
        </w:rPr>
        <w:t>□</w:t>
      </w:r>
      <w:r>
        <w:rPr>
          <w:b/>
          <w:bCs/>
          <w:color w:val="000000"/>
          <w:spacing w:val="0"/>
          <w:w w:val="100"/>
          <w:position w:val="0"/>
          <w:sz w:val="20"/>
          <w:szCs w:val="20"/>
        </w:rPr>
        <w:t>是/否</w:t>
      </w:r>
    </w:p>
    <w:p>
      <w:pPr>
        <w:pStyle w:val="Style31"/>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监事会对报告期内的监督事项无异议。</w:t>
      </w:r>
    </w:p>
    <w:p>
      <w:pPr>
        <w:pStyle w:val="Style23"/>
        <w:keepNext/>
        <w:keepLines/>
        <w:widowControl w:val="0"/>
        <w:shd w:val="clear" w:color="auto" w:fill="auto"/>
        <w:tabs>
          <w:tab w:pos="517" w:val="left"/>
        </w:tabs>
        <w:bidi w:val="0"/>
        <w:spacing w:before="0" w:after="280" w:line="312" w:lineRule="exact"/>
        <w:ind w:left="0" w:right="0" w:firstLine="0"/>
        <w:jc w:val="left"/>
      </w:pPr>
      <w:bookmarkStart w:id="500" w:name="bookmark500"/>
      <w:bookmarkStart w:id="501" w:name="bookmark501"/>
      <w:bookmarkStart w:id="502" w:name="bookmark502"/>
      <w:bookmarkStart w:id="503" w:name="bookmark503"/>
      <w:r>
        <w:rPr>
          <w:color w:val="000000"/>
          <w:spacing w:val="0"/>
          <w:w w:val="100"/>
          <w:position w:val="0"/>
        </w:rPr>
        <w:t>八</w:t>
      </w:r>
      <w:bookmarkEnd w:id="502"/>
      <w:r>
        <w:rPr>
          <w:color w:val="000000"/>
          <w:spacing w:val="0"/>
          <w:w w:val="100"/>
          <w:position w:val="0"/>
        </w:rPr>
        <w:t>、</w:t>
        <w:tab/>
        <w:t>高级管理人员的考评及激励情况</w:t>
      </w:r>
      <w:bookmarkEnd w:id="500"/>
      <w:bookmarkEnd w:id="501"/>
      <w:bookmarkEnd w:id="503"/>
    </w:p>
    <w:p>
      <w:pPr>
        <w:pStyle w:val="Style31"/>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报告期内，公司董事会根据公司年度经营目标完成情况以及高级管理人员的工作业绩， 对高级管理人员进行年度绩效考核，并确定高级管理人员的年度薪酬。公司高级管理人员考 评结论为：认真履行了各项工作职责，工作业绩良好，较好地完成了年初制定的各项工作任 务。</w:t>
      </w:r>
    </w:p>
    <w:p>
      <w:pPr>
        <w:pStyle w:val="Style31"/>
        <w:keepNext w:val="0"/>
        <w:keepLines w:val="0"/>
        <w:widowControl w:val="0"/>
        <w:shd w:val="clear" w:color="auto" w:fill="auto"/>
        <w:bidi w:val="0"/>
        <w:spacing w:before="0" w:after="280" w:line="312" w:lineRule="exact"/>
        <w:ind w:left="0" w:right="0" w:firstLine="480"/>
        <w:jc w:val="both"/>
      </w:pPr>
      <w:r>
        <w:rPr>
          <w:color w:val="000000"/>
          <w:spacing w:val="0"/>
          <w:w w:val="100"/>
          <w:position w:val="0"/>
        </w:rPr>
        <w:t>为充分发挥和调动公司高级管理人员的工作积极性和创造性，公司将结合实际情况，进 一步完善高级管理人员绩效考核与激励约束机制。</w:t>
      </w:r>
    </w:p>
    <w:p>
      <w:pPr>
        <w:pStyle w:val="Style23"/>
        <w:keepNext/>
        <w:keepLines/>
        <w:widowControl w:val="0"/>
        <w:shd w:val="clear" w:color="auto" w:fill="auto"/>
        <w:tabs>
          <w:tab w:pos="517" w:val="left"/>
        </w:tabs>
        <w:bidi w:val="0"/>
        <w:spacing w:before="0" w:after="360" w:line="312" w:lineRule="exact"/>
        <w:ind w:left="0" w:right="0" w:firstLine="0"/>
        <w:jc w:val="left"/>
      </w:pPr>
      <w:bookmarkStart w:id="504" w:name="bookmark504"/>
      <w:bookmarkStart w:id="505" w:name="bookmark505"/>
      <w:bookmarkStart w:id="506" w:name="bookmark506"/>
      <w:bookmarkStart w:id="507" w:name="bookmark507"/>
      <w:r>
        <w:rPr>
          <w:color w:val="000000"/>
          <w:spacing w:val="0"/>
          <w:w w:val="100"/>
          <w:position w:val="0"/>
        </w:rPr>
        <w:t>九</w:t>
      </w:r>
      <w:bookmarkEnd w:id="506"/>
      <w:r>
        <w:rPr>
          <w:color w:val="000000"/>
          <w:spacing w:val="0"/>
          <w:w w:val="100"/>
          <w:position w:val="0"/>
        </w:rPr>
        <w:t>、</w:t>
        <w:tab/>
        <w:t>内部控制评价报告</w:t>
      </w:r>
      <w:bookmarkEnd w:id="504"/>
      <w:bookmarkEnd w:id="505"/>
      <w:bookmarkEnd w:id="507"/>
    </w:p>
    <w:p>
      <w:pPr>
        <w:pStyle w:val="Style28"/>
        <w:keepNext/>
        <w:keepLines/>
        <w:widowControl w:val="0"/>
        <w:shd w:val="clear" w:color="auto" w:fill="auto"/>
        <w:bidi w:val="0"/>
        <w:spacing w:before="0" w:after="36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1</w:t>
      </w:r>
      <w:bookmarkEnd w:id="510"/>
      <w:r>
        <w:rPr>
          <w:color w:val="000000"/>
          <w:spacing w:val="0"/>
          <w:w w:val="100"/>
          <w:position w:val="0"/>
        </w:rPr>
        <w:t>、报告期内发现的内部控制重大缺陷的具体情况</w:t>
      </w:r>
      <w:bookmarkEnd w:id="508"/>
      <w:bookmarkEnd w:id="509"/>
      <w:bookmarkEnd w:id="511"/>
    </w:p>
    <w:p>
      <w:pPr>
        <w:pStyle w:val="Style31"/>
        <w:keepNext w:val="0"/>
        <w:keepLines w:val="0"/>
        <w:widowControl w:val="0"/>
        <w:shd w:val="clear" w:color="auto" w:fill="auto"/>
        <w:bidi w:val="0"/>
        <w:spacing w:before="0" w:after="280" w:line="240" w:lineRule="auto"/>
        <w:ind w:left="0"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是/否</w:t>
      </w:r>
    </w:p>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512" w:name="bookmark51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、内控自我评价报告</w:t>
      </w:r>
      <w:bookmarkEnd w:id="512"/>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r>
      <w:tr>
        <w:trPr>
          <w:trHeight w:val="55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内部控制评价报告全文披露索引</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年度内部控制评价报告》刊登在巨潮资讯网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w:t>
            </w:r>
          </w:p>
        </w:tc>
      </w:tr>
      <w:tr>
        <w:trPr>
          <w:trHeight w:val="566"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纳入评价范围单位资产总额占公 司合并财务报表资产总额的比例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55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纳入评价范围单位营业收入占公 司合并财务报表营业收入的比例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283" w:hRule="exact"/>
        </w:trPr>
        <w:tc>
          <w:tcPr>
            <w:gridSpan w:val="3"/>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缺陷认定标准</w:t>
            </w:r>
          </w:p>
        </w:tc>
      </w:tr>
      <w:tr>
        <w:trPr>
          <w:trHeight w:val="283"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财务报告</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非财务报告</w:t>
            </w:r>
          </w:p>
        </w:tc>
      </w:tr>
      <w:tr>
        <w:trPr>
          <w:trHeight w:val="3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定性标准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重大缺陷：一项内部控制缺陷单独或连同 其他缺陷具备合理可能性导致不能及时防 止或发现并纠正财务报告中的重大错报。 如：（</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）控制环境无效；（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）董事、监事 和高级管理人员舞弊；（</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）外部审计发现 当期财务报告存在重大错报，公司在运行 过程中未能发现该错报；（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）审计委员会 和内部审计机构对内部控制的监督无效；</w:t>
            </w:r>
          </w:p>
          <w:p>
            <w:pPr>
              <w:pStyle w:val="Style2"/>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）其他可能影响报表使用者正确判断的 缺陷。重要缺陷：内部控制缺陷单独或连 同其他缺陷具备合理可能性导致不能及时 防止或发现并纠正财务报告中虽然未达到 和超过重要性水平、但仍应引起董事会和 管理层重视的错报。一般缺陷：不构成重 大缺陷和重要缺陷的内部控制缺陷。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重大缺陷：公司缺乏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三重一大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决策程 序；公司决策程序不科学，如决策失误， 导致公司并购后未能达到预期目标；违 犯国家法律、法规；管理人员或关键技 术人员纷纷流失；媒体负面新闻频现； 内部控制评价的结果特别是重大或重 要缺陷未得到整改；重要业务缺乏制度 控制或制度系统性失效。重要缺陷：重 要业务制度或系统存在的缺陷；内部控 制内部监督发现的重要缺陷未及时整 改；其他对公司产生较大负面影响的情 形。一般缺陷：一般业务制度或系统存 在缺陷；内部控制内部监督发现的一般 缺陷未及时整改。</w:t>
            </w:r>
          </w:p>
        </w:tc>
      </w:tr>
      <w:tr>
        <w:trPr>
          <w:trHeight w:val="28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定量标准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重大缺陷：营业收入潜在错报大于等于营 业收入的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，利润总额潜在错报大于等于 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，资产总额潜在错报大于等 于资产总额的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。重要缺陷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营业收入潜 在错报大于等于营业收入的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且小于营 业收入的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，利润总额潜在错报大于等于 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且小于利润总额的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,资 产总额潜在错报大于等于资产总额的</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6"/>
                <w:szCs w:val="16"/>
              </w:rPr>
              <w:t>且小于资产总额的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。一般缺陷：营业 收入潜在错报小于营业收入的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，利润总 额潜在错报小于利润总额的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，资产总额 潜在错报小于资产总额的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重大缺陷：导致损失</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6"/>
                <w:szCs w:val="16"/>
              </w:rPr>
              <w:t>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 重要缺陷:营业收入的</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6"/>
                <w:szCs w:val="16"/>
              </w:rPr>
              <w:t>＞导致损失</w:t>
            </w:r>
            <w:r>
              <w:rPr>
                <w:rFonts w:ascii="Times New Roman" w:eastAsia="Times New Roman" w:hAnsi="Times New Roman" w:cs="Times New Roman"/>
                <w:color w:val="000000"/>
                <w:spacing w:val="0"/>
                <w:w w:val="100"/>
                <w:position w:val="0"/>
                <w:sz w:val="18"/>
                <w:szCs w:val="18"/>
              </w:rPr>
              <w:t xml:space="preserve">Z </w:t>
            </w:r>
            <w:r>
              <w:rPr>
                <w:color w:val="000000"/>
                <w:spacing w:val="0"/>
                <w:w w:val="100"/>
                <w:position w:val="0"/>
                <w:sz w:val="16"/>
                <w:szCs w:val="16"/>
              </w:rPr>
              <w:t>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6"/>
                <w:szCs w:val="16"/>
              </w:rPr>
              <w:t>； 一般缺陷：导致损 失〈营业收入的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6"/>
                <w:szCs w:val="16"/>
              </w:rPr>
              <w:t>。</w:t>
            </w:r>
          </w:p>
        </w:tc>
      </w:tr>
      <w:tr>
        <w:trPr>
          <w:trHeight w:val="28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28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28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28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bl>
    <w:p>
      <w:pPr>
        <w:widowControl w:val="0"/>
        <w:spacing w:after="319" w:line="1" w:lineRule="exact"/>
      </w:pPr>
    </w:p>
    <w:p>
      <w:pPr>
        <w:pStyle w:val="Style23"/>
        <w:keepNext/>
        <w:keepLines/>
        <w:widowControl w:val="0"/>
        <w:shd w:val="clear" w:color="auto" w:fill="auto"/>
        <w:bidi w:val="0"/>
        <w:spacing w:before="0" w:after="360" w:line="240" w:lineRule="auto"/>
        <w:ind w:left="0" w:right="0" w:firstLine="0"/>
        <w:jc w:val="left"/>
      </w:pPr>
      <w:bookmarkStart w:id="513" w:name="bookmark513"/>
      <w:bookmarkStart w:id="514" w:name="bookmark514"/>
      <w:bookmarkStart w:id="515" w:name="bookmark515"/>
      <w:r>
        <w:rPr>
          <w:color w:val="000000"/>
          <w:spacing w:val="0"/>
          <w:w w:val="100"/>
          <w:position w:val="0"/>
        </w:rPr>
        <w:t>十、内部控制审计报告或鉴证报告</w:t>
      </w:r>
      <w:bookmarkEnd w:id="513"/>
      <w:bookmarkEnd w:id="514"/>
      <w:bookmarkEnd w:id="515"/>
    </w:p>
    <w:p>
      <w:pPr>
        <w:pStyle w:val="Style31"/>
        <w:keepNext w:val="0"/>
        <w:keepLines w:val="0"/>
        <w:widowControl w:val="0"/>
        <w:shd w:val="clear" w:color="auto" w:fill="auto"/>
        <w:bidi w:val="0"/>
        <w:spacing w:before="0" w:after="60" w:line="240" w:lineRule="auto"/>
        <w:ind w:left="0" w:right="0" w:firstLine="0"/>
        <w:jc w:val="left"/>
        <w:rPr>
          <w:sz w:val="20"/>
          <w:szCs w:val="20"/>
        </w:rPr>
      </w:pPr>
      <w:r>
        <w:rPr>
          <w:b/>
          <w:bCs/>
          <w:color w:val="000000"/>
          <w:spacing w:val="0"/>
          <w:w w:val="100"/>
          <w:position w:val="0"/>
          <w:sz w:val="20"/>
          <w:szCs w:val="20"/>
        </w:rPr>
        <w:t>内部控制鉴证报告</w:t>
      </w:r>
    </w:p>
    <w:tbl>
      <w:tblPr>
        <w:tblOverlap w:val="never"/>
        <w:jc w:val="center"/>
        <w:tblLayout w:type="fixed"/>
      </w:tblPr>
      <w:tblGrid>
        <w:gridCol w:w="3547"/>
        <w:gridCol w:w="6034"/>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内部控制鉴证报告中的审议意见段</w:t>
            </w:r>
          </w:p>
        </w:tc>
      </w:tr>
      <w:tr>
        <w:trPr>
          <w:trHeight w:val="317" w:hRule="exact"/>
        </w:trPr>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我们认为，贵公司按照财政部等五部委颁发的《企业内部控制基本规范》及相关规定于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日在所有重大方面保持了与财务报</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长表相关的有效的内部控制。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r>
      <w:tr>
        <w:trPr>
          <w:trHeight w:val="55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内部控制鉴证报告全文披露索引</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《紫光国芯股份有限公司内部控制鉴证报告》刊登在巨潮资讯网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http://www.cninfo.com.cn</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widowControl w:val="0"/>
        <w:spacing w:after="59" w:line="1" w:lineRule="exact"/>
      </w:pPr>
    </w:p>
    <w:p>
      <w:pPr>
        <w:pStyle w:val="Style31"/>
        <w:keepNext w:val="0"/>
        <w:keepLines w:val="0"/>
        <w:widowControl w:val="0"/>
        <w:shd w:val="clear" w:color="auto" w:fill="auto"/>
        <w:bidi w:val="0"/>
        <w:spacing w:before="0" w:after="140" w:line="240" w:lineRule="auto"/>
        <w:ind w:left="0" w:right="0" w:firstLine="0"/>
        <w:jc w:val="left"/>
        <w:rPr>
          <w:sz w:val="20"/>
          <w:szCs w:val="20"/>
        </w:rPr>
      </w:pPr>
      <w:r>
        <w:rPr>
          <w:b/>
          <w:bCs/>
          <w:color w:val="000000"/>
          <w:spacing w:val="0"/>
          <w:w w:val="100"/>
          <w:position w:val="0"/>
          <w:sz w:val="20"/>
          <w:szCs w:val="20"/>
        </w:rPr>
        <w:t>会计师事务所出具的内部控制鉴证报告与董事会的自我评价报告意见是否一致</w:t>
      </w:r>
    </w:p>
    <w:p>
      <w:pPr>
        <w:pStyle w:val="Style59"/>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rPr>
        <w:t>是</w:t>
      </w:r>
      <w:r>
        <w:rPr>
          <w:b w:val="0"/>
          <w:bCs w:val="0"/>
          <w:color w:val="000000"/>
          <w:spacing w:val="0"/>
          <w:w w:val="100"/>
          <w:position w:val="0"/>
          <w:sz w:val="18"/>
          <w:szCs w:val="18"/>
        </w:rPr>
        <w:t>口</w:t>
      </w:r>
      <w:r>
        <w:rPr>
          <w:b w:val="0"/>
          <w:bCs w:val="0"/>
          <w:color w:val="000000"/>
          <w:spacing w:val="0"/>
          <w:w w:val="100"/>
          <w:position w:val="0"/>
        </w:rPr>
        <w:t>否</w:t>
      </w:r>
    </w:p>
    <w:p>
      <w:pPr>
        <w:pStyle w:val="Style15"/>
        <w:keepNext/>
        <w:keepLines/>
        <w:widowControl w:val="0"/>
        <w:shd w:val="clear" w:color="auto" w:fill="auto"/>
        <w:bidi w:val="0"/>
        <w:spacing w:before="0" w:after="480" w:line="240" w:lineRule="auto"/>
        <w:ind w:left="0" w:right="0" w:firstLine="0"/>
        <w:jc w:val="center"/>
      </w:pPr>
      <w:bookmarkStart w:id="516" w:name="bookmark516"/>
      <w:bookmarkStart w:id="517" w:name="bookmark517"/>
      <w:bookmarkStart w:id="518" w:name="bookmark518"/>
      <w:r>
        <w:rPr>
          <w:color w:val="000000"/>
          <w:spacing w:val="0"/>
          <w:w w:val="100"/>
          <w:position w:val="0"/>
        </w:rPr>
        <w:t>第十节财务报告</w:t>
      </w:r>
      <w:bookmarkEnd w:id="516"/>
      <w:bookmarkEnd w:id="517"/>
      <w:bookmarkEnd w:id="518"/>
    </w:p>
    <w:p>
      <w:pPr>
        <w:pStyle w:val="Style23"/>
        <w:keepNext/>
        <w:keepLines/>
        <w:widowControl w:val="0"/>
        <w:shd w:val="clear" w:color="auto" w:fill="auto"/>
        <w:bidi w:val="0"/>
        <w:spacing w:before="0" w:after="260" w:line="240" w:lineRule="auto"/>
        <w:ind w:left="0" w:right="0" w:firstLine="0"/>
        <w:jc w:val="both"/>
      </w:pPr>
      <w:bookmarkStart w:id="519" w:name="bookmark519"/>
      <w:bookmarkStart w:id="520" w:name="bookmark520"/>
      <w:bookmarkStart w:id="521" w:name="bookmark521"/>
      <w:bookmarkStart w:id="522" w:name="bookmark522"/>
      <w:bookmarkStart w:id="523" w:name="bookmark523"/>
      <w:r>
        <w:rPr>
          <w:color w:val="000000"/>
          <w:spacing w:val="0"/>
          <w:w w:val="100"/>
          <w:position w:val="0"/>
        </w:rPr>
        <w:t>一</w:t>
      </w:r>
      <w:bookmarkEnd w:id="522"/>
      <w:r>
        <w:rPr>
          <w:color w:val="000000"/>
          <w:spacing w:val="0"/>
          <w:w w:val="100"/>
          <w:position w:val="0"/>
        </w:rPr>
        <w:t>、审计报告</w:t>
      </w:r>
      <w:bookmarkEnd w:id="520"/>
      <w:bookmarkEnd w:id="521"/>
      <w:bookmarkEnd w:id="523"/>
      <w:bookmarkEnd w:id="519"/>
    </w:p>
    <w:tbl>
      <w:tblPr>
        <w:tblOverlap w:val="never"/>
        <w:jc w:val="center"/>
        <w:tblLayout w:type="fixed"/>
      </w:tblPr>
      <w:tblGrid>
        <w:gridCol w:w="3691"/>
        <w:gridCol w:w="468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标准无保留审计意见</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北京兴华会计师事务所（特殊普通合伙）</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京会兴审字第</w:t>
            </w:r>
            <w:r>
              <w:rPr>
                <w:rFonts w:ascii="Times New Roman" w:eastAsia="Times New Roman" w:hAnsi="Times New Roman" w:cs="Times New Roman"/>
                <w:color w:val="000000"/>
                <w:spacing w:val="0"/>
                <w:w w:val="100"/>
                <w:position w:val="0"/>
                <w:sz w:val="20"/>
                <w:szCs w:val="20"/>
              </w:rPr>
              <w:t>0101M0003</w:t>
            </w:r>
            <w:r>
              <w:rPr>
                <w:color w:val="000000"/>
                <w:spacing w:val="0"/>
                <w:w w:val="100"/>
                <w:position w:val="0"/>
                <w:sz w:val="20"/>
                <w:szCs w:val="20"/>
              </w:rPr>
              <w:t>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时彦禄、张娟</w:t>
            </w:r>
          </w:p>
        </w:tc>
      </w:tr>
    </w:tbl>
    <w:p>
      <w:pPr>
        <w:widowControl w:val="0"/>
        <w:spacing w:after="39" w:line="1" w:lineRule="exact"/>
      </w:pP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审计报告正文</w:t>
      </w:r>
    </w:p>
    <w:p>
      <w:pPr>
        <w:pStyle w:val="Style31"/>
        <w:keepNext w:val="0"/>
        <w:keepLines w:val="0"/>
        <w:widowControl w:val="0"/>
        <w:shd w:val="clear" w:color="auto" w:fill="auto"/>
        <w:bidi w:val="0"/>
        <w:spacing w:before="0" w:after="100" w:line="313" w:lineRule="exact"/>
        <w:ind w:left="0" w:right="0" w:firstLine="0"/>
        <w:jc w:val="left"/>
      </w:pPr>
      <w:r>
        <w:rPr>
          <w:b/>
          <w:bCs/>
          <w:color w:val="000000"/>
          <w:spacing w:val="0"/>
          <w:w w:val="100"/>
          <w:position w:val="0"/>
        </w:rPr>
        <w:t>紫光国芯股份有限公司全体股东：</w:t>
      </w:r>
    </w:p>
    <w:p>
      <w:pPr>
        <w:pStyle w:val="Style31"/>
        <w:keepNext w:val="0"/>
        <w:keepLines w:val="0"/>
        <w:widowControl w:val="0"/>
        <w:shd w:val="clear" w:color="auto" w:fill="auto"/>
        <w:bidi w:val="0"/>
        <w:spacing w:before="0" w:after="40" w:line="312" w:lineRule="exact"/>
        <w:ind w:left="0" w:right="0" w:firstLine="480"/>
        <w:jc w:val="both"/>
      </w:pPr>
      <w:r>
        <w:rPr>
          <w:color w:val="000000"/>
          <w:spacing w:val="0"/>
          <w:w w:val="100"/>
          <w:position w:val="0"/>
        </w:rPr>
        <w:t>我们审计了后附的紫光国芯股份有限公司（以下简称“紫光国芯”）财务报表，包括</w:t>
      </w:r>
      <w:r>
        <w:rPr>
          <w:rFonts w:ascii="Times New Roman" w:eastAsia="Times New Roman" w:hAnsi="Times New Roman" w:cs="Times New Roman"/>
          <w:color w:val="000000"/>
          <w:spacing w:val="0"/>
          <w:w w:val="100"/>
          <w:position w:val="0"/>
          <w:sz w:val="24"/>
          <w:szCs w:val="24"/>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年度的合并及母公司利润表、合并及母公司现 金流量表、合并及母公司股东权益变动表，以及财务报表附注。</w:t>
      </w:r>
    </w:p>
    <w:p>
      <w:pPr>
        <w:pStyle w:val="Style31"/>
        <w:keepNext w:val="0"/>
        <w:keepLines w:val="0"/>
        <w:widowControl w:val="0"/>
        <w:shd w:val="clear" w:color="auto" w:fill="auto"/>
        <w:tabs>
          <w:tab w:pos="997" w:val="left"/>
        </w:tabs>
        <w:bidi w:val="0"/>
        <w:spacing w:before="0" w:after="40" w:line="313" w:lineRule="exact"/>
        <w:ind w:left="0" w:right="0" w:firstLine="480"/>
        <w:jc w:val="both"/>
      </w:pPr>
      <w:bookmarkStart w:id="524" w:name="bookmark524"/>
      <w:r>
        <w:rPr>
          <w:b/>
          <w:bCs/>
          <w:color w:val="000000"/>
          <w:spacing w:val="0"/>
          <w:w w:val="100"/>
          <w:position w:val="0"/>
        </w:rPr>
        <w:t>一</w:t>
      </w:r>
      <w:bookmarkEnd w:id="524"/>
      <w:r>
        <w:rPr>
          <w:b/>
          <w:bCs/>
          <w:color w:val="000000"/>
          <w:spacing w:val="0"/>
          <w:w w:val="100"/>
          <w:position w:val="0"/>
        </w:rPr>
        <w:t>、</w:t>
        <w:tab/>
        <w:t>管理层对财务报表的责任</w:t>
      </w:r>
    </w:p>
    <w:p>
      <w:pPr>
        <w:pStyle w:val="Style31"/>
        <w:keepNext w:val="0"/>
        <w:keepLines w:val="0"/>
        <w:widowControl w:val="0"/>
        <w:shd w:val="clear" w:color="auto" w:fill="auto"/>
        <w:bidi w:val="0"/>
        <w:spacing w:before="0" w:after="40" w:line="314" w:lineRule="exact"/>
        <w:ind w:left="0" w:right="0" w:firstLine="480"/>
        <w:jc w:val="both"/>
      </w:pPr>
      <w:r>
        <w:rPr>
          <w:color w:val="000000"/>
          <w:spacing w:val="0"/>
          <w:w w:val="100"/>
          <w:position w:val="0"/>
        </w:rPr>
        <w:t>编制和公允列报财务报表是紫光国芯管理层的责任，这种责任包括：（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）按照企业会计 准则的规定编制财务报表，并使其实现公允反映；（</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）设计、执行和维护必要的内部控制， 以使财务报表不存在由于舞弊或错误导致的重大错报。</w:t>
      </w:r>
    </w:p>
    <w:p>
      <w:pPr>
        <w:pStyle w:val="Style31"/>
        <w:keepNext w:val="0"/>
        <w:keepLines w:val="0"/>
        <w:widowControl w:val="0"/>
        <w:shd w:val="clear" w:color="auto" w:fill="auto"/>
        <w:tabs>
          <w:tab w:pos="997" w:val="left"/>
        </w:tabs>
        <w:bidi w:val="0"/>
        <w:spacing w:before="0" w:after="40" w:line="313" w:lineRule="exact"/>
        <w:ind w:left="0" w:right="0" w:firstLine="480"/>
        <w:jc w:val="both"/>
      </w:pPr>
      <w:bookmarkStart w:id="525" w:name="bookmark525"/>
      <w:r>
        <w:rPr>
          <w:b/>
          <w:bCs/>
          <w:color w:val="000000"/>
          <w:spacing w:val="0"/>
          <w:w w:val="100"/>
          <w:position w:val="0"/>
        </w:rPr>
        <w:t>二</w:t>
      </w:r>
      <w:bookmarkEnd w:id="525"/>
      <w:r>
        <w:rPr>
          <w:b/>
          <w:bCs/>
          <w:color w:val="000000"/>
          <w:spacing w:val="0"/>
          <w:w w:val="100"/>
          <w:position w:val="0"/>
        </w:rPr>
        <w:t>、</w:t>
        <w:tab/>
        <w:t>注册会计师的责任</w:t>
      </w:r>
    </w:p>
    <w:p>
      <w:pPr>
        <w:pStyle w:val="Style31"/>
        <w:keepNext w:val="0"/>
        <w:keepLines w:val="0"/>
        <w:widowControl w:val="0"/>
        <w:shd w:val="clear" w:color="auto" w:fill="auto"/>
        <w:bidi w:val="0"/>
        <w:spacing w:before="0" w:after="0" w:line="307" w:lineRule="exact"/>
        <w:ind w:left="0" w:right="0" w:firstLine="480"/>
        <w:jc w:val="both"/>
      </w:pPr>
      <w:r>
        <w:rPr>
          <w:color w:val="000000"/>
          <w:spacing w:val="0"/>
          <w:w w:val="100"/>
          <w:position w:val="0"/>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Style31"/>
        <w:keepNext w:val="0"/>
        <w:keepLines w:val="0"/>
        <w:widowControl w:val="0"/>
        <w:shd w:val="clear" w:color="auto" w:fill="auto"/>
        <w:bidi w:val="0"/>
        <w:spacing w:before="0" w:after="0" w:line="324" w:lineRule="exact"/>
        <w:ind w:left="0" w:right="0" w:firstLine="480"/>
        <w:jc w:val="both"/>
      </w:pPr>
      <w:r>
        <w:rPr>
          <w:color w:val="000000"/>
          <w:spacing w:val="0"/>
          <w:w w:val="100"/>
          <w:position w:val="0"/>
        </w:rPr>
        <w:t>审计工作涉及实施审计程序，以获取有关财务报表金额和披露的审计证据。选择的审计 程序取决于注册会计师的判断，包括对由于舞弊或错误导致的财务报表重大错报风险的评估。 在进行风险评估时，注册会计师考虑与财务报表编制和公允列报相关的内部控制，以设计恰 当的审计程序，但目的并非对内部控制的有效性发表意见。审计工作还包括评价管理层选用 会计政策的恰当性和作出会计估计的合理性，以及评价财务报表的总体列报。</w:t>
      </w:r>
    </w:p>
    <w:p>
      <w:pPr>
        <w:pStyle w:val="Style31"/>
        <w:keepNext w:val="0"/>
        <w:keepLines w:val="0"/>
        <w:widowControl w:val="0"/>
        <w:shd w:val="clear" w:color="auto" w:fill="auto"/>
        <w:bidi w:val="0"/>
        <w:spacing w:before="0" w:after="40" w:line="324" w:lineRule="exact"/>
        <w:ind w:left="0" w:right="0" w:firstLine="480"/>
        <w:jc w:val="both"/>
      </w:pPr>
      <w:r>
        <w:rPr>
          <w:color w:val="000000"/>
          <w:spacing w:val="0"/>
          <w:w w:val="100"/>
          <w:position w:val="0"/>
        </w:rPr>
        <w:t>我们相信，我们获取的审计证据是充分、适当的，为发表审计意见提供了基础。</w:t>
      </w:r>
    </w:p>
    <w:p>
      <w:pPr>
        <w:pStyle w:val="Style31"/>
        <w:keepNext w:val="0"/>
        <w:keepLines w:val="0"/>
        <w:widowControl w:val="0"/>
        <w:shd w:val="clear" w:color="auto" w:fill="auto"/>
        <w:tabs>
          <w:tab w:pos="1002" w:val="left"/>
        </w:tabs>
        <w:bidi w:val="0"/>
        <w:spacing w:before="0" w:after="40" w:line="313" w:lineRule="exact"/>
        <w:ind w:left="0" w:right="0" w:firstLine="480"/>
        <w:jc w:val="both"/>
      </w:pPr>
      <w:bookmarkStart w:id="526" w:name="bookmark526"/>
      <w:r>
        <w:rPr>
          <w:b/>
          <w:bCs/>
          <w:color w:val="000000"/>
          <w:spacing w:val="0"/>
          <w:w w:val="100"/>
          <w:position w:val="0"/>
        </w:rPr>
        <w:t>三</w:t>
      </w:r>
      <w:bookmarkEnd w:id="526"/>
      <w:r>
        <w:rPr>
          <w:b/>
          <w:bCs/>
          <w:color w:val="000000"/>
          <w:spacing w:val="0"/>
          <w:w w:val="100"/>
          <w:position w:val="0"/>
        </w:rPr>
        <w:t>、</w:t>
        <w:tab/>
        <w:t>审计意见</w:t>
      </w:r>
    </w:p>
    <w:p>
      <w:pPr>
        <w:pStyle w:val="Style31"/>
        <w:keepNext w:val="0"/>
        <w:keepLines w:val="0"/>
        <w:widowControl w:val="0"/>
        <w:shd w:val="clear" w:color="auto" w:fill="auto"/>
        <w:bidi w:val="0"/>
        <w:spacing w:before="0" w:after="540" w:line="312" w:lineRule="exact"/>
        <w:ind w:left="0" w:right="0" w:firstLine="480"/>
        <w:jc w:val="both"/>
      </w:pPr>
      <w:r>
        <w:rPr>
          <w:color w:val="000000"/>
          <w:spacing w:val="0"/>
          <w:w w:val="100"/>
          <w:position w:val="0"/>
        </w:rPr>
        <w:t>我们认为，紫光国芯财务报表在所有重大方面按照企业会计准则的规定编制，公允反映 了紫光国芯</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年度的合并及母公司经营成果 和现金流量。</w:t>
      </w:r>
    </w:p>
    <w:p>
      <w:pPr>
        <w:pStyle w:val="Style31"/>
        <w:keepNext w:val="0"/>
        <w:keepLines w:val="0"/>
        <w:widowControl w:val="0"/>
        <w:shd w:val="clear" w:color="auto" w:fill="auto"/>
        <w:tabs>
          <w:tab w:pos="5683" w:val="left"/>
        </w:tabs>
        <w:bidi w:val="0"/>
        <w:spacing w:before="0" w:after="0" w:line="312" w:lineRule="exact"/>
        <w:ind w:left="0" w:right="0" w:firstLine="480"/>
        <w:jc w:val="both"/>
      </w:pPr>
      <w:r>
        <w:rPr>
          <w:color w:val="000000"/>
          <w:spacing w:val="0"/>
          <w:w w:val="100"/>
          <w:position w:val="0"/>
        </w:rPr>
        <w:t>北京兴华会计师事务所</w:t>
        <w:tab/>
        <w:t>中国注册会计师：时彦禄</w:t>
      </w:r>
    </w:p>
    <w:p>
      <w:pPr>
        <w:pStyle w:val="Style31"/>
        <w:keepNext w:val="0"/>
        <w:keepLines w:val="0"/>
        <w:widowControl w:val="0"/>
        <w:shd w:val="clear" w:color="auto" w:fill="auto"/>
        <w:bidi w:val="0"/>
        <w:spacing w:before="0" w:after="260" w:line="312" w:lineRule="exact"/>
        <w:ind w:left="5720" w:right="0" w:hanging="5000"/>
        <w:jc w:val="both"/>
      </w:pPr>
      <w:r>
        <w:rPr>
          <w:color w:val="000000"/>
          <w:spacing w:val="0"/>
          <w:w w:val="100"/>
          <w:position w:val="0"/>
        </w:rPr>
        <w:t>（特殊普通合伙） 中国注册会计师：张娟</w:t>
      </w:r>
    </w:p>
    <w:p>
      <w:pPr>
        <w:pStyle w:val="Style31"/>
        <w:keepNext w:val="0"/>
        <w:keepLines w:val="0"/>
        <w:widowControl w:val="0"/>
        <w:shd w:val="clear" w:color="auto" w:fill="auto"/>
        <w:bidi w:val="0"/>
        <w:spacing w:before="0" w:after="100" w:line="312" w:lineRule="exact"/>
        <w:ind w:left="642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北京</w:t>
      </w:r>
    </w:p>
    <w:p>
      <w:pPr>
        <w:pStyle w:val="Style31"/>
        <w:keepNext w:val="0"/>
        <w:keepLines w:val="0"/>
        <w:widowControl w:val="0"/>
        <w:shd w:val="clear" w:color="auto" w:fill="auto"/>
        <w:bidi w:val="0"/>
        <w:spacing w:before="0" w:after="80" w:line="312" w:lineRule="exact"/>
        <w:ind w:left="0" w:right="1460" w:firstLine="0"/>
        <w:jc w:val="right"/>
      </w:pPr>
      <w:bookmarkStart w:id="527" w:name="bookmark527"/>
      <w:r>
        <w:rPr>
          <w:color w:val="000000"/>
          <w:spacing w:val="0"/>
          <w:w w:val="100"/>
          <w:position w:val="0"/>
        </w:rPr>
        <w:t>二</w:t>
      </w:r>
      <w:bookmarkEnd w:id="527"/>
      <w:r>
        <w:rPr>
          <w:color w:val="000000"/>
          <w:spacing w:val="0"/>
          <w:w w:val="100"/>
          <w:position w:val="0"/>
        </w:rPr>
        <w:t>。一^年三月二十三日</w:t>
      </w:r>
      <w:r>
        <w:br w:type="page"/>
      </w:r>
    </w:p>
    <w:p>
      <w:pPr>
        <w:pStyle w:val="Style23"/>
        <w:keepNext/>
        <w:keepLines/>
        <w:widowControl w:val="0"/>
        <w:shd w:val="clear" w:color="auto" w:fill="auto"/>
        <w:bidi w:val="0"/>
        <w:spacing w:before="0" w:after="340" w:line="240" w:lineRule="auto"/>
        <w:ind w:left="0" w:right="0" w:firstLine="0"/>
        <w:jc w:val="left"/>
      </w:pPr>
      <w:bookmarkStart w:id="528" w:name="bookmark528"/>
      <w:bookmarkStart w:id="529" w:name="bookmark529"/>
      <w:bookmarkStart w:id="530" w:name="bookmark530"/>
      <w:r>
        <w:rPr>
          <w:color w:val="000000"/>
          <w:spacing w:val="0"/>
          <w:w w:val="100"/>
          <w:position w:val="0"/>
        </w:rPr>
        <w:t>二、财务报表</w:t>
      </w:r>
      <w:bookmarkEnd w:id="528"/>
      <w:bookmarkEnd w:id="529"/>
      <w:bookmarkEnd w:id="530"/>
    </w:p>
    <w:p>
      <w:pPr>
        <w:pStyle w:val="Style28"/>
        <w:keepNext/>
        <w:keepLines/>
        <w:widowControl w:val="0"/>
        <w:shd w:val="clear" w:color="auto" w:fill="auto"/>
        <w:bidi w:val="0"/>
        <w:spacing w:before="0" w:after="28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1</w:t>
      </w:r>
      <w:bookmarkEnd w:id="533"/>
      <w:r>
        <w:rPr>
          <w:color w:val="000000"/>
          <w:spacing w:val="0"/>
          <w:w w:val="100"/>
          <w:position w:val="0"/>
        </w:rPr>
        <w:t>、合并资产负债表</w:t>
      </w:r>
      <w:bookmarkEnd w:id="531"/>
      <w:bookmarkEnd w:id="532"/>
      <w:bookmarkEnd w:id="534"/>
    </w:p>
    <w:tbl>
      <w:tblPr>
        <w:tblOverlap w:val="never"/>
        <w:jc w:val="left"/>
        <w:tblLayout w:type="fixed"/>
      </w:tblPr>
      <w:tblGrid>
        <w:gridCol w:w="3408"/>
        <w:gridCol w:w="1133"/>
        <w:gridCol w:w="2515"/>
        <w:gridCol w:w="2525"/>
      </w:tblGrid>
      <w:tr>
        <w:trPr>
          <w:trHeight w:val="27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附注</w:t>
            </w:r>
          </w:p>
        </w:tc>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26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流动资产：</w:t>
            </w:r>
          </w:p>
        </w:tc>
        <w:tc>
          <w:tcPr>
            <w:tcBorders>
              <w:top w:val="single" w:sz="4"/>
              <w:left w:val="single" w:sz="4"/>
            </w:tcBorders>
            <w:shd w:val="clear" w:color="auto" w:fill="D3D3D3"/>
            <w:vAlign w:val="top"/>
          </w:tcPr>
          <w:p>
            <w:pPr>
              <w:framePr w:w="9581" w:h="12346" w:vSpace="269" w:wrap="notBeside" w:vAnchor="text" w:hAnchor="text" w:x="176" w:y="270"/>
              <w:widowControl w:val="0"/>
              <w:rPr>
                <w:sz w:val="10"/>
                <w:szCs w:val="10"/>
              </w:rPr>
            </w:pPr>
          </w:p>
        </w:tc>
        <w:tc>
          <w:tcPr>
            <w:tcBorders>
              <w:top w:val="single" w:sz="4"/>
              <w:left w:val="single" w:sz="4"/>
            </w:tcBorders>
            <w:shd w:val="clear" w:color="auto" w:fill="D3D3D3"/>
            <w:vAlign w:val="top"/>
          </w:tcPr>
          <w:p>
            <w:pPr>
              <w:framePr w:w="9581" w:h="12346" w:vSpace="269" w:wrap="notBeside" w:vAnchor="text" w:hAnchor="text" w:x="176" w:y="270"/>
              <w:widowControl w:val="0"/>
              <w:rPr>
                <w:sz w:val="10"/>
                <w:szCs w:val="10"/>
              </w:rPr>
            </w:pPr>
          </w:p>
        </w:tc>
        <w:tc>
          <w:tcPr>
            <w:tcBorders>
              <w:top w:val="single" w:sz="4"/>
              <w:left w:val="single" w:sz="4"/>
              <w:right w:val="single" w:sz="4"/>
            </w:tcBorders>
            <w:shd w:val="clear" w:color="auto" w:fill="D3D3D3"/>
            <w:vAlign w:val="top"/>
          </w:tcPr>
          <w:p>
            <w:pPr>
              <w:framePr w:w="9581" w:h="12346" w:vSpace="269" w:wrap="notBeside" w:vAnchor="text" w:hAnchor="text" w:x="176" w:y="270"/>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七、（一）</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715,391,085.26</w:t>
            </w:r>
          </w:p>
        </w:tc>
        <w:tc>
          <w:tcPr>
            <w:tcBorders>
              <w:top w:val="single" w:sz="4"/>
              <w:left w:val="single" w:sz="4"/>
              <w:righ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737,398,409.96</w:t>
            </w:r>
          </w:p>
        </w:tc>
      </w:tr>
      <w:tr>
        <w:trPr>
          <w:trHeight w:val="26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结算备付金</w:t>
            </w:r>
          </w:p>
        </w:tc>
        <w:tc>
          <w:tcPr>
            <w:tcBorders>
              <w:top w:val="single" w:sz="4"/>
              <w:left w:val="single" w:sz="4"/>
            </w:tcBorders>
            <w:shd w:val="clear" w:color="auto" w:fill="FFFFFF"/>
            <w:vAlign w:val="top"/>
          </w:tcPr>
          <w:p>
            <w:pPr>
              <w:framePr w:w="9581" w:h="12346" w:vSpace="269" w:wrap="notBeside" w:vAnchor="text" w:hAnchor="text" w:x="176" w:y="270"/>
              <w:widowControl w:val="0"/>
              <w:rPr>
                <w:sz w:val="10"/>
                <w:szCs w:val="10"/>
              </w:rPr>
            </w:pPr>
          </w:p>
        </w:tc>
        <w:tc>
          <w:tcPr>
            <w:tcBorders>
              <w:top w:val="single" w:sz="4"/>
              <w:left w:val="single" w:sz="4"/>
            </w:tcBorders>
            <w:shd w:val="clear" w:color="auto" w:fill="FFFFFF"/>
            <w:vAlign w:val="top"/>
          </w:tcPr>
          <w:p>
            <w:pPr>
              <w:framePr w:w="9581" w:h="12346" w:vSpace="269" w:wrap="notBeside" w:vAnchor="text" w:hAnchor="text" w:x="176" w:y="270"/>
              <w:widowControl w:val="0"/>
              <w:rPr>
                <w:sz w:val="10"/>
                <w:szCs w:val="10"/>
              </w:rPr>
            </w:pPr>
          </w:p>
        </w:tc>
        <w:tc>
          <w:tcPr>
            <w:tcBorders>
              <w:top w:val="single" w:sz="4"/>
              <w:left w:val="single" w:sz="4"/>
              <w:right w:val="single" w:sz="4"/>
            </w:tcBorders>
            <w:shd w:val="clear" w:color="auto" w:fill="FFFFFF"/>
            <w:vAlign w:val="top"/>
          </w:tcPr>
          <w:p>
            <w:pPr>
              <w:framePr w:w="9581" w:h="12346" w:vSpace="269" w:wrap="notBeside" w:vAnchor="text" w:hAnchor="text" w:x="176" w:y="270"/>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拆出资金</w:t>
            </w:r>
          </w:p>
        </w:tc>
        <w:tc>
          <w:tcPr>
            <w:tcBorders>
              <w:top w:val="single" w:sz="4"/>
              <w:left w:val="single" w:sz="4"/>
            </w:tcBorders>
            <w:shd w:val="clear" w:color="auto" w:fill="FFFFFF"/>
            <w:vAlign w:val="top"/>
          </w:tcPr>
          <w:p>
            <w:pPr>
              <w:framePr w:w="9581" w:h="12346" w:vSpace="269" w:wrap="notBeside" w:vAnchor="text" w:hAnchor="text" w:x="176" w:y="270"/>
              <w:widowControl w:val="0"/>
              <w:rPr>
                <w:sz w:val="10"/>
                <w:szCs w:val="10"/>
              </w:rPr>
            </w:pPr>
          </w:p>
        </w:tc>
        <w:tc>
          <w:tcPr>
            <w:tcBorders>
              <w:top w:val="single" w:sz="4"/>
              <w:left w:val="single" w:sz="4"/>
            </w:tcBorders>
            <w:shd w:val="clear" w:color="auto" w:fill="FFFFFF"/>
            <w:vAlign w:val="top"/>
          </w:tcPr>
          <w:p>
            <w:pPr>
              <w:framePr w:w="9581" w:h="12346" w:vSpace="269" w:wrap="notBeside" w:vAnchor="text" w:hAnchor="text" w:x="176" w:y="270"/>
              <w:widowControl w:val="0"/>
              <w:rPr>
                <w:sz w:val="10"/>
                <w:szCs w:val="10"/>
              </w:rPr>
            </w:pPr>
          </w:p>
        </w:tc>
        <w:tc>
          <w:tcPr>
            <w:tcBorders>
              <w:top w:val="single" w:sz="4"/>
              <w:left w:val="single" w:sz="4"/>
              <w:right w:val="single" w:sz="4"/>
            </w:tcBorders>
            <w:shd w:val="clear" w:color="auto" w:fill="FFFFFF"/>
            <w:vAlign w:val="top"/>
          </w:tcPr>
          <w:p>
            <w:pPr>
              <w:framePr w:w="9581" w:h="12346" w:vSpace="269" w:wrap="notBeside" w:vAnchor="text" w:hAnchor="text" w:x="176" w:y="270"/>
              <w:widowControl w:val="0"/>
              <w:rPr>
                <w:sz w:val="10"/>
                <w:szCs w:val="10"/>
              </w:rPr>
            </w:pPr>
          </w:p>
        </w:tc>
      </w:tr>
      <w:tr>
        <w:trPr>
          <w:trHeight w:val="480" w:hRule="exact"/>
        </w:trPr>
        <w:tc>
          <w:tcPr>
            <w:tcBorders>
              <w:top w:val="single" w:sz="4"/>
              <w:left w:val="single" w:sz="4"/>
            </w:tcBorders>
            <w:shd w:val="clear" w:color="auto" w:fill="D3D3D3"/>
            <w:vAlign w:val="bottom"/>
          </w:tcPr>
          <w:p>
            <w:pPr>
              <w:pStyle w:val="Style2"/>
              <w:keepNext w:val="0"/>
              <w:keepLines w:val="0"/>
              <w:framePr w:w="9581" w:h="12346" w:vSpace="269" w:wrap="notBeside" w:vAnchor="text" w:hAnchor="text" w:x="176" w:y="270"/>
              <w:widowControl w:val="0"/>
              <w:shd w:val="clear" w:color="auto" w:fill="auto"/>
              <w:bidi w:val="0"/>
              <w:spacing w:before="0" w:after="0" w:line="226" w:lineRule="exact"/>
              <w:ind w:left="0" w:right="0" w:firstLine="380"/>
              <w:jc w:val="left"/>
              <w:rPr>
                <w:sz w:val="16"/>
                <w:szCs w:val="16"/>
              </w:rPr>
            </w:pPr>
            <w:r>
              <w:rPr>
                <w:color w:val="000000"/>
                <w:spacing w:val="0"/>
                <w:w w:val="100"/>
                <w:position w:val="0"/>
                <w:sz w:val="16"/>
                <w:szCs w:val="16"/>
              </w:rPr>
              <w:t>以公允价值计量且其变动计入当期损 益的金融资产</w:t>
            </w:r>
          </w:p>
        </w:tc>
        <w:tc>
          <w:tcPr>
            <w:tcBorders>
              <w:top w:val="single" w:sz="4"/>
              <w:left w:val="single" w:sz="4"/>
            </w:tcBorders>
            <w:shd w:val="clear" w:color="auto" w:fill="FFFFFF"/>
            <w:vAlign w:val="top"/>
          </w:tcPr>
          <w:p>
            <w:pPr>
              <w:framePr w:w="9581" w:h="12346" w:vSpace="269" w:wrap="notBeside" w:vAnchor="text" w:hAnchor="text" w:x="176" w:y="270"/>
              <w:widowControl w:val="0"/>
              <w:rPr>
                <w:sz w:val="10"/>
                <w:szCs w:val="10"/>
              </w:rPr>
            </w:pP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6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衍生金融资产</w:t>
            </w:r>
          </w:p>
        </w:tc>
        <w:tc>
          <w:tcPr>
            <w:tcBorders>
              <w:top w:val="single" w:sz="4"/>
              <w:left w:val="single" w:sz="4"/>
            </w:tcBorders>
            <w:shd w:val="clear" w:color="auto" w:fill="FFFFFF"/>
            <w:vAlign w:val="top"/>
          </w:tcPr>
          <w:p>
            <w:pPr>
              <w:framePr w:w="9581" w:h="12346" w:vSpace="269" w:wrap="notBeside" w:vAnchor="text" w:hAnchor="text" w:x="176" w:y="270"/>
              <w:widowControl w:val="0"/>
              <w:rPr>
                <w:sz w:val="10"/>
                <w:szCs w:val="10"/>
              </w:rPr>
            </w:pP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6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应收票据</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七、（二）</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302,484,599.28</w:t>
            </w:r>
          </w:p>
        </w:tc>
        <w:tc>
          <w:tcPr>
            <w:tcBorders>
              <w:top w:val="single" w:sz="4"/>
              <w:left w:val="single" w:sz="4"/>
              <w:righ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157,878,755.40</w:t>
            </w:r>
          </w:p>
        </w:tc>
      </w:tr>
      <w:tr>
        <w:trPr>
          <w:trHeight w:val="26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七、（三）</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643,701,767.29</w:t>
            </w:r>
          </w:p>
        </w:tc>
        <w:tc>
          <w:tcPr>
            <w:tcBorders>
              <w:top w:val="single" w:sz="4"/>
              <w:left w:val="single" w:sz="4"/>
              <w:righ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629,566,675.75</w:t>
            </w:r>
          </w:p>
        </w:tc>
      </w:tr>
      <w:tr>
        <w:trPr>
          <w:trHeight w:val="269"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七、（四）</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24,779,636.86</w:t>
            </w:r>
          </w:p>
        </w:tc>
        <w:tc>
          <w:tcPr>
            <w:tcBorders>
              <w:top w:val="single" w:sz="4"/>
              <w:left w:val="single" w:sz="4"/>
              <w:righ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32,900,607.29</w:t>
            </w:r>
          </w:p>
        </w:tc>
      </w:tr>
      <w:tr>
        <w:trPr>
          <w:trHeight w:val="26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应收保费</w:t>
            </w:r>
          </w:p>
        </w:tc>
        <w:tc>
          <w:tcPr>
            <w:tcBorders>
              <w:top w:val="single" w:sz="4"/>
              <w:left w:val="single" w:sz="4"/>
            </w:tcBorders>
            <w:shd w:val="clear" w:color="auto" w:fill="FFFFFF"/>
            <w:vAlign w:val="top"/>
          </w:tcPr>
          <w:p>
            <w:pPr>
              <w:framePr w:w="9581" w:h="12346" w:vSpace="269" w:wrap="notBeside" w:vAnchor="text" w:hAnchor="text" w:x="176" w:y="270"/>
              <w:widowControl w:val="0"/>
              <w:rPr>
                <w:sz w:val="10"/>
                <w:szCs w:val="10"/>
              </w:rPr>
            </w:pPr>
          </w:p>
        </w:tc>
        <w:tc>
          <w:tcPr>
            <w:tcBorders>
              <w:top w:val="single" w:sz="4"/>
              <w:left w:val="single" w:sz="4"/>
            </w:tcBorders>
            <w:shd w:val="clear" w:color="auto" w:fill="FFFFFF"/>
            <w:vAlign w:val="top"/>
          </w:tcPr>
          <w:p>
            <w:pPr>
              <w:framePr w:w="9581" w:h="12346" w:vSpace="269" w:wrap="notBeside" w:vAnchor="text" w:hAnchor="text" w:x="176" w:y="270"/>
              <w:widowControl w:val="0"/>
              <w:rPr>
                <w:sz w:val="10"/>
                <w:szCs w:val="10"/>
              </w:rPr>
            </w:pPr>
          </w:p>
        </w:tc>
        <w:tc>
          <w:tcPr>
            <w:tcBorders>
              <w:top w:val="single" w:sz="4"/>
              <w:left w:val="single" w:sz="4"/>
              <w:right w:val="single" w:sz="4"/>
            </w:tcBorders>
            <w:shd w:val="clear" w:color="auto" w:fill="FFFFFF"/>
            <w:vAlign w:val="top"/>
          </w:tcPr>
          <w:p>
            <w:pPr>
              <w:framePr w:w="9581" w:h="12346" w:vSpace="269" w:wrap="notBeside" w:vAnchor="text" w:hAnchor="text" w:x="176" w:y="270"/>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应收分保账款</w:t>
            </w:r>
          </w:p>
        </w:tc>
        <w:tc>
          <w:tcPr>
            <w:tcBorders>
              <w:top w:val="single" w:sz="4"/>
              <w:left w:val="single" w:sz="4"/>
            </w:tcBorders>
            <w:shd w:val="clear" w:color="auto" w:fill="FFFFFF"/>
            <w:vAlign w:val="top"/>
          </w:tcPr>
          <w:p>
            <w:pPr>
              <w:framePr w:w="9581" w:h="12346" w:vSpace="269" w:wrap="notBeside" w:vAnchor="text" w:hAnchor="text" w:x="176" w:y="270"/>
              <w:widowControl w:val="0"/>
              <w:rPr>
                <w:sz w:val="10"/>
                <w:szCs w:val="10"/>
              </w:rPr>
            </w:pPr>
          </w:p>
        </w:tc>
        <w:tc>
          <w:tcPr>
            <w:tcBorders>
              <w:top w:val="single" w:sz="4"/>
              <w:left w:val="single" w:sz="4"/>
            </w:tcBorders>
            <w:shd w:val="clear" w:color="auto" w:fill="FFFFFF"/>
            <w:vAlign w:val="top"/>
          </w:tcPr>
          <w:p>
            <w:pPr>
              <w:framePr w:w="9581" w:h="12346" w:vSpace="269" w:wrap="notBeside" w:vAnchor="text" w:hAnchor="text" w:x="176" w:y="270"/>
              <w:widowControl w:val="0"/>
              <w:rPr>
                <w:sz w:val="10"/>
                <w:szCs w:val="10"/>
              </w:rPr>
            </w:pPr>
          </w:p>
        </w:tc>
        <w:tc>
          <w:tcPr>
            <w:tcBorders>
              <w:top w:val="single" w:sz="4"/>
              <w:left w:val="single" w:sz="4"/>
              <w:right w:val="single" w:sz="4"/>
            </w:tcBorders>
            <w:shd w:val="clear" w:color="auto" w:fill="FFFFFF"/>
            <w:vAlign w:val="top"/>
          </w:tcPr>
          <w:p>
            <w:pPr>
              <w:framePr w:w="9581" w:h="12346" w:vSpace="269" w:wrap="notBeside" w:vAnchor="text" w:hAnchor="text" w:x="176" w:y="270"/>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应收分保合同准备金</w:t>
            </w:r>
          </w:p>
        </w:tc>
        <w:tc>
          <w:tcPr>
            <w:tcBorders>
              <w:top w:val="single" w:sz="4"/>
              <w:left w:val="single" w:sz="4"/>
            </w:tcBorders>
            <w:shd w:val="clear" w:color="auto" w:fill="FFFFFF"/>
            <w:vAlign w:val="top"/>
          </w:tcPr>
          <w:p>
            <w:pPr>
              <w:framePr w:w="9581" w:h="12346" w:vSpace="269" w:wrap="notBeside" w:vAnchor="text" w:hAnchor="text" w:x="176" w:y="270"/>
              <w:widowControl w:val="0"/>
              <w:rPr>
                <w:sz w:val="10"/>
                <w:szCs w:val="10"/>
              </w:rPr>
            </w:pPr>
          </w:p>
        </w:tc>
        <w:tc>
          <w:tcPr>
            <w:tcBorders>
              <w:top w:val="single" w:sz="4"/>
              <w:left w:val="single" w:sz="4"/>
            </w:tcBorders>
            <w:shd w:val="clear" w:color="auto" w:fill="FFFFFF"/>
            <w:vAlign w:val="top"/>
          </w:tcPr>
          <w:p>
            <w:pPr>
              <w:framePr w:w="9581" w:h="12346" w:vSpace="269" w:wrap="notBeside" w:vAnchor="text" w:hAnchor="text" w:x="176" w:y="270"/>
              <w:widowControl w:val="0"/>
              <w:rPr>
                <w:sz w:val="10"/>
                <w:szCs w:val="10"/>
              </w:rPr>
            </w:pPr>
          </w:p>
        </w:tc>
        <w:tc>
          <w:tcPr>
            <w:tcBorders>
              <w:top w:val="single" w:sz="4"/>
              <w:left w:val="single" w:sz="4"/>
              <w:right w:val="single" w:sz="4"/>
            </w:tcBorders>
            <w:shd w:val="clear" w:color="auto" w:fill="FFFFFF"/>
            <w:vAlign w:val="top"/>
          </w:tcPr>
          <w:p>
            <w:pPr>
              <w:framePr w:w="9581" w:h="12346" w:vSpace="269" w:wrap="notBeside" w:vAnchor="text" w:hAnchor="text" w:x="176" w:y="270"/>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应收利息</w:t>
            </w:r>
          </w:p>
        </w:tc>
        <w:tc>
          <w:tcPr>
            <w:tcBorders>
              <w:top w:val="single" w:sz="4"/>
              <w:left w:val="single" w:sz="4"/>
            </w:tcBorders>
            <w:shd w:val="clear" w:color="auto" w:fill="FFFFFF"/>
            <w:vAlign w:val="top"/>
          </w:tcPr>
          <w:p>
            <w:pPr>
              <w:framePr w:w="9581" w:h="12346" w:vSpace="269" w:wrap="notBeside" w:vAnchor="text" w:hAnchor="text" w:x="176" w:y="270"/>
              <w:widowControl w:val="0"/>
              <w:rPr>
                <w:sz w:val="10"/>
                <w:szCs w:val="10"/>
              </w:rPr>
            </w:pP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69"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应收股利</w:t>
            </w:r>
          </w:p>
        </w:tc>
        <w:tc>
          <w:tcPr>
            <w:tcBorders>
              <w:top w:val="single" w:sz="4"/>
              <w:left w:val="single" w:sz="4"/>
            </w:tcBorders>
            <w:shd w:val="clear" w:color="auto" w:fill="FFFFFF"/>
            <w:vAlign w:val="top"/>
          </w:tcPr>
          <w:p>
            <w:pPr>
              <w:framePr w:w="9581" w:h="12346" w:vSpace="269" w:wrap="notBeside" w:vAnchor="text" w:hAnchor="text" w:x="176" w:y="270"/>
              <w:widowControl w:val="0"/>
              <w:rPr>
                <w:sz w:val="10"/>
                <w:szCs w:val="10"/>
              </w:rPr>
            </w:pP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6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七、（五）</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12,807,609.96</w:t>
            </w:r>
          </w:p>
        </w:tc>
        <w:tc>
          <w:tcPr>
            <w:tcBorders>
              <w:top w:val="single" w:sz="4"/>
              <w:left w:val="single" w:sz="4"/>
              <w:righ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13,429,682.00</w:t>
            </w:r>
          </w:p>
        </w:tc>
      </w:tr>
      <w:tr>
        <w:trPr>
          <w:trHeight w:val="26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买入返售金融资产</w:t>
            </w:r>
          </w:p>
        </w:tc>
        <w:tc>
          <w:tcPr>
            <w:tcBorders>
              <w:top w:val="single" w:sz="4"/>
              <w:left w:val="single" w:sz="4"/>
            </w:tcBorders>
            <w:shd w:val="clear" w:color="auto" w:fill="FFFFFF"/>
            <w:vAlign w:val="top"/>
          </w:tcPr>
          <w:p>
            <w:pPr>
              <w:framePr w:w="9581" w:h="12346" w:vSpace="269" w:wrap="notBeside" w:vAnchor="text" w:hAnchor="text" w:x="176" w:y="270"/>
              <w:widowControl w:val="0"/>
              <w:rPr>
                <w:sz w:val="10"/>
                <w:szCs w:val="10"/>
              </w:rPr>
            </w:pPr>
          </w:p>
        </w:tc>
        <w:tc>
          <w:tcPr>
            <w:tcBorders>
              <w:top w:val="single" w:sz="4"/>
              <w:left w:val="single" w:sz="4"/>
            </w:tcBorders>
            <w:shd w:val="clear" w:color="auto" w:fill="FFFFFF"/>
            <w:vAlign w:val="top"/>
          </w:tcPr>
          <w:p>
            <w:pPr>
              <w:framePr w:w="9581" w:h="12346" w:vSpace="269" w:wrap="notBeside" w:vAnchor="text" w:hAnchor="text" w:x="176" w:y="270"/>
              <w:widowControl w:val="0"/>
              <w:rPr>
                <w:sz w:val="10"/>
                <w:szCs w:val="10"/>
              </w:rPr>
            </w:pPr>
          </w:p>
        </w:tc>
        <w:tc>
          <w:tcPr>
            <w:tcBorders>
              <w:top w:val="single" w:sz="4"/>
              <w:left w:val="single" w:sz="4"/>
              <w:right w:val="single" w:sz="4"/>
            </w:tcBorders>
            <w:shd w:val="clear" w:color="auto" w:fill="FFFFFF"/>
            <w:vAlign w:val="top"/>
          </w:tcPr>
          <w:p>
            <w:pPr>
              <w:framePr w:w="9581" w:h="12346" w:vSpace="269" w:wrap="notBeside" w:vAnchor="text" w:hAnchor="text" w:x="176" w:y="270"/>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存货</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七、（六）</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533,585,517.53</w:t>
            </w:r>
          </w:p>
        </w:tc>
        <w:tc>
          <w:tcPr>
            <w:tcBorders>
              <w:top w:val="single" w:sz="4"/>
              <w:left w:val="single" w:sz="4"/>
              <w:righ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504,949,426.61</w:t>
            </w:r>
          </w:p>
        </w:tc>
      </w:tr>
      <w:tr>
        <w:trPr>
          <w:trHeight w:val="269"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划分为持有待售的资产</w:t>
            </w:r>
          </w:p>
        </w:tc>
        <w:tc>
          <w:tcPr>
            <w:tcBorders>
              <w:top w:val="single" w:sz="4"/>
              <w:left w:val="single" w:sz="4"/>
            </w:tcBorders>
            <w:shd w:val="clear" w:color="auto" w:fill="FFFFFF"/>
            <w:vAlign w:val="top"/>
          </w:tcPr>
          <w:p>
            <w:pPr>
              <w:framePr w:w="9581" w:h="12346" w:vSpace="269" w:wrap="notBeside" w:vAnchor="text" w:hAnchor="text" w:x="176" w:y="270"/>
              <w:widowControl w:val="0"/>
              <w:rPr>
                <w:sz w:val="10"/>
                <w:szCs w:val="10"/>
              </w:rPr>
            </w:pP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6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一年内到期的非流动资产</w:t>
            </w:r>
          </w:p>
        </w:tc>
        <w:tc>
          <w:tcPr>
            <w:tcBorders>
              <w:top w:val="single" w:sz="4"/>
              <w:left w:val="single" w:sz="4"/>
            </w:tcBorders>
            <w:shd w:val="clear" w:color="auto" w:fill="FFFFFF"/>
            <w:vAlign w:val="top"/>
          </w:tcPr>
          <w:p>
            <w:pPr>
              <w:framePr w:w="9581" w:h="12346" w:vSpace="269" w:wrap="notBeside" w:vAnchor="text" w:hAnchor="text" w:x="176" w:y="270"/>
              <w:widowControl w:val="0"/>
              <w:rPr>
                <w:sz w:val="10"/>
                <w:szCs w:val="10"/>
              </w:rPr>
            </w:pP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6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其他流动资产</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七、（七）</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5,730,766.20</w:t>
            </w:r>
          </w:p>
        </w:tc>
        <w:tc>
          <w:tcPr>
            <w:tcBorders>
              <w:top w:val="single" w:sz="4"/>
              <w:left w:val="single" w:sz="4"/>
              <w:righ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2,938,582.52</w:t>
            </w:r>
          </w:p>
        </w:tc>
      </w:tr>
      <w:tr>
        <w:trPr>
          <w:trHeight w:val="264" w:hRule="exact"/>
        </w:trPr>
        <w:tc>
          <w:tcPr>
            <w:tcBorders>
              <w:top w:val="single" w:sz="4"/>
              <w:left w:val="single" w:sz="4"/>
            </w:tcBorders>
            <w:shd w:val="clear" w:color="auto" w:fill="D3D3D3"/>
            <w:vAlign w:val="bottom"/>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流动资产合计</w:t>
            </w:r>
          </w:p>
        </w:tc>
        <w:tc>
          <w:tcPr>
            <w:tcBorders>
              <w:top w:val="single" w:sz="4"/>
              <w:left w:val="single" w:sz="4"/>
            </w:tcBorders>
            <w:shd w:val="clear" w:color="auto" w:fill="FFFFFF"/>
            <w:vAlign w:val="top"/>
          </w:tcPr>
          <w:p>
            <w:pPr>
              <w:framePr w:w="9581" w:h="12346" w:vSpace="269" w:wrap="notBeside" w:vAnchor="text" w:hAnchor="text" w:x="176" w:y="270"/>
              <w:widowControl w:val="0"/>
              <w:rPr>
                <w:sz w:val="10"/>
                <w:szCs w:val="10"/>
              </w:rPr>
            </w:pPr>
          </w:p>
        </w:tc>
        <w:tc>
          <w:tcPr>
            <w:tcBorders>
              <w:top w:val="single" w:sz="4"/>
              <w:left w:val="single" w:sz="4"/>
            </w:tcBorders>
            <w:shd w:val="clear" w:color="auto" w:fill="FFFFFF"/>
            <w:vAlign w:val="bottom"/>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b/>
                <w:bCs/>
                <w:color w:val="000000"/>
                <w:spacing w:val="0"/>
                <w:w w:val="100"/>
                <w:position w:val="0"/>
                <w:sz w:val="18"/>
                <w:szCs w:val="18"/>
              </w:rPr>
              <w:t>2,238,480,982.38</w:t>
            </w:r>
          </w:p>
        </w:tc>
        <w:tc>
          <w:tcPr>
            <w:tcBorders>
              <w:top w:val="single" w:sz="4"/>
              <w:left w:val="single" w:sz="4"/>
              <w:right w:val="single" w:sz="4"/>
            </w:tcBorders>
            <w:shd w:val="clear" w:color="auto" w:fill="FFFFFF"/>
            <w:vAlign w:val="bottom"/>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b/>
                <w:bCs/>
                <w:color w:val="000000"/>
                <w:spacing w:val="0"/>
                <w:w w:val="100"/>
                <w:position w:val="0"/>
                <w:sz w:val="18"/>
                <w:szCs w:val="18"/>
              </w:rPr>
              <w:t>2,079,062,139.53</w:t>
            </w:r>
          </w:p>
        </w:tc>
      </w:tr>
      <w:tr>
        <w:trPr>
          <w:trHeight w:val="26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非流动资产：</w:t>
            </w:r>
          </w:p>
        </w:tc>
        <w:tc>
          <w:tcPr>
            <w:tcBorders>
              <w:top w:val="single" w:sz="4"/>
              <w:left w:val="single" w:sz="4"/>
            </w:tcBorders>
            <w:shd w:val="clear" w:color="auto" w:fill="D3D3D3"/>
            <w:vAlign w:val="top"/>
          </w:tcPr>
          <w:p>
            <w:pPr>
              <w:framePr w:w="9581" w:h="12346" w:vSpace="269" w:wrap="notBeside" w:vAnchor="text" w:hAnchor="text" w:x="176" w:y="270"/>
              <w:widowControl w:val="0"/>
              <w:rPr>
                <w:sz w:val="10"/>
                <w:szCs w:val="10"/>
              </w:rPr>
            </w:pPr>
          </w:p>
        </w:tc>
        <w:tc>
          <w:tcPr>
            <w:tcBorders>
              <w:top w:val="single" w:sz="4"/>
              <w:left w:val="single" w:sz="4"/>
            </w:tcBorders>
            <w:shd w:val="clear" w:color="auto" w:fill="D3D3D3"/>
            <w:vAlign w:val="top"/>
          </w:tcPr>
          <w:p>
            <w:pPr>
              <w:framePr w:w="9581" w:h="12346" w:vSpace="269" w:wrap="notBeside" w:vAnchor="text" w:hAnchor="text" w:x="176" w:y="270"/>
              <w:widowControl w:val="0"/>
              <w:rPr>
                <w:sz w:val="10"/>
                <w:szCs w:val="10"/>
              </w:rPr>
            </w:pPr>
          </w:p>
        </w:tc>
        <w:tc>
          <w:tcPr>
            <w:tcBorders>
              <w:top w:val="single" w:sz="4"/>
              <w:left w:val="single" w:sz="4"/>
              <w:right w:val="single" w:sz="4"/>
            </w:tcBorders>
            <w:shd w:val="clear" w:color="auto" w:fill="D3D3D3"/>
            <w:vAlign w:val="top"/>
          </w:tcPr>
          <w:p>
            <w:pPr>
              <w:framePr w:w="9581" w:h="12346" w:vSpace="269" w:wrap="notBeside" w:vAnchor="text" w:hAnchor="text" w:x="176" w:y="270"/>
              <w:widowControl w:val="0"/>
              <w:rPr>
                <w:sz w:val="10"/>
                <w:szCs w:val="10"/>
              </w:rPr>
            </w:pPr>
          </w:p>
        </w:tc>
      </w:tr>
      <w:tr>
        <w:trPr>
          <w:trHeight w:val="269"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发放贷款及垫款</w:t>
            </w:r>
          </w:p>
        </w:tc>
        <w:tc>
          <w:tcPr>
            <w:tcBorders>
              <w:top w:val="single" w:sz="4"/>
              <w:left w:val="single" w:sz="4"/>
            </w:tcBorders>
            <w:shd w:val="clear" w:color="auto" w:fill="FFFFFF"/>
            <w:vAlign w:val="top"/>
          </w:tcPr>
          <w:p>
            <w:pPr>
              <w:framePr w:w="9581" w:h="12346" w:vSpace="269" w:wrap="notBeside" w:vAnchor="text" w:hAnchor="text" w:x="176" w:y="270"/>
              <w:widowControl w:val="0"/>
              <w:rPr>
                <w:sz w:val="10"/>
                <w:szCs w:val="10"/>
              </w:rPr>
            </w:pPr>
          </w:p>
        </w:tc>
        <w:tc>
          <w:tcPr>
            <w:tcBorders>
              <w:top w:val="single" w:sz="4"/>
              <w:left w:val="single" w:sz="4"/>
            </w:tcBorders>
            <w:shd w:val="clear" w:color="auto" w:fill="FFFFFF"/>
            <w:vAlign w:val="top"/>
          </w:tcPr>
          <w:p>
            <w:pPr>
              <w:framePr w:w="9581" w:h="12346" w:vSpace="269" w:wrap="notBeside" w:vAnchor="text" w:hAnchor="text" w:x="176" w:y="270"/>
              <w:widowControl w:val="0"/>
              <w:rPr>
                <w:sz w:val="10"/>
                <w:szCs w:val="10"/>
              </w:rPr>
            </w:pPr>
          </w:p>
        </w:tc>
        <w:tc>
          <w:tcPr>
            <w:tcBorders>
              <w:top w:val="single" w:sz="4"/>
              <w:left w:val="single" w:sz="4"/>
              <w:right w:val="single" w:sz="4"/>
            </w:tcBorders>
            <w:shd w:val="clear" w:color="auto" w:fill="FFFFFF"/>
            <w:vAlign w:val="top"/>
          </w:tcPr>
          <w:p>
            <w:pPr>
              <w:framePr w:w="9581" w:h="12346" w:vSpace="269" w:wrap="notBeside" w:vAnchor="text" w:hAnchor="text" w:x="176" w:y="270"/>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可供出售金融资产</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七、（八）</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83,044,136.05</w:t>
            </w:r>
          </w:p>
        </w:tc>
        <w:tc>
          <w:tcPr>
            <w:tcBorders>
              <w:top w:val="single" w:sz="4"/>
              <w:left w:val="single" w:sz="4"/>
              <w:righ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68,185,558.97</w:t>
            </w:r>
          </w:p>
        </w:tc>
      </w:tr>
      <w:tr>
        <w:trPr>
          <w:trHeight w:val="26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持有至到期投资</w:t>
            </w:r>
          </w:p>
        </w:tc>
        <w:tc>
          <w:tcPr>
            <w:tcBorders>
              <w:top w:val="single" w:sz="4"/>
              <w:left w:val="single" w:sz="4"/>
            </w:tcBorders>
            <w:shd w:val="clear" w:color="auto" w:fill="FFFFFF"/>
            <w:vAlign w:val="top"/>
          </w:tcPr>
          <w:p>
            <w:pPr>
              <w:framePr w:w="9581" w:h="12346" w:vSpace="269" w:wrap="notBeside" w:vAnchor="text" w:hAnchor="text" w:x="176" w:y="270"/>
              <w:widowControl w:val="0"/>
              <w:rPr>
                <w:sz w:val="10"/>
                <w:szCs w:val="10"/>
              </w:rPr>
            </w:pP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6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长期应收款</w:t>
            </w:r>
          </w:p>
        </w:tc>
        <w:tc>
          <w:tcPr>
            <w:tcBorders>
              <w:top w:val="single" w:sz="4"/>
              <w:left w:val="single" w:sz="4"/>
            </w:tcBorders>
            <w:shd w:val="clear" w:color="auto" w:fill="FFFFFF"/>
            <w:vAlign w:val="top"/>
          </w:tcPr>
          <w:p>
            <w:pPr>
              <w:framePr w:w="9581" w:h="12346" w:vSpace="269" w:wrap="notBeside" w:vAnchor="text" w:hAnchor="text" w:x="176" w:y="270"/>
              <w:widowControl w:val="0"/>
              <w:rPr>
                <w:sz w:val="10"/>
                <w:szCs w:val="10"/>
              </w:rPr>
            </w:pP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6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七、（九）</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69"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投资性房地产</w:t>
            </w:r>
          </w:p>
        </w:tc>
        <w:tc>
          <w:tcPr>
            <w:tcBorders>
              <w:top w:val="single" w:sz="4"/>
              <w:left w:val="single" w:sz="4"/>
            </w:tcBorders>
            <w:shd w:val="clear" w:color="auto" w:fill="FFFFFF"/>
            <w:vAlign w:val="top"/>
          </w:tcPr>
          <w:p>
            <w:pPr>
              <w:framePr w:w="9581" w:h="12346" w:vSpace="269" w:wrap="notBeside" w:vAnchor="text" w:hAnchor="text" w:x="176" w:y="270"/>
              <w:widowControl w:val="0"/>
              <w:rPr>
                <w:sz w:val="10"/>
                <w:szCs w:val="10"/>
              </w:rPr>
            </w:pP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6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七、（十）</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320,475,369.02</w:t>
            </w:r>
          </w:p>
        </w:tc>
        <w:tc>
          <w:tcPr>
            <w:tcBorders>
              <w:top w:val="single" w:sz="4"/>
              <w:left w:val="single" w:sz="4"/>
              <w:righ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348,745,261.33</w:t>
            </w:r>
          </w:p>
        </w:tc>
      </w:tr>
      <w:tr>
        <w:trPr>
          <w:trHeight w:val="26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七、（十一）</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1,440,418.39</w:t>
            </w:r>
          </w:p>
        </w:tc>
        <w:tc>
          <w:tcPr>
            <w:tcBorders>
              <w:top w:val="single" w:sz="4"/>
              <w:left w:val="single" w:sz="4"/>
              <w:righ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4,489,351.44</w:t>
            </w:r>
          </w:p>
        </w:tc>
      </w:tr>
      <w:tr>
        <w:trPr>
          <w:trHeight w:val="26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工程物资</w:t>
            </w:r>
          </w:p>
        </w:tc>
        <w:tc>
          <w:tcPr>
            <w:tcBorders>
              <w:top w:val="single" w:sz="4"/>
              <w:left w:val="single" w:sz="4"/>
            </w:tcBorders>
            <w:shd w:val="clear" w:color="auto" w:fill="FFFFFF"/>
            <w:vAlign w:val="top"/>
          </w:tcPr>
          <w:p>
            <w:pPr>
              <w:framePr w:w="9581" w:h="12346" w:vSpace="269" w:wrap="notBeside" w:vAnchor="text" w:hAnchor="text" w:x="176" w:y="270"/>
              <w:widowControl w:val="0"/>
              <w:rPr>
                <w:sz w:val="10"/>
                <w:szCs w:val="10"/>
              </w:rPr>
            </w:pP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6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固定资产清理</w:t>
            </w:r>
          </w:p>
        </w:tc>
        <w:tc>
          <w:tcPr>
            <w:tcBorders>
              <w:top w:val="single" w:sz="4"/>
              <w:left w:val="single" w:sz="4"/>
            </w:tcBorders>
            <w:shd w:val="clear" w:color="auto" w:fill="FFFFFF"/>
            <w:vAlign w:val="top"/>
          </w:tcPr>
          <w:p>
            <w:pPr>
              <w:framePr w:w="9581" w:h="12346" w:vSpace="269" w:wrap="notBeside" w:vAnchor="text" w:hAnchor="text" w:x="176" w:y="270"/>
              <w:widowControl w:val="0"/>
              <w:rPr>
                <w:sz w:val="10"/>
                <w:szCs w:val="10"/>
              </w:rPr>
            </w:pP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69"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生产性生物资产</w:t>
            </w:r>
          </w:p>
        </w:tc>
        <w:tc>
          <w:tcPr>
            <w:tcBorders>
              <w:top w:val="single" w:sz="4"/>
              <w:left w:val="single" w:sz="4"/>
            </w:tcBorders>
            <w:shd w:val="clear" w:color="auto" w:fill="FFFFFF"/>
            <w:vAlign w:val="top"/>
          </w:tcPr>
          <w:p>
            <w:pPr>
              <w:framePr w:w="9581" w:h="12346" w:vSpace="269" w:wrap="notBeside" w:vAnchor="text" w:hAnchor="text" w:x="176" w:y="270"/>
              <w:widowControl w:val="0"/>
              <w:rPr>
                <w:sz w:val="10"/>
                <w:szCs w:val="10"/>
              </w:rPr>
            </w:pPr>
          </w:p>
        </w:tc>
        <w:tc>
          <w:tcPr>
            <w:tcBorders>
              <w:top w:val="single" w:sz="4"/>
              <w:left w:val="single" w:sz="4"/>
            </w:tcBorders>
            <w:shd w:val="clear" w:color="auto" w:fill="FFFFFF"/>
            <w:vAlign w:val="top"/>
          </w:tcPr>
          <w:p>
            <w:pPr>
              <w:framePr w:w="9581" w:h="12346" w:vSpace="269" w:wrap="notBeside" w:vAnchor="text" w:hAnchor="text" w:x="176" w:y="270"/>
              <w:widowControl w:val="0"/>
              <w:rPr>
                <w:sz w:val="10"/>
                <w:szCs w:val="10"/>
              </w:rPr>
            </w:pPr>
          </w:p>
        </w:tc>
        <w:tc>
          <w:tcPr>
            <w:tcBorders>
              <w:top w:val="single" w:sz="4"/>
              <w:left w:val="single" w:sz="4"/>
              <w:right w:val="single" w:sz="4"/>
            </w:tcBorders>
            <w:shd w:val="clear" w:color="auto" w:fill="FFFFFF"/>
            <w:vAlign w:val="top"/>
          </w:tcPr>
          <w:p>
            <w:pPr>
              <w:framePr w:w="9581" w:h="12346" w:vSpace="269" w:wrap="notBeside" w:vAnchor="text" w:hAnchor="text" w:x="176" w:y="270"/>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油气资产</w:t>
            </w:r>
          </w:p>
        </w:tc>
        <w:tc>
          <w:tcPr>
            <w:tcBorders>
              <w:top w:val="single" w:sz="4"/>
              <w:left w:val="single" w:sz="4"/>
            </w:tcBorders>
            <w:shd w:val="clear" w:color="auto" w:fill="FFFFFF"/>
            <w:vAlign w:val="top"/>
          </w:tcPr>
          <w:p>
            <w:pPr>
              <w:framePr w:w="9581" w:h="12346" w:vSpace="269" w:wrap="notBeside" w:vAnchor="text" w:hAnchor="text" w:x="176" w:y="270"/>
              <w:widowControl w:val="0"/>
              <w:rPr>
                <w:sz w:val="10"/>
                <w:szCs w:val="10"/>
              </w:rPr>
            </w:pPr>
          </w:p>
        </w:tc>
        <w:tc>
          <w:tcPr>
            <w:tcBorders>
              <w:top w:val="single" w:sz="4"/>
              <w:left w:val="single" w:sz="4"/>
            </w:tcBorders>
            <w:shd w:val="clear" w:color="auto" w:fill="FFFFFF"/>
            <w:vAlign w:val="top"/>
          </w:tcPr>
          <w:p>
            <w:pPr>
              <w:framePr w:w="9581" w:h="12346" w:vSpace="269" w:wrap="notBeside" w:vAnchor="text" w:hAnchor="text" w:x="176" w:y="270"/>
              <w:widowControl w:val="0"/>
              <w:rPr>
                <w:sz w:val="10"/>
                <w:szCs w:val="10"/>
              </w:rPr>
            </w:pPr>
          </w:p>
        </w:tc>
        <w:tc>
          <w:tcPr>
            <w:tcBorders>
              <w:top w:val="single" w:sz="4"/>
              <w:left w:val="single" w:sz="4"/>
              <w:right w:val="single" w:sz="4"/>
            </w:tcBorders>
            <w:shd w:val="clear" w:color="auto" w:fill="FFFFFF"/>
            <w:vAlign w:val="top"/>
          </w:tcPr>
          <w:p>
            <w:pPr>
              <w:framePr w:w="9581" w:h="12346" w:vSpace="269" w:wrap="notBeside" w:vAnchor="text" w:hAnchor="text" w:x="176" w:y="270"/>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七、（十二）</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428,892,170.92</w:t>
            </w:r>
          </w:p>
        </w:tc>
        <w:tc>
          <w:tcPr>
            <w:tcBorders>
              <w:top w:val="single" w:sz="4"/>
              <w:left w:val="single" w:sz="4"/>
              <w:righ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467,713,232.95</w:t>
            </w:r>
          </w:p>
        </w:tc>
      </w:tr>
      <w:tr>
        <w:trPr>
          <w:trHeight w:val="26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开发支出</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七、（十三）</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567,879,694.53</w:t>
            </w:r>
          </w:p>
        </w:tc>
        <w:tc>
          <w:tcPr>
            <w:tcBorders>
              <w:top w:val="single" w:sz="4"/>
              <w:left w:val="single" w:sz="4"/>
              <w:righ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319,446,944.47</w:t>
            </w:r>
          </w:p>
        </w:tc>
      </w:tr>
      <w:tr>
        <w:trPr>
          <w:trHeight w:val="26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商誉</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七、（十四）</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806,682,282.14</w:t>
            </w:r>
          </w:p>
        </w:tc>
        <w:tc>
          <w:tcPr>
            <w:tcBorders>
              <w:top w:val="single" w:sz="4"/>
              <w:left w:val="single" w:sz="4"/>
              <w:righ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806,682,282.14</w:t>
            </w:r>
          </w:p>
        </w:tc>
      </w:tr>
      <w:tr>
        <w:trPr>
          <w:trHeight w:val="269"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长期待摊费用</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七、（十五）</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10,451,755.39</w:t>
            </w:r>
          </w:p>
        </w:tc>
        <w:tc>
          <w:tcPr>
            <w:tcBorders>
              <w:top w:val="single" w:sz="4"/>
              <w:left w:val="single" w:sz="4"/>
              <w:righ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11,116,941.54</w:t>
            </w:r>
          </w:p>
        </w:tc>
      </w:tr>
      <w:tr>
        <w:trPr>
          <w:trHeight w:val="26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递延所得税资产</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七、（十六）</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9,265,314.32</w:t>
            </w:r>
          </w:p>
        </w:tc>
        <w:tc>
          <w:tcPr>
            <w:tcBorders>
              <w:top w:val="single" w:sz="4"/>
              <w:left w:val="single" w:sz="4"/>
              <w:righ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10,253,839.84</w:t>
            </w:r>
          </w:p>
        </w:tc>
      </w:tr>
      <w:tr>
        <w:trPr>
          <w:trHeight w:val="26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其他非流动资产</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七、（十七）</w:t>
            </w: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13,750,000.00</w:t>
            </w:r>
          </w:p>
        </w:tc>
      </w:tr>
      <w:tr>
        <w:trPr>
          <w:trHeight w:val="269"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非流动资产合计</w:t>
            </w:r>
          </w:p>
        </w:tc>
        <w:tc>
          <w:tcPr>
            <w:tcBorders>
              <w:top w:val="single" w:sz="4"/>
              <w:left w:val="single" w:sz="4"/>
            </w:tcBorders>
            <w:shd w:val="clear" w:color="auto" w:fill="FFFFFF"/>
            <w:vAlign w:val="top"/>
          </w:tcPr>
          <w:p>
            <w:pPr>
              <w:framePr w:w="9581" w:h="12346" w:vSpace="269" w:wrap="notBeside" w:vAnchor="text" w:hAnchor="text" w:x="176" w:y="270"/>
              <w:widowControl w:val="0"/>
              <w:rPr>
                <w:sz w:val="10"/>
                <w:szCs w:val="10"/>
              </w:rPr>
            </w:pP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b/>
                <w:bCs/>
                <w:color w:val="000000"/>
                <w:spacing w:val="0"/>
                <w:w w:val="100"/>
                <w:position w:val="0"/>
                <w:sz w:val="18"/>
                <w:szCs w:val="18"/>
              </w:rPr>
              <w:t>2,228,131,140.76</w:t>
            </w:r>
          </w:p>
        </w:tc>
        <w:tc>
          <w:tcPr>
            <w:tcBorders>
              <w:top w:val="single" w:sz="4"/>
              <w:left w:val="single" w:sz="4"/>
              <w:righ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b/>
                <w:bCs/>
                <w:color w:val="000000"/>
                <w:spacing w:val="0"/>
                <w:w w:val="100"/>
                <w:position w:val="0"/>
                <w:sz w:val="18"/>
                <w:szCs w:val="18"/>
              </w:rPr>
              <w:t>2,050,383,412.68</w:t>
            </w:r>
          </w:p>
        </w:tc>
      </w:tr>
      <w:tr>
        <w:trPr>
          <w:trHeight w:val="264" w:hRule="exact"/>
        </w:trPr>
        <w:tc>
          <w:tcPr>
            <w:tcBorders>
              <w:top w:val="single" w:sz="4"/>
              <w:left w:val="single" w:sz="4"/>
            </w:tcBorders>
            <w:shd w:val="clear" w:color="auto" w:fill="D3D3D3"/>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资产总计</w:t>
            </w:r>
          </w:p>
        </w:tc>
        <w:tc>
          <w:tcPr>
            <w:tcBorders>
              <w:top w:val="single" w:sz="4"/>
              <w:left w:val="single" w:sz="4"/>
            </w:tcBorders>
            <w:shd w:val="clear" w:color="auto" w:fill="FFFFFF"/>
            <w:vAlign w:val="top"/>
          </w:tcPr>
          <w:p>
            <w:pPr>
              <w:framePr w:w="9581" w:h="12346" w:vSpace="269" w:wrap="notBeside" w:vAnchor="text" w:hAnchor="text" w:x="176" w:y="270"/>
              <w:widowControl w:val="0"/>
              <w:rPr>
                <w:sz w:val="10"/>
                <w:szCs w:val="10"/>
              </w:rPr>
            </w:pPr>
          </w:p>
        </w:tc>
        <w:tc>
          <w:tcPr>
            <w:tcBorders>
              <w:top w:val="single" w:sz="4"/>
              <w:lef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b/>
                <w:bCs/>
                <w:color w:val="000000"/>
                <w:spacing w:val="0"/>
                <w:w w:val="100"/>
                <w:position w:val="0"/>
                <w:sz w:val="18"/>
                <w:szCs w:val="18"/>
              </w:rPr>
              <w:t>4,466,612,123.14</w:t>
            </w:r>
          </w:p>
        </w:tc>
        <w:tc>
          <w:tcPr>
            <w:tcBorders>
              <w:top w:val="single" w:sz="4"/>
              <w:left w:val="single" w:sz="4"/>
              <w:right w:val="single" w:sz="4"/>
            </w:tcBorders>
            <w:shd w:val="clear" w:color="auto" w:fill="FFFFFF"/>
            <w:vAlign w:val="center"/>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b/>
                <w:bCs/>
                <w:color w:val="000000"/>
                <w:spacing w:val="0"/>
                <w:w w:val="100"/>
                <w:position w:val="0"/>
                <w:sz w:val="18"/>
                <w:szCs w:val="18"/>
              </w:rPr>
              <w:t>4,129,445,552.21</w:t>
            </w:r>
          </w:p>
        </w:tc>
      </w:tr>
      <w:tr>
        <w:trPr>
          <w:trHeight w:val="235" w:hRule="exact"/>
        </w:trPr>
        <w:tc>
          <w:tcPr>
            <w:tcBorders>
              <w:top w:val="single" w:sz="4"/>
              <w:left w:val="single" w:sz="4"/>
            </w:tcBorders>
            <w:shd w:val="clear" w:color="auto" w:fill="D3D3D3"/>
            <w:vAlign w:val="top"/>
          </w:tcPr>
          <w:p>
            <w:pPr>
              <w:framePr w:w="9581" w:h="12346" w:vSpace="269" w:wrap="notBeside" w:vAnchor="text" w:hAnchor="text" w:x="176" w:y="270"/>
              <w:widowControl w:val="0"/>
              <w:rPr>
                <w:sz w:val="10"/>
                <w:szCs w:val="10"/>
              </w:rPr>
            </w:pPr>
          </w:p>
        </w:tc>
        <w:tc>
          <w:tcPr>
            <w:tcBorders>
              <w:top w:val="single" w:sz="4"/>
              <w:left w:val="single" w:sz="4"/>
            </w:tcBorders>
            <w:shd w:val="clear" w:color="auto" w:fill="D3D3D3"/>
            <w:vAlign w:val="top"/>
          </w:tcPr>
          <w:p>
            <w:pPr>
              <w:framePr w:w="9581" w:h="12346" w:vSpace="269" w:wrap="notBeside" w:vAnchor="text" w:hAnchor="text" w:x="176" w:y="270"/>
              <w:widowControl w:val="0"/>
              <w:rPr>
                <w:sz w:val="10"/>
                <w:szCs w:val="10"/>
              </w:rPr>
            </w:pPr>
          </w:p>
        </w:tc>
        <w:tc>
          <w:tcPr>
            <w:tcBorders>
              <w:top w:val="single" w:sz="4"/>
              <w:left w:val="single" w:sz="4"/>
            </w:tcBorders>
            <w:shd w:val="clear" w:color="auto" w:fill="D3D3D3"/>
            <w:vAlign w:val="top"/>
          </w:tcPr>
          <w:p>
            <w:pPr>
              <w:framePr w:w="9581" w:h="12346" w:vSpace="269" w:wrap="notBeside" w:vAnchor="text" w:hAnchor="text" w:x="176" w:y="270"/>
              <w:widowControl w:val="0"/>
              <w:rPr>
                <w:sz w:val="10"/>
                <w:szCs w:val="10"/>
              </w:rPr>
            </w:pPr>
          </w:p>
        </w:tc>
        <w:tc>
          <w:tcPr>
            <w:tcBorders>
              <w:top w:val="single" w:sz="4"/>
              <w:left w:val="single" w:sz="4"/>
              <w:right w:val="single" w:sz="4"/>
            </w:tcBorders>
            <w:shd w:val="clear" w:color="auto" w:fill="D3D3D3"/>
            <w:vAlign w:val="top"/>
          </w:tcPr>
          <w:p>
            <w:pPr>
              <w:framePr w:w="9581" w:h="12346" w:vSpace="269" w:wrap="notBeside" w:vAnchor="text" w:hAnchor="text" w:x="176" w:y="270"/>
              <w:widowControl w:val="0"/>
              <w:rPr>
                <w:sz w:val="10"/>
                <w:szCs w:val="10"/>
              </w:rPr>
            </w:pPr>
          </w:p>
        </w:tc>
      </w:tr>
      <w:tr>
        <w:trPr>
          <w:trHeight w:val="245" w:hRule="exact"/>
        </w:trPr>
        <w:tc>
          <w:tcPr>
            <w:tcBorders>
              <w:top w:val="single" w:sz="4"/>
              <w:left w:val="single" w:sz="4"/>
            </w:tcBorders>
            <w:shd w:val="clear" w:color="auto" w:fill="D3D3D3"/>
            <w:vAlign w:val="top"/>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流动负债：</w:t>
            </w:r>
          </w:p>
        </w:tc>
        <w:tc>
          <w:tcPr>
            <w:tcBorders>
              <w:top w:val="single" w:sz="4"/>
              <w:left w:val="single" w:sz="4"/>
            </w:tcBorders>
            <w:shd w:val="clear" w:color="auto" w:fill="D3D3D3"/>
            <w:vAlign w:val="top"/>
          </w:tcPr>
          <w:p>
            <w:pPr>
              <w:framePr w:w="9581" w:h="12346" w:vSpace="269" w:wrap="notBeside" w:vAnchor="text" w:hAnchor="text" w:x="176" w:y="270"/>
              <w:widowControl w:val="0"/>
              <w:rPr>
                <w:sz w:val="10"/>
                <w:szCs w:val="10"/>
              </w:rPr>
            </w:pPr>
          </w:p>
        </w:tc>
        <w:tc>
          <w:tcPr>
            <w:tcBorders>
              <w:top w:val="single" w:sz="4"/>
              <w:left w:val="single" w:sz="4"/>
            </w:tcBorders>
            <w:shd w:val="clear" w:color="auto" w:fill="D3D3D3"/>
            <w:vAlign w:val="top"/>
          </w:tcPr>
          <w:p>
            <w:pPr>
              <w:framePr w:w="9581" w:h="12346" w:vSpace="269" w:wrap="notBeside" w:vAnchor="text" w:hAnchor="text" w:x="176" w:y="270"/>
              <w:widowControl w:val="0"/>
              <w:rPr>
                <w:sz w:val="10"/>
                <w:szCs w:val="10"/>
              </w:rPr>
            </w:pPr>
          </w:p>
        </w:tc>
        <w:tc>
          <w:tcPr>
            <w:tcBorders>
              <w:top w:val="single" w:sz="4"/>
              <w:left w:val="single" w:sz="4"/>
              <w:right w:val="single" w:sz="4"/>
            </w:tcBorders>
            <w:shd w:val="clear" w:color="auto" w:fill="D3D3D3"/>
            <w:vAlign w:val="top"/>
          </w:tcPr>
          <w:p>
            <w:pPr>
              <w:framePr w:w="9581" w:h="12346" w:vSpace="269" w:wrap="notBeside" w:vAnchor="text" w:hAnchor="text" w:x="176" w:y="270"/>
              <w:widowControl w:val="0"/>
              <w:rPr>
                <w:sz w:val="10"/>
                <w:szCs w:val="10"/>
              </w:rPr>
            </w:pPr>
          </w:p>
        </w:tc>
      </w:tr>
      <w:tr>
        <w:trPr>
          <w:trHeight w:val="250" w:hRule="exact"/>
        </w:trPr>
        <w:tc>
          <w:tcPr>
            <w:tcBorders>
              <w:top w:val="single" w:sz="4"/>
              <w:left w:val="single" w:sz="4"/>
              <w:bottom w:val="single" w:sz="4"/>
            </w:tcBorders>
            <w:shd w:val="clear" w:color="auto" w:fill="D3D3D3"/>
            <w:vAlign w:val="bottom"/>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短期借款</w:t>
            </w:r>
          </w:p>
        </w:tc>
        <w:tc>
          <w:tcPr>
            <w:tcBorders>
              <w:top w:val="single" w:sz="4"/>
              <w:left w:val="single" w:sz="4"/>
              <w:bottom w:val="single" w:sz="4"/>
            </w:tcBorders>
            <w:shd w:val="clear" w:color="auto" w:fill="FFFFFF"/>
            <w:vAlign w:val="bottom"/>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七、（十八）</w:t>
            </w:r>
          </w:p>
        </w:tc>
        <w:tc>
          <w:tcPr>
            <w:tcBorders>
              <w:top w:val="single" w:sz="4"/>
              <w:left w:val="single" w:sz="4"/>
              <w:bottom w:val="single" w:sz="4"/>
            </w:tcBorders>
            <w:shd w:val="clear" w:color="auto" w:fill="FFFFFF"/>
            <w:vAlign w:val="bottom"/>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bottom w:val="single" w:sz="4"/>
              <w:right w:val="single" w:sz="4"/>
            </w:tcBorders>
            <w:shd w:val="clear" w:color="auto" w:fill="FFFFFF"/>
            <w:vAlign w:val="bottom"/>
          </w:tcPr>
          <w:p>
            <w:pPr>
              <w:pStyle w:val="Style2"/>
              <w:keepNext w:val="0"/>
              <w:keepLines w:val="0"/>
              <w:framePr w:w="9581" w:h="12346" w:vSpace="269" w:wrap="notBeside" w:vAnchor="text" w:hAnchor="text" w:x="176" w:y="27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bl>
    <w:p>
      <w:pPr>
        <w:pStyle w:val="Style33"/>
        <w:keepNext w:val="0"/>
        <w:keepLines w:val="0"/>
        <w:framePr w:w="2750" w:h="235" w:hSpace="175" w:wrap="notBeside" w:vAnchor="text" w:hAnchor="text" w:x="310" w:y="1"/>
        <w:widowControl w:val="0"/>
        <w:shd w:val="clear" w:color="auto" w:fill="auto"/>
        <w:bidi w:val="0"/>
        <w:spacing w:before="0" w:after="0" w:line="240" w:lineRule="auto"/>
        <w:ind w:left="0" w:right="0" w:firstLine="0"/>
        <w:jc w:val="left"/>
      </w:pPr>
      <w:r>
        <w:rPr>
          <w:b/>
          <w:bCs/>
          <w:color w:val="000000"/>
          <w:spacing w:val="0"/>
          <w:w w:val="100"/>
          <w:position w:val="0"/>
        </w:rPr>
        <w:t>编制单位：紫光国芯股份有限公司</w:t>
      </w:r>
    </w:p>
    <w:p>
      <w:pPr>
        <w:pStyle w:val="Style33"/>
        <w:keepNext w:val="0"/>
        <w:keepLines w:val="0"/>
        <w:framePr w:w="1536" w:h="235" w:hSpace="175" w:wrap="notBeside" w:vAnchor="text" w:hAnchor="text" w:x="4405" w:y="1"/>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p>
      <w:pPr>
        <w:pStyle w:val="Style33"/>
        <w:keepNext w:val="0"/>
        <w:keepLines w:val="0"/>
        <w:framePr w:w="2026" w:h="235" w:hSpace="175" w:wrap="notBeside" w:vAnchor="text" w:hAnchor="text" w:x="7534" w:y="1"/>
        <w:widowControl w:val="0"/>
        <w:shd w:val="clear" w:color="auto" w:fill="auto"/>
        <w:bidi w:val="0"/>
        <w:spacing w:before="0" w:after="0" w:line="240" w:lineRule="auto"/>
        <w:ind w:left="0" w:right="0" w:firstLine="0"/>
        <w:jc w:val="left"/>
      </w:pPr>
      <w:r>
        <w:rPr>
          <w:b/>
          <w:bCs/>
          <w:color w:val="000000"/>
          <w:spacing w:val="0"/>
          <w:w w:val="100"/>
          <w:position w:val="0"/>
        </w:rPr>
        <w:t>单位：元币种：人民币</w:t>
      </w:r>
    </w:p>
    <w:p>
      <w:pPr>
        <w:widowControl w:val="0"/>
        <w:spacing w:line="1" w:lineRule="exact"/>
        <w:sectPr>
          <w:footnotePr>
            <w:pos w:val="pageBottom"/>
            <w:numFmt w:val="decimal"/>
            <w:numRestart w:val="continuous"/>
          </w:footnotePr>
          <w:pgSz w:w="11900" w:h="16840"/>
          <w:pgMar w:top="1412" w:right="976" w:bottom="1441" w:left="992" w:header="0" w:footer="3" w:gutter="0"/>
          <w:cols w:space="720"/>
          <w:noEndnote/>
          <w:rtlGutter w:val="0"/>
          <w:docGrid w:linePitch="360"/>
        </w:sectPr>
      </w:pPr>
    </w:p>
    <w:tbl>
      <w:tblPr>
        <w:tblOverlap w:val="never"/>
        <w:jc w:val="center"/>
        <w:tblLayout w:type="fixed"/>
      </w:tblPr>
      <w:tblGrid>
        <w:gridCol w:w="3408"/>
        <w:gridCol w:w="1133"/>
        <w:gridCol w:w="2515"/>
        <w:gridCol w:w="2525"/>
      </w:tblGrid>
      <w:tr>
        <w:trPr>
          <w:trHeight w:val="24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380"/>
              <w:jc w:val="left"/>
              <w:rPr>
                <w:sz w:val="16"/>
                <w:szCs w:val="16"/>
              </w:rPr>
            </w:pPr>
            <w:r>
              <w:rPr>
                <w:color w:val="000000"/>
                <w:spacing w:val="0"/>
                <w:w w:val="100"/>
                <w:position w:val="0"/>
                <w:sz w:val="16"/>
                <w:szCs w:val="16"/>
              </w:rPr>
              <w:t>以公允价值计量且其变动计入当期损 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应付票据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七、（十九）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148,201,971.23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283,454,542.29</w:t>
            </w:r>
          </w:p>
        </w:tc>
      </w:tr>
      <w:tr>
        <w:trPr>
          <w:trHeight w:val="24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七、（二十）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162,056,947.36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161,235,204.37</w:t>
            </w:r>
          </w:p>
        </w:tc>
      </w:tr>
      <w:tr>
        <w:trPr>
          <w:trHeight w:val="24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预收款项</w:t>
            </w:r>
          </w:p>
        </w:tc>
        <w:tc>
          <w:tcPr>
            <w:tcBorders>
              <w:top w:val="single" w:sz="4"/>
              <w:left w:val="single" w:sz="4"/>
            </w:tcBorders>
            <w:shd w:val="clear" w:color="auto" w:fill="FFFFFF"/>
            <w:vAlign w:val="bottom"/>
          </w:tcPr>
          <w:p>
            <w:pPr>
              <w:pStyle w:val="Style2"/>
              <w:keepNext w:val="0"/>
              <w:keepLines w:val="0"/>
              <w:widowControl w:val="0"/>
              <w:shd w:val="clear" w:color="auto" w:fill="auto"/>
              <w:tabs>
                <w:tab w:pos="701" w:val="left"/>
              </w:tabs>
              <w:bidi w:val="0"/>
              <w:spacing w:before="0" w:after="0" w:line="240" w:lineRule="auto"/>
              <w:ind w:left="0" w:right="0" w:firstLine="0"/>
              <w:jc w:val="both"/>
              <w:rPr>
                <w:sz w:val="16"/>
                <w:szCs w:val="16"/>
              </w:rPr>
            </w:pPr>
            <w:r>
              <w:rPr>
                <w:color w:val="000000"/>
                <w:spacing w:val="0"/>
                <w:w w:val="100"/>
                <w:position w:val="0"/>
                <w:sz w:val="16"/>
                <w:szCs w:val="16"/>
              </w:rPr>
              <w:t>七、（二</w:t>
              <w:tab/>
              <w:t>^一）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4,237,022.56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4,469,577.64</w:t>
            </w:r>
          </w:p>
        </w:tc>
      </w:tr>
      <w:tr>
        <w:trPr>
          <w:trHeight w:val="24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七、（二十二）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103,283,453.58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73,100,363.57</w:t>
            </w:r>
          </w:p>
        </w:tc>
      </w:tr>
      <w:tr>
        <w:trPr>
          <w:trHeight w:val="24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应交税费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七、（二十三）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27,641,807.86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43,714,380.91</w:t>
            </w:r>
          </w:p>
        </w:tc>
      </w:tr>
      <w:tr>
        <w:trPr>
          <w:trHeight w:val="24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应付利息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七、（二十四）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69,781.25</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七、（二十五）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5,397,750.79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1,775,986.64</w:t>
            </w:r>
          </w:p>
        </w:tc>
      </w:tr>
      <w:tr>
        <w:trPr>
          <w:trHeight w:val="24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一年内到期的非流动负债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七、（二十六）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268,182.00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399,091.00</w:t>
            </w:r>
          </w:p>
        </w:tc>
      </w:tr>
      <w:tr>
        <w:trPr>
          <w:trHeight w:val="24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b/>
                <w:bCs/>
                <w:color w:val="000000"/>
                <w:spacing w:val="0"/>
                <w:w w:val="100"/>
                <w:position w:val="0"/>
                <w:sz w:val="18"/>
                <w:szCs w:val="18"/>
              </w:rPr>
              <w:t>581,156,916.63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598,149,146.42</w:t>
            </w:r>
          </w:p>
        </w:tc>
      </w:tr>
      <w:tr>
        <w:trPr>
          <w:trHeight w:val="24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长期借款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七、（二十七）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专项应付款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七、（二十八）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1,530,000.00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2,259,992.00</w:t>
            </w:r>
          </w:p>
        </w:tc>
      </w:tr>
      <w:tr>
        <w:trPr>
          <w:trHeight w:val="24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递延收益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七、（二十九）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578,403,213.11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574,950,525.03</w:t>
            </w:r>
          </w:p>
        </w:tc>
      </w:tr>
      <w:tr>
        <w:trPr>
          <w:trHeight w:val="24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递延所得税负债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七、（十六）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19,688,547.51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19,824,076.96</w:t>
            </w:r>
          </w:p>
        </w:tc>
      </w:tr>
      <w:tr>
        <w:trPr>
          <w:trHeight w:val="24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b/>
                <w:bCs/>
                <w:color w:val="000000"/>
                <w:spacing w:val="0"/>
                <w:w w:val="100"/>
                <w:position w:val="0"/>
                <w:sz w:val="18"/>
                <w:szCs w:val="18"/>
              </w:rPr>
              <w:t>609,621,760.62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597,034,593.99</w:t>
            </w:r>
          </w:p>
        </w:tc>
      </w:tr>
      <w:tr>
        <w:trPr>
          <w:trHeight w:val="24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b/>
                <w:bCs/>
                <w:color w:val="000000"/>
                <w:spacing w:val="0"/>
                <w:w w:val="100"/>
                <w:position w:val="0"/>
                <w:sz w:val="18"/>
                <w:szCs w:val="18"/>
              </w:rPr>
              <w:t>1,190,778,677.25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1,195,183,740.41</w:t>
            </w:r>
          </w:p>
        </w:tc>
      </w:tr>
      <w:tr>
        <w:trPr>
          <w:trHeight w:val="24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七、（三十）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606,817,968.00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606,817,968.00</w:t>
            </w:r>
          </w:p>
        </w:tc>
      </w:tr>
      <w:tr>
        <w:trPr>
          <w:trHeight w:val="24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七、（三^一）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625,440,108.41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625,440,108.41</w:t>
            </w:r>
          </w:p>
        </w:tc>
      </w:tr>
      <w:tr>
        <w:trPr>
          <w:trHeight w:val="24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其他综合收益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七、（三十二）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-11,973,222.16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-27,547,980.74</w:t>
            </w:r>
          </w:p>
        </w:tc>
      </w:tr>
      <w:tr>
        <w:trPr>
          <w:trHeight w:val="24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七、（三十三）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97,077,592.06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84,124,364.61</w:t>
            </w:r>
          </w:p>
        </w:tc>
      </w:tr>
      <w:tr>
        <w:trPr>
          <w:trHeight w:val="24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七、（三十四）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1,875,482,015.59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1,586,310,670.11</w:t>
            </w:r>
          </w:p>
        </w:tc>
      </w:tr>
      <w:tr>
        <w:trPr>
          <w:trHeight w:val="24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b/>
                <w:bCs/>
                <w:color w:val="000000"/>
                <w:spacing w:val="0"/>
                <w:w w:val="100"/>
                <w:position w:val="0"/>
                <w:sz w:val="18"/>
                <w:szCs w:val="18"/>
              </w:rPr>
              <w:t>3,192,844,461.90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2,875,145,130.39</w:t>
            </w:r>
          </w:p>
        </w:tc>
      </w:tr>
      <w:tr>
        <w:trPr>
          <w:trHeight w:val="24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82,988,983.99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59,116,681.41</w:t>
            </w:r>
          </w:p>
        </w:tc>
      </w:tr>
      <w:tr>
        <w:trPr>
          <w:trHeight w:val="24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b/>
                <w:bCs/>
                <w:color w:val="000000"/>
                <w:spacing w:val="0"/>
                <w:w w:val="100"/>
                <w:position w:val="0"/>
                <w:sz w:val="18"/>
                <w:szCs w:val="18"/>
              </w:rPr>
              <w:t>3,275,833,445.89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2,934,261,811.80</w:t>
            </w:r>
          </w:p>
        </w:tc>
      </w:tr>
      <w:tr>
        <w:trPr>
          <w:trHeight w:val="254"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b/>
                <w:bCs/>
                <w:color w:val="000000"/>
                <w:spacing w:val="0"/>
                <w:w w:val="100"/>
                <w:position w:val="0"/>
                <w:sz w:val="18"/>
                <w:szCs w:val="18"/>
              </w:rPr>
              <w:t>4,466,612,123.14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4,129,445,552.21</w:t>
            </w:r>
          </w:p>
        </w:tc>
      </w:tr>
    </w:tbl>
    <w:p>
      <w:pPr>
        <w:sectPr>
          <w:headerReference w:type="default" r:id="rId11"/>
          <w:footerReference w:type="default" r:id="rId12"/>
          <w:footnotePr>
            <w:pos w:val="pageBottom"/>
            <w:numFmt w:val="decimal"/>
            <w:numRestart w:val="continuous"/>
          </w:footnotePr>
          <w:pgSz w:w="11900" w:h="16840"/>
          <w:pgMar w:top="1441" w:right="1196" w:bottom="2103" w:left="1124" w:header="0" w:footer="3" w:gutter="0"/>
          <w:cols w:space="720"/>
          <w:noEndnote/>
          <w:rtlGutter w:val="0"/>
          <w:docGrid w:linePitch="360"/>
        </w:sectPr>
      </w:pPr>
    </w:p>
    <w:p>
      <w:pPr>
        <w:pStyle w:val="Style28"/>
        <w:keepNext/>
        <w:keepLines/>
        <w:widowControl w:val="0"/>
        <w:shd w:val="clear" w:color="auto" w:fill="auto"/>
        <w:bidi w:val="0"/>
        <w:spacing w:before="0" w:after="30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2</w:t>
      </w:r>
      <w:bookmarkEnd w:id="537"/>
      <w:r>
        <w:rPr>
          <w:color w:val="000000"/>
          <w:spacing w:val="0"/>
          <w:w w:val="100"/>
          <w:position w:val="0"/>
        </w:rPr>
        <w:t>、母公司资产负债表</w:t>
      </w:r>
      <w:bookmarkEnd w:id="535"/>
      <w:bookmarkEnd w:id="536"/>
      <w:bookmarkEnd w:id="538"/>
    </w:p>
    <w:tbl>
      <w:tblPr>
        <w:tblOverlap w:val="never"/>
        <w:jc w:val="left"/>
        <w:tblLayout w:type="fixed"/>
      </w:tblPr>
      <w:tblGrid>
        <w:gridCol w:w="3691"/>
        <w:gridCol w:w="1133"/>
        <w:gridCol w:w="2410"/>
        <w:gridCol w:w="2419"/>
      </w:tblGrid>
      <w:tr>
        <w:trPr>
          <w:trHeight w:val="326"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附注</w:t>
            </w:r>
          </w:p>
        </w:tc>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流动资产：</w:t>
            </w:r>
          </w:p>
        </w:tc>
        <w:tc>
          <w:tcPr>
            <w:tcBorders>
              <w:top w:val="single" w:sz="4"/>
              <w:left w:val="single" w:sz="4"/>
            </w:tcBorders>
            <w:shd w:val="clear" w:color="auto" w:fill="D3D3D3"/>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D3D3D3"/>
            <w:vAlign w:val="top"/>
          </w:tcPr>
          <w:p>
            <w:pPr>
              <w:framePr w:w="9653" w:h="12883" w:vSpace="355" w:wrap="notBeside" w:vAnchor="text" w:hAnchor="text" w:x="10" w:y="356"/>
              <w:widowControl w:val="0"/>
              <w:rPr>
                <w:sz w:val="10"/>
                <w:szCs w:val="10"/>
              </w:rPr>
            </w:pPr>
          </w:p>
        </w:tc>
        <w:tc>
          <w:tcPr>
            <w:tcBorders>
              <w:top w:val="single" w:sz="4"/>
              <w:left w:val="single" w:sz="4"/>
              <w:right w:val="single" w:sz="4"/>
            </w:tcBorders>
            <w:shd w:val="clear" w:color="auto" w:fill="D3D3D3"/>
            <w:vAlign w:val="top"/>
          </w:tcPr>
          <w:p>
            <w:pPr>
              <w:framePr w:w="9653" w:h="12883" w:vSpace="355" w:wrap="notBeside" w:vAnchor="text" w:hAnchor="text" w:x="10" w:y="356"/>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货币资金</w:t>
            </w: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211,837,437.45</w:t>
            </w:r>
          </w:p>
        </w:tc>
        <w:tc>
          <w:tcPr>
            <w:tcBorders>
              <w:top w:val="single" w:sz="4"/>
              <w:left w:val="single" w:sz="4"/>
              <w:righ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108,592,097.49</w:t>
            </w:r>
          </w:p>
        </w:tc>
      </w:tr>
      <w:tr>
        <w:trPr>
          <w:trHeight w:val="475" w:hRule="exact"/>
        </w:trPr>
        <w:tc>
          <w:tcPr>
            <w:tcBorders>
              <w:top w:val="single" w:sz="4"/>
              <w:left w:val="single" w:sz="4"/>
            </w:tcBorders>
            <w:shd w:val="clear" w:color="auto" w:fill="D3D3D3"/>
            <w:vAlign w:val="bottom"/>
          </w:tcPr>
          <w:p>
            <w:pPr>
              <w:pStyle w:val="Style2"/>
              <w:keepNext w:val="0"/>
              <w:keepLines w:val="0"/>
              <w:framePr w:w="9653" w:h="12883" w:vSpace="355" w:wrap="notBeside" w:vAnchor="text" w:hAnchor="text" w:x="10" w:y="356"/>
              <w:widowControl w:val="0"/>
              <w:shd w:val="clear" w:color="auto" w:fill="auto"/>
              <w:bidi w:val="0"/>
              <w:spacing w:before="0" w:after="0" w:line="235" w:lineRule="exact"/>
              <w:ind w:left="0" w:right="0" w:firstLine="380"/>
              <w:jc w:val="left"/>
              <w:rPr>
                <w:sz w:val="16"/>
                <w:szCs w:val="16"/>
              </w:rPr>
            </w:pPr>
            <w:r>
              <w:rPr>
                <w:color w:val="000000"/>
                <w:spacing w:val="0"/>
                <w:w w:val="100"/>
                <w:position w:val="0"/>
                <w:sz w:val="16"/>
                <w:szCs w:val="16"/>
              </w:rPr>
              <w:t>以公允价值计量且其变动计入当期损益的 金融资产</w:t>
            </w: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衍生金融资产</w:t>
            </w: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应收票据</w:t>
            </w: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2,552,609.94</w:t>
            </w:r>
          </w:p>
        </w:tc>
      </w:tr>
      <w:tr>
        <w:trPr>
          <w:trHeight w:val="326"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十六、（一）</w:t>
            </w:r>
          </w:p>
        </w:tc>
        <w:tc>
          <w:tcPr>
            <w:tcBorders>
              <w:top w:val="single" w:sz="4"/>
              <w:lef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9,542,059.51</w:t>
            </w:r>
          </w:p>
        </w:tc>
        <w:tc>
          <w:tcPr>
            <w:tcBorders>
              <w:top w:val="single" w:sz="4"/>
              <w:left w:val="single" w:sz="4"/>
              <w:righ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39,077,177.12</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预付款项</w:t>
            </w: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110,236.70</w:t>
            </w:r>
          </w:p>
        </w:tc>
        <w:tc>
          <w:tcPr>
            <w:tcBorders>
              <w:top w:val="single" w:sz="4"/>
              <w:left w:val="single" w:sz="4"/>
              <w:righ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3,051,455.79</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应收利息</w:t>
            </w: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应收股利</w:t>
            </w: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十六、（二）</w:t>
            </w:r>
          </w:p>
        </w:tc>
        <w:tc>
          <w:tcPr>
            <w:tcBorders>
              <w:top w:val="single" w:sz="4"/>
              <w:lef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9,548,446.00</w:t>
            </w:r>
          </w:p>
        </w:tc>
        <w:tc>
          <w:tcPr>
            <w:tcBorders>
              <w:top w:val="single" w:sz="4"/>
              <w:left w:val="single" w:sz="4"/>
              <w:righ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10,470,298.72</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存货</w:t>
            </w: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71,545,689.04</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划分为持有待售的资产</w:t>
            </w: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一年内到期的非流动资产</w:t>
            </w: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其他流动资产</w:t>
            </w: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1,403,437.98</w:t>
            </w:r>
          </w:p>
        </w:tc>
        <w:tc>
          <w:tcPr>
            <w:tcBorders>
              <w:top w:val="single" w:sz="4"/>
              <w:left w:val="single" w:sz="4"/>
              <w:righ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1,233,102.53</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流动资产合计</w:t>
            </w: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232,441,617.64</w:t>
            </w:r>
          </w:p>
        </w:tc>
        <w:tc>
          <w:tcPr>
            <w:tcBorders>
              <w:top w:val="single" w:sz="4"/>
              <w:left w:val="single" w:sz="4"/>
              <w:righ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236,522,430.63</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非流动资产：</w:t>
            </w:r>
          </w:p>
        </w:tc>
        <w:tc>
          <w:tcPr>
            <w:tcBorders>
              <w:top w:val="single" w:sz="4"/>
              <w:left w:val="single" w:sz="4"/>
            </w:tcBorders>
            <w:shd w:val="clear" w:color="auto" w:fill="D3D3D3"/>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D3D3D3"/>
            <w:vAlign w:val="top"/>
          </w:tcPr>
          <w:p>
            <w:pPr>
              <w:framePr w:w="9653" w:h="12883" w:vSpace="355" w:wrap="notBeside" w:vAnchor="text" w:hAnchor="text" w:x="10" w:y="356"/>
              <w:widowControl w:val="0"/>
              <w:rPr>
                <w:sz w:val="10"/>
                <w:szCs w:val="10"/>
              </w:rPr>
            </w:pPr>
          </w:p>
        </w:tc>
        <w:tc>
          <w:tcPr>
            <w:tcBorders>
              <w:top w:val="single" w:sz="4"/>
              <w:left w:val="single" w:sz="4"/>
              <w:right w:val="single" w:sz="4"/>
            </w:tcBorders>
            <w:shd w:val="clear" w:color="auto" w:fill="D3D3D3"/>
            <w:vAlign w:val="top"/>
          </w:tcPr>
          <w:p>
            <w:pPr>
              <w:framePr w:w="9653" w:h="12883" w:vSpace="355" w:wrap="notBeside" w:vAnchor="text" w:hAnchor="text" w:x="10" w:y="356"/>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可供出售金融资产</w:t>
            </w: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right w:val="single" w:sz="4"/>
            </w:tcBorders>
            <w:shd w:val="clear" w:color="auto" w:fill="FFFFFF"/>
            <w:vAlign w:val="top"/>
          </w:tcPr>
          <w:p>
            <w:pPr>
              <w:framePr w:w="9653" w:h="12883" w:vSpace="355" w:wrap="notBeside" w:vAnchor="text" w:hAnchor="text" w:x="10" w:y="356"/>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持有至到期投资</w:t>
            </w: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right w:val="single" w:sz="4"/>
            </w:tcBorders>
            <w:shd w:val="clear" w:color="auto" w:fill="FFFFFF"/>
            <w:vAlign w:val="top"/>
          </w:tcPr>
          <w:p>
            <w:pPr>
              <w:framePr w:w="9653" w:h="12883" w:vSpace="355" w:wrap="notBeside" w:vAnchor="text" w:hAnchor="text" w:x="10" w:y="356"/>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长期应收款</w:t>
            </w: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right w:val="single" w:sz="4"/>
            </w:tcBorders>
            <w:shd w:val="clear" w:color="auto" w:fill="FFFFFF"/>
            <w:vAlign w:val="top"/>
          </w:tcPr>
          <w:p>
            <w:pPr>
              <w:framePr w:w="9653" w:h="12883" w:vSpace="355" w:wrap="notBeside" w:vAnchor="text" w:hAnchor="text" w:x="10" w:y="356"/>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十六、（三）</w:t>
            </w:r>
          </w:p>
        </w:tc>
        <w:tc>
          <w:tcPr>
            <w:tcBorders>
              <w:top w:val="single" w:sz="4"/>
              <w:lef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2,290,511,980.32</w:t>
            </w:r>
          </w:p>
        </w:tc>
        <w:tc>
          <w:tcPr>
            <w:tcBorders>
              <w:top w:val="single" w:sz="4"/>
              <w:left w:val="single" w:sz="4"/>
              <w:righ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1,924,885,100.36</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投资性房地产</w:t>
            </w: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固定资产</w:t>
            </w: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5,856,061.16</w:t>
            </w:r>
          </w:p>
        </w:tc>
        <w:tc>
          <w:tcPr>
            <w:tcBorders>
              <w:top w:val="single" w:sz="4"/>
              <w:left w:val="single" w:sz="4"/>
              <w:righ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247,120,359.17</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在建工程</w:t>
            </w: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工程物资</w:t>
            </w: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固定资产清理</w:t>
            </w: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生产性生物资产</w:t>
            </w: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right w:val="single" w:sz="4"/>
            </w:tcBorders>
            <w:shd w:val="clear" w:color="auto" w:fill="FFFFFF"/>
            <w:vAlign w:val="top"/>
          </w:tcPr>
          <w:p>
            <w:pPr>
              <w:framePr w:w="9653" w:h="12883" w:vSpace="355" w:wrap="notBeside" w:vAnchor="text" w:hAnchor="text" w:x="10" w:y="356"/>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油气资产</w:t>
            </w: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right w:val="single" w:sz="4"/>
            </w:tcBorders>
            <w:shd w:val="clear" w:color="auto" w:fill="FFFFFF"/>
            <w:vAlign w:val="top"/>
          </w:tcPr>
          <w:p>
            <w:pPr>
              <w:framePr w:w="9653" w:h="12883" w:vSpace="355" w:wrap="notBeside" w:vAnchor="text" w:hAnchor="text" w:x="10" w:y="356"/>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无形资产</w:t>
            </w: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512,166.71</w:t>
            </w:r>
          </w:p>
        </w:tc>
        <w:tc>
          <w:tcPr>
            <w:tcBorders>
              <w:top w:val="single" w:sz="4"/>
              <w:left w:val="single" w:sz="4"/>
              <w:righ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9,739,247.10</w:t>
            </w:r>
          </w:p>
        </w:tc>
      </w:tr>
      <w:tr>
        <w:trPr>
          <w:trHeight w:val="326"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开发支出</w:t>
            </w: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6,603,773.60</w:t>
            </w:r>
          </w:p>
        </w:tc>
        <w:tc>
          <w:tcPr>
            <w:tcBorders>
              <w:top w:val="single" w:sz="4"/>
              <w:left w:val="single" w:sz="4"/>
              <w:righ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2,358,490.57</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商誉</w:t>
            </w: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长期待摊费用</w:t>
            </w: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2,965,533.00</w:t>
            </w:r>
          </w:p>
        </w:tc>
        <w:tc>
          <w:tcPr>
            <w:tcBorders>
              <w:top w:val="single" w:sz="4"/>
              <w:left w:val="single" w:sz="4"/>
              <w:righ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3,394,289.88</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递延所得税资产</w:t>
            </w: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1,505,158.66</w:t>
            </w:r>
          </w:p>
        </w:tc>
        <w:tc>
          <w:tcPr>
            <w:tcBorders>
              <w:top w:val="single" w:sz="4"/>
              <w:left w:val="single" w:sz="4"/>
              <w:righ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3,279,074.59</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其他非流动资产</w:t>
            </w: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13,750,000.00</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非流动资产合计</w:t>
            </w: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b/>
                <w:bCs/>
                <w:color w:val="000000"/>
                <w:spacing w:val="0"/>
                <w:w w:val="100"/>
                <w:position w:val="0"/>
                <w:sz w:val="18"/>
                <w:szCs w:val="18"/>
              </w:rPr>
              <w:t>2,307,954,673.45</w:t>
            </w:r>
          </w:p>
        </w:tc>
        <w:tc>
          <w:tcPr>
            <w:tcBorders>
              <w:top w:val="single" w:sz="4"/>
              <w:left w:val="single" w:sz="4"/>
              <w:righ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b/>
                <w:bCs/>
                <w:color w:val="000000"/>
                <w:spacing w:val="0"/>
                <w:w w:val="100"/>
                <w:position w:val="0"/>
                <w:sz w:val="18"/>
                <w:szCs w:val="18"/>
              </w:rPr>
              <w:t>2,204,526,561.67</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资产总计</w:t>
            </w: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b/>
                <w:bCs/>
                <w:color w:val="000000"/>
                <w:spacing w:val="0"/>
                <w:w w:val="100"/>
                <w:position w:val="0"/>
                <w:sz w:val="18"/>
                <w:szCs w:val="18"/>
              </w:rPr>
              <w:t>2,540,396,291.09</w:t>
            </w:r>
          </w:p>
        </w:tc>
        <w:tc>
          <w:tcPr>
            <w:tcBorders>
              <w:top w:val="single" w:sz="4"/>
              <w:left w:val="single" w:sz="4"/>
              <w:right w:val="single" w:sz="4"/>
            </w:tcBorders>
            <w:shd w:val="clear" w:color="auto" w:fill="FFFFFF"/>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b/>
                <w:bCs/>
                <w:color w:val="000000"/>
                <w:spacing w:val="0"/>
                <w:w w:val="100"/>
                <w:position w:val="0"/>
                <w:sz w:val="18"/>
                <w:szCs w:val="18"/>
              </w:rPr>
              <w:t>2,441,048,992.30</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流动负债：</w:t>
            </w:r>
          </w:p>
        </w:tc>
        <w:tc>
          <w:tcPr>
            <w:tcBorders>
              <w:top w:val="single" w:sz="4"/>
              <w:left w:val="single" w:sz="4"/>
            </w:tcBorders>
            <w:shd w:val="clear" w:color="auto" w:fill="D3D3D3"/>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D3D3D3"/>
            <w:vAlign w:val="top"/>
          </w:tcPr>
          <w:p>
            <w:pPr>
              <w:framePr w:w="9653" w:h="12883" w:vSpace="355" w:wrap="notBeside" w:vAnchor="text" w:hAnchor="text" w:x="10" w:y="356"/>
              <w:widowControl w:val="0"/>
              <w:rPr>
                <w:sz w:val="10"/>
                <w:szCs w:val="10"/>
              </w:rPr>
            </w:pPr>
          </w:p>
        </w:tc>
        <w:tc>
          <w:tcPr>
            <w:tcBorders>
              <w:top w:val="single" w:sz="4"/>
              <w:left w:val="single" w:sz="4"/>
              <w:right w:val="single" w:sz="4"/>
            </w:tcBorders>
            <w:shd w:val="clear" w:color="auto" w:fill="D3D3D3"/>
            <w:vAlign w:val="top"/>
          </w:tcPr>
          <w:p>
            <w:pPr>
              <w:framePr w:w="9653" w:h="12883" w:vSpace="355" w:wrap="notBeside" w:vAnchor="text" w:hAnchor="text" w:x="10" w:y="356"/>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短期借款</w:t>
            </w: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right w:val="single" w:sz="4"/>
            </w:tcBorders>
            <w:shd w:val="clear" w:color="auto" w:fill="FFFFFF"/>
            <w:vAlign w:val="top"/>
          </w:tcPr>
          <w:p>
            <w:pPr>
              <w:framePr w:w="9653" w:h="12883" w:vSpace="355" w:wrap="notBeside" w:vAnchor="text" w:hAnchor="text" w:x="10" w:y="356"/>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2"/>
              <w:keepNext w:val="0"/>
              <w:keepLines w:val="0"/>
              <w:framePr w:w="9653" w:h="12883" w:vSpace="355" w:wrap="notBeside" w:vAnchor="text" w:hAnchor="text" w:x="10" w:y="356"/>
              <w:widowControl w:val="0"/>
              <w:shd w:val="clear" w:color="auto" w:fill="auto"/>
              <w:bidi w:val="0"/>
              <w:spacing w:before="0" w:after="0" w:line="235" w:lineRule="exact"/>
              <w:ind w:left="0" w:right="0" w:firstLine="220"/>
              <w:jc w:val="left"/>
              <w:rPr>
                <w:sz w:val="16"/>
                <w:szCs w:val="16"/>
              </w:rPr>
            </w:pPr>
            <w:r>
              <w:rPr>
                <w:color w:val="000000"/>
                <w:spacing w:val="0"/>
                <w:w w:val="100"/>
                <w:position w:val="0"/>
                <w:sz w:val="16"/>
                <w:szCs w:val="16"/>
              </w:rPr>
              <w:t>一以公允价值计量且其变动计入当期损益的 金融负债</w:t>
            </w:r>
          </w:p>
        </w:tc>
        <w:tc>
          <w:tcPr>
            <w:tcBorders>
              <w:top w:val="single" w:sz="4"/>
              <w:left w:val="single" w:sz="4"/>
              <w:bottom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bottom w:val="single" w:sz="4"/>
            </w:tcBorders>
            <w:shd w:val="clear" w:color="auto" w:fill="FFFFFF"/>
            <w:vAlign w:val="top"/>
          </w:tcPr>
          <w:p>
            <w:pPr>
              <w:framePr w:w="9653" w:h="12883" w:vSpace="355" w:wrap="notBeside" w:vAnchor="text" w:hAnchor="text" w:x="10" w:y="356"/>
              <w:widowControl w:val="0"/>
              <w:rPr>
                <w:sz w:val="10"/>
                <w:szCs w:val="10"/>
              </w:rPr>
            </w:pPr>
          </w:p>
        </w:tc>
        <w:tc>
          <w:tcPr>
            <w:tcBorders>
              <w:top w:val="single" w:sz="4"/>
              <w:left w:val="single" w:sz="4"/>
              <w:bottom w:val="single" w:sz="4"/>
              <w:right w:val="single" w:sz="4"/>
            </w:tcBorders>
            <w:shd w:val="clear" w:color="auto" w:fill="FFFFFF"/>
            <w:vAlign w:val="top"/>
          </w:tcPr>
          <w:p>
            <w:pPr>
              <w:framePr w:w="9653" w:h="12883" w:vSpace="355" w:wrap="notBeside" w:vAnchor="text" w:hAnchor="text" w:x="10" w:y="356"/>
              <w:widowControl w:val="0"/>
              <w:rPr>
                <w:sz w:val="10"/>
                <w:szCs w:val="10"/>
              </w:rPr>
            </w:pPr>
          </w:p>
        </w:tc>
      </w:tr>
    </w:tbl>
    <w:p>
      <w:pPr>
        <w:pStyle w:val="Style33"/>
        <w:keepNext w:val="0"/>
        <w:keepLines w:val="0"/>
        <w:framePr w:w="2755" w:h="240" w:hSpace="9" w:wrap="notBeside" w:vAnchor="text" w:hAnchor="text" w:x="144" w:y="1"/>
        <w:widowControl w:val="0"/>
        <w:shd w:val="clear" w:color="auto" w:fill="auto"/>
        <w:bidi w:val="0"/>
        <w:spacing w:before="0" w:after="0" w:line="240" w:lineRule="auto"/>
        <w:ind w:left="0" w:right="0" w:firstLine="0"/>
        <w:jc w:val="left"/>
      </w:pPr>
      <w:r>
        <w:rPr>
          <w:b/>
          <w:bCs/>
          <w:color w:val="000000"/>
          <w:spacing w:val="0"/>
          <w:w w:val="100"/>
          <w:position w:val="0"/>
        </w:rPr>
        <w:t>编制单位：紫光国芯股份有限公司</w:t>
      </w:r>
    </w:p>
    <w:p>
      <w:pPr>
        <w:pStyle w:val="Style33"/>
        <w:keepNext w:val="0"/>
        <w:keepLines w:val="0"/>
        <w:framePr w:w="1536" w:h="240" w:hSpace="9" w:wrap="notBeside" w:vAnchor="text" w:hAnchor="text" w:x="423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p>
      <w:pPr>
        <w:pStyle w:val="Style33"/>
        <w:keepNext w:val="0"/>
        <w:keepLines w:val="0"/>
        <w:framePr w:w="2030" w:h="235" w:hSpace="9" w:wrap="notBeside" w:vAnchor="text" w:hAnchor="text" w:x="7224" w:y="1"/>
        <w:widowControl w:val="0"/>
        <w:shd w:val="clear" w:color="auto" w:fill="auto"/>
        <w:bidi w:val="0"/>
        <w:spacing w:before="0" w:after="0" w:line="240" w:lineRule="auto"/>
        <w:ind w:left="0" w:right="0" w:firstLine="0"/>
        <w:jc w:val="left"/>
      </w:pPr>
      <w:r>
        <w:rPr>
          <w:b/>
          <w:bCs/>
          <w:color w:val="000000"/>
          <w:spacing w:val="0"/>
          <w:w w:val="100"/>
          <w:position w:val="0"/>
        </w:rPr>
        <w:t>单位：元币种：人民币</w:t>
      </w:r>
    </w:p>
    <w:p>
      <w:pPr>
        <w:widowControl w:val="0"/>
        <w:spacing w:line="1" w:lineRule="exact"/>
      </w:pPr>
      <w:r>
        <w:br w:type="page"/>
      </w:r>
    </w:p>
    <w:tbl>
      <w:tblPr>
        <w:tblOverlap w:val="never"/>
        <w:jc w:val="left"/>
        <w:tblLayout w:type="fixed"/>
      </w:tblPr>
      <w:tblGrid>
        <w:gridCol w:w="3691"/>
        <w:gridCol w:w="1133"/>
        <w:gridCol w:w="2410"/>
        <w:gridCol w:w="2419"/>
      </w:tblGrid>
      <w:tr>
        <w:trPr>
          <w:trHeight w:val="326"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衍生金融负债</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9653" w:h="12893" w:hSpace="19" w:vSpace="360" w:wrap="notBeside" w:vAnchor="text" w:hAnchor="text" w:x="20"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应付票据</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9653" w:h="12893" w:hSpace="19" w:vSpace="360" w:wrap="notBeside" w:vAnchor="text" w:hAnchor="text" w:x="20"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应付账款</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16,940,830.11</w:t>
            </w:r>
          </w:p>
        </w:tc>
        <w:tc>
          <w:tcPr>
            <w:tcBorders>
              <w:top w:val="single" w:sz="4"/>
              <w:left w:val="single" w:sz="4"/>
              <w:righ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33,905,607.85</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预收款项</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17,481.24</w:t>
            </w:r>
          </w:p>
        </w:tc>
        <w:tc>
          <w:tcPr>
            <w:tcBorders>
              <w:top w:val="single" w:sz="4"/>
              <w:left w:val="single" w:sz="4"/>
              <w:righ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197,745.88</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应付职工薪酬</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82,670.88</w:t>
            </w:r>
          </w:p>
        </w:tc>
        <w:tc>
          <w:tcPr>
            <w:tcBorders>
              <w:top w:val="single" w:sz="4"/>
              <w:left w:val="single" w:sz="4"/>
              <w:righ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3,779,966.48</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应交税费</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1,624,027.94</w:t>
            </w:r>
          </w:p>
        </w:tc>
        <w:tc>
          <w:tcPr>
            <w:tcBorders>
              <w:top w:val="single" w:sz="4"/>
              <w:left w:val="single" w:sz="4"/>
              <w:righ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675,529.69</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应付利息</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应付股利</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其他应付款</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38,367,685.04</w:t>
            </w:r>
          </w:p>
        </w:tc>
        <w:tc>
          <w:tcPr>
            <w:tcBorders>
              <w:top w:val="single" w:sz="4"/>
              <w:left w:val="single" w:sz="4"/>
              <w:righ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232,806.13</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划分为持有待售的负债</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一年内到期的非流动负债</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399,091.00</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其他流动负债</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流动负债合计</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b/>
                <w:bCs/>
                <w:color w:val="000000"/>
                <w:spacing w:val="0"/>
                <w:w w:val="100"/>
                <w:position w:val="0"/>
                <w:sz w:val="18"/>
                <w:szCs w:val="18"/>
              </w:rPr>
              <w:t>57,032,695.21</w:t>
            </w:r>
          </w:p>
        </w:tc>
        <w:tc>
          <w:tcPr>
            <w:tcBorders>
              <w:top w:val="single" w:sz="4"/>
              <w:left w:val="single" w:sz="4"/>
              <w:righ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39,190,747.03</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非流动负债：</w:t>
            </w:r>
          </w:p>
        </w:tc>
        <w:tc>
          <w:tcPr>
            <w:tcBorders>
              <w:top w:val="single" w:sz="4"/>
              <w:left w:val="single" w:sz="4"/>
            </w:tcBorders>
            <w:shd w:val="clear" w:color="auto" w:fill="D3D3D3"/>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D3D3D3"/>
            <w:vAlign w:val="top"/>
          </w:tcPr>
          <w:p>
            <w:pPr>
              <w:framePr w:w="9653" w:h="12893" w:hSpace="19" w:vSpace="360" w:wrap="notBeside" w:vAnchor="text" w:hAnchor="text" w:x="20" w:y="1"/>
              <w:widowControl w:val="0"/>
              <w:rPr>
                <w:sz w:val="10"/>
                <w:szCs w:val="10"/>
              </w:rPr>
            </w:pPr>
          </w:p>
        </w:tc>
        <w:tc>
          <w:tcPr>
            <w:tcBorders>
              <w:top w:val="single" w:sz="4"/>
              <w:left w:val="single" w:sz="4"/>
              <w:right w:val="single" w:sz="4"/>
            </w:tcBorders>
            <w:shd w:val="clear" w:color="auto" w:fill="D3D3D3"/>
            <w:vAlign w:val="top"/>
          </w:tcPr>
          <w:p>
            <w:pPr>
              <w:framePr w:w="9653" w:h="12893" w:hSpace="19" w:vSpace="360" w:wrap="notBeside" w:vAnchor="text" w:hAnchor="text" w:x="20"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长期借款</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9653" w:h="12893" w:hSpace="19" w:vSpace="360" w:wrap="notBeside" w:vAnchor="text" w:hAnchor="text" w:x="20"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应付债券</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9653" w:h="12893" w:hSpace="19" w:vSpace="360" w:wrap="notBeside" w:vAnchor="text" w:hAnchor="text" w:x="20"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其中：优先股</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9653" w:h="12893" w:hSpace="19" w:vSpace="360" w:wrap="notBeside" w:vAnchor="text" w:hAnchor="text" w:x="20"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永续债</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9653" w:h="12893" w:hSpace="19" w:vSpace="360" w:wrap="notBeside" w:vAnchor="text" w:hAnchor="text" w:x="20"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长期应付款</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9653" w:h="12893" w:hSpace="19" w:vSpace="360" w:wrap="notBeside" w:vAnchor="text" w:hAnchor="text" w:x="20"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长期应付职工薪酬</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9653" w:h="12893" w:hSpace="19" w:vSpace="360" w:wrap="notBeside" w:vAnchor="text" w:hAnchor="text" w:x="20"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专项应付款</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9653" w:h="12893" w:hSpace="19" w:vSpace="360" w:wrap="notBeside" w:vAnchor="text" w:hAnchor="text" w:x="20"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预计负债</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9653" w:h="12893" w:hSpace="19" w:vSpace="360" w:wrap="notBeside" w:vAnchor="text" w:hAnchor="text" w:x="20"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递延收益</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14,045,117.71</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递延所得税负债</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9653" w:h="12893" w:hSpace="19" w:vSpace="360" w:wrap="notBeside" w:vAnchor="text" w:hAnchor="text" w:x="20"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其他非流动负债</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9653" w:h="12893" w:hSpace="19" w:vSpace="360" w:wrap="notBeside" w:vAnchor="text" w:hAnchor="text" w:x="20"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非流动负债合计</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14,045,117.71</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负债合计</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b/>
                <w:bCs/>
                <w:color w:val="000000"/>
                <w:spacing w:val="0"/>
                <w:w w:val="100"/>
                <w:position w:val="0"/>
                <w:sz w:val="18"/>
                <w:szCs w:val="18"/>
              </w:rPr>
              <w:t>57,032,695.21</w:t>
            </w:r>
          </w:p>
        </w:tc>
        <w:tc>
          <w:tcPr>
            <w:tcBorders>
              <w:top w:val="single" w:sz="4"/>
              <w:left w:val="single" w:sz="4"/>
              <w:righ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53,235,864.74</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所有者权益：</w:t>
            </w:r>
          </w:p>
        </w:tc>
        <w:tc>
          <w:tcPr>
            <w:tcBorders>
              <w:top w:val="single" w:sz="4"/>
              <w:left w:val="single" w:sz="4"/>
            </w:tcBorders>
            <w:shd w:val="clear" w:color="auto" w:fill="D3D3D3"/>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D3D3D3"/>
            <w:vAlign w:val="top"/>
          </w:tcPr>
          <w:p>
            <w:pPr>
              <w:framePr w:w="9653" w:h="12893" w:hSpace="19" w:vSpace="360" w:wrap="notBeside" w:vAnchor="text" w:hAnchor="text" w:x="20" w:y="1"/>
              <w:widowControl w:val="0"/>
              <w:rPr>
                <w:sz w:val="10"/>
                <w:szCs w:val="10"/>
              </w:rPr>
            </w:pPr>
          </w:p>
        </w:tc>
        <w:tc>
          <w:tcPr>
            <w:tcBorders>
              <w:top w:val="single" w:sz="4"/>
              <w:left w:val="single" w:sz="4"/>
              <w:right w:val="single" w:sz="4"/>
            </w:tcBorders>
            <w:shd w:val="clear" w:color="auto" w:fill="D3D3D3"/>
            <w:vAlign w:val="top"/>
          </w:tcPr>
          <w:p>
            <w:pPr>
              <w:framePr w:w="9653" w:h="12893" w:hSpace="19" w:vSpace="360" w:wrap="notBeside" w:vAnchor="text" w:hAnchor="text" w:x="20"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股本</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606,817,968.00</w:t>
            </w:r>
          </w:p>
        </w:tc>
        <w:tc>
          <w:tcPr>
            <w:tcBorders>
              <w:top w:val="single" w:sz="4"/>
              <w:left w:val="single" w:sz="4"/>
              <w:righ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606,817,968.00</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其他权益工具</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其中：优先股</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永续债</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资本公积</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1,219,044,082.85</w:t>
            </w:r>
          </w:p>
        </w:tc>
        <w:tc>
          <w:tcPr>
            <w:tcBorders>
              <w:top w:val="single" w:sz="4"/>
              <w:left w:val="single" w:sz="4"/>
              <w:righ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1,219,044,082.85</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减：库存股</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其他综合收益</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专项储备</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right w:val="single" w:sz="4"/>
            </w:tcBorders>
            <w:shd w:val="clear" w:color="auto" w:fill="FFFFFF"/>
            <w:vAlign w:val="top"/>
          </w:tcPr>
          <w:p>
            <w:pPr>
              <w:framePr w:w="9653" w:h="12893" w:hSpace="19" w:vSpace="360" w:wrap="notBeside" w:vAnchor="text" w:hAnchor="text" w:x="20"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盈余公积</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94,750,617.19</w:t>
            </w:r>
          </w:p>
        </w:tc>
        <w:tc>
          <w:tcPr>
            <w:tcBorders>
              <w:top w:val="single" w:sz="4"/>
              <w:left w:val="single" w:sz="4"/>
              <w:righ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81,797,389.74</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未分配利润</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562,750,927.84</w:t>
            </w:r>
          </w:p>
        </w:tc>
        <w:tc>
          <w:tcPr>
            <w:tcBorders>
              <w:top w:val="single" w:sz="4"/>
              <w:left w:val="single" w:sz="4"/>
              <w:righ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480,153,686.97</w:t>
            </w:r>
          </w:p>
        </w:tc>
      </w:tr>
      <w:tr>
        <w:trPr>
          <w:trHeight w:val="322" w:hRule="exact"/>
        </w:trPr>
        <w:tc>
          <w:tcPr>
            <w:tcBorders>
              <w:top w:val="single" w:sz="4"/>
              <w:left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所有者权益合计</w:t>
            </w:r>
          </w:p>
        </w:tc>
        <w:tc>
          <w:tcPr>
            <w:tcBorders>
              <w:top w:val="single" w:sz="4"/>
              <w:left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2,483,363,595.88</w:t>
            </w:r>
          </w:p>
        </w:tc>
        <w:tc>
          <w:tcPr>
            <w:tcBorders>
              <w:top w:val="single" w:sz="4"/>
              <w:left w:val="single" w:sz="4"/>
              <w:righ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2,387,813,127.56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负债和所有者权益总计</w:t>
            </w:r>
          </w:p>
        </w:tc>
        <w:tc>
          <w:tcPr>
            <w:tcBorders>
              <w:top w:val="single" w:sz="4"/>
              <w:left w:val="single" w:sz="4"/>
              <w:bottom w:val="single" w:sz="4"/>
            </w:tcBorders>
            <w:shd w:val="clear" w:color="auto" w:fill="FFFFFF"/>
            <w:vAlign w:val="top"/>
          </w:tcPr>
          <w:p>
            <w:pPr>
              <w:framePr w:w="9653" w:h="12893" w:hSpace="19" w:vSpace="360" w:wrap="notBeside" w:vAnchor="text" w:hAnchor="text" w:x="20" w:y="1"/>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2,540,396,291.09</w:t>
            </w:r>
          </w:p>
        </w:tc>
        <w:tc>
          <w:tcPr>
            <w:tcBorders>
              <w:top w:val="single" w:sz="4"/>
              <w:left w:val="single" w:sz="4"/>
              <w:bottom w:val="single" w:sz="4"/>
              <w:right w:val="single" w:sz="4"/>
            </w:tcBorders>
            <w:shd w:val="clear" w:color="auto" w:fill="FFFFFF"/>
            <w:vAlign w:val="center"/>
          </w:tcPr>
          <w:p>
            <w:pPr>
              <w:pStyle w:val="Style2"/>
              <w:keepNext w:val="0"/>
              <w:keepLines w:val="0"/>
              <w:framePr w:w="9653" w:h="12893" w:hSpace="19" w:vSpace="360" w:wrap="notBeside" w:vAnchor="text" w:hAnchor="text" w:x="20"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2,441,048,992.30</w:t>
            </w:r>
          </w:p>
        </w:tc>
      </w:tr>
    </w:tbl>
    <w:p>
      <w:pPr>
        <w:pStyle w:val="Style33"/>
        <w:keepNext w:val="0"/>
        <w:keepLines w:val="0"/>
        <w:framePr w:w="1670" w:h="245" w:hSpace="8002" w:wrap="notBeside" w:vAnchor="text" w:hAnchor="text" w:y="13009"/>
        <w:widowControl w:val="0"/>
        <w:shd w:val="clear" w:color="auto" w:fill="auto"/>
        <w:bidi w:val="0"/>
        <w:spacing w:before="0" w:after="0" w:line="240" w:lineRule="auto"/>
        <w:ind w:left="0" w:right="0" w:firstLine="0"/>
        <w:jc w:val="left"/>
      </w:pPr>
      <w:r>
        <w:rPr>
          <w:b/>
          <w:bCs/>
          <w:color w:val="000000"/>
          <w:spacing w:val="0"/>
          <w:w w:val="100"/>
          <w:position w:val="0"/>
        </w:rPr>
        <w:t>法定代表人：赵伟国</w:t>
      </w:r>
    </w:p>
    <w:p>
      <w:pPr>
        <w:pStyle w:val="Style33"/>
        <w:keepNext w:val="0"/>
        <w:keepLines w:val="0"/>
        <w:framePr w:w="2395" w:h="240" w:hSpace="7277" w:wrap="notBeside" w:vAnchor="text" w:hAnchor="text" w:x="3404" w:y="13009"/>
        <w:widowControl w:val="0"/>
        <w:shd w:val="clear" w:color="auto" w:fill="auto"/>
        <w:bidi w:val="0"/>
        <w:spacing w:before="0" w:after="0" w:line="240" w:lineRule="auto"/>
        <w:ind w:left="0" w:right="0" w:firstLine="0"/>
        <w:jc w:val="left"/>
      </w:pPr>
      <w:r>
        <w:rPr>
          <w:b/>
          <w:bCs/>
          <w:color w:val="000000"/>
          <w:spacing w:val="0"/>
          <w:w w:val="100"/>
          <w:position w:val="0"/>
        </w:rPr>
        <w:t>主管会计工作负责人：杨秋平</w:t>
      </w:r>
    </w:p>
    <w:p>
      <w:pPr>
        <w:pStyle w:val="Style33"/>
        <w:keepNext w:val="0"/>
        <w:keepLines w:val="0"/>
        <w:framePr w:w="2035" w:h="245" w:hSpace="7637" w:wrap="notBeside" w:vAnchor="text" w:hAnchor="text" w:x="7090" w:y="13009"/>
        <w:widowControl w:val="0"/>
        <w:shd w:val="clear" w:color="auto" w:fill="auto"/>
        <w:bidi w:val="0"/>
        <w:spacing w:before="0" w:after="0" w:line="240" w:lineRule="auto"/>
        <w:ind w:left="0" w:right="0" w:firstLine="0"/>
        <w:jc w:val="left"/>
      </w:pPr>
      <w:r>
        <w:rPr>
          <w:b/>
          <w:bCs/>
          <w:color w:val="000000"/>
          <w:spacing w:val="0"/>
          <w:w w:val="100"/>
          <w:position w:val="0"/>
        </w:rPr>
        <w:t>会计机构负责人：张典洪</w:t>
      </w:r>
    </w:p>
    <w:p>
      <w:pPr>
        <w:widowControl w:val="0"/>
        <w:spacing w:line="1" w:lineRule="exact"/>
      </w:pPr>
      <w:r>
        <w:br w:type="page"/>
      </w:r>
    </w:p>
    <w:p>
      <w:pPr>
        <w:pStyle w:val="Style28"/>
        <w:keepNext/>
        <w:keepLines/>
        <w:widowControl w:val="0"/>
        <w:shd w:val="clear" w:color="auto" w:fill="auto"/>
        <w:bidi w:val="0"/>
        <w:spacing w:before="0" w:after="300" w:line="240" w:lineRule="auto"/>
        <w:ind w:left="0" w:right="0" w:firstLine="0"/>
        <w:jc w:val="left"/>
      </w:pPr>
      <w:r>
        <mc:AlternateContent>
          <mc:Choice Requires="wps">
            <w:drawing>
              <wp:anchor distT="0" distB="0" distL="0" distR="0" simplePos="0" relativeHeight="125829378" behindDoc="0" locked="0" layoutInCell="1" allowOverlap="1">
                <wp:simplePos x="0" y="0"/>
                <wp:positionH relativeFrom="page">
                  <wp:posOffset>800735</wp:posOffset>
                </wp:positionH>
                <wp:positionV relativeFrom="paragraph">
                  <wp:posOffset>355600</wp:posOffset>
                </wp:positionV>
                <wp:extent cx="1749425" cy="152400"/>
                <wp:wrapSquare wrapText="bothSides"/>
                <wp:docPr id="19" name="Shape 19"/>
                <a:graphic xmlns:a="http://schemas.openxmlformats.org/drawingml/2006/main">
                  <a:graphicData uri="http://schemas.microsoft.com/office/word/2010/wordprocessingShape">
                    <wps:wsp>
                      <wps:cNvSpPr txBox="1"/>
                      <wps:spPr>
                        <a:xfrm>
                          <a:ext cx="1749425" cy="15240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编制单位：紫光国芯股份有限公司</w:t>
                            </w:r>
                          </w:p>
                        </w:txbxContent>
                      </wps:txbx>
                      <wps:bodyPr wrap="none" lIns="0" tIns="0" rIns="0" bIns="0">
                        <a:noAutoFit/>
                      </wps:bodyPr>
                    </wps:wsp>
                  </a:graphicData>
                </a:graphic>
              </wp:anchor>
            </w:drawing>
          </mc:Choice>
          <mc:Fallback>
            <w:pict>
              <v:shape id="_x0000_s1045" type="#_x0000_t202" style="position:absolute;margin-left:63.050000000000004pt;margin-top:28.pt;width:137.75pt;height:12.pt;z-index:-125829375;mso-wrap-distance-left:0;mso-wrap-distance-right:0;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编制单位：紫光国芯股份有限公司</w:t>
                      </w:r>
                    </w:p>
                  </w:txbxContent>
                </v:textbox>
                <w10:wrap type="square" anchorx="page"/>
              </v:shape>
            </w:pict>
          </mc:Fallback>
        </mc:AlternateContent>
      </w:r>
      <w:r>
        <mc:AlternateContent>
          <mc:Choice Requires="wps">
            <w:drawing>
              <wp:anchor distT="0" distB="0" distL="0" distR="0" simplePos="0" relativeHeight="125829380" behindDoc="0" locked="0" layoutInCell="1" allowOverlap="1">
                <wp:simplePos x="0" y="0"/>
                <wp:positionH relativeFrom="page">
                  <wp:posOffset>5296535</wp:posOffset>
                </wp:positionH>
                <wp:positionV relativeFrom="paragraph">
                  <wp:posOffset>355600</wp:posOffset>
                </wp:positionV>
                <wp:extent cx="1289050" cy="149225"/>
                <wp:wrapSquare wrapText="bothSides"/>
                <wp:docPr id="21" name="Shape 21"/>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wps:txbx>
                      <wps:bodyPr wrap="none" lIns="0" tIns="0" rIns="0" bIns="0">
                        <a:noAutoFit/>
                      </wps:bodyPr>
                    </wps:wsp>
                  </a:graphicData>
                </a:graphic>
              </wp:anchor>
            </w:drawing>
          </mc:Choice>
          <mc:Fallback>
            <w:pict>
              <v:shape id="_x0000_s1047" type="#_x0000_t202" style="position:absolute;margin-left:417.05000000000001pt;margin-top:28.pt;width:101.5pt;height:11.75pt;z-index:-125829373;mso-wrap-distance-left:0;mso-wrap-distance-right:0;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v:textbox>
                <w10:wrap type="square" anchorx="page"/>
              </v:shape>
            </w:pict>
          </mc:Fallback>
        </mc:AlternateContent>
      </w: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3</w:t>
      </w:r>
      <w:bookmarkEnd w:id="541"/>
      <w:r>
        <w:rPr>
          <w:color w:val="000000"/>
          <w:spacing w:val="0"/>
          <w:w w:val="100"/>
          <w:position w:val="0"/>
        </w:rPr>
        <w:t>、合并利润表</w:t>
      </w:r>
      <w:bookmarkEnd w:id="539"/>
      <w:bookmarkEnd w:id="540"/>
      <w:bookmarkEnd w:id="542"/>
    </w:p>
    <w:tbl>
      <w:tblPr>
        <w:tblOverlap w:val="never"/>
        <w:jc w:val="left"/>
        <w:tblLayout w:type="fixed"/>
      </w:tblPr>
      <w:tblGrid>
        <w:gridCol w:w="3830"/>
        <w:gridCol w:w="1277"/>
        <w:gridCol w:w="2021"/>
        <w:gridCol w:w="2525"/>
      </w:tblGrid>
      <w:tr>
        <w:trPr>
          <w:trHeight w:val="230"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附注</w:t>
            </w:r>
          </w:p>
        </w:tc>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本期发生额</w:t>
            </w:r>
          </w:p>
        </w:tc>
        <w:tc>
          <w:tcPr>
            <w:tcBorders>
              <w:top w:val="single" w:sz="4"/>
              <w:left w:val="single" w:sz="4"/>
              <w:righ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上期发生额</w:t>
            </w:r>
          </w:p>
        </w:tc>
      </w:tr>
      <w:tr>
        <w:trPr>
          <w:trHeight w:val="221"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一、营业总收入</w:t>
            </w: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b/>
                <w:bCs/>
                <w:color w:val="000000"/>
                <w:spacing w:val="0"/>
                <w:w w:val="100"/>
                <w:position w:val="0"/>
                <w:sz w:val="15"/>
                <w:szCs w:val="15"/>
              </w:rPr>
              <w:t>1,418,572,250.23</w:t>
            </w: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1,249,795,034.31</w:t>
            </w:r>
          </w:p>
        </w:tc>
      </w:tr>
      <w:tr>
        <w:trPr>
          <w:trHeight w:val="226"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其中：营业收入</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七、（三十五）</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1,418,572,250.23</w:t>
            </w: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1,249,795,034.31</w:t>
            </w:r>
          </w:p>
        </w:tc>
      </w:tr>
      <w:tr>
        <w:trPr>
          <w:trHeight w:val="226" w:hRule="exact"/>
        </w:trPr>
        <w:tc>
          <w:tcPr>
            <w:tcBorders>
              <w:top w:val="single" w:sz="4"/>
              <w:left w:val="single" w:sz="4"/>
            </w:tcBorders>
            <w:shd w:val="clear" w:color="auto" w:fill="D3D3D3"/>
            <w:vAlign w:val="top"/>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利息收入</w:t>
            </w: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right w:val="single" w:sz="4"/>
            </w:tcBorders>
            <w:shd w:val="clear" w:color="auto" w:fill="FFFFFF"/>
            <w:vAlign w:val="top"/>
          </w:tcPr>
          <w:p>
            <w:pPr>
              <w:framePr w:w="9653" w:h="12302" w:vSpace="355" w:wrap="notBeside" w:vAnchor="text" w:hAnchor="text" w:x="10" w:y="356"/>
              <w:widowControl w:val="0"/>
              <w:rPr>
                <w:sz w:val="10"/>
                <w:szCs w:val="10"/>
              </w:rPr>
            </w:pPr>
          </w:p>
        </w:tc>
      </w:tr>
      <w:tr>
        <w:trPr>
          <w:trHeight w:val="226" w:hRule="exact"/>
        </w:trPr>
        <w:tc>
          <w:tcPr>
            <w:tcBorders>
              <w:top w:val="single" w:sz="4"/>
              <w:left w:val="single" w:sz="4"/>
            </w:tcBorders>
            <w:shd w:val="clear" w:color="auto" w:fill="D3D3D3"/>
            <w:vAlign w:val="top"/>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已赚保费</w:t>
            </w: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right w:val="single" w:sz="4"/>
            </w:tcBorders>
            <w:shd w:val="clear" w:color="auto" w:fill="FFFFFF"/>
            <w:vAlign w:val="top"/>
          </w:tcPr>
          <w:p>
            <w:pPr>
              <w:framePr w:w="9653" w:h="12302" w:vSpace="355" w:wrap="notBeside" w:vAnchor="text" w:hAnchor="text" w:x="10" w:y="356"/>
              <w:widowControl w:val="0"/>
              <w:rPr>
                <w:sz w:val="10"/>
                <w:szCs w:val="10"/>
              </w:rPr>
            </w:pPr>
          </w:p>
        </w:tc>
      </w:tr>
      <w:tr>
        <w:trPr>
          <w:trHeight w:val="221" w:hRule="exact"/>
        </w:trPr>
        <w:tc>
          <w:tcPr>
            <w:tcBorders>
              <w:top w:val="single" w:sz="4"/>
              <w:left w:val="single" w:sz="4"/>
            </w:tcBorders>
            <w:shd w:val="clear" w:color="auto" w:fill="D3D3D3"/>
            <w:vAlign w:val="top"/>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手续费及佣金收入</w:t>
            </w: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right w:val="single" w:sz="4"/>
            </w:tcBorders>
            <w:shd w:val="clear" w:color="auto" w:fill="FFFFFF"/>
            <w:vAlign w:val="top"/>
          </w:tcPr>
          <w:p>
            <w:pPr>
              <w:framePr w:w="9653" w:h="12302" w:vSpace="355" w:wrap="notBeside" w:vAnchor="text" w:hAnchor="text" w:x="10" w:y="356"/>
              <w:widowControl w:val="0"/>
              <w:rPr>
                <w:sz w:val="10"/>
                <w:szCs w:val="10"/>
              </w:rPr>
            </w:pPr>
          </w:p>
        </w:tc>
      </w:tr>
      <w:tr>
        <w:trPr>
          <w:trHeight w:val="226"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二、营业总成本</w:t>
            </w: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b/>
                <w:bCs/>
                <w:color w:val="000000"/>
                <w:spacing w:val="0"/>
                <w:w w:val="100"/>
                <w:position w:val="0"/>
                <w:sz w:val="15"/>
                <w:szCs w:val="15"/>
              </w:rPr>
              <w:t>1,196,217,696.23</w:t>
            </w: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540" w:right="0" w:firstLine="0"/>
              <w:jc w:val="both"/>
              <w:rPr>
                <w:sz w:val="15"/>
                <w:szCs w:val="15"/>
              </w:rPr>
            </w:pPr>
            <w:r>
              <w:rPr>
                <w:rFonts w:ascii="Times New Roman" w:eastAsia="Times New Roman" w:hAnsi="Times New Roman" w:cs="Times New Roman"/>
                <w:b/>
                <w:bCs/>
                <w:color w:val="000000"/>
                <w:spacing w:val="0"/>
                <w:w w:val="100"/>
                <w:position w:val="0"/>
                <w:sz w:val="15"/>
                <w:szCs w:val="15"/>
              </w:rPr>
              <w:t>956,438,906.34</w:t>
            </w:r>
          </w:p>
        </w:tc>
      </w:tr>
      <w:tr>
        <w:trPr>
          <w:trHeight w:val="226"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其中：营业成本</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七、（三十五）</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060" w:right="0" w:firstLine="0"/>
              <w:jc w:val="both"/>
              <w:rPr>
                <w:sz w:val="15"/>
                <w:szCs w:val="15"/>
              </w:rPr>
            </w:pPr>
            <w:r>
              <w:rPr>
                <w:rFonts w:ascii="Times New Roman" w:eastAsia="Times New Roman" w:hAnsi="Times New Roman" w:cs="Times New Roman"/>
                <w:color w:val="000000"/>
                <w:spacing w:val="0"/>
                <w:w w:val="100"/>
                <w:position w:val="0"/>
                <w:sz w:val="15"/>
                <w:szCs w:val="15"/>
              </w:rPr>
              <w:t>879,247,962.37</w:t>
            </w: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540" w:right="0" w:firstLine="0"/>
              <w:jc w:val="both"/>
              <w:rPr>
                <w:sz w:val="15"/>
                <w:szCs w:val="15"/>
              </w:rPr>
            </w:pPr>
            <w:r>
              <w:rPr>
                <w:rFonts w:ascii="Times New Roman" w:eastAsia="Times New Roman" w:hAnsi="Times New Roman" w:cs="Times New Roman"/>
                <w:color w:val="000000"/>
                <w:spacing w:val="0"/>
                <w:w w:val="100"/>
                <w:position w:val="0"/>
                <w:sz w:val="15"/>
                <w:szCs w:val="15"/>
              </w:rPr>
              <w:t>734,689,323.49</w:t>
            </w:r>
          </w:p>
        </w:tc>
      </w:tr>
      <w:tr>
        <w:trPr>
          <w:trHeight w:val="226"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利息支出</w:t>
            </w: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right w:val="single" w:sz="4"/>
            </w:tcBorders>
            <w:shd w:val="clear" w:color="auto" w:fill="FFFFFF"/>
            <w:vAlign w:val="top"/>
          </w:tcPr>
          <w:p>
            <w:pPr>
              <w:framePr w:w="9653" w:h="12302" w:vSpace="355" w:wrap="notBeside" w:vAnchor="text" w:hAnchor="text" w:x="10" w:y="356"/>
              <w:widowControl w:val="0"/>
              <w:rPr>
                <w:sz w:val="10"/>
                <w:szCs w:val="10"/>
              </w:rPr>
            </w:pPr>
          </w:p>
        </w:tc>
      </w:tr>
      <w:tr>
        <w:trPr>
          <w:trHeight w:val="226" w:hRule="exact"/>
        </w:trPr>
        <w:tc>
          <w:tcPr>
            <w:tcBorders>
              <w:top w:val="single" w:sz="4"/>
              <w:left w:val="single" w:sz="4"/>
            </w:tcBorders>
            <w:shd w:val="clear" w:color="auto" w:fill="D3D3D3"/>
            <w:vAlign w:val="top"/>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手续费及佣金支出</w:t>
            </w: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right w:val="single" w:sz="4"/>
            </w:tcBorders>
            <w:shd w:val="clear" w:color="auto" w:fill="FFFFFF"/>
            <w:vAlign w:val="top"/>
          </w:tcPr>
          <w:p>
            <w:pPr>
              <w:framePr w:w="9653" w:h="12302" w:vSpace="355" w:wrap="notBeside" w:vAnchor="text" w:hAnchor="text" w:x="10" w:y="356"/>
              <w:widowControl w:val="0"/>
              <w:rPr>
                <w:sz w:val="10"/>
                <w:szCs w:val="10"/>
              </w:rPr>
            </w:pPr>
          </w:p>
        </w:tc>
      </w:tr>
      <w:tr>
        <w:trPr>
          <w:trHeight w:val="221" w:hRule="exact"/>
        </w:trPr>
        <w:tc>
          <w:tcPr>
            <w:tcBorders>
              <w:top w:val="single" w:sz="4"/>
              <w:left w:val="single" w:sz="4"/>
            </w:tcBorders>
            <w:shd w:val="clear" w:color="auto" w:fill="D3D3D3"/>
            <w:vAlign w:val="top"/>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退保金</w:t>
            </w: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right w:val="single" w:sz="4"/>
            </w:tcBorders>
            <w:shd w:val="clear" w:color="auto" w:fill="FFFFFF"/>
            <w:vAlign w:val="top"/>
          </w:tcPr>
          <w:p>
            <w:pPr>
              <w:framePr w:w="9653" w:h="12302" w:vSpace="355" w:wrap="notBeside" w:vAnchor="text" w:hAnchor="text" w:x="10" w:y="356"/>
              <w:widowControl w:val="0"/>
              <w:rPr>
                <w:sz w:val="10"/>
                <w:szCs w:val="10"/>
              </w:rPr>
            </w:pPr>
          </w:p>
        </w:tc>
      </w:tr>
      <w:tr>
        <w:trPr>
          <w:trHeight w:val="226"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赔付支出净额</w:t>
            </w: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right w:val="single" w:sz="4"/>
            </w:tcBorders>
            <w:shd w:val="clear" w:color="auto" w:fill="FFFFFF"/>
            <w:vAlign w:val="top"/>
          </w:tcPr>
          <w:p>
            <w:pPr>
              <w:framePr w:w="9653" w:h="12302" w:vSpace="355" w:wrap="notBeside" w:vAnchor="text" w:hAnchor="text" w:x="10" w:y="356"/>
              <w:widowControl w:val="0"/>
              <w:rPr>
                <w:sz w:val="10"/>
                <w:szCs w:val="10"/>
              </w:rPr>
            </w:pPr>
          </w:p>
        </w:tc>
      </w:tr>
      <w:tr>
        <w:trPr>
          <w:trHeight w:val="226"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提取保险合同准备金净额</w:t>
            </w: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right w:val="single" w:sz="4"/>
            </w:tcBorders>
            <w:shd w:val="clear" w:color="auto" w:fill="FFFFFF"/>
            <w:vAlign w:val="top"/>
          </w:tcPr>
          <w:p>
            <w:pPr>
              <w:framePr w:w="9653" w:h="12302" w:vSpace="355" w:wrap="notBeside" w:vAnchor="text" w:hAnchor="text" w:x="10" w:y="356"/>
              <w:widowControl w:val="0"/>
              <w:rPr>
                <w:sz w:val="10"/>
                <w:szCs w:val="10"/>
              </w:rPr>
            </w:pPr>
          </w:p>
        </w:tc>
      </w:tr>
      <w:tr>
        <w:trPr>
          <w:trHeight w:val="226" w:hRule="exact"/>
        </w:trPr>
        <w:tc>
          <w:tcPr>
            <w:tcBorders>
              <w:top w:val="single" w:sz="4"/>
              <w:left w:val="single" w:sz="4"/>
            </w:tcBorders>
            <w:shd w:val="clear" w:color="auto" w:fill="D3D3D3"/>
            <w:vAlign w:val="top"/>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保单红利支出</w:t>
            </w: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right w:val="single" w:sz="4"/>
            </w:tcBorders>
            <w:shd w:val="clear" w:color="auto" w:fill="FFFFFF"/>
            <w:vAlign w:val="top"/>
          </w:tcPr>
          <w:p>
            <w:pPr>
              <w:framePr w:w="9653" w:h="12302" w:vSpace="355" w:wrap="notBeside" w:vAnchor="text" w:hAnchor="text" w:x="10" w:y="356"/>
              <w:widowControl w:val="0"/>
              <w:rPr>
                <w:sz w:val="10"/>
                <w:szCs w:val="10"/>
              </w:rPr>
            </w:pPr>
          </w:p>
        </w:tc>
      </w:tr>
      <w:tr>
        <w:trPr>
          <w:trHeight w:val="221" w:hRule="exact"/>
        </w:trPr>
        <w:tc>
          <w:tcPr>
            <w:tcBorders>
              <w:top w:val="single" w:sz="4"/>
              <w:left w:val="single" w:sz="4"/>
            </w:tcBorders>
            <w:shd w:val="clear" w:color="auto" w:fill="D3D3D3"/>
            <w:vAlign w:val="top"/>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分保费用</w:t>
            </w: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right w:val="single" w:sz="4"/>
            </w:tcBorders>
            <w:shd w:val="clear" w:color="auto" w:fill="FFFFFF"/>
            <w:vAlign w:val="top"/>
          </w:tcPr>
          <w:p>
            <w:pPr>
              <w:framePr w:w="9653" w:h="12302" w:vSpace="355" w:wrap="notBeside" w:vAnchor="text" w:hAnchor="text" w:x="10" w:y="356"/>
              <w:widowControl w:val="0"/>
              <w:rPr>
                <w:sz w:val="10"/>
                <w:szCs w:val="10"/>
              </w:rPr>
            </w:pPr>
          </w:p>
        </w:tc>
      </w:tr>
      <w:tr>
        <w:trPr>
          <w:trHeight w:val="226"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税金及附加</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七、（三十六）</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120" w:right="0" w:firstLine="0"/>
              <w:jc w:val="both"/>
              <w:rPr>
                <w:sz w:val="15"/>
                <w:szCs w:val="15"/>
              </w:rPr>
            </w:pPr>
            <w:r>
              <w:rPr>
                <w:rFonts w:ascii="Times New Roman" w:eastAsia="Times New Roman" w:hAnsi="Times New Roman" w:cs="Times New Roman"/>
                <w:color w:val="000000"/>
                <w:spacing w:val="0"/>
                <w:w w:val="100"/>
                <w:position w:val="0"/>
                <w:sz w:val="15"/>
                <w:szCs w:val="15"/>
              </w:rPr>
              <w:t>14,078,667.92</w:t>
            </w: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700" w:right="0" w:firstLine="0"/>
              <w:jc w:val="both"/>
              <w:rPr>
                <w:sz w:val="15"/>
                <w:szCs w:val="15"/>
              </w:rPr>
            </w:pPr>
            <w:r>
              <w:rPr>
                <w:rFonts w:ascii="Times New Roman" w:eastAsia="Times New Roman" w:hAnsi="Times New Roman" w:cs="Times New Roman"/>
                <w:color w:val="000000"/>
                <w:spacing w:val="0"/>
                <w:w w:val="100"/>
                <w:position w:val="0"/>
                <w:sz w:val="15"/>
                <w:szCs w:val="15"/>
              </w:rPr>
              <w:t>8,528,961.57</w:t>
            </w:r>
          </w:p>
        </w:tc>
      </w:tr>
      <w:tr>
        <w:trPr>
          <w:trHeight w:val="226"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销售费用</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七、（三十七）</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120" w:right="0" w:firstLine="0"/>
              <w:jc w:val="both"/>
              <w:rPr>
                <w:sz w:val="15"/>
                <w:szCs w:val="15"/>
              </w:rPr>
            </w:pPr>
            <w:r>
              <w:rPr>
                <w:rFonts w:ascii="Times New Roman" w:eastAsia="Times New Roman" w:hAnsi="Times New Roman" w:cs="Times New Roman"/>
                <w:color w:val="000000"/>
                <w:spacing w:val="0"/>
                <w:w w:val="100"/>
                <w:position w:val="0"/>
                <w:sz w:val="15"/>
                <w:szCs w:val="15"/>
              </w:rPr>
              <w:t>79,310,769.66</w:t>
            </w: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64,062,089.37</w:t>
            </w:r>
          </w:p>
        </w:tc>
      </w:tr>
      <w:tr>
        <w:trPr>
          <w:trHeight w:val="226"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管理费用</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七、（三十八）</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060" w:right="0" w:firstLine="0"/>
              <w:jc w:val="both"/>
              <w:rPr>
                <w:sz w:val="15"/>
                <w:szCs w:val="15"/>
              </w:rPr>
            </w:pPr>
            <w:r>
              <w:rPr>
                <w:rFonts w:ascii="Times New Roman" w:eastAsia="Times New Roman" w:hAnsi="Times New Roman" w:cs="Times New Roman"/>
                <w:color w:val="000000"/>
                <w:spacing w:val="0"/>
                <w:w w:val="100"/>
                <w:position w:val="0"/>
                <w:sz w:val="15"/>
                <w:szCs w:val="15"/>
              </w:rPr>
              <w:t>231,784,667.42</w:t>
            </w: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540" w:right="0" w:firstLine="0"/>
              <w:jc w:val="both"/>
              <w:rPr>
                <w:sz w:val="15"/>
                <w:szCs w:val="15"/>
              </w:rPr>
            </w:pPr>
            <w:r>
              <w:rPr>
                <w:rFonts w:ascii="Times New Roman" w:eastAsia="Times New Roman" w:hAnsi="Times New Roman" w:cs="Times New Roman"/>
                <w:color w:val="000000"/>
                <w:spacing w:val="0"/>
                <w:w w:val="100"/>
                <w:position w:val="0"/>
                <w:sz w:val="15"/>
                <w:szCs w:val="15"/>
              </w:rPr>
              <w:t>166,457,345.71</w:t>
            </w:r>
          </w:p>
        </w:tc>
      </w:tr>
      <w:tr>
        <w:trPr>
          <w:trHeight w:val="226"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财务费用</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七、（三十九）</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-12,985,911.78</w:t>
            </w: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540" w:right="0" w:firstLine="0"/>
              <w:jc w:val="both"/>
              <w:rPr>
                <w:sz w:val="15"/>
                <w:szCs w:val="15"/>
              </w:rPr>
            </w:pPr>
            <w:r>
              <w:rPr>
                <w:rFonts w:ascii="Times New Roman" w:eastAsia="Times New Roman" w:hAnsi="Times New Roman" w:cs="Times New Roman"/>
                <w:color w:val="000000"/>
                <w:spacing w:val="0"/>
                <w:w w:val="100"/>
                <w:position w:val="0"/>
                <w:sz w:val="15"/>
                <w:szCs w:val="15"/>
              </w:rPr>
              <w:t>-18,304,198.73</w:t>
            </w:r>
          </w:p>
        </w:tc>
      </w:tr>
      <w:tr>
        <w:trPr>
          <w:trHeight w:val="221"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780"/>
              <w:jc w:val="left"/>
              <w:rPr>
                <w:sz w:val="14"/>
                <w:szCs w:val="14"/>
              </w:rPr>
            </w:pPr>
            <w:r>
              <w:rPr>
                <w:color w:val="000000"/>
                <w:spacing w:val="0"/>
                <w:w w:val="100"/>
                <w:position w:val="0"/>
                <w:sz w:val="14"/>
                <w:szCs w:val="14"/>
              </w:rPr>
              <w:t>资产减值损失</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七、（四十）</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200" w:right="0" w:firstLine="0"/>
              <w:jc w:val="both"/>
              <w:rPr>
                <w:sz w:val="15"/>
                <w:szCs w:val="15"/>
              </w:rPr>
            </w:pPr>
            <w:r>
              <w:rPr>
                <w:rFonts w:ascii="Times New Roman" w:eastAsia="Times New Roman" w:hAnsi="Times New Roman" w:cs="Times New Roman"/>
                <w:color w:val="000000"/>
                <w:spacing w:val="0"/>
                <w:w w:val="100"/>
                <w:position w:val="0"/>
                <w:sz w:val="15"/>
                <w:szCs w:val="15"/>
              </w:rPr>
              <w:t>4,781,540.64</w:t>
            </w: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700" w:right="0" w:firstLine="0"/>
              <w:jc w:val="both"/>
              <w:rPr>
                <w:sz w:val="15"/>
                <w:szCs w:val="15"/>
              </w:rPr>
            </w:pPr>
            <w:r>
              <w:rPr>
                <w:rFonts w:ascii="Times New Roman" w:eastAsia="Times New Roman" w:hAnsi="Times New Roman" w:cs="Times New Roman"/>
                <w:color w:val="000000"/>
                <w:spacing w:val="0"/>
                <w:w w:val="100"/>
                <w:position w:val="0"/>
                <w:sz w:val="15"/>
                <w:szCs w:val="15"/>
              </w:rPr>
              <w:t>1,005,384.93</w:t>
            </w:r>
          </w:p>
        </w:tc>
      </w:tr>
      <w:tr>
        <w:trPr>
          <w:trHeight w:val="226"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加：公允价值变动收益（损失以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一</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号填列）</w:t>
            </w: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2220" w:right="0" w:firstLine="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226"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投资收益（损失以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一</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号填列）</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七、（四十一）</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200" w:right="0" w:firstLine="0"/>
              <w:jc w:val="both"/>
              <w:rPr>
                <w:sz w:val="15"/>
                <w:szCs w:val="15"/>
              </w:rPr>
            </w:pPr>
            <w:r>
              <w:rPr>
                <w:rFonts w:ascii="Times New Roman" w:eastAsia="Times New Roman" w:hAnsi="Times New Roman" w:cs="Times New Roman"/>
                <w:color w:val="000000"/>
                <w:spacing w:val="0"/>
                <w:w w:val="100"/>
                <w:position w:val="0"/>
                <w:sz w:val="15"/>
                <w:szCs w:val="15"/>
              </w:rPr>
              <w:t>2,385,270.36</w:t>
            </w: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2220" w:right="0" w:firstLine="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226"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其中：对联营企业和合营企业的投资收益</w:t>
            </w: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9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2220" w:right="0" w:firstLine="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221" w:hRule="exact"/>
        </w:trPr>
        <w:tc>
          <w:tcPr>
            <w:tcBorders>
              <w:top w:val="single" w:sz="4"/>
              <w:left w:val="single" w:sz="4"/>
            </w:tcBorders>
            <w:shd w:val="clear" w:color="auto" w:fill="D3D3D3"/>
            <w:vAlign w:val="top"/>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汇兑收益（损失以号填列）</w:t>
            </w: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right w:val="single" w:sz="4"/>
            </w:tcBorders>
            <w:shd w:val="clear" w:color="auto" w:fill="FFFFFF"/>
            <w:vAlign w:val="top"/>
          </w:tcPr>
          <w:p>
            <w:pPr>
              <w:framePr w:w="9653" w:h="12302" w:vSpace="355" w:wrap="notBeside" w:vAnchor="text" w:hAnchor="text" w:x="10" w:y="356"/>
              <w:widowControl w:val="0"/>
              <w:rPr>
                <w:sz w:val="10"/>
                <w:szCs w:val="10"/>
              </w:rPr>
            </w:pPr>
          </w:p>
        </w:tc>
      </w:tr>
      <w:tr>
        <w:trPr>
          <w:trHeight w:val="226"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三、营业利润（亏损以</w:t>
            </w:r>
            <w:r>
              <w:rPr>
                <w:rFonts w:ascii="Times New Roman" w:eastAsia="Times New Roman" w:hAnsi="Times New Roman" w:cs="Times New Roman"/>
                <w:b/>
                <w:bCs/>
                <w:color w:val="000000"/>
                <w:spacing w:val="0"/>
                <w:w w:val="100"/>
                <w:position w:val="0"/>
                <w:sz w:val="15"/>
                <w:szCs w:val="15"/>
              </w:rPr>
              <w:t>“</w:t>
            </w:r>
            <w:r>
              <w:rPr>
                <w:b/>
                <w:bCs/>
                <w:color w:val="000000"/>
                <w:spacing w:val="0"/>
                <w:w w:val="100"/>
                <w:position w:val="0"/>
                <w:sz w:val="14"/>
                <w:szCs w:val="14"/>
              </w:rPr>
              <w:t>一</w:t>
            </w:r>
            <w:r>
              <w:rPr>
                <w:rFonts w:ascii="Times New Roman" w:eastAsia="Times New Roman" w:hAnsi="Times New Roman" w:cs="Times New Roman"/>
                <w:b/>
                <w:bCs/>
                <w:color w:val="000000"/>
                <w:spacing w:val="0"/>
                <w:w w:val="100"/>
                <w:position w:val="0"/>
                <w:sz w:val="15"/>
                <w:szCs w:val="15"/>
              </w:rPr>
              <w:t>”</w:t>
            </w:r>
            <w:r>
              <w:rPr>
                <w:b/>
                <w:bCs/>
                <w:color w:val="000000"/>
                <w:spacing w:val="0"/>
                <w:w w:val="100"/>
                <w:position w:val="0"/>
                <w:sz w:val="14"/>
                <w:szCs w:val="14"/>
              </w:rPr>
              <w:t>号填列）</w:t>
            </w: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060" w:right="0" w:firstLine="0"/>
              <w:jc w:val="both"/>
              <w:rPr>
                <w:sz w:val="15"/>
                <w:szCs w:val="15"/>
              </w:rPr>
            </w:pPr>
            <w:r>
              <w:rPr>
                <w:rFonts w:ascii="Times New Roman" w:eastAsia="Times New Roman" w:hAnsi="Times New Roman" w:cs="Times New Roman"/>
                <w:b/>
                <w:bCs/>
                <w:color w:val="000000"/>
                <w:spacing w:val="0"/>
                <w:w w:val="100"/>
                <w:position w:val="0"/>
                <w:sz w:val="15"/>
                <w:szCs w:val="15"/>
              </w:rPr>
              <w:t>224,739,824.36</w:t>
            </w: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540" w:right="0" w:firstLine="0"/>
              <w:jc w:val="both"/>
              <w:rPr>
                <w:sz w:val="15"/>
                <w:szCs w:val="15"/>
              </w:rPr>
            </w:pPr>
            <w:r>
              <w:rPr>
                <w:rFonts w:ascii="Times New Roman" w:eastAsia="Times New Roman" w:hAnsi="Times New Roman" w:cs="Times New Roman"/>
                <w:b/>
                <w:bCs/>
                <w:color w:val="000000"/>
                <w:spacing w:val="0"/>
                <w:w w:val="100"/>
                <w:position w:val="0"/>
                <w:sz w:val="15"/>
                <w:szCs w:val="15"/>
              </w:rPr>
              <w:t>293,356,127.97</w:t>
            </w:r>
          </w:p>
        </w:tc>
      </w:tr>
      <w:tr>
        <w:trPr>
          <w:trHeight w:val="226"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加：营业外收入</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七、（四十二）</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060" w:right="0" w:firstLine="0"/>
              <w:jc w:val="both"/>
              <w:rPr>
                <w:sz w:val="15"/>
                <w:szCs w:val="15"/>
              </w:rPr>
            </w:pPr>
            <w:r>
              <w:rPr>
                <w:rFonts w:ascii="Times New Roman" w:eastAsia="Times New Roman" w:hAnsi="Times New Roman" w:cs="Times New Roman"/>
                <w:color w:val="000000"/>
                <w:spacing w:val="0"/>
                <w:w w:val="100"/>
                <w:position w:val="0"/>
                <w:sz w:val="15"/>
                <w:szCs w:val="15"/>
              </w:rPr>
              <w:t>128,542,485.81</w:t>
            </w: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540" w:right="0" w:firstLine="0"/>
              <w:jc w:val="both"/>
              <w:rPr>
                <w:sz w:val="15"/>
                <w:szCs w:val="15"/>
              </w:rPr>
            </w:pPr>
            <w:r>
              <w:rPr>
                <w:rFonts w:ascii="Times New Roman" w:eastAsia="Times New Roman" w:hAnsi="Times New Roman" w:cs="Times New Roman"/>
                <w:color w:val="000000"/>
                <w:spacing w:val="0"/>
                <w:w w:val="100"/>
                <w:position w:val="0"/>
                <w:sz w:val="15"/>
                <w:szCs w:val="15"/>
              </w:rPr>
              <w:t>101,131,070.28</w:t>
            </w:r>
          </w:p>
        </w:tc>
      </w:tr>
      <w:tr>
        <w:trPr>
          <w:trHeight w:val="226"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其中：非流动资产处置利得</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七、（四十二）</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29,807.37</w:t>
            </w: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208,565.81</w:t>
            </w:r>
          </w:p>
        </w:tc>
      </w:tr>
      <w:tr>
        <w:trPr>
          <w:trHeight w:val="221"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减：营业外支出</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七、（四十三）</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200" w:right="0" w:firstLine="0"/>
              <w:jc w:val="both"/>
              <w:rPr>
                <w:sz w:val="15"/>
                <w:szCs w:val="15"/>
              </w:rPr>
            </w:pPr>
            <w:r>
              <w:rPr>
                <w:rFonts w:ascii="Times New Roman" w:eastAsia="Times New Roman" w:hAnsi="Times New Roman" w:cs="Times New Roman"/>
                <w:color w:val="000000"/>
                <w:spacing w:val="0"/>
                <w:w w:val="100"/>
                <w:position w:val="0"/>
                <w:sz w:val="15"/>
                <w:szCs w:val="15"/>
              </w:rPr>
              <w:t>1,041,811.29</w:t>
            </w: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852,540.23</w:t>
            </w:r>
          </w:p>
        </w:tc>
      </w:tr>
      <w:tr>
        <w:trPr>
          <w:trHeight w:val="226"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其中：非流动资产处置损失</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七、（四十三）</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214,258.78</w:t>
            </w: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192,598.13</w:t>
            </w:r>
          </w:p>
        </w:tc>
      </w:tr>
      <w:tr>
        <w:trPr>
          <w:trHeight w:val="226"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四、利润总额（亏损总额以</w:t>
            </w:r>
            <w:r>
              <w:rPr>
                <w:rFonts w:ascii="Times New Roman" w:eastAsia="Times New Roman" w:hAnsi="Times New Roman" w:cs="Times New Roman"/>
                <w:b/>
                <w:bCs/>
                <w:color w:val="000000"/>
                <w:spacing w:val="0"/>
                <w:w w:val="100"/>
                <w:position w:val="0"/>
                <w:sz w:val="15"/>
                <w:szCs w:val="15"/>
              </w:rPr>
              <w:t>“</w:t>
            </w:r>
            <w:r>
              <w:rPr>
                <w:b/>
                <w:bCs/>
                <w:color w:val="000000"/>
                <w:spacing w:val="0"/>
                <w:w w:val="100"/>
                <w:position w:val="0"/>
                <w:sz w:val="14"/>
                <w:szCs w:val="14"/>
              </w:rPr>
              <w:t>一</w:t>
            </w:r>
            <w:r>
              <w:rPr>
                <w:rFonts w:ascii="Times New Roman" w:eastAsia="Times New Roman" w:hAnsi="Times New Roman" w:cs="Times New Roman"/>
                <w:b/>
                <w:bCs/>
                <w:color w:val="000000"/>
                <w:spacing w:val="0"/>
                <w:w w:val="100"/>
                <w:position w:val="0"/>
                <w:sz w:val="15"/>
                <w:szCs w:val="15"/>
              </w:rPr>
              <w:t>”</w:t>
            </w:r>
            <w:r>
              <w:rPr>
                <w:b/>
                <w:bCs/>
                <w:color w:val="000000"/>
                <w:spacing w:val="0"/>
                <w:w w:val="100"/>
                <w:position w:val="0"/>
                <w:sz w:val="14"/>
                <w:szCs w:val="14"/>
              </w:rPr>
              <w:t>号填列）</w:t>
            </w: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060" w:right="0" w:firstLine="0"/>
              <w:jc w:val="both"/>
              <w:rPr>
                <w:sz w:val="15"/>
                <w:szCs w:val="15"/>
              </w:rPr>
            </w:pPr>
            <w:r>
              <w:rPr>
                <w:rFonts w:ascii="Times New Roman" w:eastAsia="Times New Roman" w:hAnsi="Times New Roman" w:cs="Times New Roman"/>
                <w:b/>
                <w:bCs/>
                <w:color w:val="000000"/>
                <w:spacing w:val="0"/>
                <w:w w:val="100"/>
                <w:position w:val="0"/>
                <w:sz w:val="15"/>
                <w:szCs w:val="15"/>
              </w:rPr>
              <w:t>352,240,498.88</w:t>
            </w: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540" w:right="0" w:firstLine="0"/>
              <w:jc w:val="both"/>
              <w:rPr>
                <w:sz w:val="15"/>
                <w:szCs w:val="15"/>
              </w:rPr>
            </w:pPr>
            <w:r>
              <w:rPr>
                <w:rFonts w:ascii="Times New Roman" w:eastAsia="Times New Roman" w:hAnsi="Times New Roman" w:cs="Times New Roman"/>
                <w:b/>
                <w:bCs/>
                <w:color w:val="000000"/>
                <w:spacing w:val="0"/>
                <w:w w:val="100"/>
                <w:position w:val="0"/>
                <w:sz w:val="15"/>
                <w:szCs w:val="15"/>
              </w:rPr>
              <w:t>393,634,658.02</w:t>
            </w:r>
          </w:p>
        </w:tc>
      </w:tr>
      <w:tr>
        <w:trPr>
          <w:trHeight w:val="226"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减：所得税费用</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七、（四十四）</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120" w:right="0" w:firstLine="0"/>
              <w:jc w:val="both"/>
              <w:rPr>
                <w:sz w:val="15"/>
                <w:szCs w:val="15"/>
              </w:rPr>
            </w:pPr>
            <w:r>
              <w:rPr>
                <w:rFonts w:ascii="Times New Roman" w:eastAsia="Times New Roman" w:hAnsi="Times New Roman" w:cs="Times New Roman"/>
                <w:color w:val="000000"/>
                <w:spacing w:val="0"/>
                <w:w w:val="100"/>
                <w:position w:val="0"/>
                <w:sz w:val="15"/>
                <w:szCs w:val="15"/>
              </w:rPr>
              <w:t>19,380,508.32</w:t>
            </w: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61,277,811.29</w:t>
            </w:r>
          </w:p>
        </w:tc>
      </w:tr>
      <w:tr>
        <w:trPr>
          <w:trHeight w:val="226"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五、净利润（净亏损以</w:t>
            </w:r>
            <w:r>
              <w:rPr>
                <w:rFonts w:ascii="Times New Roman" w:eastAsia="Times New Roman" w:hAnsi="Times New Roman" w:cs="Times New Roman"/>
                <w:b/>
                <w:bCs/>
                <w:color w:val="000000"/>
                <w:spacing w:val="0"/>
                <w:w w:val="100"/>
                <w:position w:val="0"/>
                <w:sz w:val="15"/>
                <w:szCs w:val="15"/>
              </w:rPr>
              <w:t>“</w:t>
            </w:r>
            <w:r>
              <w:rPr>
                <w:b/>
                <w:bCs/>
                <w:color w:val="000000"/>
                <w:spacing w:val="0"/>
                <w:w w:val="100"/>
                <w:position w:val="0"/>
                <w:sz w:val="14"/>
                <w:szCs w:val="14"/>
              </w:rPr>
              <w:t>一</w:t>
            </w:r>
            <w:r>
              <w:rPr>
                <w:rFonts w:ascii="Times New Roman" w:eastAsia="Times New Roman" w:hAnsi="Times New Roman" w:cs="Times New Roman"/>
                <w:b/>
                <w:bCs/>
                <w:color w:val="000000"/>
                <w:spacing w:val="0"/>
                <w:w w:val="100"/>
                <w:position w:val="0"/>
                <w:sz w:val="15"/>
                <w:szCs w:val="15"/>
              </w:rPr>
              <w:t>”</w:t>
            </w:r>
            <w:r>
              <w:rPr>
                <w:b/>
                <w:bCs/>
                <w:color w:val="000000"/>
                <w:spacing w:val="0"/>
                <w:w w:val="100"/>
                <w:position w:val="0"/>
                <w:sz w:val="14"/>
                <w:szCs w:val="14"/>
              </w:rPr>
              <w:t>号填列）</w:t>
            </w: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060" w:right="0" w:firstLine="0"/>
              <w:jc w:val="both"/>
              <w:rPr>
                <w:sz w:val="15"/>
                <w:szCs w:val="15"/>
              </w:rPr>
            </w:pPr>
            <w:r>
              <w:rPr>
                <w:rFonts w:ascii="Times New Roman" w:eastAsia="Times New Roman" w:hAnsi="Times New Roman" w:cs="Times New Roman"/>
                <w:b/>
                <w:bCs/>
                <w:color w:val="000000"/>
                <w:spacing w:val="0"/>
                <w:w w:val="100"/>
                <w:position w:val="0"/>
                <w:sz w:val="15"/>
                <w:szCs w:val="15"/>
              </w:rPr>
              <w:t>332,859,990.56</w:t>
            </w: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540" w:right="0" w:firstLine="0"/>
              <w:jc w:val="both"/>
              <w:rPr>
                <w:sz w:val="15"/>
                <w:szCs w:val="15"/>
              </w:rPr>
            </w:pPr>
            <w:r>
              <w:rPr>
                <w:rFonts w:ascii="Times New Roman" w:eastAsia="Times New Roman" w:hAnsi="Times New Roman" w:cs="Times New Roman"/>
                <w:b/>
                <w:bCs/>
                <w:color w:val="000000"/>
                <w:spacing w:val="0"/>
                <w:w w:val="100"/>
                <w:position w:val="0"/>
                <w:sz w:val="15"/>
                <w:szCs w:val="15"/>
              </w:rPr>
              <w:t>332,356,846.73</w:t>
            </w:r>
          </w:p>
        </w:tc>
      </w:tr>
      <w:tr>
        <w:trPr>
          <w:trHeight w:val="221"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归属于母公司所有者的净利润</w:t>
            </w: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060" w:right="0" w:firstLine="0"/>
              <w:jc w:val="both"/>
              <w:rPr>
                <w:sz w:val="15"/>
                <w:szCs w:val="15"/>
              </w:rPr>
            </w:pPr>
            <w:r>
              <w:rPr>
                <w:rFonts w:ascii="Times New Roman" w:eastAsia="Times New Roman" w:hAnsi="Times New Roman" w:cs="Times New Roman"/>
                <w:color w:val="000000"/>
                <w:spacing w:val="0"/>
                <w:w w:val="100"/>
                <w:position w:val="0"/>
                <w:sz w:val="15"/>
                <w:szCs w:val="15"/>
              </w:rPr>
              <w:t>336,106,379.14</w:t>
            </w: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540" w:right="0" w:firstLine="0"/>
              <w:jc w:val="both"/>
              <w:rPr>
                <w:sz w:val="15"/>
                <w:szCs w:val="15"/>
              </w:rPr>
            </w:pPr>
            <w:r>
              <w:rPr>
                <w:rFonts w:ascii="Times New Roman" w:eastAsia="Times New Roman" w:hAnsi="Times New Roman" w:cs="Times New Roman"/>
                <w:color w:val="000000"/>
                <w:spacing w:val="0"/>
                <w:w w:val="100"/>
                <w:position w:val="0"/>
                <w:sz w:val="15"/>
                <w:szCs w:val="15"/>
              </w:rPr>
              <w:t>335,480,068.17</w:t>
            </w:r>
          </w:p>
        </w:tc>
      </w:tr>
      <w:tr>
        <w:trPr>
          <w:trHeight w:val="226"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少数股东损益</w:t>
            </w: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120" w:right="0" w:firstLine="0"/>
              <w:jc w:val="both"/>
              <w:rPr>
                <w:sz w:val="15"/>
                <w:szCs w:val="15"/>
              </w:rPr>
            </w:pPr>
            <w:r>
              <w:rPr>
                <w:rFonts w:ascii="Times New Roman" w:eastAsia="Times New Roman" w:hAnsi="Times New Roman" w:cs="Times New Roman"/>
                <w:color w:val="000000"/>
                <w:spacing w:val="0"/>
                <w:w w:val="100"/>
                <w:position w:val="0"/>
                <w:sz w:val="15"/>
                <w:szCs w:val="15"/>
              </w:rPr>
              <w:t>-3,246,388.58</w:t>
            </w: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-3,123,221.44</w:t>
            </w:r>
          </w:p>
        </w:tc>
      </w:tr>
      <w:tr>
        <w:trPr>
          <w:trHeight w:val="226"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六、其他综合收益的税后净额</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七、（四十五）</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120" w:right="0" w:firstLine="0"/>
              <w:jc w:val="both"/>
              <w:rPr>
                <w:sz w:val="15"/>
                <w:szCs w:val="15"/>
              </w:rPr>
            </w:pPr>
            <w:r>
              <w:rPr>
                <w:rFonts w:ascii="Times New Roman" w:eastAsia="Times New Roman" w:hAnsi="Times New Roman" w:cs="Times New Roman"/>
                <w:b/>
                <w:bCs/>
                <w:color w:val="000000"/>
                <w:spacing w:val="0"/>
                <w:w w:val="100"/>
                <w:position w:val="0"/>
                <w:sz w:val="15"/>
                <w:szCs w:val="15"/>
              </w:rPr>
              <w:t>15,693,449.74</w:t>
            </w: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540" w:right="0" w:firstLine="0"/>
              <w:jc w:val="both"/>
              <w:rPr>
                <w:sz w:val="15"/>
                <w:szCs w:val="15"/>
              </w:rPr>
            </w:pPr>
            <w:r>
              <w:rPr>
                <w:rFonts w:ascii="Times New Roman" w:eastAsia="Times New Roman" w:hAnsi="Times New Roman" w:cs="Times New Roman"/>
                <w:b/>
                <w:bCs/>
                <w:color w:val="000000"/>
                <w:spacing w:val="0"/>
                <w:w w:val="100"/>
                <w:position w:val="0"/>
                <w:sz w:val="15"/>
                <w:szCs w:val="15"/>
              </w:rPr>
              <w:t>-18,087,110.84</w:t>
            </w:r>
          </w:p>
        </w:tc>
      </w:tr>
      <w:tr>
        <w:trPr>
          <w:trHeight w:val="226"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归属母公司所有者的其他综合收益的税后净额</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七、（四十五）</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120" w:right="0" w:firstLine="0"/>
              <w:jc w:val="both"/>
              <w:rPr>
                <w:sz w:val="15"/>
                <w:szCs w:val="15"/>
              </w:rPr>
            </w:pPr>
            <w:r>
              <w:rPr>
                <w:rFonts w:ascii="Times New Roman" w:eastAsia="Times New Roman" w:hAnsi="Times New Roman" w:cs="Times New Roman"/>
                <w:color w:val="000000"/>
                <w:spacing w:val="0"/>
                <w:w w:val="100"/>
                <w:position w:val="0"/>
                <w:sz w:val="15"/>
                <w:szCs w:val="15"/>
              </w:rPr>
              <w:t>15,574,758.58</w:t>
            </w: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540" w:right="0" w:firstLine="0"/>
              <w:jc w:val="both"/>
              <w:rPr>
                <w:sz w:val="15"/>
                <w:szCs w:val="15"/>
              </w:rPr>
            </w:pPr>
            <w:r>
              <w:rPr>
                <w:rFonts w:ascii="Times New Roman" w:eastAsia="Times New Roman" w:hAnsi="Times New Roman" w:cs="Times New Roman"/>
                <w:color w:val="000000"/>
                <w:spacing w:val="0"/>
                <w:w w:val="100"/>
                <w:position w:val="0"/>
                <w:sz w:val="15"/>
                <w:szCs w:val="15"/>
              </w:rPr>
              <w:t>-18,087,110.84</w:t>
            </w:r>
          </w:p>
        </w:tc>
      </w:tr>
      <w:tr>
        <w:trPr>
          <w:trHeight w:val="221" w:hRule="exact"/>
        </w:trPr>
        <w:tc>
          <w:tcPr>
            <w:tcBorders>
              <w:top w:val="single" w:sz="4"/>
              <w:left w:val="single" w:sz="4"/>
            </w:tcBorders>
            <w:shd w:val="clear" w:color="auto" w:fill="D3D3D3"/>
            <w:vAlign w:val="top"/>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（一）以后不能重分类进损益的其他综合收益</w:t>
            </w: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9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top"/>
          </w:tcPr>
          <w:p>
            <w:pPr>
              <w:framePr w:w="9653" w:h="12302" w:vSpace="355" w:wrap="notBeside" w:vAnchor="text" w:hAnchor="text" w:x="10" w:y="356"/>
              <w:widowControl w:val="0"/>
              <w:rPr>
                <w:sz w:val="10"/>
                <w:szCs w:val="10"/>
              </w:rPr>
            </w:pPr>
          </w:p>
        </w:tc>
      </w:tr>
      <w:tr>
        <w:trPr>
          <w:trHeight w:val="226"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重新计量设定受益计划净负债或净资产的变动</w:t>
            </w: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right w:val="single" w:sz="4"/>
            </w:tcBorders>
            <w:shd w:val="clear" w:color="auto" w:fill="FFFFFF"/>
            <w:vAlign w:val="top"/>
          </w:tcPr>
          <w:p>
            <w:pPr>
              <w:framePr w:w="9653" w:h="12302" w:vSpace="355" w:wrap="notBeside" w:vAnchor="text" w:hAnchor="text" w:x="10" w:y="356"/>
              <w:widowControl w:val="0"/>
              <w:rPr>
                <w:sz w:val="10"/>
                <w:szCs w:val="10"/>
              </w:rPr>
            </w:pPr>
          </w:p>
        </w:tc>
      </w:tr>
      <w:tr>
        <w:trPr>
          <w:trHeight w:val="422"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173" w:lineRule="exact"/>
              <w:ind w:left="0" w:right="0" w:firstLine="32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权益法下在被投资单位不能重分类进损益的其他综 合收益中享有的份额</w:t>
            </w: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right w:val="single" w:sz="4"/>
            </w:tcBorders>
            <w:shd w:val="clear" w:color="auto" w:fill="FFFFFF"/>
            <w:vAlign w:val="top"/>
          </w:tcPr>
          <w:p>
            <w:pPr>
              <w:framePr w:w="9653" w:h="12302" w:vSpace="355" w:wrap="notBeside" w:vAnchor="text" w:hAnchor="text" w:x="10" w:y="356"/>
              <w:widowControl w:val="0"/>
              <w:rPr>
                <w:sz w:val="10"/>
                <w:szCs w:val="10"/>
              </w:rPr>
            </w:pPr>
          </w:p>
        </w:tc>
      </w:tr>
      <w:tr>
        <w:trPr>
          <w:trHeight w:val="221"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（二）以后将重分类进损益的其他综合收益</w:t>
            </w: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120" w:right="0" w:firstLine="0"/>
              <w:jc w:val="both"/>
              <w:rPr>
                <w:sz w:val="15"/>
                <w:szCs w:val="15"/>
              </w:rPr>
            </w:pPr>
            <w:r>
              <w:rPr>
                <w:rFonts w:ascii="Times New Roman" w:eastAsia="Times New Roman" w:hAnsi="Times New Roman" w:cs="Times New Roman"/>
                <w:color w:val="000000"/>
                <w:spacing w:val="0"/>
                <w:w w:val="100"/>
                <w:position w:val="0"/>
                <w:sz w:val="15"/>
                <w:szCs w:val="15"/>
              </w:rPr>
              <w:t>15,574,758.58</w:t>
            </w: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540" w:right="0" w:firstLine="0"/>
              <w:jc w:val="both"/>
              <w:rPr>
                <w:sz w:val="15"/>
                <w:szCs w:val="15"/>
              </w:rPr>
            </w:pPr>
            <w:r>
              <w:rPr>
                <w:rFonts w:ascii="Times New Roman" w:eastAsia="Times New Roman" w:hAnsi="Times New Roman" w:cs="Times New Roman"/>
                <w:color w:val="000000"/>
                <w:spacing w:val="0"/>
                <w:w w:val="100"/>
                <w:position w:val="0"/>
                <w:sz w:val="15"/>
                <w:szCs w:val="15"/>
              </w:rPr>
              <w:t>-18,087,110.84</w:t>
            </w:r>
          </w:p>
        </w:tc>
      </w:tr>
      <w:tr>
        <w:trPr>
          <w:trHeight w:val="422"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197" w:lineRule="exact"/>
              <w:ind w:left="0" w:right="0" w:firstLine="32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权益法下在被投资单位以后将重分类进损益的其他 综合收益中享有的份额</w:t>
            </w: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2220" w:right="0" w:firstLine="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221"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可供出售金融资产公允价值变动损益</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七、（四十五）</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200" w:right="0" w:firstLine="0"/>
              <w:jc w:val="both"/>
              <w:rPr>
                <w:sz w:val="15"/>
                <w:szCs w:val="15"/>
              </w:rPr>
            </w:pPr>
            <w:r>
              <w:rPr>
                <w:rFonts w:ascii="Times New Roman" w:eastAsia="Times New Roman" w:hAnsi="Times New Roman" w:cs="Times New Roman"/>
                <w:color w:val="000000"/>
                <w:spacing w:val="0"/>
                <w:w w:val="100"/>
                <w:position w:val="0"/>
                <w:sz w:val="15"/>
                <w:szCs w:val="15"/>
              </w:rPr>
              <w:t>9,991,751.64</w:t>
            </w: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540" w:right="0" w:firstLine="0"/>
              <w:jc w:val="both"/>
              <w:rPr>
                <w:sz w:val="15"/>
                <w:szCs w:val="15"/>
              </w:rPr>
            </w:pPr>
            <w:r>
              <w:rPr>
                <w:rFonts w:ascii="Times New Roman" w:eastAsia="Times New Roman" w:hAnsi="Times New Roman" w:cs="Times New Roman"/>
                <w:color w:val="000000"/>
                <w:spacing w:val="0"/>
                <w:w w:val="100"/>
                <w:position w:val="0"/>
                <w:sz w:val="15"/>
                <w:szCs w:val="15"/>
              </w:rPr>
              <w:t>-22,506,673.09</w:t>
            </w:r>
          </w:p>
        </w:tc>
      </w:tr>
      <w:tr>
        <w:trPr>
          <w:trHeight w:val="226"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持有至到期投资重分类为可供出售金融资产损益</w:t>
            </w: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2220" w:right="0" w:firstLine="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226"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现金流量套期损益的有效部分</w:t>
            </w: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2220" w:right="0" w:firstLine="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226"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4"/>
                <w:szCs w:val="14"/>
              </w:rPr>
              <w:t>外币财务报表折算差额</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七、（四十五）</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200" w:right="0" w:firstLine="0"/>
              <w:jc w:val="both"/>
              <w:rPr>
                <w:sz w:val="15"/>
                <w:szCs w:val="15"/>
              </w:rPr>
            </w:pPr>
            <w:r>
              <w:rPr>
                <w:rFonts w:ascii="Times New Roman" w:eastAsia="Times New Roman" w:hAnsi="Times New Roman" w:cs="Times New Roman"/>
                <w:color w:val="000000"/>
                <w:spacing w:val="0"/>
                <w:w w:val="100"/>
                <w:position w:val="0"/>
                <w:sz w:val="15"/>
                <w:szCs w:val="15"/>
              </w:rPr>
              <w:t>5,583,006.94</w:t>
            </w: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700" w:right="0" w:firstLine="0"/>
              <w:jc w:val="both"/>
              <w:rPr>
                <w:sz w:val="15"/>
                <w:szCs w:val="15"/>
              </w:rPr>
            </w:pPr>
            <w:r>
              <w:rPr>
                <w:rFonts w:ascii="Times New Roman" w:eastAsia="Times New Roman" w:hAnsi="Times New Roman" w:cs="Times New Roman"/>
                <w:color w:val="000000"/>
                <w:spacing w:val="0"/>
                <w:w w:val="100"/>
                <w:position w:val="0"/>
                <w:sz w:val="15"/>
                <w:szCs w:val="15"/>
              </w:rPr>
              <w:t>4,419,562.25</w:t>
            </w:r>
          </w:p>
        </w:tc>
      </w:tr>
      <w:tr>
        <w:trPr>
          <w:trHeight w:val="226"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4"/>
                <w:szCs w:val="14"/>
              </w:rPr>
              <w:t>其他</w:t>
            </w: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2220" w:right="0" w:firstLine="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221"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归属于少数股东的其他综合收益的税后净额</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七、（四十五）</w:t>
            </w: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118,691.16</w:t>
            </w: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2220" w:right="0" w:firstLine="0"/>
              <w:jc w:val="both"/>
              <w:rPr>
                <w:sz w:val="15"/>
                <w:szCs w:val="15"/>
              </w:rPr>
            </w:pPr>
            <w:r>
              <w:rPr>
                <w:rFonts w:ascii="Times New Roman" w:eastAsia="Times New Roman" w:hAnsi="Times New Roman" w:cs="Times New Roman"/>
                <w:color w:val="000000"/>
                <w:spacing w:val="0"/>
                <w:w w:val="100"/>
                <w:position w:val="0"/>
                <w:sz w:val="15"/>
                <w:szCs w:val="15"/>
              </w:rPr>
              <w:t>0.00</w:t>
            </w:r>
          </w:p>
        </w:tc>
      </w:tr>
      <w:tr>
        <w:trPr>
          <w:trHeight w:val="226"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七、综合收益总额</w:t>
            </w: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060" w:right="0" w:firstLine="0"/>
              <w:jc w:val="both"/>
              <w:rPr>
                <w:sz w:val="15"/>
                <w:szCs w:val="15"/>
              </w:rPr>
            </w:pPr>
            <w:r>
              <w:rPr>
                <w:rFonts w:ascii="Times New Roman" w:eastAsia="Times New Roman" w:hAnsi="Times New Roman" w:cs="Times New Roman"/>
                <w:b/>
                <w:bCs/>
                <w:color w:val="000000"/>
                <w:spacing w:val="0"/>
                <w:w w:val="100"/>
                <w:position w:val="0"/>
                <w:sz w:val="15"/>
                <w:szCs w:val="15"/>
              </w:rPr>
              <w:t>348,553,440.30</w:t>
            </w: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540" w:right="0" w:firstLine="0"/>
              <w:jc w:val="both"/>
              <w:rPr>
                <w:sz w:val="15"/>
                <w:szCs w:val="15"/>
              </w:rPr>
            </w:pPr>
            <w:r>
              <w:rPr>
                <w:rFonts w:ascii="Times New Roman" w:eastAsia="Times New Roman" w:hAnsi="Times New Roman" w:cs="Times New Roman"/>
                <w:b/>
                <w:bCs/>
                <w:color w:val="000000"/>
                <w:spacing w:val="0"/>
                <w:w w:val="100"/>
                <w:position w:val="0"/>
                <w:sz w:val="15"/>
                <w:szCs w:val="15"/>
              </w:rPr>
              <w:t>314,269,735.89</w:t>
            </w:r>
          </w:p>
        </w:tc>
      </w:tr>
      <w:tr>
        <w:trPr>
          <w:trHeight w:val="226"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归属于母公司所有者的综合收益总额</w:t>
            </w: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060" w:right="0" w:firstLine="0"/>
              <w:jc w:val="both"/>
              <w:rPr>
                <w:sz w:val="15"/>
                <w:szCs w:val="15"/>
              </w:rPr>
            </w:pPr>
            <w:r>
              <w:rPr>
                <w:rFonts w:ascii="Times New Roman" w:eastAsia="Times New Roman" w:hAnsi="Times New Roman" w:cs="Times New Roman"/>
                <w:color w:val="000000"/>
                <w:spacing w:val="0"/>
                <w:w w:val="100"/>
                <w:position w:val="0"/>
                <w:sz w:val="15"/>
                <w:szCs w:val="15"/>
              </w:rPr>
              <w:t>351,681,137.72</w:t>
            </w: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540" w:right="0" w:firstLine="0"/>
              <w:jc w:val="both"/>
              <w:rPr>
                <w:sz w:val="15"/>
                <w:szCs w:val="15"/>
              </w:rPr>
            </w:pPr>
            <w:r>
              <w:rPr>
                <w:rFonts w:ascii="Times New Roman" w:eastAsia="Times New Roman" w:hAnsi="Times New Roman" w:cs="Times New Roman"/>
                <w:color w:val="000000"/>
                <w:spacing w:val="0"/>
                <w:w w:val="100"/>
                <w:position w:val="0"/>
                <w:sz w:val="15"/>
                <w:szCs w:val="15"/>
              </w:rPr>
              <w:t>317,392,957.33</w:t>
            </w:r>
          </w:p>
        </w:tc>
      </w:tr>
      <w:tr>
        <w:trPr>
          <w:trHeight w:val="226"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归属于少数股东的综合收益总额</w:t>
            </w: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120" w:right="0" w:firstLine="0"/>
              <w:jc w:val="left"/>
              <w:rPr>
                <w:sz w:val="15"/>
                <w:szCs w:val="15"/>
              </w:rPr>
            </w:pPr>
            <w:r>
              <w:rPr>
                <w:rFonts w:ascii="Times New Roman" w:eastAsia="Times New Roman" w:hAnsi="Times New Roman" w:cs="Times New Roman"/>
                <w:color w:val="000000"/>
                <w:spacing w:val="0"/>
                <w:w w:val="100"/>
                <w:position w:val="0"/>
                <w:sz w:val="15"/>
                <w:szCs w:val="15"/>
              </w:rPr>
              <w:t>-3,127,697.42</w:t>
            </w: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-3,123,221.44</w:t>
            </w:r>
          </w:p>
        </w:tc>
      </w:tr>
      <w:tr>
        <w:trPr>
          <w:trHeight w:val="226" w:hRule="exact"/>
        </w:trPr>
        <w:tc>
          <w:tcPr>
            <w:tcBorders>
              <w:top w:val="single" w:sz="4"/>
              <w:left w:val="single" w:sz="4"/>
            </w:tcBorders>
            <w:shd w:val="clear" w:color="auto" w:fill="D3D3D3"/>
            <w:vAlign w:val="top"/>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八、每股收益：</w:t>
            </w:r>
          </w:p>
        </w:tc>
        <w:tc>
          <w:tcPr>
            <w:tcBorders>
              <w:top w:val="single" w:sz="4"/>
              <w:left w:val="single" w:sz="4"/>
            </w:tcBorders>
            <w:shd w:val="clear" w:color="auto" w:fill="D3D3D3"/>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D3D3D3"/>
            <w:vAlign w:val="top"/>
          </w:tcPr>
          <w:p>
            <w:pPr>
              <w:framePr w:w="9653" w:h="12302" w:vSpace="355" w:wrap="notBeside" w:vAnchor="text" w:hAnchor="text" w:x="10" w:y="356"/>
              <w:widowControl w:val="0"/>
              <w:rPr>
                <w:sz w:val="10"/>
                <w:szCs w:val="10"/>
              </w:rPr>
            </w:pPr>
          </w:p>
        </w:tc>
        <w:tc>
          <w:tcPr>
            <w:tcBorders>
              <w:top w:val="single" w:sz="4"/>
              <w:left w:val="single" w:sz="4"/>
              <w:right w:val="single" w:sz="4"/>
            </w:tcBorders>
            <w:shd w:val="clear" w:color="auto" w:fill="D3D3D3"/>
            <w:vAlign w:val="top"/>
          </w:tcPr>
          <w:p>
            <w:pPr>
              <w:framePr w:w="9653" w:h="12302" w:vSpace="355" w:wrap="notBeside" w:vAnchor="text" w:hAnchor="text" w:x="10" w:y="356"/>
              <w:widowControl w:val="0"/>
              <w:rPr>
                <w:sz w:val="10"/>
                <w:szCs w:val="10"/>
              </w:rPr>
            </w:pPr>
          </w:p>
        </w:tc>
      </w:tr>
      <w:tr>
        <w:trPr>
          <w:trHeight w:val="221" w:hRule="exact"/>
        </w:trPr>
        <w:tc>
          <w:tcPr>
            <w:tcBorders>
              <w:top w:val="single" w:sz="4"/>
              <w:left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（一）基本每股收益</w:t>
            </w:r>
          </w:p>
        </w:tc>
        <w:tc>
          <w:tcPr>
            <w:tcBorders>
              <w:top w:val="single" w:sz="4"/>
              <w:left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580" w:right="0" w:firstLine="0"/>
              <w:jc w:val="both"/>
              <w:rPr>
                <w:sz w:val="15"/>
                <w:szCs w:val="15"/>
              </w:rPr>
            </w:pPr>
            <w:r>
              <w:rPr>
                <w:rFonts w:ascii="Times New Roman" w:eastAsia="Times New Roman" w:hAnsi="Times New Roman" w:cs="Times New Roman"/>
                <w:color w:val="000000"/>
                <w:spacing w:val="0"/>
                <w:w w:val="100"/>
                <w:position w:val="0"/>
                <w:sz w:val="15"/>
                <w:szCs w:val="15"/>
              </w:rPr>
              <w:t>0.5539</w:t>
            </w:r>
          </w:p>
        </w:tc>
        <w:tc>
          <w:tcPr>
            <w:tcBorders>
              <w:top w:val="single" w:sz="4"/>
              <w:left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0.5529</w:t>
            </w:r>
          </w:p>
        </w:tc>
      </w:tr>
      <w:tr>
        <w:trPr>
          <w:trHeight w:val="235" w:hRule="exact"/>
        </w:trPr>
        <w:tc>
          <w:tcPr>
            <w:tcBorders>
              <w:top w:val="single" w:sz="4"/>
              <w:left w:val="single" w:sz="4"/>
              <w:bottom w:val="single" w:sz="4"/>
            </w:tcBorders>
            <w:shd w:val="clear" w:color="auto" w:fill="D3D3D3"/>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（二）稀释每股收益</w:t>
            </w:r>
          </w:p>
        </w:tc>
        <w:tc>
          <w:tcPr>
            <w:tcBorders>
              <w:top w:val="single" w:sz="4"/>
              <w:left w:val="single" w:sz="4"/>
              <w:bottom w:val="single" w:sz="4"/>
            </w:tcBorders>
            <w:shd w:val="clear" w:color="auto" w:fill="FFFFFF"/>
            <w:vAlign w:val="top"/>
          </w:tcPr>
          <w:p>
            <w:pPr>
              <w:framePr w:w="9653" w:h="12302" w:vSpace="355" w:wrap="notBeside" w:vAnchor="text" w:hAnchor="text" w:x="10" w:y="356"/>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1580" w:right="0" w:firstLine="0"/>
              <w:jc w:val="both"/>
              <w:rPr>
                <w:sz w:val="15"/>
                <w:szCs w:val="15"/>
              </w:rPr>
            </w:pPr>
            <w:r>
              <w:rPr>
                <w:rFonts w:ascii="Times New Roman" w:eastAsia="Times New Roman" w:hAnsi="Times New Roman" w:cs="Times New Roman"/>
                <w:color w:val="000000"/>
                <w:spacing w:val="0"/>
                <w:w w:val="100"/>
                <w:position w:val="0"/>
                <w:sz w:val="15"/>
                <w:szCs w:val="15"/>
              </w:rPr>
              <w:t>0.5539</w:t>
            </w:r>
          </w:p>
        </w:tc>
        <w:tc>
          <w:tcPr>
            <w:tcBorders>
              <w:top w:val="single" w:sz="4"/>
              <w:left w:val="single" w:sz="4"/>
              <w:bottom w:val="single" w:sz="4"/>
              <w:right w:val="single" w:sz="4"/>
            </w:tcBorders>
            <w:shd w:val="clear" w:color="auto" w:fill="FFFFFF"/>
            <w:vAlign w:val="center"/>
          </w:tcPr>
          <w:p>
            <w:pPr>
              <w:pStyle w:val="Style2"/>
              <w:keepNext w:val="0"/>
              <w:keepLines w:val="0"/>
              <w:framePr w:w="9653" w:h="12302" w:vSpace="355" w:wrap="notBeside" w:vAnchor="text" w:hAnchor="text" w:x="10"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0.5529</w:t>
            </w:r>
          </w:p>
        </w:tc>
      </w:tr>
    </w:tbl>
    <w:p>
      <w:pPr>
        <w:pStyle w:val="Style33"/>
        <w:keepNext w:val="0"/>
        <w:keepLines w:val="0"/>
        <w:framePr w:w="1238" w:h="240" w:hSpace="9" w:wrap="notBeside" w:vAnchor="text" w:hAnchor="text" w:x="423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 xml:space="preserve">2016 </w:t>
      </w:r>
      <w:r>
        <w:rPr>
          <w:b/>
          <w:bCs/>
          <w:color w:val="000000"/>
          <w:spacing w:val="0"/>
          <w:w w:val="100"/>
          <w:position w:val="0"/>
        </w:rPr>
        <w:t xml:space="preserve">年 </w:t>
      </w:r>
      <w:r>
        <w:rPr>
          <w:rFonts w:ascii="Times New Roman" w:eastAsia="Times New Roman" w:hAnsi="Times New Roman" w:cs="Times New Roman"/>
          <w:b/>
          <w:bCs/>
          <w:color w:val="000000"/>
          <w:spacing w:val="0"/>
          <w:w w:val="100"/>
          <w:position w:val="0"/>
          <w:sz w:val="18"/>
          <w:szCs w:val="18"/>
        </w:rPr>
        <w:t xml:space="preserve">1-12 </w:t>
      </w:r>
      <w:r>
        <w:rPr>
          <w:b/>
          <w:bCs/>
          <w:color w:val="000000"/>
          <w:spacing w:val="0"/>
          <w:w w:val="100"/>
          <w:position w:val="0"/>
        </w:rPr>
        <w:t>月</w:t>
      </w:r>
    </w:p>
    <w:p>
      <w:pPr>
        <w:widowControl w:val="0"/>
        <w:spacing w:line="1" w:lineRule="exact"/>
      </w:pPr>
    </w:p>
    <w:p>
      <w:pPr>
        <w:pStyle w:val="Style59"/>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本期发生同一控制下企业合并，被合并方在合并前实现的净利润为：</w:t>
      </w:r>
      <w:r>
        <w:rPr>
          <w:rFonts w:ascii="Times New Roman" w:eastAsia="Times New Roman" w:hAnsi="Times New Roman" w:cs="Times New Roman"/>
          <w:b w:val="0"/>
          <w:bCs w:val="0"/>
          <w:color w:val="000000"/>
          <w:spacing w:val="0"/>
          <w:w w:val="100"/>
          <w:position w:val="0"/>
          <w:sz w:val="18"/>
          <w:szCs w:val="18"/>
        </w:rPr>
        <w:t>0.00</w:t>
      </w:r>
      <w:r>
        <w:rPr>
          <w:b w:val="0"/>
          <w:bCs w:val="0"/>
          <w:color w:val="000000"/>
          <w:spacing w:val="0"/>
          <w:w w:val="100"/>
          <w:position w:val="0"/>
        </w:rPr>
        <w:t>元，上期被合并方实现的净利润为：</w:t>
      </w:r>
      <w:r>
        <w:rPr>
          <w:rFonts w:ascii="Times New Roman" w:eastAsia="Times New Roman" w:hAnsi="Times New Roman" w:cs="Times New Roman"/>
          <w:b w:val="0"/>
          <w:bCs w:val="0"/>
          <w:color w:val="000000"/>
          <w:spacing w:val="0"/>
          <w:w w:val="100"/>
          <w:position w:val="0"/>
          <w:sz w:val="18"/>
          <w:szCs w:val="18"/>
        </w:rPr>
        <w:t>0.00</w:t>
      </w:r>
      <w:r>
        <w:rPr>
          <w:b w:val="0"/>
          <w:bCs w:val="0"/>
          <w:color w:val="000000"/>
          <w:spacing w:val="0"/>
          <w:w w:val="100"/>
          <w:position w:val="0"/>
        </w:rPr>
        <w:t>元。</w:t>
      </w:r>
    </w:p>
    <w:p>
      <w:pPr>
        <w:pStyle w:val="Style59"/>
        <w:keepNext w:val="0"/>
        <w:keepLines w:val="0"/>
        <w:widowControl w:val="0"/>
        <w:shd w:val="clear" w:color="auto" w:fill="auto"/>
        <w:tabs>
          <w:tab w:pos="3384" w:val="left"/>
          <w:tab w:pos="7075" w:val="left"/>
        </w:tabs>
        <w:bidi w:val="0"/>
        <w:spacing w:before="0" w:line="240" w:lineRule="auto"/>
        <w:ind w:left="0" w:right="0" w:firstLine="0"/>
        <w:jc w:val="left"/>
        <w:sectPr>
          <w:headerReference w:type="default" r:id="rId13"/>
          <w:footerReference w:type="default" r:id="rId14"/>
          <w:footnotePr>
            <w:pos w:val="pageBottom"/>
            <w:numFmt w:val="decimal"/>
            <w:numRestart w:val="continuous"/>
          </w:footnotePr>
          <w:pgSz w:w="11900" w:h="16840"/>
          <w:pgMar w:top="1441" w:right="1121" w:bottom="1542" w:left="1108" w:header="0" w:footer="3" w:gutter="0"/>
          <w:cols w:space="720"/>
          <w:noEndnote/>
          <w:rtlGutter w:val="0"/>
          <w:docGrid w:linePitch="360"/>
        </w:sectPr>
      </w:pPr>
      <w:r>
        <w:rPr>
          <w:color w:val="000000"/>
          <w:spacing w:val="0"/>
          <w:w w:val="100"/>
          <w:position w:val="0"/>
        </w:rPr>
        <w:t>法定代表人：赵伟国</w:t>
        <w:tab/>
        <w:t>主管会计工作负责人：杨秋平</w:t>
        <w:tab/>
        <w:t>会计机构负责人：张典洪</w:t>
      </w:r>
    </w:p>
    <w:p>
      <w:pPr>
        <w:pStyle w:val="Style28"/>
        <w:keepNext/>
        <w:keepLines/>
        <w:widowControl w:val="0"/>
        <w:shd w:val="clear" w:color="auto" w:fill="auto"/>
        <w:bidi w:val="0"/>
        <w:spacing w:before="0" w:after="32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4</w:t>
      </w:r>
      <w:bookmarkEnd w:id="545"/>
      <w:r>
        <w:rPr>
          <w:color w:val="000000"/>
          <w:spacing w:val="0"/>
          <w:w w:val="100"/>
          <w:position w:val="0"/>
        </w:rPr>
        <w:t>、母公司利润表</w:t>
      </w:r>
      <w:bookmarkEnd w:id="543"/>
      <w:bookmarkEnd w:id="544"/>
      <w:bookmarkEnd w:id="546"/>
    </w:p>
    <w:p>
      <w:pPr>
        <w:pStyle w:val="Style33"/>
        <w:keepNext w:val="0"/>
        <w:keepLines w:val="0"/>
        <w:widowControl w:val="0"/>
        <w:shd w:val="clear" w:color="auto" w:fill="auto"/>
        <w:tabs>
          <w:tab w:pos="4224" w:val="left"/>
          <w:tab w:pos="7190" w:val="left"/>
          <w:tab w:pos="8126" w:val="left"/>
        </w:tabs>
        <w:bidi w:val="0"/>
        <w:spacing w:before="0" w:after="0" w:line="240" w:lineRule="auto"/>
        <w:ind w:left="134" w:right="0" w:firstLine="0"/>
        <w:jc w:val="left"/>
      </w:pPr>
      <w:r>
        <w:rPr>
          <w:b/>
          <w:bCs/>
          <w:color w:val="000000"/>
          <w:spacing w:val="0"/>
          <w:w w:val="100"/>
          <w:position w:val="0"/>
        </w:rPr>
        <w:t>编制单位：紫光国芯股份有限公司</w:t>
        <w:tab/>
      </w: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1-12</w:t>
      </w:r>
      <w:r>
        <w:rPr>
          <w:b/>
          <w:bCs/>
          <w:color w:val="000000"/>
          <w:spacing w:val="0"/>
          <w:w w:val="100"/>
          <w:position w:val="0"/>
        </w:rPr>
        <w:t>月</w:t>
        <w:tab/>
        <w:t>单位：元</w:t>
        <w:tab/>
        <w:t>币种：人民币</w:t>
      </w:r>
    </w:p>
    <w:tbl>
      <w:tblPr>
        <w:tblOverlap w:val="never"/>
        <w:jc w:val="center"/>
        <w:tblLayout w:type="fixed"/>
      </w:tblPr>
      <w:tblGrid>
        <w:gridCol w:w="4258"/>
        <w:gridCol w:w="1133"/>
        <w:gridCol w:w="2054"/>
        <w:gridCol w:w="2069"/>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附注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上期发生额</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十六、（四）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b/>
                <w:bCs/>
                <w:color w:val="000000"/>
                <w:spacing w:val="0"/>
                <w:w w:val="100"/>
                <w:position w:val="0"/>
                <w:sz w:val="18"/>
                <w:szCs w:val="18"/>
              </w:rPr>
              <w:t>128,763,361.47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b/>
                <w:bCs/>
                <w:color w:val="000000"/>
                <w:spacing w:val="0"/>
                <w:w w:val="100"/>
                <w:position w:val="0"/>
                <w:sz w:val="18"/>
                <w:szCs w:val="18"/>
              </w:rPr>
              <w:t>173,290,595.20</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十六、（四）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115,883,206.79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147,200,970.47</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1,913,149.21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1,849,887.06</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999,524.96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3,484,492.47</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20,409,827.71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26,106,179.16</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-8,477,197.87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-5,242,472.93</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717,987.23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64,593.88</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color w:val="000000"/>
                <w:spacing w:val="0"/>
                <w:w w:val="100"/>
                <w:position w:val="0"/>
                <w:sz w:val="16"/>
                <w:szCs w:val="16"/>
              </w:rPr>
              <w:t>''</w:t>
            </w:r>
            <w:r>
              <w:rPr>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十六、（五）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180,000,000.00</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二、营业利润（亏损以</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一</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b/>
                <w:bCs/>
                <w:color w:val="000000"/>
                <w:spacing w:val="0"/>
                <w:w w:val="100"/>
                <w:position w:val="0"/>
                <w:sz w:val="18"/>
                <w:szCs w:val="18"/>
              </w:rPr>
              <w:t>127,316,863.44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b/>
                <w:bCs/>
                <w:color w:val="000000"/>
                <w:spacing w:val="0"/>
                <w:w w:val="100"/>
                <w:position w:val="0"/>
                <w:sz w:val="18"/>
                <w:szCs w:val="18"/>
              </w:rPr>
              <w:t>179,826,945.09</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2,374,766.70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6,923,325.46</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97,281.25</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133,255.73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281,436.77</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131,402.72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144,955.26</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三、利润总额（亏损总额以</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一</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b/>
                <w:bCs/>
                <w:color w:val="000000"/>
                <w:spacing w:val="0"/>
                <w:w w:val="100"/>
                <w:position w:val="0"/>
                <w:sz w:val="18"/>
                <w:szCs w:val="18"/>
              </w:rPr>
              <w:t>129,558,374.41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b/>
                <w:bCs/>
                <w:color w:val="000000"/>
                <w:spacing w:val="0"/>
                <w:w w:val="100"/>
                <w:position w:val="0"/>
                <w:sz w:val="18"/>
                <w:szCs w:val="18"/>
              </w:rPr>
              <w:t>186,468,833.78</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1,112,919.60</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四、净利润（净亏损以</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一</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b/>
                <w:bCs/>
                <w:color w:val="000000"/>
                <w:spacing w:val="0"/>
                <w:w w:val="100"/>
                <w:position w:val="0"/>
                <w:sz w:val="18"/>
                <w:szCs w:val="18"/>
              </w:rPr>
              <w:t>129,532,274.53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b/>
                <w:bCs/>
                <w:color w:val="000000"/>
                <w:spacing w:val="0"/>
                <w:w w:val="100"/>
                <w:position w:val="0"/>
                <w:sz w:val="18"/>
                <w:szCs w:val="18"/>
              </w:rPr>
              <w:t>185,355,914.18</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b/>
                <w:bCs/>
                <w:color w:val="000000"/>
                <w:spacing w:val="0"/>
                <w:w w:val="100"/>
                <w:position w:val="0"/>
                <w:sz w:val="18"/>
                <w:szCs w:val="18"/>
              </w:rPr>
              <w:t>0.00</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重新计量设定受益计划净负债或净资产的变动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7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5" w:lineRule="exact"/>
              <w:ind w:left="0" w:right="0" w:firstLine="30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权益法下在被投资单位不能重分类进损益的其他 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8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30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权益法下在被投资单位以后将重分类进损益的其 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b/>
                <w:bCs/>
                <w:color w:val="000000"/>
                <w:spacing w:val="0"/>
                <w:w w:val="100"/>
                <w:position w:val="0"/>
                <w:sz w:val="18"/>
                <w:szCs w:val="18"/>
              </w:rPr>
              <w:t>129,532,274.53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b/>
                <w:bCs/>
                <w:color w:val="000000"/>
                <w:spacing w:val="0"/>
                <w:w w:val="100"/>
                <w:position w:val="0"/>
                <w:sz w:val="18"/>
                <w:szCs w:val="18"/>
              </w:rPr>
              <w:t>185,355,914.18</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8"/>
        <w:keepNext/>
        <w:keepLines/>
        <w:widowControl w:val="0"/>
        <w:shd w:val="clear" w:color="auto" w:fill="auto"/>
        <w:bidi w:val="0"/>
        <w:spacing w:before="0" w:after="300" w:line="240" w:lineRule="auto"/>
        <w:ind w:left="0" w:right="0" w:firstLine="0"/>
        <w:jc w:val="left"/>
      </w:pPr>
      <w:r>
        <mc:AlternateContent>
          <mc:Choice Requires="wps">
            <w:drawing>
              <wp:anchor distT="0" distB="0" distL="0" distR="0" simplePos="0" relativeHeight="125829382" behindDoc="0" locked="0" layoutInCell="1" allowOverlap="1">
                <wp:simplePos x="0" y="0"/>
                <wp:positionH relativeFrom="page">
                  <wp:posOffset>772795</wp:posOffset>
                </wp:positionH>
                <wp:positionV relativeFrom="paragraph">
                  <wp:posOffset>355600</wp:posOffset>
                </wp:positionV>
                <wp:extent cx="1749425" cy="152400"/>
                <wp:wrapSquare wrapText="bothSides"/>
                <wp:docPr id="28" name="Shape 28"/>
                <a:graphic xmlns:a="http://schemas.openxmlformats.org/drawingml/2006/main">
                  <a:graphicData uri="http://schemas.microsoft.com/office/word/2010/wordprocessingShape">
                    <wps:wsp>
                      <wps:cNvSpPr txBox="1"/>
                      <wps:spPr>
                        <a:xfrm>
                          <a:ext cx="1749425" cy="15240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编制单位：紫光国芯股份有限公司</w:t>
                            </w:r>
                          </w:p>
                        </w:txbxContent>
                      </wps:txbx>
                      <wps:bodyPr wrap="none" lIns="0" tIns="0" rIns="0" bIns="0">
                        <a:noAutoFit/>
                      </wps:bodyPr>
                    </wps:wsp>
                  </a:graphicData>
                </a:graphic>
              </wp:anchor>
            </w:drawing>
          </mc:Choice>
          <mc:Fallback>
            <w:pict>
              <v:shape id="_x0000_s1054" type="#_x0000_t202" style="position:absolute;margin-left:60.850000000000001pt;margin-top:28.pt;width:137.75pt;height:12.pt;z-index:-125829371;mso-wrap-distance-left:0;mso-wrap-distance-right:0;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编制单位：紫光国芯股份有限公司</w:t>
                      </w:r>
                    </w:p>
                  </w:txbxContent>
                </v:textbox>
                <w10:wrap type="square" anchorx="page"/>
              </v:shape>
            </w:pict>
          </mc:Fallback>
        </mc:AlternateContent>
      </w:r>
      <w:r>
        <mc:AlternateContent>
          <mc:Choice Requires="wps">
            <w:drawing>
              <wp:anchor distT="0" distB="0" distL="0" distR="0" simplePos="0" relativeHeight="125829384" behindDoc="0" locked="0" layoutInCell="1" allowOverlap="1">
                <wp:simplePos x="0" y="0"/>
                <wp:positionH relativeFrom="page">
                  <wp:posOffset>5268595</wp:posOffset>
                </wp:positionH>
                <wp:positionV relativeFrom="paragraph">
                  <wp:posOffset>355600</wp:posOffset>
                </wp:positionV>
                <wp:extent cx="1289050" cy="149225"/>
                <wp:wrapSquare wrapText="bothSides"/>
                <wp:docPr id="30" name="Shape 30"/>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wps:txbx>
                      <wps:bodyPr wrap="none" lIns="0" tIns="0" rIns="0" bIns="0">
                        <a:noAutoFit/>
                      </wps:bodyPr>
                    </wps:wsp>
                  </a:graphicData>
                </a:graphic>
              </wp:anchor>
            </w:drawing>
          </mc:Choice>
          <mc:Fallback>
            <w:pict>
              <v:shape id="_x0000_s1056" type="#_x0000_t202" style="position:absolute;margin-left:414.85000000000002pt;margin-top:28.pt;width:101.5pt;height:11.75pt;z-index:-125829369;mso-wrap-distance-left:0;mso-wrap-distance-right:0;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v:textbox>
                <w10:wrap type="square" anchorx="page"/>
              </v:shape>
            </w:pict>
          </mc:Fallback>
        </mc:AlternateContent>
      </w: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5</w:t>
      </w:r>
      <w:bookmarkEnd w:id="549"/>
      <w:r>
        <w:rPr>
          <w:color w:val="000000"/>
          <w:spacing w:val="0"/>
          <w:w w:val="100"/>
          <w:position w:val="0"/>
        </w:rPr>
        <w:t>、合并现金流量表</w:t>
      </w:r>
      <w:bookmarkEnd w:id="547"/>
      <w:bookmarkEnd w:id="548"/>
      <w:bookmarkEnd w:id="550"/>
    </w:p>
    <w:tbl>
      <w:tblPr>
        <w:tblOverlap w:val="never"/>
        <w:jc w:val="left"/>
        <w:tblLayout w:type="fixed"/>
      </w:tblPr>
      <w:tblGrid>
        <w:gridCol w:w="4402"/>
        <w:gridCol w:w="1416"/>
        <w:gridCol w:w="1920"/>
        <w:gridCol w:w="1925"/>
      </w:tblGrid>
      <w:tr>
        <w:trPr>
          <w:trHeight w:val="206"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附注</w:t>
            </w:r>
          </w:p>
        </w:tc>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本期发生额</w:t>
            </w:r>
          </w:p>
        </w:tc>
        <w:tc>
          <w:tcPr>
            <w:tcBorders>
              <w:top w:val="single" w:sz="4"/>
              <w:left w:val="single" w:sz="4"/>
              <w:righ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580"/>
              <w:jc w:val="left"/>
              <w:rPr>
                <w:sz w:val="14"/>
                <w:szCs w:val="14"/>
              </w:rPr>
            </w:pPr>
            <w:r>
              <w:rPr>
                <w:color w:val="000000"/>
                <w:spacing w:val="0"/>
                <w:w w:val="100"/>
                <w:position w:val="0"/>
                <w:sz w:val="14"/>
                <w:szCs w:val="14"/>
              </w:rPr>
              <w:t>上期发生额</w:t>
            </w:r>
          </w:p>
        </w:tc>
      </w:tr>
      <w:tr>
        <w:trPr>
          <w:trHeight w:val="206"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一、经营活动产生的现金流量：</w:t>
            </w:r>
          </w:p>
        </w:tc>
        <w:tc>
          <w:tcPr>
            <w:tcBorders>
              <w:top w:val="single" w:sz="4"/>
              <w:left w:val="single" w:sz="4"/>
            </w:tcBorders>
            <w:shd w:val="clear" w:color="auto" w:fill="D3D3D3"/>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D3D3D3"/>
            <w:vAlign w:val="top"/>
          </w:tcPr>
          <w:p>
            <w:pPr>
              <w:framePr w:w="9662" w:h="12259" w:vSpace="355" w:wrap="notBeside" w:vAnchor="text" w:hAnchor="text" w:x="11" w:y="356"/>
              <w:widowControl w:val="0"/>
              <w:rPr>
                <w:sz w:val="10"/>
                <w:szCs w:val="10"/>
              </w:rPr>
            </w:pPr>
          </w:p>
        </w:tc>
        <w:tc>
          <w:tcPr>
            <w:tcBorders>
              <w:top w:val="single" w:sz="4"/>
              <w:left w:val="single" w:sz="4"/>
              <w:right w:val="single" w:sz="4"/>
            </w:tcBorders>
            <w:shd w:val="clear" w:color="auto" w:fill="D3D3D3"/>
            <w:vAlign w:val="top"/>
          </w:tcPr>
          <w:p>
            <w:pPr>
              <w:framePr w:w="9662" w:h="12259" w:vSpace="355" w:wrap="notBeside" w:vAnchor="text" w:hAnchor="text" w:x="11" w:y="356"/>
              <w:widowControl w:val="0"/>
              <w:rPr>
                <w:sz w:val="10"/>
                <w:szCs w:val="10"/>
              </w:rPr>
            </w:pPr>
          </w:p>
        </w:tc>
      </w:tr>
      <w:tr>
        <w:trPr>
          <w:trHeight w:val="206"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销售商品、提供劳务收到的现金</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1,354,750,689.28</w:t>
            </w:r>
          </w:p>
        </w:tc>
        <w:tc>
          <w:tcPr>
            <w:tcBorders>
              <w:top w:val="single" w:sz="4"/>
              <w:left w:val="single" w:sz="4"/>
              <w:righ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color w:val="000000"/>
                <w:spacing w:val="0"/>
                <w:w w:val="100"/>
                <w:position w:val="0"/>
                <w:sz w:val="15"/>
                <w:szCs w:val="15"/>
              </w:rPr>
              <w:t>1,192,259,321.06</w:t>
            </w:r>
          </w:p>
        </w:tc>
      </w:tr>
      <w:tr>
        <w:trPr>
          <w:trHeight w:val="211" w:hRule="exact"/>
        </w:trPr>
        <w:tc>
          <w:tcPr>
            <w:tcBorders>
              <w:top w:val="single" w:sz="4"/>
              <w:left w:val="single" w:sz="4"/>
            </w:tcBorders>
            <w:shd w:val="clear" w:color="auto" w:fill="D3D3D3"/>
            <w:vAlign w:val="top"/>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客户存款和同业存放款项净增加额</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right w:val="single" w:sz="4"/>
            </w:tcBorders>
            <w:shd w:val="clear" w:color="auto" w:fill="FFFFFF"/>
            <w:vAlign w:val="top"/>
          </w:tcPr>
          <w:p>
            <w:pPr>
              <w:framePr w:w="9662" w:h="12259" w:vSpace="355" w:wrap="notBeside" w:vAnchor="text" w:hAnchor="text" w:x="11" w:y="356"/>
              <w:widowControl w:val="0"/>
              <w:rPr>
                <w:sz w:val="10"/>
                <w:szCs w:val="10"/>
              </w:rPr>
            </w:pPr>
          </w:p>
        </w:tc>
      </w:tr>
      <w:tr>
        <w:trPr>
          <w:trHeight w:val="206" w:hRule="exact"/>
        </w:trPr>
        <w:tc>
          <w:tcPr>
            <w:tcBorders>
              <w:top w:val="single" w:sz="4"/>
              <w:left w:val="single" w:sz="4"/>
            </w:tcBorders>
            <w:shd w:val="clear" w:color="auto" w:fill="D3D3D3"/>
            <w:vAlign w:val="top"/>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向中央银行借款净增加额</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right w:val="single" w:sz="4"/>
            </w:tcBorders>
            <w:shd w:val="clear" w:color="auto" w:fill="FFFFFF"/>
            <w:vAlign w:val="top"/>
          </w:tcPr>
          <w:p>
            <w:pPr>
              <w:framePr w:w="9662" w:h="12259" w:vSpace="355" w:wrap="notBeside" w:vAnchor="text" w:hAnchor="text" w:x="11" w:y="356"/>
              <w:widowControl w:val="0"/>
              <w:rPr>
                <w:sz w:val="10"/>
                <w:szCs w:val="10"/>
              </w:rPr>
            </w:pPr>
          </w:p>
        </w:tc>
      </w:tr>
      <w:tr>
        <w:trPr>
          <w:trHeight w:val="206"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向其他金融机构拆入资金净增加额</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right w:val="single" w:sz="4"/>
            </w:tcBorders>
            <w:shd w:val="clear" w:color="auto" w:fill="FFFFFF"/>
            <w:vAlign w:val="top"/>
          </w:tcPr>
          <w:p>
            <w:pPr>
              <w:framePr w:w="9662" w:h="12259" w:vSpace="355" w:wrap="notBeside" w:vAnchor="text" w:hAnchor="text" w:x="11" w:y="356"/>
              <w:widowControl w:val="0"/>
              <w:rPr>
                <w:sz w:val="10"/>
                <w:szCs w:val="10"/>
              </w:rPr>
            </w:pPr>
          </w:p>
        </w:tc>
      </w:tr>
      <w:tr>
        <w:trPr>
          <w:trHeight w:val="211" w:hRule="exact"/>
        </w:trPr>
        <w:tc>
          <w:tcPr>
            <w:tcBorders>
              <w:top w:val="single" w:sz="4"/>
              <w:left w:val="single" w:sz="4"/>
            </w:tcBorders>
            <w:shd w:val="clear" w:color="auto" w:fill="D3D3D3"/>
            <w:vAlign w:val="top"/>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收到原保险合同保费取得的现金</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right w:val="single" w:sz="4"/>
            </w:tcBorders>
            <w:shd w:val="clear" w:color="auto" w:fill="FFFFFF"/>
            <w:vAlign w:val="top"/>
          </w:tcPr>
          <w:p>
            <w:pPr>
              <w:framePr w:w="9662" w:h="12259" w:vSpace="355" w:wrap="notBeside" w:vAnchor="text" w:hAnchor="text" w:x="11" w:y="356"/>
              <w:widowControl w:val="0"/>
              <w:rPr>
                <w:sz w:val="10"/>
                <w:szCs w:val="10"/>
              </w:rPr>
            </w:pPr>
          </w:p>
        </w:tc>
      </w:tr>
      <w:tr>
        <w:trPr>
          <w:trHeight w:val="206" w:hRule="exact"/>
        </w:trPr>
        <w:tc>
          <w:tcPr>
            <w:tcBorders>
              <w:top w:val="single" w:sz="4"/>
              <w:left w:val="single" w:sz="4"/>
            </w:tcBorders>
            <w:shd w:val="clear" w:color="auto" w:fill="D3D3D3"/>
            <w:vAlign w:val="top"/>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收到再保险业务现金净额</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right w:val="single" w:sz="4"/>
            </w:tcBorders>
            <w:shd w:val="clear" w:color="auto" w:fill="FFFFFF"/>
            <w:vAlign w:val="top"/>
          </w:tcPr>
          <w:p>
            <w:pPr>
              <w:framePr w:w="9662" w:h="12259" w:vSpace="355" w:wrap="notBeside" w:vAnchor="text" w:hAnchor="text" w:x="11" w:y="356"/>
              <w:widowControl w:val="0"/>
              <w:rPr>
                <w:sz w:val="10"/>
                <w:szCs w:val="10"/>
              </w:rPr>
            </w:pPr>
          </w:p>
        </w:tc>
      </w:tr>
      <w:tr>
        <w:trPr>
          <w:trHeight w:val="206" w:hRule="exact"/>
        </w:trPr>
        <w:tc>
          <w:tcPr>
            <w:tcBorders>
              <w:top w:val="single" w:sz="4"/>
              <w:left w:val="single" w:sz="4"/>
            </w:tcBorders>
            <w:shd w:val="clear" w:color="auto" w:fill="D3D3D3"/>
            <w:vAlign w:val="top"/>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保户储金及投资款净增加额</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right w:val="single" w:sz="4"/>
            </w:tcBorders>
            <w:shd w:val="clear" w:color="auto" w:fill="FFFFFF"/>
            <w:vAlign w:val="top"/>
          </w:tcPr>
          <w:p>
            <w:pPr>
              <w:framePr w:w="9662" w:h="12259" w:vSpace="355" w:wrap="notBeside" w:vAnchor="text" w:hAnchor="text" w:x="11" w:y="356"/>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197" w:lineRule="exact"/>
              <w:ind w:left="0" w:right="0" w:firstLine="320"/>
              <w:jc w:val="left"/>
              <w:rPr>
                <w:sz w:val="14"/>
                <w:szCs w:val="14"/>
              </w:rPr>
            </w:pPr>
            <w:r>
              <w:rPr>
                <w:color w:val="000000"/>
                <w:spacing w:val="0"/>
                <w:w w:val="100"/>
                <w:position w:val="0"/>
                <w:sz w:val="14"/>
                <w:szCs w:val="14"/>
              </w:rPr>
              <w:t>处置以公允价值计量且其变动计入当期损益的金融资产净增 加额</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right w:val="single" w:sz="4"/>
            </w:tcBorders>
            <w:shd w:val="clear" w:color="auto" w:fill="FFFFFF"/>
            <w:vAlign w:val="top"/>
          </w:tcPr>
          <w:p>
            <w:pPr>
              <w:framePr w:w="9662" w:h="12259" w:vSpace="355" w:wrap="notBeside" w:vAnchor="text" w:hAnchor="text" w:x="11" w:y="356"/>
              <w:widowControl w:val="0"/>
              <w:rPr>
                <w:sz w:val="10"/>
                <w:szCs w:val="10"/>
              </w:rPr>
            </w:pPr>
          </w:p>
        </w:tc>
      </w:tr>
      <w:tr>
        <w:trPr>
          <w:trHeight w:val="211"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收取利息、手续费及佣金的现金</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right w:val="single" w:sz="4"/>
            </w:tcBorders>
            <w:shd w:val="clear" w:color="auto" w:fill="FFFFFF"/>
            <w:vAlign w:val="top"/>
          </w:tcPr>
          <w:p>
            <w:pPr>
              <w:framePr w:w="9662" w:h="12259" w:vSpace="355" w:wrap="notBeside" w:vAnchor="text" w:hAnchor="text" w:x="11" w:y="356"/>
              <w:widowControl w:val="0"/>
              <w:rPr>
                <w:sz w:val="10"/>
                <w:szCs w:val="10"/>
              </w:rPr>
            </w:pPr>
          </w:p>
        </w:tc>
      </w:tr>
      <w:tr>
        <w:trPr>
          <w:trHeight w:val="206"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拆入资金净增加额</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right w:val="single" w:sz="4"/>
            </w:tcBorders>
            <w:shd w:val="clear" w:color="auto" w:fill="FFFFFF"/>
            <w:vAlign w:val="top"/>
          </w:tcPr>
          <w:p>
            <w:pPr>
              <w:framePr w:w="9662" w:h="12259" w:vSpace="355" w:wrap="notBeside" w:vAnchor="text" w:hAnchor="text" w:x="11" w:y="356"/>
              <w:widowControl w:val="0"/>
              <w:rPr>
                <w:sz w:val="10"/>
                <w:szCs w:val="10"/>
              </w:rPr>
            </w:pPr>
          </w:p>
        </w:tc>
      </w:tr>
      <w:tr>
        <w:trPr>
          <w:trHeight w:val="206"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回购业务资金净增加额</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right w:val="single" w:sz="4"/>
            </w:tcBorders>
            <w:shd w:val="clear" w:color="auto" w:fill="FFFFFF"/>
            <w:vAlign w:val="top"/>
          </w:tcPr>
          <w:p>
            <w:pPr>
              <w:framePr w:w="9662" w:h="12259" w:vSpace="355" w:wrap="notBeside" w:vAnchor="text" w:hAnchor="text" w:x="11" w:y="356"/>
              <w:widowControl w:val="0"/>
              <w:rPr>
                <w:sz w:val="10"/>
                <w:szCs w:val="10"/>
              </w:rPr>
            </w:pPr>
          </w:p>
        </w:tc>
      </w:tr>
      <w:tr>
        <w:trPr>
          <w:trHeight w:val="211"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收到的税费返还</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31,846,721.65</w:t>
            </w:r>
          </w:p>
        </w:tc>
        <w:tc>
          <w:tcPr>
            <w:tcBorders>
              <w:top w:val="single" w:sz="4"/>
              <w:left w:val="single" w:sz="4"/>
              <w:righ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25,875,583.53</w:t>
            </w:r>
          </w:p>
        </w:tc>
      </w:tr>
      <w:tr>
        <w:trPr>
          <w:trHeight w:val="206"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收到其他与经营活动有关的现金</w:t>
            </w: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七、（四十六）</w:t>
            </w: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133,815,185.01</w:t>
            </w:r>
          </w:p>
        </w:tc>
        <w:tc>
          <w:tcPr>
            <w:tcBorders>
              <w:top w:val="single" w:sz="4"/>
              <w:left w:val="single" w:sz="4"/>
              <w:righ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226,727,533.12</w:t>
            </w:r>
          </w:p>
        </w:tc>
      </w:tr>
      <w:tr>
        <w:trPr>
          <w:trHeight w:val="206"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经营活动现金流入小计</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b/>
                <w:bCs/>
                <w:color w:val="000000"/>
                <w:spacing w:val="0"/>
                <w:w w:val="100"/>
                <w:position w:val="0"/>
                <w:sz w:val="15"/>
                <w:szCs w:val="15"/>
              </w:rPr>
              <w:t>1,520,412,595.94</w:t>
            </w:r>
          </w:p>
        </w:tc>
        <w:tc>
          <w:tcPr>
            <w:tcBorders>
              <w:top w:val="single" w:sz="4"/>
              <w:left w:val="single" w:sz="4"/>
              <w:righ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b/>
                <w:bCs/>
                <w:color w:val="000000"/>
                <w:spacing w:val="0"/>
                <w:w w:val="100"/>
                <w:position w:val="0"/>
                <w:sz w:val="15"/>
                <w:szCs w:val="15"/>
              </w:rPr>
              <w:t>1,444,862,437.71</w:t>
            </w:r>
          </w:p>
        </w:tc>
      </w:tr>
      <w:tr>
        <w:trPr>
          <w:trHeight w:val="211"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购买商品、接受劳务支付的现金</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944,960,329.54</w:t>
            </w:r>
          </w:p>
        </w:tc>
        <w:tc>
          <w:tcPr>
            <w:tcBorders>
              <w:top w:val="single" w:sz="4"/>
              <w:left w:val="single" w:sz="4"/>
              <w:righ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694,861,546.17</w:t>
            </w:r>
          </w:p>
        </w:tc>
      </w:tr>
      <w:tr>
        <w:trPr>
          <w:trHeight w:val="206" w:hRule="exact"/>
        </w:trPr>
        <w:tc>
          <w:tcPr>
            <w:tcBorders>
              <w:top w:val="single" w:sz="4"/>
              <w:left w:val="single" w:sz="4"/>
            </w:tcBorders>
            <w:shd w:val="clear" w:color="auto" w:fill="D3D3D3"/>
            <w:vAlign w:val="top"/>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客户贷款及垫款净增加额</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right w:val="single" w:sz="4"/>
            </w:tcBorders>
            <w:shd w:val="clear" w:color="auto" w:fill="FFFFFF"/>
            <w:vAlign w:val="top"/>
          </w:tcPr>
          <w:p>
            <w:pPr>
              <w:framePr w:w="9662" w:h="12259" w:vSpace="355" w:wrap="notBeside" w:vAnchor="text" w:hAnchor="text" w:x="11" w:y="356"/>
              <w:widowControl w:val="0"/>
              <w:rPr>
                <w:sz w:val="10"/>
                <w:szCs w:val="10"/>
              </w:rPr>
            </w:pPr>
          </w:p>
        </w:tc>
      </w:tr>
      <w:tr>
        <w:trPr>
          <w:trHeight w:val="206" w:hRule="exact"/>
        </w:trPr>
        <w:tc>
          <w:tcPr>
            <w:tcBorders>
              <w:top w:val="single" w:sz="4"/>
              <w:left w:val="single" w:sz="4"/>
            </w:tcBorders>
            <w:shd w:val="clear" w:color="auto" w:fill="D3D3D3"/>
            <w:vAlign w:val="top"/>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存放中央银行和同业款项净增加额</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right w:val="single" w:sz="4"/>
            </w:tcBorders>
            <w:shd w:val="clear" w:color="auto" w:fill="FFFFFF"/>
            <w:vAlign w:val="top"/>
          </w:tcPr>
          <w:p>
            <w:pPr>
              <w:framePr w:w="9662" w:h="12259" w:vSpace="355" w:wrap="notBeside" w:vAnchor="text" w:hAnchor="text" w:x="11" w:y="356"/>
              <w:widowControl w:val="0"/>
              <w:rPr>
                <w:sz w:val="10"/>
                <w:szCs w:val="10"/>
              </w:rPr>
            </w:pPr>
          </w:p>
        </w:tc>
      </w:tr>
      <w:tr>
        <w:trPr>
          <w:trHeight w:val="211"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支付原保险合同赔付款项的现金</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right w:val="single" w:sz="4"/>
            </w:tcBorders>
            <w:shd w:val="clear" w:color="auto" w:fill="FFFFFF"/>
            <w:vAlign w:val="top"/>
          </w:tcPr>
          <w:p>
            <w:pPr>
              <w:framePr w:w="9662" w:h="12259" w:vSpace="355" w:wrap="notBeside" w:vAnchor="text" w:hAnchor="text" w:x="11" w:y="356"/>
              <w:widowControl w:val="0"/>
              <w:rPr>
                <w:sz w:val="10"/>
                <w:szCs w:val="10"/>
              </w:rPr>
            </w:pPr>
          </w:p>
        </w:tc>
      </w:tr>
      <w:tr>
        <w:trPr>
          <w:trHeight w:val="206"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支付利息、手续费及佣金的现金</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right w:val="single" w:sz="4"/>
            </w:tcBorders>
            <w:shd w:val="clear" w:color="auto" w:fill="FFFFFF"/>
            <w:vAlign w:val="top"/>
          </w:tcPr>
          <w:p>
            <w:pPr>
              <w:framePr w:w="9662" w:h="12259" w:vSpace="355" w:wrap="notBeside" w:vAnchor="text" w:hAnchor="text" w:x="11" w:y="356"/>
              <w:widowControl w:val="0"/>
              <w:rPr>
                <w:sz w:val="10"/>
                <w:szCs w:val="10"/>
              </w:rPr>
            </w:pPr>
          </w:p>
        </w:tc>
      </w:tr>
      <w:tr>
        <w:trPr>
          <w:trHeight w:val="206"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支付保单红利的现金</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right w:val="single" w:sz="4"/>
            </w:tcBorders>
            <w:shd w:val="clear" w:color="auto" w:fill="FFFFFF"/>
            <w:vAlign w:val="top"/>
          </w:tcPr>
          <w:p>
            <w:pPr>
              <w:framePr w:w="9662" w:h="12259" w:vSpace="355" w:wrap="notBeside" w:vAnchor="text" w:hAnchor="text" w:x="11" w:y="356"/>
              <w:widowControl w:val="0"/>
              <w:rPr>
                <w:sz w:val="10"/>
                <w:szCs w:val="10"/>
              </w:rPr>
            </w:pPr>
          </w:p>
        </w:tc>
      </w:tr>
      <w:tr>
        <w:trPr>
          <w:trHeight w:val="211"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支付给职工以及为职工支付的现金</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208,073,618.21</w:t>
            </w:r>
          </w:p>
        </w:tc>
        <w:tc>
          <w:tcPr>
            <w:tcBorders>
              <w:top w:val="single" w:sz="4"/>
              <w:left w:val="single" w:sz="4"/>
              <w:righ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148,670,948.85</w:t>
            </w:r>
          </w:p>
        </w:tc>
      </w:tr>
      <w:tr>
        <w:trPr>
          <w:trHeight w:val="206"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支付的各项税费</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145,246,084.04</w:t>
            </w:r>
          </w:p>
        </w:tc>
        <w:tc>
          <w:tcPr>
            <w:tcBorders>
              <w:top w:val="single" w:sz="4"/>
              <w:left w:val="single" w:sz="4"/>
              <w:righ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116,365,003.43</w:t>
            </w:r>
          </w:p>
        </w:tc>
      </w:tr>
      <w:tr>
        <w:trPr>
          <w:trHeight w:val="206"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支付其他与经营活动有关的现金</w:t>
            </w: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七、（四十六）</w:t>
            </w: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92,149,542.49</w:t>
            </w:r>
          </w:p>
        </w:tc>
        <w:tc>
          <w:tcPr>
            <w:tcBorders>
              <w:top w:val="single" w:sz="4"/>
              <w:left w:val="single" w:sz="4"/>
              <w:righ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81,930,458.87</w:t>
            </w:r>
          </w:p>
        </w:tc>
      </w:tr>
      <w:tr>
        <w:trPr>
          <w:trHeight w:val="211"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经营活动现金流出小计</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b/>
                <w:bCs/>
                <w:color w:val="000000"/>
                <w:spacing w:val="0"/>
                <w:w w:val="100"/>
                <w:position w:val="0"/>
                <w:sz w:val="15"/>
                <w:szCs w:val="15"/>
              </w:rPr>
              <w:t>1,390,429,574.28</w:t>
            </w:r>
          </w:p>
        </w:tc>
        <w:tc>
          <w:tcPr>
            <w:tcBorders>
              <w:top w:val="single" w:sz="4"/>
              <w:left w:val="single" w:sz="4"/>
              <w:righ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840"/>
              <w:jc w:val="both"/>
              <w:rPr>
                <w:sz w:val="15"/>
                <w:szCs w:val="15"/>
              </w:rPr>
            </w:pPr>
            <w:r>
              <w:rPr>
                <w:rFonts w:ascii="Times New Roman" w:eastAsia="Times New Roman" w:hAnsi="Times New Roman" w:cs="Times New Roman"/>
                <w:b/>
                <w:bCs/>
                <w:color w:val="000000"/>
                <w:spacing w:val="0"/>
                <w:w w:val="100"/>
                <w:position w:val="0"/>
                <w:sz w:val="15"/>
                <w:szCs w:val="15"/>
              </w:rPr>
              <w:t>1,041,827,957.32</w:t>
            </w:r>
          </w:p>
        </w:tc>
      </w:tr>
      <w:tr>
        <w:trPr>
          <w:trHeight w:val="206"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经营活动产生的现金流量净额</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b/>
                <w:bCs/>
                <w:color w:val="000000"/>
                <w:spacing w:val="0"/>
                <w:w w:val="100"/>
                <w:position w:val="0"/>
                <w:sz w:val="15"/>
                <w:szCs w:val="15"/>
              </w:rPr>
              <w:t>129,983,021.66</w:t>
            </w:r>
          </w:p>
        </w:tc>
        <w:tc>
          <w:tcPr>
            <w:tcBorders>
              <w:top w:val="single" w:sz="4"/>
              <w:left w:val="single" w:sz="4"/>
              <w:righ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b/>
                <w:bCs/>
                <w:color w:val="000000"/>
                <w:spacing w:val="0"/>
                <w:w w:val="100"/>
                <w:position w:val="0"/>
                <w:sz w:val="15"/>
                <w:szCs w:val="15"/>
              </w:rPr>
              <w:t>403,034,480.39</w:t>
            </w:r>
          </w:p>
        </w:tc>
      </w:tr>
      <w:tr>
        <w:trPr>
          <w:trHeight w:val="206"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二、投资活动产生的现金流量：</w:t>
            </w:r>
          </w:p>
        </w:tc>
        <w:tc>
          <w:tcPr>
            <w:tcBorders>
              <w:top w:val="single" w:sz="4"/>
              <w:left w:val="single" w:sz="4"/>
            </w:tcBorders>
            <w:shd w:val="clear" w:color="auto" w:fill="D3D3D3"/>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D3D3D3"/>
            <w:vAlign w:val="top"/>
          </w:tcPr>
          <w:p>
            <w:pPr>
              <w:framePr w:w="9662" w:h="12259" w:vSpace="355" w:wrap="notBeside" w:vAnchor="text" w:hAnchor="text" w:x="11" w:y="356"/>
              <w:widowControl w:val="0"/>
              <w:rPr>
                <w:sz w:val="10"/>
                <w:szCs w:val="10"/>
              </w:rPr>
            </w:pPr>
          </w:p>
        </w:tc>
        <w:tc>
          <w:tcPr>
            <w:tcBorders>
              <w:top w:val="single" w:sz="4"/>
              <w:left w:val="single" w:sz="4"/>
              <w:right w:val="single" w:sz="4"/>
            </w:tcBorders>
            <w:shd w:val="clear" w:color="auto" w:fill="D3D3D3"/>
            <w:vAlign w:val="top"/>
          </w:tcPr>
          <w:p>
            <w:pPr>
              <w:framePr w:w="9662" w:h="12259" w:vSpace="355" w:wrap="notBeside" w:vAnchor="text" w:hAnchor="text" w:x="11" w:y="356"/>
              <w:widowControl w:val="0"/>
              <w:rPr>
                <w:sz w:val="10"/>
                <w:szCs w:val="10"/>
              </w:rPr>
            </w:pPr>
          </w:p>
        </w:tc>
      </w:tr>
      <w:tr>
        <w:trPr>
          <w:trHeight w:val="211"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收回投资收到的现金</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13,750,000.00</w:t>
            </w:r>
          </w:p>
        </w:tc>
        <w:tc>
          <w:tcPr>
            <w:tcBorders>
              <w:top w:val="single" w:sz="4"/>
              <w:left w:val="single" w:sz="4"/>
              <w:right w:val="single" w:sz="4"/>
            </w:tcBorders>
            <w:shd w:val="clear" w:color="auto" w:fill="FFFFFF"/>
            <w:vAlign w:val="top"/>
          </w:tcPr>
          <w:p>
            <w:pPr>
              <w:framePr w:w="9662" w:h="12259" w:vSpace="355" w:wrap="notBeside" w:vAnchor="text" w:hAnchor="text" w:x="11" w:y="356"/>
              <w:widowControl w:val="0"/>
              <w:rPr>
                <w:sz w:val="10"/>
                <w:szCs w:val="10"/>
              </w:rPr>
            </w:pPr>
          </w:p>
        </w:tc>
      </w:tr>
      <w:tr>
        <w:trPr>
          <w:trHeight w:val="206"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取得投资收益收到的现金</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2,385,270.36</w:t>
            </w:r>
          </w:p>
        </w:tc>
        <w:tc>
          <w:tcPr>
            <w:tcBorders>
              <w:top w:val="single" w:sz="4"/>
              <w:left w:val="single" w:sz="4"/>
              <w:right w:val="single" w:sz="4"/>
            </w:tcBorders>
            <w:shd w:val="clear" w:color="auto" w:fill="FFFFFF"/>
            <w:vAlign w:val="top"/>
          </w:tcPr>
          <w:p>
            <w:pPr>
              <w:framePr w:w="9662" w:h="12259" w:vSpace="355" w:wrap="notBeside" w:vAnchor="text" w:hAnchor="text" w:x="11" w:y="356"/>
              <w:widowControl w:val="0"/>
              <w:rPr>
                <w:sz w:val="10"/>
                <w:szCs w:val="10"/>
              </w:rPr>
            </w:pPr>
          </w:p>
        </w:tc>
      </w:tr>
      <w:tr>
        <w:trPr>
          <w:trHeight w:val="206"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处置固定资产、无形资产和其他长期资产收回的现金净额</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681,682.91</w:t>
            </w:r>
          </w:p>
        </w:tc>
        <w:tc>
          <w:tcPr>
            <w:tcBorders>
              <w:top w:val="single" w:sz="4"/>
              <w:left w:val="single" w:sz="4"/>
              <w:righ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648,340.00</w:t>
            </w:r>
          </w:p>
        </w:tc>
      </w:tr>
      <w:tr>
        <w:trPr>
          <w:trHeight w:val="211" w:hRule="exact"/>
        </w:trPr>
        <w:tc>
          <w:tcPr>
            <w:tcBorders>
              <w:top w:val="single" w:sz="4"/>
              <w:left w:val="single" w:sz="4"/>
            </w:tcBorders>
            <w:shd w:val="clear" w:color="auto" w:fill="D3D3D3"/>
            <w:vAlign w:val="center"/>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处置子公司及其他营业单位收到的现金净额</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206" w:hRule="exact"/>
        </w:trPr>
        <w:tc>
          <w:tcPr>
            <w:tcBorders>
              <w:top w:val="single" w:sz="4"/>
              <w:left w:val="single" w:sz="4"/>
            </w:tcBorders>
            <w:shd w:val="clear" w:color="auto" w:fill="D3D3D3"/>
            <w:vAlign w:val="center"/>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收到其他与投资活动有关的现金</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206"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投资活动现金流入小计</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b/>
                <w:bCs/>
                <w:color w:val="000000"/>
                <w:spacing w:val="0"/>
                <w:w w:val="100"/>
                <w:position w:val="0"/>
                <w:sz w:val="15"/>
                <w:szCs w:val="15"/>
              </w:rPr>
              <w:t>16,816,953.27</w:t>
            </w:r>
          </w:p>
        </w:tc>
        <w:tc>
          <w:tcPr>
            <w:tcBorders>
              <w:top w:val="single" w:sz="4"/>
              <w:left w:val="single" w:sz="4"/>
              <w:righ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648,340.00</w:t>
            </w:r>
          </w:p>
        </w:tc>
      </w:tr>
      <w:tr>
        <w:trPr>
          <w:trHeight w:val="211"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购建固定资产、无形资产和其他长期资产支付的现金</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272,816,459.36</w:t>
            </w:r>
          </w:p>
        </w:tc>
        <w:tc>
          <w:tcPr>
            <w:tcBorders>
              <w:top w:val="single" w:sz="4"/>
              <w:left w:val="single" w:sz="4"/>
              <w:righ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248,834,531.76</w:t>
            </w:r>
          </w:p>
        </w:tc>
      </w:tr>
      <w:tr>
        <w:trPr>
          <w:trHeight w:val="206"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投资支付的现金</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18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13,750,000.00</w:t>
            </w:r>
          </w:p>
        </w:tc>
      </w:tr>
      <w:tr>
        <w:trPr>
          <w:trHeight w:val="206" w:hRule="exact"/>
        </w:trPr>
        <w:tc>
          <w:tcPr>
            <w:tcBorders>
              <w:top w:val="single" w:sz="4"/>
              <w:left w:val="single" w:sz="4"/>
            </w:tcBorders>
            <w:shd w:val="clear" w:color="auto" w:fill="D3D3D3"/>
            <w:vAlign w:val="top"/>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质押贷款净增加额</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right w:val="single" w:sz="4"/>
            </w:tcBorders>
            <w:shd w:val="clear" w:color="auto" w:fill="FFFFFF"/>
            <w:vAlign w:val="top"/>
          </w:tcPr>
          <w:p>
            <w:pPr>
              <w:framePr w:w="9662" w:h="12259" w:vSpace="355" w:wrap="notBeside" w:vAnchor="text" w:hAnchor="text" w:x="11" w:y="356"/>
              <w:widowControl w:val="0"/>
              <w:rPr>
                <w:sz w:val="10"/>
                <w:szCs w:val="10"/>
              </w:rPr>
            </w:pPr>
          </w:p>
        </w:tc>
      </w:tr>
      <w:tr>
        <w:trPr>
          <w:trHeight w:val="211"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取得子公司及其他营业单位支付的现金净额</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113,347,702.19</w:t>
            </w:r>
          </w:p>
        </w:tc>
      </w:tr>
      <w:tr>
        <w:trPr>
          <w:trHeight w:val="206"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支付其他与投资活动有关的现金</w:t>
            </w: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七、（四十六）</w:t>
            </w: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3,721,490.02</w:t>
            </w:r>
          </w:p>
        </w:tc>
        <w:tc>
          <w:tcPr>
            <w:tcBorders>
              <w:top w:val="single" w:sz="4"/>
              <w:left w:val="single" w:sz="4"/>
              <w:righ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46,215,996.14</w:t>
            </w:r>
          </w:p>
        </w:tc>
      </w:tr>
      <w:tr>
        <w:trPr>
          <w:trHeight w:val="206"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投资活动现金流出小计</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b/>
                <w:bCs/>
                <w:color w:val="000000"/>
                <w:spacing w:val="0"/>
                <w:w w:val="100"/>
                <w:position w:val="0"/>
                <w:sz w:val="15"/>
                <w:szCs w:val="15"/>
              </w:rPr>
              <w:t>276,537,949.38</w:t>
            </w:r>
          </w:p>
        </w:tc>
        <w:tc>
          <w:tcPr>
            <w:tcBorders>
              <w:top w:val="single" w:sz="4"/>
              <w:left w:val="single" w:sz="4"/>
              <w:righ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b/>
                <w:bCs/>
                <w:color w:val="000000"/>
                <w:spacing w:val="0"/>
                <w:w w:val="100"/>
                <w:position w:val="0"/>
                <w:sz w:val="15"/>
                <w:szCs w:val="15"/>
              </w:rPr>
              <w:t>422,148,230.09</w:t>
            </w:r>
          </w:p>
        </w:tc>
      </w:tr>
      <w:tr>
        <w:trPr>
          <w:trHeight w:val="211"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投资活动产生的现金流量净额</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-259,720,996.11</w:t>
            </w:r>
          </w:p>
        </w:tc>
        <w:tc>
          <w:tcPr>
            <w:tcBorders>
              <w:top w:val="single" w:sz="4"/>
              <w:left w:val="single" w:sz="4"/>
              <w:righ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-421,499,890.09</w:t>
            </w:r>
          </w:p>
        </w:tc>
      </w:tr>
      <w:tr>
        <w:trPr>
          <w:trHeight w:val="206"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三、筹资活动产生的现金流量：</w:t>
            </w:r>
          </w:p>
        </w:tc>
        <w:tc>
          <w:tcPr>
            <w:tcBorders>
              <w:top w:val="single" w:sz="4"/>
              <w:left w:val="single" w:sz="4"/>
            </w:tcBorders>
            <w:shd w:val="clear" w:color="auto" w:fill="D3D3D3"/>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D3D3D3"/>
            <w:vAlign w:val="top"/>
          </w:tcPr>
          <w:p>
            <w:pPr>
              <w:framePr w:w="9662" w:h="12259" w:vSpace="355" w:wrap="notBeside" w:vAnchor="text" w:hAnchor="text" w:x="11" w:y="356"/>
              <w:widowControl w:val="0"/>
              <w:rPr>
                <w:sz w:val="10"/>
                <w:szCs w:val="10"/>
              </w:rPr>
            </w:pPr>
          </w:p>
        </w:tc>
        <w:tc>
          <w:tcPr>
            <w:tcBorders>
              <w:top w:val="single" w:sz="4"/>
              <w:left w:val="single" w:sz="4"/>
              <w:right w:val="single" w:sz="4"/>
            </w:tcBorders>
            <w:shd w:val="clear" w:color="auto" w:fill="D3D3D3"/>
            <w:vAlign w:val="top"/>
          </w:tcPr>
          <w:p>
            <w:pPr>
              <w:framePr w:w="9662" w:h="12259" w:vSpace="355" w:wrap="notBeside" w:vAnchor="text" w:hAnchor="text" w:x="11" w:y="356"/>
              <w:widowControl w:val="0"/>
              <w:rPr>
                <w:sz w:val="10"/>
                <w:szCs w:val="10"/>
              </w:rPr>
            </w:pPr>
          </w:p>
        </w:tc>
      </w:tr>
      <w:tr>
        <w:trPr>
          <w:trHeight w:val="206"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吸收投资收到的现金</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27,000,000.00</w:t>
            </w:r>
          </w:p>
        </w:tc>
        <w:tc>
          <w:tcPr>
            <w:tcBorders>
              <w:top w:val="single" w:sz="4"/>
              <w:left w:val="single" w:sz="4"/>
              <w:righ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211" w:hRule="exact"/>
        </w:trPr>
        <w:tc>
          <w:tcPr>
            <w:tcBorders>
              <w:top w:val="single" w:sz="4"/>
              <w:left w:val="single" w:sz="4"/>
            </w:tcBorders>
            <w:shd w:val="clear" w:color="auto" w:fill="D3D3D3"/>
            <w:vAlign w:val="center"/>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其中：子公司吸收少数股东投资收到的现金</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27,000,000.00</w:t>
            </w:r>
          </w:p>
        </w:tc>
        <w:tc>
          <w:tcPr>
            <w:tcBorders>
              <w:top w:val="single" w:sz="4"/>
              <w:left w:val="single" w:sz="4"/>
              <w:right w:val="single" w:sz="4"/>
            </w:tcBorders>
            <w:shd w:val="clear" w:color="auto" w:fill="FFFFFF"/>
            <w:vAlign w:val="center"/>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206"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取得借款收到的现金</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170,000,000.00</w:t>
            </w:r>
          </w:p>
        </w:tc>
        <w:tc>
          <w:tcPr>
            <w:tcBorders>
              <w:top w:val="single" w:sz="4"/>
              <w:left w:val="single" w:sz="4"/>
              <w:righ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30,000,000.00</w:t>
            </w:r>
          </w:p>
        </w:tc>
      </w:tr>
      <w:tr>
        <w:trPr>
          <w:trHeight w:val="206" w:hRule="exact"/>
        </w:trPr>
        <w:tc>
          <w:tcPr>
            <w:tcBorders>
              <w:top w:val="single" w:sz="4"/>
              <w:left w:val="single" w:sz="4"/>
            </w:tcBorders>
            <w:shd w:val="clear" w:color="auto" w:fill="D3D3D3"/>
            <w:vAlign w:val="center"/>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发行债券收到的现金</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211"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收到其他与筹资活动有关的现金</w:t>
            </w: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七、（四十六）</w:t>
            </w: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5,690,520.80</w:t>
            </w:r>
          </w:p>
        </w:tc>
        <w:tc>
          <w:tcPr>
            <w:tcBorders>
              <w:top w:val="single" w:sz="4"/>
              <w:left w:val="single" w:sz="4"/>
              <w:righ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13,840,000.00</w:t>
            </w:r>
          </w:p>
        </w:tc>
      </w:tr>
      <w:tr>
        <w:trPr>
          <w:trHeight w:val="206"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筹资活动现金流入小计</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b/>
                <w:bCs/>
                <w:color w:val="000000"/>
                <w:spacing w:val="0"/>
                <w:w w:val="100"/>
                <w:position w:val="0"/>
                <w:sz w:val="15"/>
                <w:szCs w:val="15"/>
              </w:rPr>
              <w:t>202,690,520.80</w:t>
            </w:r>
          </w:p>
        </w:tc>
        <w:tc>
          <w:tcPr>
            <w:tcBorders>
              <w:top w:val="single" w:sz="4"/>
              <w:left w:val="single" w:sz="4"/>
              <w:righ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b/>
                <w:bCs/>
                <w:color w:val="000000"/>
                <w:spacing w:val="0"/>
                <w:w w:val="100"/>
                <w:position w:val="0"/>
                <w:sz w:val="15"/>
                <w:szCs w:val="15"/>
              </w:rPr>
              <w:t>43,840,000.00</w:t>
            </w:r>
          </w:p>
        </w:tc>
      </w:tr>
      <w:tr>
        <w:trPr>
          <w:trHeight w:val="206"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偿还债务支付的现金</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60,130,909.00</w:t>
            </w:r>
          </w:p>
        </w:tc>
        <w:tc>
          <w:tcPr>
            <w:tcBorders>
              <w:top w:val="single" w:sz="4"/>
              <w:left w:val="single" w:sz="4"/>
              <w:righ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130,909.00</w:t>
            </w:r>
          </w:p>
        </w:tc>
      </w:tr>
      <w:tr>
        <w:trPr>
          <w:trHeight w:val="211"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分配股利、利润或偿付利息支付的现金</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38,243,564.52</w:t>
            </w:r>
          </w:p>
        </w:tc>
        <w:tc>
          <w:tcPr>
            <w:tcBorders>
              <w:top w:val="single" w:sz="4"/>
              <w:left w:val="single" w:sz="4"/>
              <w:righ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60,990,236.80</w:t>
            </w:r>
          </w:p>
        </w:tc>
      </w:tr>
      <w:tr>
        <w:trPr>
          <w:trHeight w:val="206"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其中：子公司支付给少数股东的股利、利润</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right w:val="single" w:sz="4"/>
            </w:tcBorders>
            <w:shd w:val="clear" w:color="auto" w:fill="FFFFFF"/>
            <w:vAlign w:val="top"/>
          </w:tcPr>
          <w:p>
            <w:pPr>
              <w:framePr w:w="9662" w:h="12259" w:vSpace="355" w:wrap="notBeside" w:vAnchor="text" w:hAnchor="text" w:x="11" w:y="356"/>
              <w:widowControl w:val="0"/>
              <w:rPr>
                <w:sz w:val="10"/>
                <w:szCs w:val="10"/>
              </w:rPr>
            </w:pPr>
          </w:p>
        </w:tc>
      </w:tr>
      <w:tr>
        <w:trPr>
          <w:trHeight w:val="206"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支付其他与筹资活动有关的现金</w:t>
            </w: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七、（四十六）</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5,499,570.54</w:t>
            </w:r>
          </w:p>
        </w:tc>
      </w:tr>
      <w:tr>
        <w:trPr>
          <w:trHeight w:val="211"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筹资活动现金流出小计</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b/>
                <w:bCs/>
                <w:color w:val="000000"/>
                <w:spacing w:val="0"/>
                <w:w w:val="100"/>
                <w:position w:val="0"/>
                <w:sz w:val="15"/>
                <w:szCs w:val="15"/>
              </w:rPr>
              <w:t>98,374,473.52</w:t>
            </w:r>
          </w:p>
        </w:tc>
        <w:tc>
          <w:tcPr>
            <w:tcBorders>
              <w:top w:val="single" w:sz="4"/>
              <w:left w:val="single" w:sz="4"/>
              <w:righ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b/>
                <w:bCs/>
                <w:color w:val="000000"/>
                <w:spacing w:val="0"/>
                <w:w w:val="100"/>
                <w:position w:val="0"/>
                <w:sz w:val="15"/>
                <w:szCs w:val="15"/>
              </w:rPr>
              <w:t>66,620,716.34</w:t>
            </w:r>
          </w:p>
        </w:tc>
      </w:tr>
      <w:tr>
        <w:trPr>
          <w:trHeight w:val="206"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筹资活动产生的现金流量净额</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b/>
                <w:bCs/>
                <w:color w:val="000000"/>
                <w:spacing w:val="0"/>
                <w:w w:val="100"/>
                <w:position w:val="0"/>
                <w:sz w:val="15"/>
                <w:szCs w:val="15"/>
              </w:rPr>
              <w:t>104,316,047.28</w:t>
            </w:r>
          </w:p>
        </w:tc>
        <w:tc>
          <w:tcPr>
            <w:tcBorders>
              <w:top w:val="single" w:sz="4"/>
              <w:left w:val="single" w:sz="4"/>
              <w:righ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-22,780,716.34</w:t>
            </w:r>
          </w:p>
        </w:tc>
      </w:tr>
      <w:tr>
        <w:trPr>
          <w:trHeight w:val="206"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四、汇率变动对现金及现金等价物的影响</w:t>
            </w:r>
          </w:p>
        </w:tc>
        <w:tc>
          <w:tcPr>
            <w:tcBorders>
              <w:top w:val="single" w:sz="4"/>
              <w:left w:val="single" w:sz="4"/>
            </w:tcBorders>
            <w:shd w:val="clear" w:color="auto" w:fill="FFFFFF"/>
            <w:vAlign w:val="top"/>
          </w:tcPr>
          <w:p>
            <w:pPr>
              <w:framePr w:w="9662" w:h="12259" w:vSpace="355" w:wrap="notBeside" w:vAnchor="text" w:hAnchor="text" w:x="11" w:y="356"/>
              <w:widowControl w:val="0"/>
              <w:rPr>
                <w:sz w:val="10"/>
                <w:szCs w:val="10"/>
              </w:rPr>
            </w:pP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b/>
                <w:bCs/>
                <w:color w:val="000000"/>
                <w:spacing w:val="0"/>
                <w:w w:val="100"/>
                <w:position w:val="0"/>
                <w:sz w:val="15"/>
                <w:szCs w:val="15"/>
              </w:rPr>
              <w:t>9,105,123.27</w:t>
            </w:r>
          </w:p>
        </w:tc>
        <w:tc>
          <w:tcPr>
            <w:tcBorders>
              <w:top w:val="single" w:sz="4"/>
              <w:left w:val="single" w:sz="4"/>
              <w:righ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5,585,839.15</w:t>
            </w:r>
          </w:p>
        </w:tc>
      </w:tr>
      <w:tr>
        <w:trPr>
          <w:trHeight w:val="211"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五、现金及现金等价物净增加额</w:t>
            </w: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七、（四十七）</w:t>
            </w: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-16,316,803.90</w:t>
            </w:r>
          </w:p>
        </w:tc>
        <w:tc>
          <w:tcPr>
            <w:tcBorders>
              <w:top w:val="single" w:sz="4"/>
              <w:left w:val="single" w:sz="4"/>
              <w:righ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-35,660,286.89</w:t>
            </w:r>
          </w:p>
        </w:tc>
      </w:tr>
      <w:tr>
        <w:trPr>
          <w:trHeight w:val="206" w:hRule="exact"/>
        </w:trPr>
        <w:tc>
          <w:tcPr>
            <w:tcBorders>
              <w:top w:val="single" w:sz="4"/>
              <w:left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320"/>
              <w:jc w:val="both"/>
              <w:rPr>
                <w:sz w:val="14"/>
                <w:szCs w:val="14"/>
              </w:rPr>
            </w:pPr>
            <w:r>
              <w:rPr>
                <w:color w:val="000000"/>
                <w:spacing w:val="0"/>
                <w:w w:val="100"/>
                <w:position w:val="0"/>
                <w:sz w:val="14"/>
                <w:szCs w:val="14"/>
              </w:rPr>
              <w:t>加：期初现金及现金等价物余额</w:t>
            </w: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七、（四十七）</w:t>
            </w:r>
          </w:p>
        </w:tc>
        <w:tc>
          <w:tcPr>
            <w:tcBorders>
              <w:top w:val="single" w:sz="4"/>
              <w:lef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731,707,889.16</w:t>
            </w:r>
          </w:p>
        </w:tc>
        <w:tc>
          <w:tcPr>
            <w:tcBorders>
              <w:top w:val="single" w:sz="4"/>
              <w:left w:val="single" w:sz="4"/>
              <w:righ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767,368,176.05</w:t>
            </w:r>
          </w:p>
        </w:tc>
      </w:tr>
      <w:tr>
        <w:trPr>
          <w:trHeight w:val="216" w:hRule="exact"/>
        </w:trPr>
        <w:tc>
          <w:tcPr>
            <w:tcBorders>
              <w:top w:val="single" w:sz="4"/>
              <w:left w:val="single" w:sz="4"/>
              <w:bottom w:val="single" w:sz="4"/>
            </w:tcBorders>
            <w:shd w:val="clear" w:color="auto" w:fill="D3D3D3"/>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六、期末现金及现金等价物余额</w:t>
            </w:r>
          </w:p>
        </w:tc>
        <w:tc>
          <w:tcPr>
            <w:tcBorders>
              <w:top w:val="single" w:sz="4"/>
              <w:left w:val="single" w:sz="4"/>
              <w:bottom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七、（四十七）</w:t>
            </w:r>
          </w:p>
        </w:tc>
        <w:tc>
          <w:tcPr>
            <w:tcBorders>
              <w:top w:val="single" w:sz="4"/>
              <w:left w:val="single" w:sz="4"/>
              <w:bottom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b/>
                <w:bCs/>
                <w:color w:val="000000"/>
                <w:spacing w:val="0"/>
                <w:w w:val="100"/>
                <w:position w:val="0"/>
                <w:sz w:val="15"/>
                <w:szCs w:val="15"/>
              </w:rPr>
              <w:t>715,391,085.26</w:t>
            </w:r>
          </w:p>
        </w:tc>
        <w:tc>
          <w:tcPr>
            <w:tcBorders>
              <w:top w:val="single" w:sz="4"/>
              <w:left w:val="single" w:sz="4"/>
              <w:bottom w:val="single" w:sz="4"/>
              <w:right w:val="single" w:sz="4"/>
            </w:tcBorders>
            <w:shd w:val="clear" w:color="auto" w:fill="FFFFFF"/>
            <w:vAlign w:val="bottom"/>
          </w:tcPr>
          <w:p>
            <w:pPr>
              <w:pStyle w:val="Style2"/>
              <w:keepNext w:val="0"/>
              <w:keepLines w:val="0"/>
              <w:framePr w:w="9662" w:h="12259" w:vSpace="355" w:wrap="notBeside" w:vAnchor="text" w:hAnchor="text" w:x="11" w:y="356"/>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b/>
                <w:bCs/>
                <w:color w:val="000000"/>
                <w:spacing w:val="0"/>
                <w:w w:val="100"/>
                <w:position w:val="0"/>
                <w:sz w:val="15"/>
                <w:szCs w:val="15"/>
              </w:rPr>
              <w:t>731,707,889.16</w:t>
            </w:r>
          </w:p>
        </w:tc>
      </w:tr>
    </w:tbl>
    <w:p>
      <w:pPr>
        <w:pStyle w:val="Style33"/>
        <w:keepNext w:val="0"/>
        <w:keepLines w:val="0"/>
        <w:framePr w:w="1238" w:h="240" w:hSpace="10" w:wrap="notBeside" w:vAnchor="text" w:hAnchor="text" w:x="4240" w:y="1"/>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 xml:space="preserve">2016 </w:t>
      </w:r>
      <w:r>
        <w:rPr>
          <w:b/>
          <w:bCs/>
          <w:color w:val="000000"/>
          <w:spacing w:val="0"/>
          <w:w w:val="100"/>
          <w:position w:val="0"/>
        </w:rPr>
        <w:t xml:space="preserve">年 </w:t>
      </w:r>
      <w:r>
        <w:rPr>
          <w:rFonts w:ascii="Times New Roman" w:eastAsia="Times New Roman" w:hAnsi="Times New Roman" w:cs="Times New Roman"/>
          <w:b/>
          <w:bCs/>
          <w:color w:val="000000"/>
          <w:spacing w:val="0"/>
          <w:w w:val="100"/>
          <w:position w:val="0"/>
          <w:sz w:val="18"/>
          <w:szCs w:val="18"/>
        </w:rPr>
        <w:t xml:space="preserve">1-12 </w:t>
      </w:r>
      <w:r>
        <w:rPr>
          <w:b/>
          <w:bCs/>
          <w:color w:val="000000"/>
          <w:spacing w:val="0"/>
          <w:w w:val="100"/>
          <w:position w:val="0"/>
        </w:rPr>
        <w:t>月</w:t>
      </w:r>
    </w:p>
    <w:p>
      <w:pPr>
        <w:widowControl w:val="0"/>
        <w:spacing w:line="1" w:lineRule="exact"/>
      </w:pPr>
      <w:r>
        <w:br w:type="page"/>
      </w:r>
    </w:p>
    <w:p>
      <w:pPr>
        <w:pStyle w:val="Style28"/>
        <w:keepNext/>
        <w:keepLines/>
        <w:widowControl w:val="0"/>
        <w:shd w:val="clear" w:color="auto" w:fill="auto"/>
        <w:bidi w:val="0"/>
        <w:spacing w:before="0" w:after="30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6</w:t>
      </w:r>
      <w:bookmarkEnd w:id="553"/>
      <w:r>
        <w:rPr>
          <w:color w:val="000000"/>
          <w:spacing w:val="0"/>
          <w:w w:val="100"/>
          <w:position w:val="0"/>
        </w:rPr>
        <w:t>、母公司现金流量表</w:t>
      </w:r>
      <w:bookmarkEnd w:id="551"/>
      <w:bookmarkEnd w:id="552"/>
      <w:bookmarkEnd w:id="554"/>
    </w:p>
    <w:tbl>
      <w:tblPr>
        <w:tblOverlap w:val="never"/>
        <w:jc w:val="left"/>
        <w:tblLayout w:type="fixed"/>
      </w:tblPr>
      <w:tblGrid>
        <w:gridCol w:w="4402"/>
        <w:gridCol w:w="1416"/>
        <w:gridCol w:w="1848"/>
        <w:gridCol w:w="1858"/>
      </w:tblGrid>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附注</w:t>
            </w:r>
          </w:p>
        </w:tc>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上期发生额</w:t>
            </w:r>
          </w:p>
        </w:tc>
      </w:tr>
      <w:tr>
        <w:trPr>
          <w:trHeight w:val="293"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一、经营活动产生的现金流量：</w:t>
            </w:r>
          </w:p>
        </w:tc>
        <w:tc>
          <w:tcPr>
            <w:tcBorders>
              <w:top w:val="single" w:sz="4"/>
              <w:left w:val="single" w:sz="4"/>
            </w:tcBorders>
            <w:shd w:val="clear" w:color="auto" w:fill="D3D3D3"/>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D3D3D3"/>
            <w:vAlign w:val="top"/>
          </w:tcPr>
          <w:p>
            <w:pPr>
              <w:framePr w:w="9523" w:h="12245" w:vSpace="355" w:wrap="notBeside" w:vAnchor="text" w:hAnchor="text" w:x="80" w:y="356"/>
              <w:widowControl w:val="0"/>
              <w:rPr>
                <w:sz w:val="10"/>
                <w:szCs w:val="10"/>
              </w:rPr>
            </w:pPr>
          </w:p>
        </w:tc>
        <w:tc>
          <w:tcPr>
            <w:tcBorders>
              <w:top w:val="single" w:sz="4"/>
              <w:left w:val="single" w:sz="4"/>
              <w:right w:val="single" w:sz="4"/>
            </w:tcBorders>
            <w:shd w:val="clear" w:color="auto" w:fill="D3D3D3"/>
            <w:vAlign w:val="top"/>
          </w:tcPr>
          <w:p>
            <w:pPr>
              <w:framePr w:w="9523" w:h="12245" w:vSpace="355" w:wrap="notBeside" w:vAnchor="text" w:hAnchor="text" w:x="80" w:y="356"/>
              <w:widowControl w:val="0"/>
              <w:rPr>
                <w:sz w:val="10"/>
                <w:szCs w:val="10"/>
              </w:rPr>
            </w:pPr>
          </w:p>
        </w:tc>
      </w:tr>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销售商品、提供劳务收到的现金</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120,300,077.93</w:t>
            </w:r>
          </w:p>
        </w:tc>
        <w:tc>
          <w:tcPr>
            <w:tcBorders>
              <w:top w:val="single" w:sz="4"/>
              <w:left w:val="single" w:sz="4"/>
              <w:righ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199,934,843.58</w:t>
            </w:r>
          </w:p>
        </w:tc>
      </w:tr>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收到的税费返还</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9,081,572.27</w:t>
            </w:r>
          </w:p>
        </w:tc>
        <w:tc>
          <w:tcPr>
            <w:tcBorders>
              <w:top w:val="single" w:sz="4"/>
              <w:left w:val="single" w:sz="4"/>
              <w:righ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14,204,400.17</w:t>
            </w:r>
          </w:p>
        </w:tc>
      </w:tr>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收到其他与经营活动有关的现金</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8,672,829.84</w:t>
            </w:r>
          </w:p>
        </w:tc>
        <w:tc>
          <w:tcPr>
            <w:tcBorders>
              <w:top w:val="single" w:sz="4"/>
              <w:left w:val="single" w:sz="4"/>
              <w:righ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52,670,310.34</w:t>
            </w:r>
          </w:p>
        </w:tc>
      </w:tr>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经营活动现金流入小计</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b/>
                <w:bCs/>
                <w:color w:val="000000"/>
                <w:spacing w:val="0"/>
                <w:w w:val="100"/>
                <w:position w:val="0"/>
                <w:sz w:val="18"/>
                <w:szCs w:val="18"/>
              </w:rPr>
              <w:t>138,054,480.04</w:t>
            </w:r>
          </w:p>
        </w:tc>
        <w:tc>
          <w:tcPr>
            <w:tcBorders>
              <w:top w:val="single" w:sz="4"/>
              <w:left w:val="single" w:sz="4"/>
              <w:righ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b/>
                <w:bCs/>
                <w:color w:val="000000"/>
                <w:spacing w:val="0"/>
                <w:w w:val="100"/>
                <w:position w:val="0"/>
                <w:sz w:val="18"/>
                <w:szCs w:val="18"/>
              </w:rPr>
              <w:t>266,809,554.09</w:t>
            </w:r>
          </w:p>
        </w:tc>
      </w:tr>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购买商品、接受劳务支付的现金</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51,621,490.23</w:t>
            </w:r>
          </w:p>
        </w:tc>
        <w:tc>
          <w:tcPr>
            <w:tcBorders>
              <w:top w:val="single" w:sz="4"/>
              <w:left w:val="single" w:sz="4"/>
              <w:righ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116,043,697.16</w:t>
            </w:r>
          </w:p>
        </w:tc>
      </w:tr>
      <w:tr>
        <w:trPr>
          <w:trHeight w:val="293"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支付给职工以及为职工支付的现金</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22,536,978.81</w:t>
            </w:r>
          </w:p>
        </w:tc>
        <w:tc>
          <w:tcPr>
            <w:tcBorders>
              <w:top w:val="single" w:sz="4"/>
              <w:left w:val="single" w:sz="4"/>
              <w:righ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29,361,454.39</w:t>
            </w:r>
          </w:p>
        </w:tc>
      </w:tr>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支付的各项税费</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3,929,862.41</w:t>
            </w:r>
          </w:p>
        </w:tc>
        <w:tc>
          <w:tcPr>
            <w:tcBorders>
              <w:top w:val="single" w:sz="4"/>
              <w:left w:val="single" w:sz="4"/>
              <w:righ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5,775,492.21</w:t>
            </w:r>
          </w:p>
        </w:tc>
      </w:tr>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支付其他与经营活动有关的现金</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11,024,895.17</w:t>
            </w:r>
          </w:p>
        </w:tc>
        <w:tc>
          <w:tcPr>
            <w:tcBorders>
              <w:top w:val="single" w:sz="4"/>
              <w:left w:val="single" w:sz="4"/>
              <w:righ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155,000,435.43</w:t>
            </w:r>
          </w:p>
        </w:tc>
      </w:tr>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经营活动现金流出小计</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b/>
                <w:bCs/>
                <w:color w:val="000000"/>
                <w:spacing w:val="0"/>
                <w:w w:val="100"/>
                <w:position w:val="0"/>
                <w:sz w:val="18"/>
                <w:szCs w:val="18"/>
              </w:rPr>
              <w:t>89,113,226.62</w:t>
            </w:r>
          </w:p>
        </w:tc>
        <w:tc>
          <w:tcPr>
            <w:tcBorders>
              <w:top w:val="single" w:sz="4"/>
              <w:left w:val="single" w:sz="4"/>
              <w:righ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b/>
                <w:bCs/>
                <w:color w:val="000000"/>
                <w:spacing w:val="0"/>
                <w:w w:val="100"/>
                <w:position w:val="0"/>
                <w:sz w:val="18"/>
                <w:szCs w:val="18"/>
              </w:rPr>
              <w:t>306,181,079.19</w:t>
            </w:r>
          </w:p>
        </w:tc>
      </w:tr>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经营活动产生的现金流量净额</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b/>
                <w:bCs/>
                <w:color w:val="000000"/>
                <w:spacing w:val="0"/>
                <w:w w:val="100"/>
                <w:position w:val="0"/>
                <w:sz w:val="18"/>
                <w:szCs w:val="18"/>
              </w:rPr>
              <w:t>48,941,253.42</w:t>
            </w:r>
          </w:p>
        </w:tc>
        <w:tc>
          <w:tcPr>
            <w:tcBorders>
              <w:top w:val="single" w:sz="4"/>
              <w:left w:val="single" w:sz="4"/>
              <w:righ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b/>
                <w:bCs/>
                <w:color w:val="000000"/>
                <w:spacing w:val="0"/>
                <w:w w:val="100"/>
                <w:position w:val="0"/>
                <w:sz w:val="18"/>
                <w:szCs w:val="18"/>
              </w:rPr>
              <w:t>-39,371,525.10</w:t>
            </w:r>
          </w:p>
        </w:tc>
      </w:tr>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二、投资活动产生的现金流量：</w:t>
            </w:r>
          </w:p>
        </w:tc>
        <w:tc>
          <w:tcPr>
            <w:tcBorders>
              <w:top w:val="single" w:sz="4"/>
              <w:left w:val="single" w:sz="4"/>
            </w:tcBorders>
            <w:shd w:val="clear" w:color="auto" w:fill="D3D3D3"/>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D3D3D3"/>
            <w:vAlign w:val="top"/>
          </w:tcPr>
          <w:p>
            <w:pPr>
              <w:framePr w:w="9523" w:h="12245" w:vSpace="355" w:wrap="notBeside" w:vAnchor="text" w:hAnchor="text" w:x="80" w:y="356"/>
              <w:widowControl w:val="0"/>
              <w:rPr>
                <w:sz w:val="10"/>
                <w:szCs w:val="10"/>
              </w:rPr>
            </w:pPr>
          </w:p>
        </w:tc>
        <w:tc>
          <w:tcPr>
            <w:tcBorders>
              <w:top w:val="single" w:sz="4"/>
              <w:left w:val="single" w:sz="4"/>
              <w:right w:val="single" w:sz="4"/>
            </w:tcBorders>
            <w:shd w:val="clear" w:color="auto" w:fill="D3D3D3"/>
            <w:vAlign w:val="top"/>
          </w:tcPr>
          <w:p>
            <w:pPr>
              <w:framePr w:w="9523" w:h="12245" w:vSpace="355" w:wrap="notBeside" w:vAnchor="text" w:hAnchor="text" w:x="80" w:y="356"/>
              <w:widowControl w:val="0"/>
              <w:rPr>
                <w:sz w:val="10"/>
                <w:szCs w:val="10"/>
              </w:rPr>
            </w:pPr>
          </w:p>
        </w:tc>
      </w:tr>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收回投资收到的现金</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13,750,000.00</w:t>
            </w:r>
          </w:p>
        </w:tc>
        <w:tc>
          <w:tcPr>
            <w:tcBorders>
              <w:top w:val="single" w:sz="4"/>
              <w:left w:val="single" w:sz="4"/>
              <w:right w:val="single" w:sz="4"/>
            </w:tcBorders>
            <w:shd w:val="clear" w:color="auto" w:fill="FFFFFF"/>
            <w:vAlign w:val="top"/>
          </w:tcPr>
          <w:p>
            <w:pPr>
              <w:framePr w:w="9523" w:h="12245" w:vSpace="355" w:wrap="notBeside" w:vAnchor="text" w:hAnchor="text" w:x="80" w:y="356"/>
              <w:widowControl w:val="0"/>
              <w:rPr>
                <w:sz w:val="10"/>
                <w:szCs w:val="10"/>
              </w:rPr>
            </w:pPr>
          </w:p>
        </w:tc>
      </w:tr>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取得投资收益收到的现金</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righ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180,000,000.00</w:t>
            </w:r>
          </w:p>
        </w:tc>
      </w:tr>
      <w:tr>
        <w:trPr>
          <w:trHeight w:val="475" w:hRule="exact"/>
        </w:trPr>
        <w:tc>
          <w:tcPr>
            <w:tcBorders>
              <w:top w:val="single" w:sz="4"/>
              <w:left w:val="single" w:sz="4"/>
            </w:tcBorders>
            <w:shd w:val="clear" w:color="auto" w:fill="D3D3D3"/>
            <w:vAlign w:val="top"/>
          </w:tcPr>
          <w:p>
            <w:pPr>
              <w:pStyle w:val="Style2"/>
              <w:keepNext w:val="0"/>
              <w:keepLines w:val="0"/>
              <w:framePr w:w="9523" w:h="12245" w:vSpace="355" w:wrap="notBeside" w:vAnchor="text" w:hAnchor="text" w:x="80" w:y="356"/>
              <w:widowControl w:val="0"/>
              <w:shd w:val="clear" w:color="auto" w:fill="auto"/>
              <w:bidi w:val="0"/>
              <w:spacing w:before="0" w:after="0" w:line="230" w:lineRule="exact"/>
              <w:ind w:left="0" w:right="0" w:firstLine="380"/>
              <w:jc w:val="left"/>
              <w:rPr>
                <w:sz w:val="16"/>
                <w:szCs w:val="16"/>
              </w:rPr>
            </w:pPr>
            <w:r>
              <w:rPr>
                <w:color w:val="000000"/>
                <w:spacing w:val="0"/>
                <w:w w:val="100"/>
                <w:position w:val="0"/>
                <w:sz w:val="16"/>
                <w:szCs w:val="16"/>
              </w:rPr>
              <w:t>处置固定资产、无形资产和其他长期资产收回的现 金净额</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593,000.00</w:t>
            </w:r>
          </w:p>
        </w:tc>
        <w:tc>
          <w:tcPr>
            <w:tcBorders>
              <w:top w:val="single" w:sz="4"/>
              <w:left w:val="single" w:sz="4"/>
              <w:righ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424,340.00</w:t>
            </w:r>
          </w:p>
        </w:tc>
      </w:tr>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处置子公司及其他营业单位收到的现金净额</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收到其他与投资活动有关的现金</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right w:val="single" w:sz="4"/>
            </w:tcBorders>
            <w:shd w:val="clear" w:color="auto" w:fill="FFFFFF"/>
            <w:vAlign w:val="top"/>
          </w:tcPr>
          <w:p>
            <w:pPr>
              <w:framePr w:w="9523" w:h="12245" w:vSpace="355" w:wrap="notBeside" w:vAnchor="text" w:hAnchor="text" w:x="80" w:y="356"/>
              <w:widowControl w:val="0"/>
              <w:rPr>
                <w:sz w:val="10"/>
                <w:szCs w:val="10"/>
              </w:rPr>
            </w:pPr>
          </w:p>
        </w:tc>
      </w:tr>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投资活动现金流入小计</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b/>
                <w:bCs/>
                <w:color w:val="000000"/>
                <w:spacing w:val="0"/>
                <w:w w:val="100"/>
                <w:position w:val="0"/>
                <w:sz w:val="18"/>
                <w:szCs w:val="18"/>
              </w:rPr>
              <w:t>144,343,000.00</w:t>
            </w:r>
          </w:p>
        </w:tc>
        <w:tc>
          <w:tcPr>
            <w:tcBorders>
              <w:top w:val="single" w:sz="4"/>
              <w:left w:val="single" w:sz="4"/>
              <w:righ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b/>
                <w:bCs/>
                <w:color w:val="000000"/>
                <w:spacing w:val="0"/>
                <w:w w:val="100"/>
                <w:position w:val="0"/>
                <w:sz w:val="18"/>
                <w:szCs w:val="18"/>
              </w:rPr>
              <w:t>180,424,340.00</w:t>
            </w:r>
          </w:p>
        </w:tc>
      </w:tr>
      <w:tr>
        <w:trPr>
          <w:trHeight w:val="475" w:hRule="exact"/>
        </w:trPr>
        <w:tc>
          <w:tcPr>
            <w:tcBorders>
              <w:top w:val="single" w:sz="4"/>
              <w:left w:val="single" w:sz="4"/>
            </w:tcBorders>
            <w:shd w:val="clear" w:color="auto" w:fill="D3D3D3"/>
            <w:vAlign w:val="top"/>
          </w:tcPr>
          <w:p>
            <w:pPr>
              <w:pStyle w:val="Style2"/>
              <w:keepNext w:val="0"/>
              <w:keepLines w:val="0"/>
              <w:framePr w:w="9523" w:h="12245" w:vSpace="355" w:wrap="notBeside" w:vAnchor="text" w:hAnchor="text" w:x="80" w:y="356"/>
              <w:widowControl w:val="0"/>
              <w:shd w:val="clear" w:color="auto" w:fill="auto"/>
              <w:bidi w:val="0"/>
              <w:spacing w:before="0" w:after="0" w:line="226" w:lineRule="exact"/>
              <w:ind w:left="0" w:right="0" w:firstLine="380"/>
              <w:jc w:val="left"/>
              <w:rPr>
                <w:sz w:val="16"/>
                <w:szCs w:val="16"/>
              </w:rPr>
            </w:pPr>
            <w:r>
              <w:rPr>
                <w:color w:val="000000"/>
                <w:spacing w:val="0"/>
                <w:w w:val="100"/>
                <w:position w:val="0"/>
                <w:sz w:val="16"/>
                <w:szCs w:val="16"/>
              </w:rPr>
              <w:t>购建固定资产、无形资产和其他长期资产支付的现 金</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7,673,779.61</w:t>
            </w:r>
          </w:p>
        </w:tc>
        <w:tc>
          <w:tcPr>
            <w:tcBorders>
              <w:top w:val="single" w:sz="4"/>
              <w:left w:val="single" w:sz="4"/>
              <w:righ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10,595,161.62</w:t>
            </w:r>
          </w:p>
        </w:tc>
      </w:tr>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投资支付的现金</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54,172,539.09</w:t>
            </w:r>
          </w:p>
        </w:tc>
        <w:tc>
          <w:tcPr>
            <w:tcBorders>
              <w:top w:val="single" w:sz="4"/>
              <w:left w:val="single" w:sz="4"/>
              <w:righ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147,612,050.00</w:t>
            </w:r>
          </w:p>
        </w:tc>
      </w:tr>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取得子公司及其他营业单位支付的现金净额</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right w:val="single" w:sz="4"/>
            </w:tcBorders>
            <w:shd w:val="clear" w:color="auto" w:fill="FFFFFF"/>
            <w:vAlign w:val="top"/>
          </w:tcPr>
          <w:p>
            <w:pPr>
              <w:framePr w:w="9523" w:h="12245" w:vSpace="355" w:wrap="notBeside" w:vAnchor="text" w:hAnchor="text" w:x="80" w:y="356"/>
              <w:widowControl w:val="0"/>
              <w:rPr>
                <w:sz w:val="10"/>
                <w:szCs w:val="10"/>
              </w:rPr>
            </w:pPr>
          </w:p>
        </w:tc>
      </w:tr>
      <w:tr>
        <w:trPr>
          <w:trHeight w:val="293"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支付其他与投资活动有关的现金</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16,215,996.14</w:t>
            </w:r>
          </w:p>
        </w:tc>
      </w:tr>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投资活动现金流出小计</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b/>
                <w:bCs/>
                <w:color w:val="000000"/>
                <w:spacing w:val="0"/>
                <w:w w:val="100"/>
                <w:position w:val="0"/>
                <w:sz w:val="18"/>
                <w:szCs w:val="18"/>
              </w:rPr>
              <w:t>61,846,318.70</w:t>
            </w:r>
          </w:p>
        </w:tc>
        <w:tc>
          <w:tcPr>
            <w:tcBorders>
              <w:top w:val="single" w:sz="4"/>
              <w:left w:val="single" w:sz="4"/>
              <w:righ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b/>
                <w:bCs/>
                <w:color w:val="000000"/>
                <w:spacing w:val="0"/>
                <w:w w:val="100"/>
                <w:position w:val="0"/>
                <w:sz w:val="18"/>
                <w:szCs w:val="18"/>
              </w:rPr>
              <w:t>174,423,207.76</w:t>
            </w:r>
          </w:p>
        </w:tc>
      </w:tr>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投资活动产生的现金流量净额</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b/>
                <w:bCs/>
                <w:color w:val="000000"/>
                <w:spacing w:val="0"/>
                <w:w w:val="100"/>
                <w:position w:val="0"/>
                <w:sz w:val="18"/>
                <w:szCs w:val="18"/>
              </w:rPr>
              <w:t>82,496,681.30</w:t>
            </w:r>
          </w:p>
        </w:tc>
        <w:tc>
          <w:tcPr>
            <w:tcBorders>
              <w:top w:val="single" w:sz="4"/>
              <w:left w:val="single" w:sz="4"/>
              <w:righ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6,001,132.24</w:t>
            </w:r>
          </w:p>
        </w:tc>
      </w:tr>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三、筹资活动产生的现金流量：</w:t>
            </w:r>
          </w:p>
        </w:tc>
        <w:tc>
          <w:tcPr>
            <w:tcBorders>
              <w:top w:val="single" w:sz="4"/>
              <w:left w:val="single" w:sz="4"/>
            </w:tcBorders>
            <w:shd w:val="clear" w:color="auto" w:fill="D3D3D3"/>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D3D3D3"/>
            <w:vAlign w:val="top"/>
          </w:tcPr>
          <w:p>
            <w:pPr>
              <w:framePr w:w="9523" w:h="12245" w:vSpace="355" w:wrap="notBeside" w:vAnchor="text" w:hAnchor="text" w:x="80" w:y="356"/>
              <w:widowControl w:val="0"/>
              <w:rPr>
                <w:sz w:val="10"/>
                <w:szCs w:val="10"/>
              </w:rPr>
            </w:pPr>
          </w:p>
        </w:tc>
        <w:tc>
          <w:tcPr>
            <w:tcBorders>
              <w:top w:val="single" w:sz="4"/>
              <w:left w:val="single" w:sz="4"/>
              <w:right w:val="single" w:sz="4"/>
            </w:tcBorders>
            <w:shd w:val="clear" w:color="auto" w:fill="D3D3D3"/>
            <w:vAlign w:val="top"/>
          </w:tcPr>
          <w:p>
            <w:pPr>
              <w:framePr w:w="9523" w:h="12245" w:vSpace="355" w:wrap="notBeside" w:vAnchor="text" w:hAnchor="text" w:x="80" w:y="356"/>
              <w:widowControl w:val="0"/>
              <w:rPr>
                <w:sz w:val="10"/>
                <w:szCs w:val="10"/>
              </w:rPr>
            </w:pPr>
          </w:p>
        </w:tc>
      </w:tr>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吸收投资收到的现金</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right w:val="single" w:sz="4"/>
            </w:tcBorders>
            <w:shd w:val="clear" w:color="auto" w:fill="FFFFFF"/>
            <w:vAlign w:val="top"/>
          </w:tcPr>
          <w:p>
            <w:pPr>
              <w:framePr w:w="9523" w:h="12245" w:vSpace="355" w:wrap="notBeside" w:vAnchor="text" w:hAnchor="text" w:x="80" w:y="356"/>
              <w:widowControl w:val="0"/>
              <w:rPr>
                <w:sz w:val="10"/>
                <w:szCs w:val="10"/>
              </w:rPr>
            </w:pPr>
          </w:p>
        </w:tc>
      </w:tr>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取得借款收到的现金</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right w:val="single" w:sz="4"/>
            </w:tcBorders>
            <w:shd w:val="clear" w:color="auto" w:fill="FFFFFF"/>
            <w:vAlign w:val="top"/>
          </w:tcPr>
          <w:p>
            <w:pPr>
              <w:framePr w:w="9523" w:h="12245" w:vSpace="355" w:wrap="notBeside" w:vAnchor="text" w:hAnchor="text" w:x="80" w:y="356"/>
              <w:widowControl w:val="0"/>
              <w:rPr>
                <w:sz w:val="10"/>
                <w:szCs w:val="10"/>
              </w:rPr>
            </w:pPr>
          </w:p>
        </w:tc>
      </w:tr>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发行债券收到的现金</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right w:val="single" w:sz="4"/>
            </w:tcBorders>
            <w:shd w:val="clear" w:color="auto" w:fill="FFFFFF"/>
            <w:vAlign w:val="top"/>
          </w:tcPr>
          <w:p>
            <w:pPr>
              <w:framePr w:w="9523" w:h="12245" w:vSpace="355" w:wrap="notBeside" w:vAnchor="text" w:hAnchor="text" w:x="80" w:y="356"/>
              <w:widowControl w:val="0"/>
              <w:rPr>
                <w:sz w:val="10"/>
                <w:szCs w:val="10"/>
              </w:rPr>
            </w:pPr>
          </w:p>
        </w:tc>
      </w:tr>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收到其他与筹资活动有关的现金</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right w:val="single" w:sz="4"/>
            </w:tcBorders>
            <w:shd w:val="clear" w:color="auto" w:fill="FFFFFF"/>
            <w:vAlign w:val="top"/>
          </w:tcPr>
          <w:p>
            <w:pPr>
              <w:framePr w:w="9523" w:h="12245" w:vSpace="355" w:wrap="notBeside" w:vAnchor="text" w:hAnchor="text" w:x="80" w:y="356"/>
              <w:widowControl w:val="0"/>
              <w:rPr>
                <w:sz w:val="10"/>
                <w:szCs w:val="10"/>
              </w:rPr>
            </w:pPr>
          </w:p>
        </w:tc>
      </w:tr>
      <w:tr>
        <w:trPr>
          <w:trHeight w:val="293"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筹资活动现金流入小计</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right w:val="single" w:sz="4"/>
            </w:tcBorders>
            <w:shd w:val="clear" w:color="auto" w:fill="FFFFFF"/>
            <w:vAlign w:val="top"/>
          </w:tcPr>
          <w:p>
            <w:pPr>
              <w:framePr w:w="9523" w:h="12245" w:vSpace="355" w:wrap="notBeside" w:vAnchor="text" w:hAnchor="text" w:x="80" w:y="356"/>
              <w:widowControl w:val="0"/>
              <w:rPr>
                <w:sz w:val="10"/>
                <w:szCs w:val="10"/>
              </w:rPr>
            </w:pPr>
          </w:p>
        </w:tc>
      </w:tr>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偿还债务支付的现金</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130,909.00</w:t>
            </w:r>
          </w:p>
        </w:tc>
        <w:tc>
          <w:tcPr>
            <w:tcBorders>
              <w:top w:val="single" w:sz="4"/>
              <w:left w:val="single" w:sz="4"/>
              <w:righ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130,909.00</w:t>
            </w:r>
          </w:p>
        </w:tc>
      </w:tr>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分配股利、利润或偿付利息支付的现金</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33,992,981.21</w:t>
            </w:r>
          </w:p>
        </w:tc>
        <w:tc>
          <w:tcPr>
            <w:tcBorders>
              <w:top w:val="single" w:sz="4"/>
              <w:left w:val="single" w:sz="4"/>
              <w:righ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60,699,286.80</w:t>
            </w:r>
          </w:p>
        </w:tc>
      </w:tr>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支付其他与筹资活动有关的现金</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筹资活动现金流出小计</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b/>
                <w:bCs/>
                <w:color w:val="000000"/>
                <w:spacing w:val="0"/>
                <w:w w:val="100"/>
                <w:position w:val="0"/>
                <w:sz w:val="18"/>
                <w:szCs w:val="18"/>
              </w:rPr>
              <w:t>34,123,890.21</w:t>
            </w:r>
          </w:p>
        </w:tc>
        <w:tc>
          <w:tcPr>
            <w:tcBorders>
              <w:top w:val="single" w:sz="4"/>
              <w:left w:val="single" w:sz="4"/>
              <w:righ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b/>
                <w:bCs/>
                <w:color w:val="000000"/>
                <w:spacing w:val="0"/>
                <w:w w:val="100"/>
                <w:position w:val="0"/>
                <w:sz w:val="18"/>
                <w:szCs w:val="18"/>
              </w:rPr>
              <w:t>60,830,195.80</w:t>
            </w:r>
          </w:p>
        </w:tc>
      </w:tr>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筹资活动产生的现金流量净额</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b/>
                <w:bCs/>
                <w:color w:val="000000"/>
                <w:spacing w:val="0"/>
                <w:w w:val="100"/>
                <w:position w:val="0"/>
                <w:sz w:val="18"/>
                <w:szCs w:val="18"/>
              </w:rPr>
              <w:t>-34,123,890.21</w:t>
            </w:r>
          </w:p>
        </w:tc>
        <w:tc>
          <w:tcPr>
            <w:tcBorders>
              <w:top w:val="single" w:sz="4"/>
              <w:left w:val="single" w:sz="4"/>
              <w:righ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b/>
                <w:bCs/>
                <w:color w:val="000000"/>
                <w:spacing w:val="0"/>
                <w:w w:val="100"/>
                <w:position w:val="0"/>
                <w:sz w:val="18"/>
                <w:szCs w:val="18"/>
              </w:rPr>
              <w:t>-60,830,195.80</w:t>
            </w:r>
          </w:p>
        </w:tc>
      </w:tr>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四、汇率变动对现金及现金等价物的影响</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b/>
                <w:bCs/>
                <w:color w:val="000000"/>
                <w:spacing w:val="0"/>
                <w:w w:val="100"/>
                <w:position w:val="0"/>
                <w:sz w:val="18"/>
                <w:szCs w:val="18"/>
              </w:rPr>
              <w:t>5,931,295.45</w:t>
            </w:r>
          </w:p>
        </w:tc>
        <w:tc>
          <w:tcPr>
            <w:tcBorders>
              <w:top w:val="single" w:sz="4"/>
              <w:left w:val="single" w:sz="4"/>
              <w:righ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3,150,789.62</w:t>
            </w:r>
          </w:p>
        </w:tc>
      </w:tr>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五、现金及现金等价物净增加额</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b/>
                <w:bCs/>
                <w:color w:val="000000"/>
                <w:spacing w:val="0"/>
                <w:w w:val="100"/>
                <w:position w:val="0"/>
                <w:sz w:val="18"/>
                <w:szCs w:val="18"/>
              </w:rPr>
              <w:t>103,245,339.96</w:t>
            </w:r>
          </w:p>
        </w:tc>
        <w:tc>
          <w:tcPr>
            <w:tcBorders>
              <w:top w:val="single" w:sz="4"/>
              <w:left w:val="single" w:sz="4"/>
              <w:righ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b/>
                <w:bCs/>
                <w:color w:val="000000"/>
                <w:spacing w:val="0"/>
                <w:w w:val="100"/>
                <w:position w:val="0"/>
                <w:sz w:val="18"/>
                <w:szCs w:val="18"/>
              </w:rPr>
              <w:t>-91,049,799.04</w:t>
            </w:r>
          </w:p>
        </w:tc>
      </w:tr>
      <w:tr>
        <w:trPr>
          <w:trHeight w:val="298" w:hRule="exact"/>
        </w:trPr>
        <w:tc>
          <w:tcPr>
            <w:tcBorders>
              <w:top w:val="single" w:sz="4"/>
              <w:left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加：期初现金及现金等价物余额</w:t>
            </w:r>
          </w:p>
        </w:tc>
        <w:tc>
          <w:tcPr>
            <w:tcBorders>
              <w:top w:val="single" w:sz="4"/>
              <w:left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108,592,097.49</w:t>
            </w:r>
          </w:p>
        </w:tc>
        <w:tc>
          <w:tcPr>
            <w:tcBorders>
              <w:top w:val="single" w:sz="4"/>
              <w:left w:val="single" w:sz="4"/>
              <w:righ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199,641,896.53</w:t>
            </w:r>
          </w:p>
        </w:tc>
      </w:tr>
      <w:tr>
        <w:trPr>
          <w:trHeight w:val="302" w:hRule="exact"/>
        </w:trPr>
        <w:tc>
          <w:tcPr>
            <w:tcBorders>
              <w:top w:val="single" w:sz="4"/>
              <w:left w:val="single" w:sz="4"/>
              <w:bottom w:val="single" w:sz="4"/>
            </w:tcBorders>
            <w:shd w:val="clear" w:color="auto" w:fill="D3D3D3"/>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六、期末现金及现金等价物余额</w:t>
            </w:r>
          </w:p>
        </w:tc>
        <w:tc>
          <w:tcPr>
            <w:tcBorders>
              <w:top w:val="single" w:sz="4"/>
              <w:left w:val="single" w:sz="4"/>
              <w:bottom w:val="single" w:sz="4"/>
            </w:tcBorders>
            <w:shd w:val="clear" w:color="auto" w:fill="FFFFFF"/>
            <w:vAlign w:val="top"/>
          </w:tcPr>
          <w:p>
            <w:pPr>
              <w:framePr w:w="9523" w:h="12245" w:vSpace="355" w:wrap="notBeside" w:vAnchor="text" w:hAnchor="text" w:x="80" w:y="356"/>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b/>
                <w:bCs/>
                <w:color w:val="000000"/>
                <w:spacing w:val="0"/>
                <w:w w:val="100"/>
                <w:position w:val="0"/>
                <w:sz w:val="18"/>
                <w:szCs w:val="18"/>
              </w:rPr>
              <w:t>211,837,437.45</w:t>
            </w:r>
          </w:p>
        </w:tc>
        <w:tc>
          <w:tcPr>
            <w:tcBorders>
              <w:top w:val="single" w:sz="4"/>
              <w:left w:val="single" w:sz="4"/>
              <w:bottom w:val="single" w:sz="4"/>
              <w:right w:val="single" w:sz="4"/>
            </w:tcBorders>
            <w:shd w:val="clear" w:color="auto" w:fill="FFFFFF"/>
            <w:vAlign w:val="center"/>
          </w:tcPr>
          <w:p>
            <w:pPr>
              <w:pStyle w:val="Style2"/>
              <w:keepNext w:val="0"/>
              <w:keepLines w:val="0"/>
              <w:framePr w:w="9523" w:h="12245" w:vSpace="355" w:wrap="notBeside" w:vAnchor="text" w:hAnchor="text" w:x="80" w:y="356"/>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b/>
                <w:bCs/>
                <w:color w:val="000000"/>
                <w:spacing w:val="0"/>
                <w:w w:val="100"/>
                <w:position w:val="0"/>
                <w:sz w:val="18"/>
                <w:szCs w:val="18"/>
              </w:rPr>
              <w:t>108,592,097.49</w:t>
            </w:r>
          </w:p>
        </w:tc>
      </w:tr>
    </w:tbl>
    <w:p>
      <w:pPr>
        <w:pStyle w:val="Style33"/>
        <w:keepNext w:val="0"/>
        <w:keepLines w:val="0"/>
        <w:framePr w:w="2755" w:h="240" w:hSpace="79" w:wrap="notBeside" w:vAnchor="text" w:hAnchor="text" w:x="214" w:y="1"/>
        <w:widowControl w:val="0"/>
        <w:shd w:val="clear" w:color="auto" w:fill="auto"/>
        <w:bidi w:val="0"/>
        <w:spacing w:before="0" w:after="0" w:line="240" w:lineRule="auto"/>
        <w:ind w:left="0" w:right="0" w:firstLine="0"/>
        <w:jc w:val="left"/>
      </w:pPr>
      <w:r>
        <w:rPr>
          <w:b/>
          <w:bCs/>
          <w:color w:val="000000"/>
          <w:spacing w:val="0"/>
          <w:w w:val="100"/>
          <w:position w:val="0"/>
        </w:rPr>
        <w:t>编制单位：紫光国芯股份有限公司</w:t>
      </w:r>
    </w:p>
    <w:p>
      <w:pPr>
        <w:pStyle w:val="Style33"/>
        <w:keepNext w:val="0"/>
        <w:keepLines w:val="0"/>
        <w:framePr w:w="1238" w:h="240" w:hSpace="79" w:wrap="notBeside" w:vAnchor="text" w:hAnchor="text" w:x="430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 xml:space="preserve">2016 </w:t>
      </w:r>
      <w:r>
        <w:rPr>
          <w:b/>
          <w:bCs/>
          <w:color w:val="000000"/>
          <w:spacing w:val="0"/>
          <w:w w:val="100"/>
          <w:position w:val="0"/>
        </w:rPr>
        <w:t xml:space="preserve">年 </w:t>
      </w:r>
      <w:r>
        <w:rPr>
          <w:rFonts w:ascii="Times New Roman" w:eastAsia="Times New Roman" w:hAnsi="Times New Roman" w:cs="Times New Roman"/>
          <w:b/>
          <w:bCs/>
          <w:color w:val="000000"/>
          <w:spacing w:val="0"/>
          <w:w w:val="100"/>
          <w:position w:val="0"/>
          <w:sz w:val="18"/>
          <w:szCs w:val="18"/>
        </w:rPr>
        <w:t xml:space="preserve">1-12 </w:t>
      </w:r>
      <w:r>
        <w:rPr>
          <w:b/>
          <w:bCs/>
          <w:color w:val="000000"/>
          <w:spacing w:val="0"/>
          <w:w w:val="100"/>
          <w:position w:val="0"/>
        </w:rPr>
        <w:t>月</w:t>
      </w:r>
    </w:p>
    <w:p>
      <w:pPr>
        <w:pStyle w:val="Style33"/>
        <w:keepNext w:val="0"/>
        <w:keepLines w:val="0"/>
        <w:framePr w:w="2030" w:h="235" w:hSpace="79" w:wrap="notBeside" w:vAnchor="text" w:hAnchor="text" w:x="7294" w:y="1"/>
        <w:widowControl w:val="0"/>
        <w:shd w:val="clear" w:color="auto" w:fill="auto"/>
        <w:bidi w:val="0"/>
        <w:spacing w:before="0" w:after="0" w:line="240" w:lineRule="auto"/>
        <w:ind w:left="0" w:right="0" w:firstLine="0"/>
        <w:jc w:val="left"/>
      </w:pPr>
      <w:r>
        <w:rPr>
          <w:b/>
          <w:bCs/>
          <w:color w:val="000000"/>
          <w:spacing w:val="0"/>
          <w:w w:val="100"/>
          <w:position w:val="0"/>
        </w:rPr>
        <w:t>单位：元币种：人民币</w:t>
      </w:r>
    </w:p>
    <w:p>
      <w:pPr>
        <w:widowControl w:val="0"/>
        <w:spacing w:line="1" w:lineRule="exact"/>
        <w:sectPr>
          <w:headerReference w:type="default" r:id="rId15"/>
          <w:footerReference w:type="default" r:id="rId16"/>
          <w:footnotePr>
            <w:pos w:val="pageBottom"/>
            <w:numFmt w:val="decimal"/>
            <w:numRestart w:val="continuous"/>
          </w:footnotePr>
          <w:pgSz w:w="11900" w:h="16840"/>
          <w:pgMar w:top="1425" w:right="1155" w:bottom="2229" w:left="1063" w:header="0" w:footer="3" w:gutter="0"/>
          <w:cols w:space="720"/>
          <w:noEndnote/>
          <w:rtlGutter w:val="0"/>
          <w:docGrid w:linePitch="360"/>
        </w:sectPr>
      </w:pPr>
    </w:p>
    <w:p>
      <w:pPr>
        <w:pStyle w:val="Style28"/>
        <w:keepNext/>
        <w:keepLines/>
        <w:widowControl w:val="0"/>
        <w:shd w:val="clear" w:color="auto" w:fill="auto"/>
        <w:bidi w:val="0"/>
        <w:spacing w:before="0" w:after="0" w:line="24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7</w:t>
      </w:r>
      <w:bookmarkEnd w:id="557"/>
      <w:r>
        <w:rPr>
          <w:color w:val="000000"/>
          <w:spacing w:val="0"/>
          <w:w w:val="100"/>
          <w:position w:val="0"/>
        </w:rPr>
        <w:t>、合并所有者权益变动表</w:t>
      </w:r>
      <w:bookmarkEnd w:id="555"/>
      <w:bookmarkEnd w:id="556"/>
      <w:bookmarkEnd w:id="558"/>
    </w:p>
    <w:p>
      <w:pPr>
        <w:widowControl w:val="0"/>
        <w:spacing w:line="1" w:lineRule="exact"/>
        <w:sectPr>
          <w:headerReference w:type="default" r:id="rId17"/>
          <w:footerReference w:type="default" r:id="rId18"/>
          <w:footnotePr>
            <w:pos w:val="pageBottom"/>
            <w:numFmt w:val="decimal"/>
            <w:numRestart w:val="continuous"/>
          </w:footnotePr>
          <w:pgSz w:w="16840" w:h="11900" w:orient="landscape"/>
          <w:pgMar w:top="1134" w:right="1499" w:bottom="1215" w:left="1422" w:header="0" w:footer="3" w:gutter="0"/>
          <w:cols w:space="720"/>
          <w:noEndnote/>
          <w:rtlGutter w:val="0"/>
          <w:docGrid w:linePitch="360"/>
        </w:sectPr>
      </w:pPr>
      <w:r>
        <mc:AlternateContent>
          <mc:Choice Requires="wps">
            <w:drawing>
              <wp:anchor distT="114300" distB="0" distL="0" distR="0" simplePos="0" relativeHeight="125829386" behindDoc="0" locked="0" layoutInCell="1" allowOverlap="1">
                <wp:simplePos x="0" y="0"/>
                <wp:positionH relativeFrom="page">
                  <wp:posOffset>996950</wp:posOffset>
                </wp:positionH>
                <wp:positionV relativeFrom="paragraph">
                  <wp:posOffset>114300</wp:posOffset>
                </wp:positionV>
                <wp:extent cx="1746250" cy="149225"/>
                <wp:wrapTopAndBottom/>
                <wp:docPr id="44" name="Shape 44"/>
                <a:graphic xmlns:a="http://schemas.openxmlformats.org/drawingml/2006/main">
                  <a:graphicData uri="http://schemas.microsoft.com/office/word/2010/wordprocessingShape">
                    <wps:wsp>
                      <wps:cNvSpPr txBox="1"/>
                      <wps:spPr>
                        <a:xfrm>
                          <a:ext cx="174625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编制单位：紫光国芯股份有限公司</w:t>
                            </w:r>
                          </w:p>
                        </w:txbxContent>
                      </wps:txbx>
                      <wps:bodyPr wrap="none" lIns="0" tIns="0" rIns="0" bIns="0">
                        <a:noAutoFit/>
                      </wps:bodyPr>
                    </wps:wsp>
                  </a:graphicData>
                </a:graphic>
              </wp:anchor>
            </w:drawing>
          </mc:Choice>
          <mc:Fallback>
            <w:pict>
              <v:shape id="_x0000_s1070" type="#_x0000_t202" style="position:absolute;margin-left:78.5pt;margin-top:9.pt;width:137.5pt;height:11.75pt;z-index:-125829367;mso-wrap-distance-left:0;mso-wrap-distance-top:9.pt;mso-wrap-distance-right:0;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编制单位：紫光国芯股份有限公司</w:t>
                      </w:r>
                    </w:p>
                  </w:txbxContent>
                </v:textbox>
                <w10:wrap type="topAndBottom" anchorx="page"/>
              </v:shape>
            </w:pict>
          </mc:Fallback>
        </mc:AlternateContent>
      </w:r>
      <w:r>
        <mc:AlternateContent>
          <mc:Choice Requires="wps">
            <w:drawing>
              <wp:anchor distT="114300" distB="0" distL="0" distR="0" simplePos="0" relativeHeight="125829388" behindDoc="0" locked="0" layoutInCell="1" allowOverlap="1">
                <wp:simplePos x="0" y="0"/>
                <wp:positionH relativeFrom="page">
                  <wp:posOffset>5126990</wp:posOffset>
                </wp:positionH>
                <wp:positionV relativeFrom="paragraph">
                  <wp:posOffset>114300</wp:posOffset>
                </wp:positionV>
                <wp:extent cx="783590" cy="149225"/>
                <wp:wrapTopAndBottom/>
                <wp:docPr id="46" name="Shape 46"/>
                <a:graphic xmlns:a="http://schemas.openxmlformats.org/drawingml/2006/main">
                  <a:graphicData uri="http://schemas.microsoft.com/office/word/2010/wordprocessingShape">
                    <wps:wsp>
                      <wps:cNvSpPr txBox="1"/>
                      <wps:spPr>
                        <a:xfrm>
                          <a:ext cx="783590" cy="14922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1-12 </w:t>
                            </w:r>
                            <w:r>
                              <w:rPr>
                                <w:rFonts w:ascii="SimSun" w:eastAsia="SimSun" w:hAnsi="SimSun" w:cs="SimSun"/>
                                <w:color w:val="000000"/>
                                <w:spacing w:val="0"/>
                                <w:w w:val="100"/>
                                <w:position w:val="0"/>
                                <w:sz w:val="16"/>
                                <w:szCs w:val="16"/>
                              </w:rPr>
                              <w:t>月</w:t>
                            </w:r>
                          </w:p>
                        </w:txbxContent>
                      </wps:txbx>
                      <wps:bodyPr wrap="none" lIns="0" tIns="0" rIns="0" bIns="0">
                        <a:noAutoFit/>
                      </wps:bodyPr>
                    </wps:wsp>
                  </a:graphicData>
                </a:graphic>
              </wp:anchor>
            </w:drawing>
          </mc:Choice>
          <mc:Fallback>
            <w:pict>
              <v:shape id="_x0000_s1072" type="#_x0000_t202" style="position:absolute;margin-left:403.69999999999999pt;margin-top:9.pt;width:61.700000000000003pt;height:11.75pt;z-index:-125829365;mso-wrap-distance-left:0;mso-wrap-distance-top:9.pt;mso-wrap-distance-right:0;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1-12 </w:t>
                      </w:r>
                      <w:r>
                        <w:rPr>
                          <w:rFonts w:ascii="SimSun" w:eastAsia="SimSun" w:hAnsi="SimSun" w:cs="SimSun"/>
                          <w:color w:val="000000"/>
                          <w:spacing w:val="0"/>
                          <w:w w:val="100"/>
                          <w:position w:val="0"/>
                          <w:sz w:val="16"/>
                          <w:szCs w:val="16"/>
                        </w:rPr>
                        <w:t>月</w:t>
                      </w:r>
                    </w:p>
                  </w:txbxContent>
                </v:textbox>
                <w10:wrap type="topAndBottom" anchorx="page"/>
              </v:shape>
            </w:pict>
          </mc:Fallback>
        </mc:AlternateContent>
      </w:r>
      <w:r>
        <mc:AlternateContent>
          <mc:Choice Requires="wps">
            <w:drawing>
              <wp:anchor distT="114300" distB="0" distL="0" distR="0" simplePos="0" relativeHeight="125829390" behindDoc="0" locked="0" layoutInCell="1" allowOverlap="1">
                <wp:simplePos x="0" y="0"/>
                <wp:positionH relativeFrom="page">
                  <wp:posOffset>8101965</wp:posOffset>
                </wp:positionH>
                <wp:positionV relativeFrom="paragraph">
                  <wp:posOffset>114300</wp:posOffset>
                </wp:positionV>
                <wp:extent cx="1289050" cy="149225"/>
                <wp:wrapTopAndBottom/>
                <wp:docPr id="48" name="Shape 48"/>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wps:txbx>
                      <wps:bodyPr wrap="none" lIns="0" tIns="0" rIns="0" bIns="0">
                        <a:noAutoFit/>
                      </wps:bodyPr>
                    </wps:wsp>
                  </a:graphicData>
                </a:graphic>
              </wp:anchor>
            </w:drawing>
          </mc:Choice>
          <mc:Fallback>
            <w:pict>
              <v:shape id="_x0000_s1074" type="#_x0000_t202" style="position:absolute;margin-left:637.95000000000005pt;margin-top:9.pt;width:101.5pt;height:11.75pt;z-index:-125829363;mso-wrap-distance-left:0;mso-wrap-distance-top:9.pt;mso-wrap-distance-right:0;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v:textbox>
                <w10:wrap type="topAndBottom" anchorx="page"/>
              </v:shape>
            </w:pict>
          </mc:Fallback>
        </mc:AlternateContent>
      </w:r>
    </w:p>
    <w:tbl>
      <w:tblPr>
        <w:tblOverlap w:val="never"/>
        <w:jc w:val="center"/>
        <w:tblLayout w:type="fixed"/>
      </w:tblPr>
      <w:tblGrid>
        <w:gridCol w:w="2558"/>
        <w:gridCol w:w="1277"/>
        <w:gridCol w:w="566"/>
        <w:gridCol w:w="566"/>
        <w:gridCol w:w="427"/>
        <w:gridCol w:w="1277"/>
        <w:gridCol w:w="566"/>
        <w:gridCol w:w="1277"/>
        <w:gridCol w:w="566"/>
        <w:gridCol w:w="994"/>
        <w:gridCol w:w="566"/>
        <w:gridCol w:w="1133"/>
        <w:gridCol w:w="994"/>
        <w:gridCol w:w="1142"/>
      </w:tblGrid>
      <w:tr>
        <w:trPr>
          <w:trHeight w:val="26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w:t>
            </w:r>
          </w:p>
        </w:tc>
      </w:tr>
      <w:tr>
        <w:trPr>
          <w:trHeight w:val="264"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少数股东权益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所有者权益合计</w:t>
            </w:r>
          </w:p>
        </w:tc>
      </w:tr>
      <w:tr>
        <w:trPr>
          <w:trHeight w:val="269"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192" w:lineRule="exact"/>
              <w:ind w:left="0" w:right="0" w:firstLine="0"/>
              <w:jc w:val="center"/>
              <w:rPr>
                <w:sz w:val="14"/>
                <w:szCs w:val="14"/>
              </w:rPr>
            </w:pPr>
            <w:r>
              <w:rPr>
                <w:color w:val="000000"/>
                <w:spacing w:val="0"/>
                <w:w w:val="100"/>
                <w:position w:val="0"/>
                <w:sz w:val="14"/>
                <w:szCs w:val="14"/>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4"/>
                <w:szCs w:val="14"/>
              </w:rPr>
            </w:pPr>
            <w:r>
              <w:rPr>
                <w:color w:val="000000"/>
                <w:spacing w:val="0"/>
                <w:w w:val="100"/>
                <w:position w:val="0"/>
                <w:sz w:val="14"/>
                <w:szCs w:val="14"/>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192" w:lineRule="exact"/>
              <w:ind w:left="0" w:right="0" w:firstLine="0"/>
              <w:jc w:val="center"/>
              <w:rPr>
                <w:sz w:val="14"/>
                <w:szCs w:val="14"/>
              </w:rPr>
            </w:pPr>
            <w:r>
              <w:rPr>
                <w:color w:val="000000"/>
                <w:spacing w:val="0"/>
                <w:w w:val="100"/>
                <w:position w:val="0"/>
                <w:sz w:val="14"/>
                <w:szCs w:val="14"/>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187" w:lineRule="exact"/>
              <w:ind w:left="0" w:right="0" w:firstLine="0"/>
              <w:jc w:val="left"/>
              <w:rPr>
                <w:sz w:val="14"/>
                <w:szCs w:val="14"/>
              </w:rPr>
            </w:pPr>
            <w:r>
              <w:rPr>
                <w:color w:val="000000"/>
                <w:spacing w:val="0"/>
                <w:w w:val="100"/>
                <w:position w:val="0"/>
                <w:sz w:val="14"/>
                <w:szCs w:val="14"/>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4"/>
                <w:szCs w:val="14"/>
              </w:rPr>
            </w:pPr>
            <w:r>
              <w:rPr>
                <w:color w:val="000000"/>
                <w:spacing w:val="0"/>
                <w:w w:val="100"/>
                <w:position w:val="0"/>
                <w:sz w:val="14"/>
                <w:szCs w:val="14"/>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6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b/>
                <w:bCs/>
                <w:color w:val="000000"/>
                <w:spacing w:val="0"/>
                <w:w w:val="100"/>
                <w:position w:val="0"/>
                <w:sz w:val="15"/>
                <w:szCs w:val="15"/>
              </w:rPr>
              <w:t>606,817,968.00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625,440,108.41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b/>
                <w:bCs/>
                <w:color w:val="000000"/>
                <w:spacing w:val="0"/>
                <w:w w:val="100"/>
                <w:position w:val="0"/>
                <w:sz w:val="15"/>
                <w:szCs w:val="15"/>
              </w:rPr>
              <w:t>-27,547,980.74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84,124,364.61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1,586,310,670.11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59,116,681.41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2,934,261,811.80</w:t>
            </w: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w:t>
            </w: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w:t>
            </w:r>
          </w:p>
        </w:tc>
      </w:tr>
      <w:tr>
        <w:trPr>
          <w:trHeight w:val="26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w:t>
            </w: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w:t>
            </w: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b/>
                <w:bCs/>
                <w:color w:val="000000"/>
                <w:spacing w:val="0"/>
                <w:w w:val="100"/>
                <w:position w:val="0"/>
                <w:sz w:val="15"/>
                <w:szCs w:val="15"/>
              </w:rPr>
              <w:t>606,817,968.00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b/>
                <w:bCs/>
                <w:color w:val="000000"/>
                <w:spacing w:val="0"/>
                <w:w w:val="100"/>
                <w:position w:val="0"/>
                <w:sz w:val="15"/>
                <w:szCs w:val="15"/>
              </w:rPr>
              <w:t>625,440,108.41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b/>
                <w:bCs/>
                <w:color w:val="000000"/>
                <w:spacing w:val="0"/>
                <w:w w:val="100"/>
                <w:position w:val="0"/>
                <w:sz w:val="15"/>
                <w:szCs w:val="15"/>
              </w:rPr>
              <w:t>-27,547,980.74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84,124,364.61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1,586,310,670.11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59,116,681.41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2,934,261,811.80</w:t>
            </w:r>
          </w:p>
        </w:tc>
      </w:tr>
      <w:tr>
        <w:trPr>
          <w:trHeight w:val="39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197" w:lineRule="exact"/>
              <w:ind w:left="0" w:right="0" w:firstLine="0"/>
              <w:jc w:val="left"/>
              <w:rPr>
                <w:sz w:val="14"/>
                <w:szCs w:val="14"/>
              </w:rPr>
            </w:pPr>
            <w:r>
              <w:rPr>
                <w:b/>
                <w:bCs/>
                <w:color w:val="000000"/>
                <w:spacing w:val="0"/>
                <w:w w:val="100"/>
                <w:position w:val="0"/>
                <w:sz w:val="14"/>
                <w:szCs w:val="14"/>
              </w:rPr>
              <w:t>三、本期增减变动金额（减少以</w:t>
            </w:r>
            <w:r>
              <w:rPr>
                <w:rFonts w:ascii="Times New Roman" w:eastAsia="Times New Roman" w:hAnsi="Times New Roman" w:cs="Times New Roman"/>
                <w:b/>
                <w:bCs/>
                <w:color w:val="000000"/>
                <w:spacing w:val="0"/>
                <w:w w:val="100"/>
                <w:position w:val="0"/>
                <w:sz w:val="15"/>
                <w:szCs w:val="15"/>
              </w:rPr>
              <w:t>“</w:t>
            </w:r>
            <w:r>
              <w:rPr>
                <w:b/>
                <w:bCs/>
                <w:color w:val="000000"/>
                <w:spacing w:val="0"/>
                <w:w w:val="100"/>
                <w:position w:val="0"/>
                <w:sz w:val="14"/>
                <w:szCs w:val="14"/>
              </w:rPr>
              <w:t>一</w:t>
            </w:r>
            <w:r>
              <w:rPr>
                <w:rFonts w:ascii="Times New Roman" w:eastAsia="Times New Roman" w:hAnsi="Times New Roman" w:cs="Times New Roman"/>
                <w:b/>
                <w:bCs/>
                <w:color w:val="000000"/>
                <w:spacing w:val="0"/>
                <w:w w:val="100"/>
                <w:position w:val="0"/>
                <w:sz w:val="15"/>
                <w:szCs w:val="15"/>
              </w:rPr>
              <w:t xml:space="preserve">” </w:t>
            </w:r>
            <w:r>
              <w:rPr>
                <w:b/>
                <w:bCs/>
                <w:color w:val="000000"/>
                <w:spacing w:val="0"/>
                <w:w w:val="100"/>
                <w:position w:val="0"/>
                <w:sz w:val="14"/>
                <w:szCs w:val="14"/>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15,574,758.58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12,953,227.45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289,171,345.48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23,872,302.58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341,571,634.09</w:t>
            </w: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15,574,758.58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336,106,379.14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-3,127,697.42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348,553,440.30</w:t>
            </w:r>
          </w:p>
        </w:tc>
      </w:tr>
      <w:tr>
        <w:trPr>
          <w:trHeight w:val="26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27,000,000.00</w:t>
            </w: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4"/>
                <w:szCs w:val="14"/>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27,000,000.00</w:t>
            </w: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w:t>
            </w: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w:t>
            </w: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w:t>
            </w:r>
          </w:p>
        </w:tc>
      </w:tr>
      <w:tr>
        <w:trPr>
          <w:trHeight w:val="26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12,953,227.45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-46,935,033.66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-33,981,806.21</w:t>
            </w: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12,953,227.45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-12,953,227.45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w:t>
            </w: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w:t>
            </w: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3 </w:t>
            </w:r>
            <w:r>
              <w:rPr>
                <w:color w:val="000000"/>
                <w:spacing w:val="0"/>
                <w:w w:val="100"/>
                <w:position w:val="0"/>
                <w:sz w:val="14"/>
                <w:szCs w:val="14"/>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-33,981,806.21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-33,981,806.21</w:t>
            </w: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w:t>
            </w:r>
          </w:p>
        </w:tc>
      </w:tr>
      <w:tr>
        <w:trPr>
          <w:trHeight w:val="26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w:t>
            </w: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w:t>
            </w: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w:t>
            </w:r>
          </w:p>
        </w:tc>
      </w:tr>
      <w:tr>
        <w:trPr>
          <w:trHeight w:val="26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w:t>
            </w: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w:t>
            </w: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w:t>
            </w: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4"/>
                <w:szCs w:val="14"/>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w:t>
            </w: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w:t>
            </w:r>
          </w:p>
        </w:tc>
      </w:tr>
      <w:tr>
        <w:trPr>
          <w:trHeight w:val="26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w:t>
            </w:r>
          </w:p>
        </w:tc>
      </w:tr>
      <w:tr>
        <w:trPr>
          <w:trHeight w:val="2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b/>
                <w:bCs/>
                <w:color w:val="000000"/>
                <w:spacing w:val="0"/>
                <w:w w:val="100"/>
                <w:position w:val="0"/>
                <w:sz w:val="15"/>
                <w:szCs w:val="15"/>
              </w:rPr>
              <w:t>606,817,968.00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625,440,108.41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b/>
                <w:bCs/>
                <w:color w:val="000000"/>
                <w:spacing w:val="0"/>
                <w:w w:val="100"/>
                <w:position w:val="0"/>
                <w:sz w:val="15"/>
                <w:szCs w:val="15"/>
              </w:rPr>
              <w:t>-11,973,222.16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97,077,592.06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1,875,482,015.59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82,988,983.99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3,275,833,445.89</w:t>
            </w:r>
          </w:p>
        </w:tc>
      </w:tr>
    </w:tbl>
    <w:p>
      <w:pPr>
        <w:spacing w:lineRule="exact" w:line="1"/>
        <w:rPr>
          <w:sz w:val="2"/>
          <w:szCs w:val="2"/>
        </w:rPr>
      </w:pPr>
      <w:r>
        <w:br w:type="page"/>
      </w:r>
    </w:p>
    <w:p>
      <w:pPr>
        <w:pStyle w:val="Style59"/>
        <w:keepNext w:val="0"/>
        <w:keepLines w:val="0"/>
        <w:widowControl w:val="0"/>
        <w:shd w:val="clear" w:color="auto" w:fill="auto"/>
        <w:bidi w:val="0"/>
        <w:spacing w:before="0" w:after="120" w:line="240" w:lineRule="auto"/>
        <w:ind w:left="0" w:right="0" w:firstLine="260"/>
        <w:jc w:val="left"/>
      </w:pPr>
      <w:r>
        <w:rPr>
          <w:b w:val="0"/>
          <w:bCs w:val="0"/>
          <w:color w:val="000000"/>
          <w:spacing w:val="0"/>
          <w:w w:val="100"/>
          <w:position w:val="0"/>
        </w:rPr>
        <w:t>（上期金额）</w:t>
      </w:r>
    </w:p>
    <w:p>
      <w:pPr>
        <w:widowControl w:val="0"/>
        <w:spacing w:line="1" w:lineRule="exact"/>
      </w:pPr>
      <w:r>
        <mc:AlternateContent>
          <mc:Choice Requires="wps">
            <w:drawing>
              <wp:anchor distT="215900" distB="3175" distL="0" distR="0" simplePos="0" relativeHeight="125829392" behindDoc="0" locked="0" layoutInCell="1" allowOverlap="1">
                <wp:simplePos x="0" y="0"/>
                <wp:positionH relativeFrom="page">
                  <wp:posOffset>899160</wp:posOffset>
                </wp:positionH>
                <wp:positionV relativeFrom="paragraph">
                  <wp:posOffset>215900</wp:posOffset>
                </wp:positionV>
                <wp:extent cx="1060450" cy="152400"/>
                <wp:wrapTopAndBottom/>
                <wp:docPr id="50" name="Shape 50"/>
                <a:graphic xmlns:a="http://schemas.openxmlformats.org/drawingml/2006/main">
                  <a:graphicData uri="http://schemas.microsoft.com/office/word/2010/wordprocessingShape">
                    <wps:wsp>
                      <wps:cNvSpPr txBox="1"/>
                      <wps:spPr>
                        <a:xfrm>
                          <a:ext cx="1060450" cy="15240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法定代表人：赵伟国</w:t>
                            </w:r>
                          </w:p>
                        </w:txbxContent>
                      </wps:txbx>
                      <wps:bodyPr wrap="none" lIns="0" tIns="0" rIns="0" bIns="0">
                        <a:noAutoFit/>
                      </wps:bodyPr>
                    </wps:wsp>
                  </a:graphicData>
                </a:graphic>
              </wp:anchor>
            </w:drawing>
          </mc:Choice>
          <mc:Fallback>
            <w:pict>
              <v:shape id="_x0000_s1076" type="#_x0000_t202" style="position:absolute;margin-left:70.799999999999997pt;margin-top:17.pt;width:83.5pt;height:12.pt;z-index:-125829361;mso-wrap-distance-left:0;mso-wrap-distance-top:17.pt;mso-wrap-distance-right:0;mso-wrap-distance-bottom:0.25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法定代表人：赵伟国</w:t>
                      </w:r>
                    </w:p>
                  </w:txbxContent>
                </v:textbox>
                <w10:wrap type="topAndBottom" anchorx="page"/>
              </v:shape>
            </w:pict>
          </mc:Fallback>
        </mc:AlternateContent>
      </w:r>
      <w:r>
        <mc:AlternateContent>
          <mc:Choice Requires="wps">
            <w:drawing>
              <wp:anchor distT="215900" distB="3175" distL="0" distR="0" simplePos="0" relativeHeight="125829394" behindDoc="0" locked="0" layoutInCell="1" allowOverlap="1">
                <wp:simplePos x="0" y="0"/>
                <wp:positionH relativeFrom="page">
                  <wp:posOffset>4502150</wp:posOffset>
                </wp:positionH>
                <wp:positionV relativeFrom="paragraph">
                  <wp:posOffset>215900</wp:posOffset>
                </wp:positionV>
                <wp:extent cx="1517650" cy="152400"/>
                <wp:wrapTopAndBottom/>
                <wp:docPr id="52" name="Shape 52"/>
                <a:graphic xmlns:a="http://schemas.openxmlformats.org/drawingml/2006/main">
                  <a:graphicData uri="http://schemas.microsoft.com/office/word/2010/wordprocessingShape">
                    <wps:wsp>
                      <wps:cNvSpPr txBox="1"/>
                      <wps:spPr>
                        <a:xfrm>
                          <a:ext cx="1517650" cy="15240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主管会计工作负责人：杨秋平</w:t>
                            </w:r>
                          </w:p>
                        </w:txbxContent>
                      </wps:txbx>
                      <wps:bodyPr wrap="none" lIns="0" tIns="0" rIns="0" bIns="0">
                        <a:noAutoFit/>
                      </wps:bodyPr>
                    </wps:wsp>
                  </a:graphicData>
                </a:graphic>
              </wp:anchor>
            </w:drawing>
          </mc:Choice>
          <mc:Fallback>
            <w:pict>
              <v:shape id="_x0000_s1078" type="#_x0000_t202" style="position:absolute;margin-left:354.5pt;margin-top:17.pt;width:119.5pt;height:12.pt;z-index:-125829359;mso-wrap-distance-left:0;mso-wrap-distance-top:17.pt;mso-wrap-distance-right:0;mso-wrap-distance-bottom:0.25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主管会计工作负责人：杨秋平</w:t>
                      </w:r>
                    </w:p>
                  </w:txbxContent>
                </v:textbox>
                <w10:wrap type="topAndBottom" anchorx="page"/>
              </v:shape>
            </w:pict>
          </mc:Fallback>
        </mc:AlternateContent>
      </w:r>
      <w:r>
        <mc:AlternateContent>
          <mc:Choice Requires="wps">
            <w:drawing>
              <wp:anchor distT="215900" distB="0" distL="0" distR="0" simplePos="0" relativeHeight="125829396" behindDoc="0" locked="0" layoutInCell="1" allowOverlap="1">
                <wp:simplePos x="0" y="0"/>
                <wp:positionH relativeFrom="page">
                  <wp:posOffset>7921625</wp:posOffset>
                </wp:positionH>
                <wp:positionV relativeFrom="paragraph">
                  <wp:posOffset>215900</wp:posOffset>
                </wp:positionV>
                <wp:extent cx="1289050" cy="155575"/>
                <wp:wrapTopAndBottom/>
                <wp:docPr id="54" name="Shape 54"/>
                <a:graphic xmlns:a="http://schemas.openxmlformats.org/drawingml/2006/main">
                  <a:graphicData uri="http://schemas.microsoft.com/office/word/2010/wordprocessingShape">
                    <wps:wsp>
                      <wps:cNvSpPr txBox="1"/>
                      <wps:spPr>
                        <a:xfrm>
                          <a:ext cx="1289050" cy="1555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会计机构负责人：张典洪</w:t>
                            </w:r>
                          </w:p>
                        </w:txbxContent>
                      </wps:txbx>
                      <wps:bodyPr wrap="none" lIns="0" tIns="0" rIns="0" bIns="0">
                        <a:noAutoFit/>
                      </wps:bodyPr>
                    </wps:wsp>
                  </a:graphicData>
                </a:graphic>
              </wp:anchor>
            </w:drawing>
          </mc:Choice>
          <mc:Fallback>
            <w:pict>
              <v:shape id="_x0000_s1080" type="#_x0000_t202" style="position:absolute;margin-left:623.75pt;margin-top:17.pt;width:101.5pt;height:12.25pt;z-index:-125829357;mso-wrap-distance-left:0;mso-wrap-distance-top:17.pt;mso-wrap-distance-right:0;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会计机构负责人：张典洪</w:t>
                      </w:r>
                    </w:p>
                  </w:txbxContent>
                </v:textbox>
                <w10:wrap type="topAndBottom" anchorx="page"/>
              </v:shape>
            </w:pict>
          </mc:Fallback>
        </mc:AlternateContent>
      </w:r>
    </w:p>
    <w:tbl>
      <w:tblPr>
        <w:tblOverlap w:val="never"/>
        <w:jc w:val="center"/>
        <w:tblLayout w:type="fixed"/>
      </w:tblPr>
      <w:tblGrid>
        <w:gridCol w:w="2558"/>
        <w:gridCol w:w="1277"/>
        <w:gridCol w:w="566"/>
        <w:gridCol w:w="566"/>
        <w:gridCol w:w="427"/>
        <w:gridCol w:w="1277"/>
        <w:gridCol w:w="566"/>
        <w:gridCol w:w="1277"/>
        <w:gridCol w:w="566"/>
        <w:gridCol w:w="994"/>
        <w:gridCol w:w="566"/>
        <w:gridCol w:w="1133"/>
        <w:gridCol w:w="994"/>
        <w:gridCol w:w="1142"/>
      </w:tblGrid>
      <w:tr>
        <w:trPr>
          <w:trHeight w:val="23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上期</w:t>
            </w:r>
          </w:p>
        </w:tc>
      </w:tr>
      <w:tr>
        <w:trPr>
          <w:trHeight w:val="245"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少数股东权益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所有者权益合计</w:t>
            </w:r>
          </w:p>
        </w:tc>
      </w:tr>
      <w:tr>
        <w:trPr>
          <w:trHeight w:val="23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192" w:lineRule="exact"/>
              <w:ind w:left="0" w:right="0" w:firstLine="0"/>
              <w:jc w:val="right"/>
              <w:rPr>
                <w:sz w:val="14"/>
                <w:szCs w:val="14"/>
              </w:rPr>
            </w:pPr>
            <w:r>
              <w:rPr>
                <w:color w:val="000000"/>
                <w:spacing w:val="0"/>
                <w:w w:val="100"/>
                <w:position w:val="0"/>
                <w:sz w:val="14"/>
                <w:szCs w:val="14"/>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4"/>
                <w:szCs w:val="14"/>
              </w:rPr>
            </w:pPr>
            <w:r>
              <w:rPr>
                <w:color w:val="000000"/>
                <w:spacing w:val="0"/>
                <w:w w:val="100"/>
                <w:position w:val="0"/>
                <w:sz w:val="14"/>
                <w:szCs w:val="14"/>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4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b/>
                <w:bCs/>
                <w:color w:val="000000"/>
                <w:spacing w:val="0"/>
                <w:w w:val="100"/>
                <w:position w:val="0"/>
                <w:sz w:val="15"/>
                <w:szCs w:val="15"/>
              </w:rPr>
              <w:t>606,817,968.00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b/>
                <w:bCs/>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b/>
                <w:bCs/>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b/>
                <w:bCs/>
                <w:color w:val="000000"/>
                <w:spacing w:val="0"/>
                <w:w w:val="100"/>
                <w:position w:val="0"/>
                <w:sz w:val="15"/>
                <w:szCs w:val="15"/>
              </w:rPr>
              <w:t>623,402,730.61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-9,460,869.90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65,588,773.19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1,330,047,990.16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8,427,280.65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2,624,823,872.71</w:t>
            </w:r>
          </w:p>
        </w:tc>
      </w:tr>
      <w:tr>
        <w:trPr>
          <w:trHeight w:val="2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b/>
                <w:bCs/>
                <w:color w:val="000000"/>
                <w:spacing w:val="0"/>
                <w:w w:val="100"/>
                <w:position w:val="0"/>
                <w:sz w:val="15"/>
                <w:szCs w:val="15"/>
              </w:rPr>
              <w:t>606,817,968.00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b/>
                <w:bCs/>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b/>
                <w:bCs/>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b/>
                <w:bCs/>
                <w:color w:val="000000"/>
                <w:spacing w:val="0"/>
                <w:w w:val="100"/>
                <w:position w:val="0"/>
                <w:sz w:val="15"/>
                <w:szCs w:val="15"/>
              </w:rPr>
              <w:t>623,402,730.61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-9,460,869.90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65,588,773.19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1,330,047,990.16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8,427,280.65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2,624,823,872.71</w:t>
            </w:r>
          </w:p>
        </w:tc>
      </w:tr>
      <w:tr>
        <w:trPr>
          <w:trHeight w:val="403"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197" w:lineRule="exact"/>
              <w:ind w:left="0" w:right="0" w:firstLine="0"/>
              <w:jc w:val="left"/>
              <w:rPr>
                <w:sz w:val="14"/>
                <w:szCs w:val="14"/>
              </w:rPr>
            </w:pPr>
            <w:r>
              <w:rPr>
                <w:b/>
                <w:bCs/>
                <w:color w:val="000000"/>
                <w:spacing w:val="0"/>
                <w:w w:val="100"/>
                <w:position w:val="0"/>
                <w:sz w:val="14"/>
                <w:szCs w:val="14"/>
              </w:rPr>
              <w:t>三、本期增减变动金额（减少以</w:t>
            </w:r>
            <w:r>
              <w:rPr>
                <w:rFonts w:ascii="Times New Roman" w:eastAsia="Times New Roman" w:hAnsi="Times New Roman" w:cs="Times New Roman"/>
                <w:b/>
                <w:bCs/>
                <w:color w:val="000000"/>
                <w:spacing w:val="0"/>
                <w:w w:val="100"/>
                <w:position w:val="0"/>
                <w:sz w:val="15"/>
                <w:szCs w:val="15"/>
              </w:rPr>
              <w:t>“</w:t>
            </w:r>
            <w:r>
              <w:rPr>
                <w:b/>
                <w:bCs/>
                <w:color w:val="000000"/>
                <w:spacing w:val="0"/>
                <w:w w:val="100"/>
                <w:position w:val="0"/>
                <w:sz w:val="14"/>
                <w:szCs w:val="14"/>
              </w:rPr>
              <w:t>一</w:t>
            </w:r>
            <w:r>
              <w:rPr>
                <w:rFonts w:ascii="Times New Roman" w:eastAsia="Times New Roman" w:hAnsi="Times New Roman" w:cs="Times New Roman"/>
                <w:b/>
                <w:bCs/>
                <w:color w:val="000000"/>
                <w:spacing w:val="0"/>
                <w:w w:val="100"/>
                <w:position w:val="0"/>
                <w:sz w:val="15"/>
                <w:szCs w:val="15"/>
              </w:rPr>
              <w:t xml:space="preserve">” </w:t>
            </w:r>
            <w:r>
              <w:rPr>
                <w:b/>
                <w:bCs/>
                <w:color w:val="000000"/>
                <w:spacing w:val="0"/>
                <w:w w:val="100"/>
                <w:position w:val="0"/>
                <w:sz w:val="14"/>
                <w:szCs w:val="14"/>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b/>
                <w:bCs/>
                <w:color w:val="000000"/>
                <w:spacing w:val="0"/>
                <w:w w:val="100"/>
                <w:position w:val="0"/>
                <w:sz w:val="15"/>
                <w:szCs w:val="15"/>
              </w:rPr>
              <w:t>2,037,377.80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b/>
                <w:bCs/>
                <w:color w:val="000000"/>
                <w:spacing w:val="0"/>
                <w:w w:val="100"/>
                <w:position w:val="0"/>
                <w:sz w:val="15"/>
                <w:szCs w:val="15"/>
              </w:rPr>
              <w:t>-18,087,110.84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18,535,591.42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256,262,679.95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50,689,400.76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309,437,939.09</w:t>
            </w:r>
          </w:p>
        </w:tc>
      </w:tr>
      <w:tr>
        <w:trPr>
          <w:trHeight w:val="2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-18,087,110.84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335,480,068.17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-3,123,221.44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314,269,735.89</w:t>
            </w:r>
          </w:p>
        </w:tc>
      </w:tr>
      <w:tr>
        <w:trPr>
          <w:trHeight w:val="2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2,037,377.80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53,812,622.20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55,850,000.00</w:t>
            </w:r>
          </w:p>
        </w:tc>
      </w:tr>
      <w:tr>
        <w:trPr>
          <w:trHeight w:val="2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4"/>
                <w:szCs w:val="14"/>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2,037,377.80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53,812,622.20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55,850,000.00</w:t>
            </w:r>
          </w:p>
        </w:tc>
      </w:tr>
      <w:tr>
        <w:trPr>
          <w:trHeight w:val="2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18,535,591.42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-79,217,388.22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-60,681,796.80</w:t>
            </w:r>
          </w:p>
        </w:tc>
      </w:tr>
      <w:tr>
        <w:trPr>
          <w:trHeight w:val="2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18,535,591.42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-18,535,591.42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2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3 </w:t>
            </w:r>
            <w:r>
              <w:rPr>
                <w:color w:val="000000"/>
                <w:spacing w:val="0"/>
                <w:w w:val="100"/>
                <w:position w:val="0"/>
                <w:sz w:val="14"/>
                <w:szCs w:val="14"/>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-60,681,796.80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-60,681,796.80</w:t>
            </w:r>
          </w:p>
        </w:tc>
      </w:tr>
      <w:tr>
        <w:trPr>
          <w:trHeight w:val="2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4"/>
                <w:szCs w:val="14"/>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b/>
                <w:bCs/>
                <w:color w:val="000000"/>
                <w:spacing w:val="0"/>
                <w:w w:val="100"/>
                <w:position w:val="0"/>
                <w:sz w:val="15"/>
                <w:szCs w:val="15"/>
              </w:rPr>
              <w:t>606,817,968.00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b/>
                <w:bCs/>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b/>
                <w:bCs/>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b/>
                <w:bCs/>
                <w:color w:val="000000"/>
                <w:spacing w:val="0"/>
                <w:w w:val="100"/>
                <w:position w:val="0"/>
                <w:sz w:val="15"/>
                <w:szCs w:val="15"/>
              </w:rPr>
              <w:t>625,440,108.41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b/>
                <w:bCs/>
                <w:color w:val="000000"/>
                <w:spacing w:val="0"/>
                <w:w w:val="100"/>
                <w:position w:val="0"/>
                <w:sz w:val="15"/>
                <w:szCs w:val="15"/>
              </w:rPr>
              <w:t>-27,547,980.74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84,124,364.61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1,586,310,670.11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59,116,681.41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2,934,261,811.80</w:t>
            </w:r>
          </w:p>
        </w:tc>
      </w:tr>
    </w:tbl>
    <w:p>
      <w:pPr>
        <w:spacing w:lineRule="exact" w:line="1"/>
        <w:rPr>
          <w:sz w:val="2"/>
          <w:szCs w:val="2"/>
        </w:rPr>
      </w:pPr>
      <w:r>
        <w:br w:type="page"/>
      </w:r>
    </w:p>
    <w:p>
      <w:pPr>
        <w:pStyle w:val="Style28"/>
        <w:keepNext/>
        <w:keepLines/>
        <w:widowControl w:val="0"/>
        <w:shd w:val="clear" w:color="auto" w:fill="auto"/>
        <w:bidi w:val="0"/>
        <w:spacing w:before="0" w:after="320" w:line="240"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8</w:t>
      </w:r>
      <w:bookmarkEnd w:id="561"/>
      <w:r>
        <w:rPr>
          <w:color w:val="000000"/>
          <w:spacing w:val="0"/>
          <w:w w:val="100"/>
          <w:position w:val="0"/>
        </w:rPr>
        <w:t>、母公司所有者权益变动表</w:t>
      </w:r>
      <w:bookmarkEnd w:id="559"/>
      <w:bookmarkEnd w:id="560"/>
      <w:bookmarkEnd w:id="562"/>
    </w:p>
    <w:tbl>
      <w:tblPr>
        <w:tblOverlap w:val="never"/>
        <w:jc w:val="left"/>
        <w:tblLayout w:type="fixed"/>
      </w:tblPr>
      <w:tblGrid>
        <w:gridCol w:w="2986"/>
        <w:gridCol w:w="1560"/>
        <w:gridCol w:w="566"/>
        <w:gridCol w:w="566"/>
        <w:gridCol w:w="566"/>
        <w:gridCol w:w="1416"/>
        <w:gridCol w:w="706"/>
        <w:gridCol w:w="854"/>
        <w:gridCol w:w="710"/>
        <w:gridCol w:w="1277"/>
        <w:gridCol w:w="1272"/>
        <w:gridCol w:w="1430"/>
      </w:tblGrid>
      <w:tr>
        <w:trPr>
          <w:trHeight w:val="259" w:hRule="exact"/>
        </w:trPr>
        <w:tc>
          <w:tcPr>
            <w:vMerge w:val="restart"/>
            <w:tcBorders>
              <w:top w:val="single" w:sz="4"/>
              <w:left w:val="single" w:sz="4"/>
            </w:tcBorders>
            <w:shd w:val="clear" w:color="auto" w:fill="D3D3D3"/>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6"/>
            <w:tcBorders>
              <w:top w:val="single" w:sz="4"/>
              <w:left w:val="single" w:sz="4"/>
            </w:tcBorders>
            <w:shd w:val="clear" w:color="auto" w:fill="D3D3D3"/>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本</w:t>
            </w:r>
          </w:p>
        </w:tc>
        <w:tc>
          <w:tcPr>
            <w:gridSpan w:val="5"/>
            <w:tcBorders>
              <w:top w:val="single" w:sz="4"/>
              <w:left w:val="single" w:sz="4"/>
              <w:right w:val="single" w:sz="4"/>
            </w:tcBorders>
            <w:shd w:val="clear" w:color="auto" w:fill="D3D3D3"/>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W</w:t>
            </w:r>
            <w:r>
              <w:rPr>
                <w:b/>
                <w:bCs/>
                <w:color w:val="000000"/>
                <w:spacing w:val="0"/>
                <w:w w:val="100"/>
                <w:position w:val="0"/>
                <w:sz w:val="16"/>
                <w:szCs w:val="16"/>
              </w:rPr>
              <w:t>期</w:t>
            </w:r>
          </w:p>
        </w:tc>
      </w:tr>
      <w:tr>
        <w:trPr>
          <w:trHeight w:val="274" w:hRule="exact"/>
        </w:trPr>
        <w:tc>
          <w:tcPr>
            <w:vMerge/>
            <w:tcBorders>
              <w:left w:val="single" w:sz="4"/>
            </w:tcBorders>
            <w:shd w:val="clear" w:color="auto" w:fill="D3D3D3"/>
            <w:vAlign w:val="center"/>
          </w:tcPr>
          <w:p>
            <w:pPr>
              <w:framePr w:w="13910" w:h="8122" w:vSpace="350" w:wrap="notBeside" w:vAnchor="text" w:hAnchor="text" w:x="6" w:y="351"/>
            </w:pPr>
          </w:p>
        </w:tc>
        <w:tc>
          <w:tcPr>
            <w:vMerge w:val="restart"/>
            <w:tcBorders>
              <w:top w:val="single" w:sz="4"/>
              <w:left w:val="single" w:sz="4"/>
            </w:tcBorders>
            <w:shd w:val="clear" w:color="auto" w:fill="D3D3D3"/>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其他权益工具</w:t>
            </w:r>
          </w:p>
        </w:tc>
        <w:tc>
          <w:tcPr>
            <w:vMerge w:val="restart"/>
            <w:tcBorders>
              <w:top w:val="single" w:sz="4"/>
              <w:left w:val="single" w:sz="4"/>
            </w:tcBorders>
            <w:shd w:val="clear" w:color="auto" w:fill="D3D3D3"/>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D3D3D3"/>
            <w:vAlign w:val="center"/>
          </w:tcPr>
          <w:p>
            <w:pPr>
              <w:pStyle w:val="Style2"/>
              <w:keepNext w:val="0"/>
              <w:keepLines w:val="0"/>
              <w:framePr w:w="13910" w:h="8122" w:vSpace="350" w:wrap="notBeside" w:vAnchor="text" w:hAnchor="text" w:x="6" w:y="351"/>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减：库存 股</w:t>
            </w:r>
          </w:p>
        </w:tc>
        <w:tc>
          <w:tcPr>
            <w:vMerge w:val="restart"/>
            <w:tcBorders>
              <w:top w:val="single" w:sz="4"/>
              <w:left w:val="single" w:sz="4"/>
            </w:tcBorders>
            <w:shd w:val="clear" w:color="auto" w:fill="D3D3D3"/>
            <w:vAlign w:val="center"/>
          </w:tcPr>
          <w:p>
            <w:pPr>
              <w:pStyle w:val="Style2"/>
              <w:keepNext w:val="0"/>
              <w:keepLines w:val="0"/>
              <w:framePr w:w="13910" w:h="8122" w:vSpace="350" w:wrap="notBeside" w:vAnchor="text" w:hAnchor="text" w:x="6" w:y="351"/>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其他综合 收益</w:t>
            </w:r>
          </w:p>
        </w:tc>
        <w:tc>
          <w:tcPr>
            <w:vMerge w:val="restart"/>
            <w:tcBorders>
              <w:top w:val="single" w:sz="4"/>
              <w:left w:val="single" w:sz="4"/>
            </w:tcBorders>
            <w:shd w:val="clear" w:color="auto" w:fill="D3D3D3"/>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专项储 备</w:t>
            </w:r>
          </w:p>
        </w:tc>
        <w:tc>
          <w:tcPr>
            <w:vMerge w:val="restart"/>
            <w:tcBorders>
              <w:top w:val="single" w:sz="4"/>
              <w:left w:val="single" w:sz="4"/>
            </w:tcBorders>
            <w:shd w:val="clear" w:color="auto" w:fill="D3D3D3"/>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D3D3D3"/>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未分配利润</w:t>
            </w:r>
          </w:p>
        </w:tc>
        <w:tc>
          <w:tcPr>
            <w:vMerge w:val="restart"/>
            <w:tcBorders>
              <w:top w:val="single" w:sz="4"/>
              <w:left w:val="single" w:sz="4"/>
              <w:right w:val="single" w:sz="4"/>
            </w:tcBorders>
            <w:shd w:val="clear" w:color="auto" w:fill="D3D3D3"/>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所有者权益合计</w:t>
            </w:r>
          </w:p>
        </w:tc>
      </w:tr>
      <w:tr>
        <w:trPr>
          <w:trHeight w:val="480" w:hRule="exact"/>
        </w:trPr>
        <w:tc>
          <w:tcPr>
            <w:vMerge/>
            <w:tcBorders>
              <w:left w:val="single" w:sz="4"/>
            </w:tcBorders>
            <w:shd w:val="clear" w:color="auto" w:fill="D3D3D3"/>
            <w:vAlign w:val="center"/>
          </w:tcPr>
          <w:p>
            <w:pPr>
              <w:framePr w:w="13910" w:h="8122" w:vSpace="350" w:wrap="notBeside" w:vAnchor="text" w:hAnchor="text" w:x="6" w:y="351"/>
            </w:pPr>
          </w:p>
        </w:tc>
        <w:tc>
          <w:tcPr>
            <w:vMerge/>
            <w:tcBorders>
              <w:left w:val="single" w:sz="4"/>
            </w:tcBorders>
            <w:shd w:val="clear" w:color="auto" w:fill="D3D3D3"/>
            <w:vAlign w:val="center"/>
          </w:tcPr>
          <w:p>
            <w:pPr>
              <w:framePr w:w="13910" w:h="8122" w:vSpace="350" w:wrap="notBeside" w:vAnchor="text" w:hAnchor="text" w:x="6" w:y="351"/>
            </w:pPr>
          </w:p>
        </w:tc>
        <w:tc>
          <w:tcPr>
            <w:tcBorders>
              <w:top w:val="single" w:sz="4"/>
              <w:left w:val="single" w:sz="4"/>
            </w:tcBorders>
            <w:shd w:val="clear" w:color="auto" w:fill="D3D3D3"/>
            <w:vAlign w:val="bottom"/>
          </w:tcPr>
          <w:p>
            <w:pPr>
              <w:pStyle w:val="Style2"/>
              <w:keepNext w:val="0"/>
              <w:keepLines w:val="0"/>
              <w:framePr w:w="13910" w:h="8122" w:vSpace="350" w:wrap="notBeside" w:vAnchor="text" w:hAnchor="text" w:x="6" w:y="351"/>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优先 股</w:t>
            </w:r>
          </w:p>
        </w:tc>
        <w:tc>
          <w:tcPr>
            <w:tcBorders>
              <w:top w:val="single" w:sz="4"/>
              <w:left w:val="single" w:sz="4"/>
            </w:tcBorders>
            <w:shd w:val="clear" w:color="auto" w:fill="D3D3D3"/>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永续 债</w:t>
            </w:r>
          </w:p>
        </w:tc>
        <w:tc>
          <w:tcPr>
            <w:tcBorders>
              <w:top w:val="single" w:sz="4"/>
              <w:left w:val="single" w:sz="4"/>
            </w:tcBorders>
            <w:shd w:val="clear" w:color="auto" w:fill="D3D3D3"/>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其他</w:t>
            </w:r>
          </w:p>
        </w:tc>
        <w:tc>
          <w:tcPr>
            <w:vMerge/>
            <w:tcBorders>
              <w:left w:val="single" w:sz="4"/>
            </w:tcBorders>
            <w:shd w:val="clear" w:color="auto" w:fill="D3D3D3"/>
            <w:vAlign w:val="center"/>
          </w:tcPr>
          <w:p>
            <w:pPr>
              <w:framePr w:w="13910" w:h="8122" w:vSpace="350" w:wrap="notBeside" w:vAnchor="text" w:hAnchor="text" w:x="6" w:y="351"/>
            </w:pPr>
          </w:p>
        </w:tc>
        <w:tc>
          <w:tcPr>
            <w:vMerge/>
            <w:tcBorders>
              <w:left w:val="single" w:sz="4"/>
            </w:tcBorders>
            <w:shd w:val="clear" w:color="auto" w:fill="D3D3D3"/>
            <w:vAlign w:val="center"/>
          </w:tcPr>
          <w:p>
            <w:pPr>
              <w:framePr w:w="13910" w:h="8122" w:vSpace="350" w:wrap="notBeside" w:vAnchor="text" w:hAnchor="text" w:x="6" w:y="351"/>
            </w:pPr>
          </w:p>
        </w:tc>
        <w:tc>
          <w:tcPr>
            <w:vMerge/>
            <w:tcBorders>
              <w:left w:val="single" w:sz="4"/>
            </w:tcBorders>
            <w:shd w:val="clear" w:color="auto" w:fill="D3D3D3"/>
            <w:vAlign w:val="center"/>
          </w:tcPr>
          <w:p>
            <w:pPr>
              <w:framePr w:w="13910" w:h="8122" w:vSpace="350" w:wrap="notBeside" w:vAnchor="text" w:hAnchor="text" w:x="6" w:y="351"/>
            </w:pPr>
          </w:p>
        </w:tc>
        <w:tc>
          <w:tcPr>
            <w:vMerge/>
            <w:tcBorders>
              <w:left w:val="single" w:sz="4"/>
            </w:tcBorders>
            <w:shd w:val="clear" w:color="auto" w:fill="D3D3D3"/>
            <w:vAlign w:val="center"/>
          </w:tcPr>
          <w:p>
            <w:pPr>
              <w:framePr w:w="13910" w:h="8122" w:vSpace="350" w:wrap="notBeside" w:vAnchor="text" w:hAnchor="text" w:x="6" w:y="351"/>
            </w:pPr>
          </w:p>
        </w:tc>
        <w:tc>
          <w:tcPr>
            <w:vMerge/>
            <w:tcBorders>
              <w:left w:val="single" w:sz="4"/>
            </w:tcBorders>
            <w:shd w:val="clear" w:color="auto" w:fill="D3D3D3"/>
            <w:vAlign w:val="center"/>
          </w:tcPr>
          <w:p>
            <w:pPr>
              <w:framePr w:w="13910" w:h="8122" w:vSpace="350" w:wrap="notBeside" w:vAnchor="text" w:hAnchor="text" w:x="6" w:y="351"/>
            </w:pPr>
          </w:p>
        </w:tc>
        <w:tc>
          <w:tcPr>
            <w:vMerge/>
            <w:tcBorders>
              <w:left w:val="single" w:sz="4"/>
            </w:tcBorders>
            <w:shd w:val="clear" w:color="auto" w:fill="D3D3D3"/>
            <w:vAlign w:val="center"/>
          </w:tcPr>
          <w:p>
            <w:pPr>
              <w:framePr w:w="13910" w:h="8122" w:vSpace="350" w:wrap="notBeside" w:vAnchor="text" w:hAnchor="text" w:x="6" w:y="351"/>
            </w:pPr>
          </w:p>
        </w:tc>
        <w:tc>
          <w:tcPr>
            <w:vMerge/>
            <w:tcBorders>
              <w:left w:val="single" w:sz="4"/>
              <w:right w:val="single" w:sz="4"/>
            </w:tcBorders>
            <w:shd w:val="clear" w:color="auto" w:fill="D3D3D3"/>
            <w:vAlign w:val="center"/>
          </w:tcPr>
          <w:p>
            <w:pPr>
              <w:framePr w:w="13910" w:h="8122" w:vSpace="350" w:wrap="notBeside" w:vAnchor="text" w:hAnchor="text" w:x="6" w:y="351"/>
            </w:pPr>
          </w:p>
        </w:tc>
      </w:tr>
      <w:tr>
        <w:trPr>
          <w:trHeight w:val="264" w:hRule="exact"/>
        </w:trPr>
        <w:tc>
          <w:tcPr>
            <w:tcBorders>
              <w:top w:val="single" w:sz="4"/>
              <w:left w:val="single" w:sz="4"/>
            </w:tcBorders>
            <w:shd w:val="clear" w:color="auto" w:fill="D3D3D3"/>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一、上年期末余额</w:t>
            </w:r>
          </w:p>
        </w:tc>
        <w:tc>
          <w:tcPr>
            <w:tcBorders>
              <w:top w:val="single" w:sz="4"/>
              <w:lef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606,817,968.00</w:t>
            </w:r>
          </w:p>
        </w:tc>
        <w:tc>
          <w:tcPr>
            <w:tcBorders>
              <w:top w:val="single" w:sz="4"/>
              <w:left w:val="single" w:sz="4"/>
            </w:tcBorders>
            <w:shd w:val="clear" w:color="auto" w:fill="FFFFFF"/>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1,219,044,082.85</w:t>
            </w: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b/>
                <w:bCs/>
                <w:color w:val="000000"/>
                <w:spacing w:val="0"/>
                <w:w w:val="100"/>
                <w:position w:val="0"/>
                <w:sz w:val="18"/>
                <w:szCs w:val="18"/>
              </w:rPr>
              <w:t>81,797,389.74</w:t>
            </w:r>
          </w:p>
        </w:tc>
        <w:tc>
          <w:tcPr>
            <w:tcBorders>
              <w:top w:val="single" w:sz="4"/>
              <w:lef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480,153,686.97</w:t>
            </w:r>
          </w:p>
        </w:tc>
        <w:tc>
          <w:tcPr>
            <w:tcBorders>
              <w:top w:val="single" w:sz="4"/>
              <w:left w:val="single" w:sz="4"/>
              <w:righ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2,387,813,127.56</w:t>
            </w:r>
          </w:p>
        </w:tc>
      </w:tr>
      <w:tr>
        <w:trPr>
          <w:trHeight w:val="264" w:hRule="exact"/>
        </w:trPr>
        <w:tc>
          <w:tcPr>
            <w:tcBorders>
              <w:top w:val="single" w:sz="4"/>
              <w:left w:val="single" w:sz="4"/>
            </w:tcBorders>
            <w:shd w:val="clear" w:color="auto" w:fill="D3D3D3"/>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加：会计政策变更</w:t>
            </w: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64" w:hRule="exact"/>
        </w:trPr>
        <w:tc>
          <w:tcPr>
            <w:tcBorders>
              <w:top w:val="single" w:sz="4"/>
              <w:left w:val="single" w:sz="4"/>
            </w:tcBorders>
            <w:shd w:val="clear" w:color="auto" w:fill="D3D3D3"/>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前期差错更正</w:t>
            </w: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69" w:hRule="exact"/>
        </w:trPr>
        <w:tc>
          <w:tcPr>
            <w:tcBorders>
              <w:top w:val="single" w:sz="4"/>
              <w:left w:val="single" w:sz="4"/>
            </w:tcBorders>
            <w:shd w:val="clear" w:color="auto" w:fill="D3D3D3"/>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64" w:hRule="exact"/>
        </w:trPr>
        <w:tc>
          <w:tcPr>
            <w:tcBorders>
              <w:top w:val="single" w:sz="4"/>
              <w:left w:val="single" w:sz="4"/>
            </w:tcBorders>
            <w:shd w:val="clear" w:color="auto" w:fill="D3D3D3"/>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二、本年期初余额</w:t>
            </w:r>
          </w:p>
        </w:tc>
        <w:tc>
          <w:tcPr>
            <w:tcBorders>
              <w:top w:val="single" w:sz="4"/>
              <w:lef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606,817,968.00</w:t>
            </w: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1,219,044,082.85</w:t>
            </w: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b/>
                <w:bCs/>
                <w:color w:val="000000"/>
                <w:spacing w:val="0"/>
                <w:w w:val="100"/>
                <w:position w:val="0"/>
                <w:sz w:val="18"/>
                <w:szCs w:val="18"/>
              </w:rPr>
              <w:t>81,797,389.74</w:t>
            </w:r>
          </w:p>
        </w:tc>
        <w:tc>
          <w:tcPr>
            <w:tcBorders>
              <w:top w:val="single" w:sz="4"/>
              <w:lef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480,153,686.97</w:t>
            </w:r>
          </w:p>
        </w:tc>
        <w:tc>
          <w:tcPr>
            <w:tcBorders>
              <w:top w:val="single" w:sz="4"/>
              <w:left w:val="single" w:sz="4"/>
              <w:righ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2,387,813,127.56</w:t>
            </w:r>
          </w:p>
        </w:tc>
      </w:tr>
      <w:tr>
        <w:trPr>
          <w:trHeight w:val="475" w:hRule="exact"/>
        </w:trPr>
        <w:tc>
          <w:tcPr>
            <w:tcBorders>
              <w:top w:val="single" w:sz="4"/>
              <w:left w:val="single" w:sz="4"/>
            </w:tcBorders>
            <w:shd w:val="clear" w:color="auto" w:fill="D3D3D3"/>
            <w:vAlign w:val="top"/>
          </w:tcPr>
          <w:p>
            <w:pPr>
              <w:pStyle w:val="Style2"/>
              <w:keepNext w:val="0"/>
              <w:keepLines w:val="0"/>
              <w:framePr w:w="13910" w:h="8122" w:vSpace="350" w:wrap="notBeside" w:vAnchor="text" w:hAnchor="text" w:x="6" w:y="351"/>
              <w:widowControl w:val="0"/>
              <w:shd w:val="clear" w:color="auto" w:fill="auto"/>
              <w:bidi w:val="0"/>
              <w:spacing w:before="0" w:after="0" w:line="240" w:lineRule="exact"/>
              <w:ind w:left="0" w:right="0" w:firstLine="0"/>
              <w:jc w:val="left"/>
              <w:rPr>
                <w:sz w:val="16"/>
                <w:szCs w:val="16"/>
              </w:rPr>
            </w:pPr>
            <w:r>
              <w:rPr>
                <w:b/>
                <w:bCs/>
                <w:color w:val="000000"/>
                <w:spacing w:val="0"/>
                <w:w w:val="100"/>
                <w:position w:val="0"/>
                <w:sz w:val="16"/>
                <w:szCs w:val="16"/>
              </w:rPr>
              <w:t>三、本期增减变动金额（减少以</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一</w:t>
            </w:r>
            <w:r>
              <w:rPr>
                <w:rFonts w:ascii="Times New Roman" w:eastAsia="Times New Roman" w:hAnsi="Times New Roman" w:cs="Times New Roman"/>
                <w:b/>
                <w:bCs/>
                <w:color w:val="000000"/>
                <w:spacing w:val="0"/>
                <w:w w:val="100"/>
                <w:position w:val="0"/>
                <w:sz w:val="18"/>
                <w:szCs w:val="18"/>
              </w:rPr>
              <w:t xml:space="preserve">” </w:t>
            </w:r>
            <w:r>
              <w:rPr>
                <w:b/>
                <w:bCs/>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b/>
                <w:bCs/>
                <w:color w:val="000000"/>
                <w:spacing w:val="0"/>
                <w:w w:val="100"/>
                <w:position w:val="0"/>
                <w:sz w:val="18"/>
                <w:szCs w:val="18"/>
              </w:rPr>
              <w:t>12,953,227.45</w:t>
            </w:r>
          </w:p>
        </w:tc>
        <w:tc>
          <w:tcPr>
            <w:tcBorders>
              <w:top w:val="single" w:sz="4"/>
              <w:left w:val="single" w:sz="4"/>
            </w:tcBorders>
            <w:shd w:val="clear" w:color="auto" w:fill="FFFFFF"/>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82,597,240.87</w:t>
            </w:r>
          </w:p>
        </w:tc>
        <w:tc>
          <w:tcPr>
            <w:tcBorders>
              <w:top w:val="single" w:sz="4"/>
              <w:left w:val="single" w:sz="4"/>
              <w:right w:val="single" w:sz="4"/>
            </w:tcBorders>
            <w:shd w:val="clear" w:color="auto" w:fill="FFFFFF"/>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95,550,468.32</w:t>
            </w:r>
          </w:p>
        </w:tc>
      </w:tr>
      <w:tr>
        <w:trPr>
          <w:trHeight w:val="264" w:hRule="exact"/>
        </w:trPr>
        <w:tc>
          <w:tcPr>
            <w:tcBorders>
              <w:top w:val="single" w:sz="4"/>
              <w:left w:val="single" w:sz="4"/>
            </w:tcBorders>
            <w:shd w:val="clear" w:color="auto" w:fill="D3D3D3"/>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（一）综合收益总额</w:t>
            </w: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129,532,274.53</w:t>
            </w:r>
          </w:p>
        </w:tc>
        <w:tc>
          <w:tcPr>
            <w:tcBorders>
              <w:top w:val="single" w:sz="4"/>
              <w:left w:val="single" w:sz="4"/>
              <w:righ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129,532,274.53</w:t>
            </w:r>
          </w:p>
        </w:tc>
      </w:tr>
      <w:tr>
        <w:trPr>
          <w:trHeight w:val="269" w:hRule="exact"/>
        </w:trPr>
        <w:tc>
          <w:tcPr>
            <w:tcBorders>
              <w:top w:val="single" w:sz="4"/>
              <w:left w:val="single" w:sz="4"/>
            </w:tcBorders>
            <w:shd w:val="clear" w:color="auto" w:fill="D3D3D3"/>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（二）所有者投入和减少资本</w:t>
            </w:r>
          </w:p>
        </w:tc>
        <w:tc>
          <w:tcPr>
            <w:tcBorders>
              <w:top w:val="single" w:sz="4"/>
              <w:lef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framePr w:w="13910" w:h="8122" w:vSpace="350" w:wrap="notBeside" w:vAnchor="text" w:hAnchor="text" w:x="6" w:y="351"/>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.股东投入的普通股</w:t>
            </w: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right w:val="single" w:sz="4"/>
            </w:tcBorders>
            <w:shd w:val="clear" w:color="auto" w:fill="FFFFFF"/>
            <w:vAlign w:val="top"/>
          </w:tcPr>
          <w:p>
            <w:pPr>
              <w:framePr w:w="13910" w:h="8122" w:vSpace="350" w:wrap="notBeside" w:vAnchor="text" w:hAnchor="text" w:x="6" w:y="351"/>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.其他权益工具持有者投入资本</w:t>
            </w: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right w:val="single" w:sz="4"/>
            </w:tcBorders>
            <w:shd w:val="clear" w:color="auto" w:fill="FFFFFF"/>
            <w:vAlign w:val="top"/>
          </w:tcPr>
          <w:p>
            <w:pPr>
              <w:framePr w:w="13910" w:h="8122" w:vSpace="350" w:wrap="notBeside" w:vAnchor="text" w:hAnchor="text" w:x="6" w:y="351"/>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.股份支付计入所有者权益的金额</w:t>
            </w: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right w:val="single" w:sz="4"/>
            </w:tcBorders>
            <w:shd w:val="clear" w:color="auto" w:fill="FFFFFF"/>
            <w:vAlign w:val="top"/>
          </w:tcPr>
          <w:p>
            <w:pPr>
              <w:framePr w:w="13910" w:h="8122" w:vSpace="350" w:wrap="notBeside" w:vAnchor="text" w:hAnchor="text" w:x="6" w:y="351"/>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.其他</w:t>
            </w: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right w:val="single" w:sz="4"/>
            </w:tcBorders>
            <w:shd w:val="clear" w:color="auto" w:fill="FFFFFF"/>
            <w:vAlign w:val="top"/>
          </w:tcPr>
          <w:p>
            <w:pPr>
              <w:framePr w:w="13910" w:h="8122" w:vSpace="350" w:wrap="notBeside" w:vAnchor="text" w:hAnchor="text" w:x="6" w:y="351"/>
              <w:widowControl w:val="0"/>
              <w:rPr>
                <w:sz w:val="10"/>
                <w:szCs w:val="10"/>
              </w:rPr>
            </w:pPr>
          </w:p>
        </w:tc>
      </w:tr>
      <w:tr>
        <w:trPr>
          <w:trHeight w:val="269" w:hRule="exact"/>
        </w:trPr>
        <w:tc>
          <w:tcPr>
            <w:tcBorders>
              <w:top w:val="single" w:sz="4"/>
              <w:left w:val="single" w:sz="4"/>
            </w:tcBorders>
            <w:shd w:val="clear" w:color="auto" w:fill="D3D3D3"/>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（三）利润分配</w:t>
            </w:r>
          </w:p>
        </w:tc>
        <w:tc>
          <w:tcPr>
            <w:tcBorders>
              <w:top w:val="single" w:sz="4"/>
              <w:lef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12,953,227.45</w:t>
            </w:r>
          </w:p>
        </w:tc>
        <w:tc>
          <w:tcPr>
            <w:tcBorders>
              <w:top w:val="single" w:sz="4"/>
              <w:lef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-46,935,033.66</w:t>
            </w:r>
          </w:p>
        </w:tc>
        <w:tc>
          <w:tcPr>
            <w:tcBorders>
              <w:top w:val="single" w:sz="4"/>
              <w:left w:val="single" w:sz="4"/>
              <w:righ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-33,981,806.21</w:t>
            </w:r>
          </w:p>
        </w:tc>
      </w:tr>
      <w:tr>
        <w:trPr>
          <w:trHeight w:val="264" w:hRule="exact"/>
        </w:trPr>
        <w:tc>
          <w:tcPr>
            <w:tcBorders>
              <w:top w:val="single" w:sz="4"/>
              <w:left w:val="single" w:sz="4"/>
            </w:tcBorders>
            <w:shd w:val="clear" w:color="auto" w:fill="D3D3D3"/>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.提取盈余公积</w:t>
            </w: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12,953,227.45</w:t>
            </w:r>
          </w:p>
        </w:tc>
        <w:tc>
          <w:tcPr>
            <w:tcBorders>
              <w:top w:val="single" w:sz="4"/>
              <w:lef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-12,953,227.45</w:t>
            </w:r>
          </w:p>
        </w:tc>
        <w:tc>
          <w:tcPr>
            <w:tcBorders>
              <w:top w:val="single" w:sz="4"/>
              <w:left w:val="single" w:sz="4"/>
              <w:right w:val="single" w:sz="4"/>
            </w:tcBorders>
            <w:shd w:val="clear" w:color="auto" w:fill="FFFFFF"/>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64" w:hRule="exact"/>
        </w:trPr>
        <w:tc>
          <w:tcPr>
            <w:tcBorders>
              <w:top w:val="single" w:sz="4"/>
              <w:left w:val="single" w:sz="4"/>
            </w:tcBorders>
            <w:shd w:val="clear" w:color="auto" w:fill="D3D3D3"/>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r>
            <w:r>
              <w:rPr>
                <w:color w:val="000000"/>
                <w:spacing w:val="0"/>
                <w:w w:val="100"/>
                <w:position w:val="0"/>
                <w:sz w:val="16"/>
                <w:szCs w:val="16"/>
              </w:rPr>
              <w:t>对所有者（或股东）的分配</w:t>
            </w: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-33,981,806.21</w:t>
            </w:r>
          </w:p>
        </w:tc>
        <w:tc>
          <w:tcPr>
            <w:tcBorders>
              <w:top w:val="single" w:sz="4"/>
              <w:left w:val="single" w:sz="4"/>
              <w:righ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-33,981,806.21</w:t>
            </w:r>
          </w:p>
        </w:tc>
      </w:tr>
      <w:tr>
        <w:trPr>
          <w:trHeight w:val="264" w:hRule="exact"/>
        </w:trPr>
        <w:tc>
          <w:tcPr>
            <w:tcBorders>
              <w:top w:val="single" w:sz="4"/>
              <w:left w:val="single" w:sz="4"/>
            </w:tcBorders>
            <w:shd w:val="clear" w:color="auto" w:fill="D3D3D3"/>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.其他</w:t>
            </w: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right w:val="single" w:sz="4"/>
            </w:tcBorders>
            <w:shd w:val="clear" w:color="auto" w:fill="FFFFFF"/>
            <w:vAlign w:val="top"/>
          </w:tcPr>
          <w:p>
            <w:pPr>
              <w:framePr w:w="13910" w:h="8122" w:vSpace="350" w:wrap="notBeside" w:vAnchor="text" w:hAnchor="text" w:x="6" w:y="351"/>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（四）所有者权益内部结转</w:t>
            </w:r>
          </w:p>
        </w:tc>
        <w:tc>
          <w:tcPr>
            <w:tcBorders>
              <w:top w:val="single" w:sz="4"/>
              <w:lef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framePr w:w="13910" w:h="8122" w:vSpace="350" w:wrap="notBeside" w:vAnchor="text" w:hAnchor="text" w:x="6" w:y="351"/>
              <w:widowControl w:val="0"/>
              <w:rPr>
                <w:sz w:val="10"/>
                <w:szCs w:val="10"/>
              </w:rPr>
            </w:pPr>
          </w:p>
        </w:tc>
      </w:tr>
      <w:tr>
        <w:trPr>
          <w:trHeight w:val="269" w:hRule="exact"/>
        </w:trPr>
        <w:tc>
          <w:tcPr>
            <w:tcBorders>
              <w:top w:val="single" w:sz="4"/>
              <w:left w:val="single" w:sz="4"/>
            </w:tcBorders>
            <w:shd w:val="clear" w:color="auto" w:fill="D3D3D3"/>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.资本公积转增资本（或股本）</w:t>
            </w: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right w:val="single" w:sz="4"/>
            </w:tcBorders>
            <w:shd w:val="clear" w:color="auto" w:fill="FFFFFF"/>
            <w:vAlign w:val="top"/>
          </w:tcPr>
          <w:p>
            <w:pPr>
              <w:framePr w:w="13910" w:h="8122" w:vSpace="350" w:wrap="notBeside" w:vAnchor="text" w:hAnchor="text" w:x="6" w:y="351"/>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.盈余公积转增资本（或股本）</w:t>
            </w: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right w:val="single" w:sz="4"/>
            </w:tcBorders>
            <w:shd w:val="clear" w:color="auto" w:fill="FFFFFF"/>
            <w:vAlign w:val="top"/>
          </w:tcPr>
          <w:p>
            <w:pPr>
              <w:framePr w:w="13910" w:h="8122" w:vSpace="350" w:wrap="notBeside" w:vAnchor="text" w:hAnchor="text" w:x="6" w:y="351"/>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.盈余公积弥补亏损</w:t>
            </w: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right w:val="single" w:sz="4"/>
            </w:tcBorders>
            <w:shd w:val="clear" w:color="auto" w:fill="FFFFFF"/>
            <w:vAlign w:val="top"/>
          </w:tcPr>
          <w:p>
            <w:pPr>
              <w:framePr w:w="13910" w:h="8122" w:vSpace="350" w:wrap="notBeside" w:vAnchor="text" w:hAnchor="text" w:x="6" w:y="351"/>
              <w:widowControl w:val="0"/>
              <w:rPr>
                <w:sz w:val="10"/>
                <w:szCs w:val="10"/>
              </w:rPr>
            </w:pPr>
          </w:p>
        </w:tc>
      </w:tr>
      <w:tr>
        <w:trPr>
          <w:trHeight w:val="269" w:hRule="exact"/>
        </w:trPr>
        <w:tc>
          <w:tcPr>
            <w:tcBorders>
              <w:top w:val="single" w:sz="4"/>
              <w:left w:val="single" w:sz="4"/>
            </w:tcBorders>
            <w:shd w:val="clear" w:color="auto" w:fill="D3D3D3"/>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.其他</w:t>
            </w: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right w:val="single" w:sz="4"/>
            </w:tcBorders>
            <w:shd w:val="clear" w:color="auto" w:fill="FFFFFF"/>
            <w:vAlign w:val="top"/>
          </w:tcPr>
          <w:p>
            <w:pPr>
              <w:framePr w:w="13910" w:h="8122" w:vSpace="350" w:wrap="notBeside" w:vAnchor="text" w:hAnchor="text" w:x="6" w:y="351"/>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（五）专项储备</w:t>
            </w:r>
          </w:p>
        </w:tc>
        <w:tc>
          <w:tcPr>
            <w:tcBorders>
              <w:top w:val="single" w:sz="4"/>
              <w:left w:val="single" w:sz="4"/>
            </w:tcBorders>
            <w:shd w:val="clear" w:color="auto" w:fill="FFFFFF"/>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framePr w:w="13910" w:h="8122" w:vSpace="350" w:wrap="notBeside" w:vAnchor="text" w:hAnchor="text" w:x="6" w:y="351"/>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right w:val="single" w:sz="4"/>
            </w:tcBorders>
            <w:shd w:val="clear" w:color="auto" w:fill="FFFFFF"/>
            <w:vAlign w:val="top"/>
          </w:tcPr>
          <w:p>
            <w:pPr>
              <w:framePr w:w="13910" w:h="8122" w:vSpace="350" w:wrap="notBeside" w:vAnchor="text" w:hAnchor="text" w:x="6" w:y="351"/>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.本期使用</w:t>
            </w: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right w:val="single" w:sz="4"/>
            </w:tcBorders>
            <w:shd w:val="clear" w:color="auto" w:fill="FFFFFF"/>
            <w:vAlign w:val="top"/>
          </w:tcPr>
          <w:p>
            <w:pPr>
              <w:framePr w:w="13910" w:h="8122" w:vSpace="350" w:wrap="notBeside" w:vAnchor="text" w:hAnchor="text" w:x="6" w:y="351"/>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tcBorders>
            <w:shd w:val="clear" w:color="auto" w:fill="FFFFFF"/>
            <w:vAlign w:val="top"/>
          </w:tcPr>
          <w:p>
            <w:pPr>
              <w:framePr w:w="13910" w:h="8122" w:vSpace="350" w:wrap="notBeside" w:vAnchor="text" w:hAnchor="text" w:x="6" w:y="351"/>
              <w:widowControl w:val="0"/>
              <w:rPr>
                <w:sz w:val="10"/>
                <w:szCs w:val="10"/>
              </w:rPr>
            </w:pPr>
          </w:p>
        </w:tc>
        <w:tc>
          <w:tcPr>
            <w:tcBorders>
              <w:top w:val="single" w:sz="4"/>
              <w:left w:val="single" w:sz="4"/>
              <w:right w:val="single" w:sz="4"/>
            </w:tcBorders>
            <w:shd w:val="clear" w:color="auto" w:fill="FFFFFF"/>
            <w:vAlign w:val="top"/>
          </w:tcPr>
          <w:p>
            <w:pPr>
              <w:framePr w:w="13910" w:h="8122" w:vSpace="350" w:wrap="notBeside" w:vAnchor="text" w:hAnchor="text" w:x="6" w:y="351"/>
              <w:widowControl w:val="0"/>
              <w:rPr>
                <w:sz w:val="10"/>
                <w:szCs w:val="10"/>
              </w:rPr>
            </w:pPr>
          </w:p>
        </w:tc>
      </w:tr>
      <w:tr>
        <w:trPr>
          <w:trHeight w:val="274" w:hRule="exact"/>
        </w:trPr>
        <w:tc>
          <w:tcPr>
            <w:tcBorders>
              <w:top w:val="single" w:sz="4"/>
              <w:left w:val="single" w:sz="4"/>
              <w:bottom w:val="single" w:sz="4"/>
            </w:tcBorders>
            <w:shd w:val="clear" w:color="auto" w:fill="D3D3D3"/>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四、本期期末余额</w:t>
            </w:r>
          </w:p>
        </w:tc>
        <w:tc>
          <w:tcPr>
            <w:tcBorders>
              <w:top w:val="single" w:sz="4"/>
              <w:left w:val="single" w:sz="4"/>
              <w:bottom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606,817,968.00</w:t>
            </w:r>
          </w:p>
        </w:tc>
        <w:tc>
          <w:tcPr>
            <w:tcBorders>
              <w:top w:val="single" w:sz="4"/>
              <w:left w:val="single" w:sz="4"/>
              <w:bottom w:val="single" w:sz="4"/>
            </w:tcBorders>
            <w:shd w:val="clear" w:color="auto" w:fill="FFFFFF"/>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1,219,044,082.85</w:t>
            </w:r>
          </w:p>
        </w:tc>
        <w:tc>
          <w:tcPr>
            <w:tcBorders>
              <w:top w:val="single" w:sz="4"/>
              <w:left w:val="single" w:sz="4"/>
              <w:bottom w:val="single" w:sz="4"/>
            </w:tcBorders>
            <w:shd w:val="clear" w:color="auto" w:fill="FFFFFF"/>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b/>
                <w:bCs/>
                <w:color w:val="000000"/>
                <w:spacing w:val="0"/>
                <w:w w:val="100"/>
                <w:position w:val="0"/>
                <w:sz w:val="18"/>
                <w:szCs w:val="18"/>
              </w:rPr>
              <w:t>94,750,617.19</w:t>
            </w:r>
          </w:p>
        </w:tc>
        <w:tc>
          <w:tcPr>
            <w:tcBorders>
              <w:top w:val="single" w:sz="4"/>
              <w:left w:val="single" w:sz="4"/>
              <w:bottom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562,750,927.84</w:t>
            </w:r>
          </w:p>
        </w:tc>
        <w:tc>
          <w:tcPr>
            <w:tcBorders>
              <w:top w:val="single" w:sz="4"/>
              <w:left w:val="single" w:sz="4"/>
              <w:bottom w:val="single" w:sz="4"/>
              <w:right w:val="single" w:sz="4"/>
            </w:tcBorders>
            <w:shd w:val="clear" w:color="auto" w:fill="FFFFFF"/>
            <w:vAlign w:val="bottom"/>
          </w:tcPr>
          <w:p>
            <w:pPr>
              <w:pStyle w:val="Style2"/>
              <w:keepNext w:val="0"/>
              <w:keepLines w:val="0"/>
              <w:framePr w:w="13910" w:h="8122" w:vSpace="350" w:wrap="notBeside" w:vAnchor="text" w:hAnchor="text" w:x="6" w:y="35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2,483,363,595.88</w:t>
            </w:r>
          </w:p>
        </w:tc>
      </w:tr>
    </w:tbl>
    <w:p>
      <w:pPr>
        <w:pStyle w:val="Style33"/>
        <w:keepNext w:val="0"/>
        <w:keepLines w:val="0"/>
        <w:framePr w:w="2750" w:h="235" w:hSpace="5" w:wrap="notBeside" w:vAnchor="text" w:hAnchor="text" w:x="145" w:y="1"/>
        <w:widowControl w:val="0"/>
        <w:shd w:val="clear" w:color="auto" w:fill="auto"/>
        <w:bidi w:val="0"/>
        <w:spacing w:before="0" w:after="0" w:line="240" w:lineRule="auto"/>
        <w:ind w:left="0" w:right="0" w:firstLine="0"/>
        <w:jc w:val="left"/>
      </w:pPr>
      <w:r>
        <w:rPr>
          <w:b/>
          <w:bCs/>
          <w:color w:val="000000"/>
          <w:spacing w:val="0"/>
          <w:w w:val="100"/>
          <w:position w:val="0"/>
        </w:rPr>
        <w:t>编制单位：紫光国芯股份有限公司</w:t>
      </w:r>
    </w:p>
    <w:p>
      <w:pPr>
        <w:pStyle w:val="Style33"/>
        <w:keepNext w:val="0"/>
        <w:keepLines w:val="0"/>
        <w:framePr w:w="1234" w:h="235" w:hSpace="5" w:wrap="notBeside" w:vAnchor="text" w:hAnchor="text" w:x="664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 xml:space="preserve">2016 </w:t>
      </w:r>
      <w:r>
        <w:rPr>
          <w:b/>
          <w:bCs/>
          <w:color w:val="000000"/>
          <w:spacing w:val="0"/>
          <w:w w:val="100"/>
          <w:position w:val="0"/>
        </w:rPr>
        <w:t xml:space="preserve">年 </w:t>
      </w:r>
      <w:r>
        <w:rPr>
          <w:rFonts w:ascii="Times New Roman" w:eastAsia="Times New Roman" w:hAnsi="Times New Roman" w:cs="Times New Roman"/>
          <w:b/>
          <w:bCs/>
          <w:color w:val="000000"/>
          <w:spacing w:val="0"/>
          <w:w w:val="100"/>
          <w:position w:val="0"/>
          <w:sz w:val="18"/>
          <w:szCs w:val="18"/>
        </w:rPr>
        <w:t xml:space="preserve">1-12 </w:t>
      </w:r>
      <w:r>
        <w:rPr>
          <w:b/>
          <w:bCs/>
          <w:color w:val="000000"/>
          <w:spacing w:val="0"/>
          <w:w w:val="100"/>
          <w:position w:val="0"/>
        </w:rPr>
        <w:t>月</w:t>
      </w:r>
    </w:p>
    <w:p>
      <w:pPr>
        <w:pStyle w:val="Style33"/>
        <w:keepNext w:val="0"/>
        <w:keepLines w:val="0"/>
        <w:framePr w:w="2030" w:h="235" w:hSpace="5" w:wrap="notBeside" w:vAnchor="text" w:hAnchor="text" w:x="11334" w:y="1"/>
        <w:widowControl w:val="0"/>
        <w:shd w:val="clear" w:color="auto" w:fill="auto"/>
        <w:bidi w:val="0"/>
        <w:spacing w:before="0" w:after="0" w:line="240" w:lineRule="auto"/>
        <w:ind w:left="0" w:right="0" w:firstLine="0"/>
        <w:jc w:val="left"/>
      </w:pPr>
      <w:r>
        <w:rPr>
          <w:b/>
          <w:bCs/>
          <w:color w:val="000000"/>
          <w:spacing w:val="0"/>
          <w:w w:val="100"/>
          <w:position w:val="0"/>
        </w:rPr>
        <w:t>单位：元币种：人民币</w:t>
      </w:r>
    </w:p>
    <w:p>
      <w:pPr>
        <w:widowControl w:val="0"/>
        <w:spacing w:line="1" w:lineRule="exact"/>
      </w:pPr>
      <w:r>
        <w:br w:type="page"/>
      </w:r>
    </w:p>
    <w:p>
      <w:pPr>
        <w:pStyle w:val="Style33"/>
        <w:keepNext w:val="0"/>
        <w:keepLines w:val="0"/>
        <w:widowControl w:val="0"/>
        <w:shd w:val="clear" w:color="auto" w:fill="auto"/>
        <w:bidi w:val="0"/>
        <w:spacing w:before="0" w:after="0" w:line="240" w:lineRule="auto"/>
        <w:ind w:left="86" w:right="0" w:firstLine="0"/>
        <w:jc w:val="left"/>
      </w:pPr>
      <w:r>
        <w:rPr>
          <w:color w:val="000000"/>
          <w:spacing w:val="0"/>
          <w:w w:val="100"/>
          <w:position w:val="0"/>
        </w:rPr>
        <w:t>（上期金额）</w:t>
      </w:r>
    </w:p>
    <w:tbl>
      <w:tblPr>
        <w:tblOverlap w:val="never"/>
        <w:jc w:val="center"/>
        <w:tblLayout w:type="fixed"/>
      </w:tblPr>
      <w:tblGrid>
        <w:gridCol w:w="2986"/>
        <w:gridCol w:w="1560"/>
        <w:gridCol w:w="566"/>
        <w:gridCol w:w="566"/>
        <w:gridCol w:w="566"/>
        <w:gridCol w:w="1416"/>
        <w:gridCol w:w="701"/>
        <w:gridCol w:w="859"/>
        <w:gridCol w:w="710"/>
        <w:gridCol w:w="1277"/>
        <w:gridCol w:w="1272"/>
        <w:gridCol w:w="1430"/>
      </w:tblGrid>
      <w:tr>
        <w:trPr>
          <w:trHeight w:val="26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6"/>
            <w:tcBorders>
              <w:top w:val="single" w:sz="4"/>
              <w:left w:val="single" w:sz="4"/>
            </w:tcBorders>
            <w:shd w:val="clear" w:color="auto" w:fill="D3D3D3"/>
            <w:vAlign w:val="top"/>
          </w:tcPr>
          <w:p>
            <w:pPr>
              <w:widowControl w:val="0"/>
              <w:rPr>
                <w:sz w:val="10"/>
                <w:szCs w:val="10"/>
              </w:rPr>
            </w:pPr>
          </w:p>
        </w:tc>
        <w:tc>
          <w:tcPr>
            <w:gridSpan w:val="5"/>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二期</w:t>
            </w:r>
          </w:p>
        </w:tc>
      </w:tr>
      <w:tr>
        <w:trPr>
          <w:trHeight w:val="264"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股本</w:t>
            </w:r>
          </w:p>
        </w:tc>
        <w:tc>
          <w:tcPr>
            <w:gridSpan w:val="3"/>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未分配利润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所有者权益合计</w:t>
            </w:r>
          </w:p>
        </w:tc>
      </w:tr>
      <w:tr>
        <w:trPr>
          <w:trHeight w:val="48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优先 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606,817,968.00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1,219,044,082.85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63,261,798.32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374,015,161.01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2,263,139,010.18</w:t>
            </w: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二、本年期初余额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606,817,968.00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1,219,044,082.85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63,261,798.32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374,015,161.01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2,263,139,010.18</w:t>
            </w:r>
          </w:p>
        </w:tc>
      </w:tr>
      <w:tr>
        <w:trPr>
          <w:trHeight w:val="47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54" w:lineRule="exact"/>
              <w:ind w:left="0" w:right="0" w:firstLine="0"/>
              <w:jc w:val="left"/>
              <w:rPr>
                <w:sz w:val="16"/>
                <w:szCs w:val="16"/>
              </w:rPr>
            </w:pPr>
            <w:r>
              <w:rPr>
                <w:b/>
                <w:bCs/>
                <w:color w:val="000000"/>
                <w:spacing w:val="0"/>
                <w:w w:val="100"/>
                <w:position w:val="0"/>
                <w:sz w:val="16"/>
                <w:szCs w:val="16"/>
              </w:rPr>
              <w:t>三、本期增减变动金额（减少以</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一</w:t>
            </w:r>
            <w:r>
              <w:rPr>
                <w:rFonts w:ascii="Times New Roman" w:eastAsia="Times New Roman" w:hAnsi="Times New Roman" w:cs="Times New Roman"/>
                <w:b/>
                <w:bCs/>
                <w:color w:val="000000"/>
                <w:spacing w:val="0"/>
                <w:w w:val="100"/>
                <w:position w:val="0"/>
                <w:sz w:val="18"/>
                <w:szCs w:val="18"/>
              </w:rPr>
              <w:t xml:space="preserve">” </w:t>
            </w:r>
            <w:r>
              <w:rPr>
                <w:b/>
                <w:bCs/>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18,535,591.42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106,138,525.96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b/>
                <w:bCs/>
                <w:color w:val="000000"/>
                <w:spacing w:val="0"/>
                <w:w w:val="100"/>
                <w:position w:val="0"/>
                <w:sz w:val="18"/>
                <w:szCs w:val="18"/>
              </w:rPr>
              <w:t>124,674,117.38</w:t>
            </w:r>
          </w:p>
        </w:tc>
      </w:tr>
      <w:tr>
        <w:trPr>
          <w:trHeight w:val="26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185,355,914.18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185,355,914.18</w:t>
            </w: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18,535,591.42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-79,217,388.22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-60,681,796.80</w:t>
            </w: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18,535,591.42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-18,535,591.42</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r>
            <w:r>
              <w:rPr>
                <w:color w:val="000000"/>
                <w:spacing w:val="0"/>
                <w:w w:val="100"/>
                <w:position w:val="0"/>
                <w:sz w:val="16"/>
                <w:szCs w:val="16"/>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-60,681,796.80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-60,681,796.80</w:t>
            </w:r>
          </w:p>
        </w:tc>
      </w:tr>
      <w:tr>
        <w:trPr>
          <w:trHeight w:val="26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606,817,968.00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1,219,044,082.85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81,797,389.74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480,153,686.97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2,387,813,127.56</w:t>
            </w:r>
          </w:p>
        </w:tc>
      </w:tr>
    </w:tbl>
    <w:p>
      <w:pPr>
        <w:sectPr>
          <w:footnotePr>
            <w:pos w:val="pageBottom"/>
            <w:numFmt w:val="decimal"/>
            <w:numRestart w:val="continuous"/>
          </w:footnotePr>
          <w:type w:val="continuous"/>
          <w:pgSz w:w="16840" w:h="11900" w:orient="landscape"/>
          <w:pgMar w:top="1123" w:right="1495" w:bottom="1225" w:left="1425" w:header="0" w:footer="3" w:gutter="0"/>
          <w:cols w:space="720"/>
          <w:noEndnote/>
          <w:rtlGutter w:val="0"/>
          <w:docGrid w:linePitch="360"/>
        </w:sect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147" w:right="0" w:bottom="1157" w:left="0" w:header="0" w:footer="3" w:gutter="0"/>
          <w:cols w:space="720"/>
          <w:noEndnote/>
          <w:rtlGutter w:val="0"/>
          <w:docGrid w:linePitch="360"/>
        </w:sectPr>
      </w:pPr>
    </w:p>
    <w:p>
      <w:pPr>
        <w:pStyle w:val="Style59"/>
        <w:keepNext w:val="0"/>
        <w:keepLines w:val="0"/>
        <w:framePr w:w="1670" w:h="245" w:wrap="none" w:vAnchor="text" w:hAnchor="page" w:x="1417" w:y="21"/>
        <w:widowControl w:val="0"/>
        <w:shd w:val="clear" w:color="auto" w:fill="auto"/>
        <w:bidi w:val="0"/>
        <w:spacing w:before="0" w:after="0" w:line="240" w:lineRule="auto"/>
        <w:ind w:left="0" w:right="0" w:firstLine="0"/>
        <w:jc w:val="left"/>
      </w:pPr>
      <w:r>
        <w:rPr>
          <w:color w:val="000000"/>
          <w:spacing w:val="0"/>
          <w:w w:val="100"/>
          <w:position w:val="0"/>
        </w:rPr>
        <w:t>法定代表人：赵伟国</w:t>
      </w:r>
    </w:p>
    <w:p>
      <w:pPr>
        <w:pStyle w:val="Style59"/>
        <w:keepNext w:val="0"/>
        <w:keepLines w:val="0"/>
        <w:framePr w:w="2390" w:h="240" w:wrap="none" w:vAnchor="text" w:hAnchor="page" w:x="7090" w:y="21"/>
        <w:widowControl w:val="0"/>
        <w:shd w:val="clear" w:color="auto" w:fill="auto"/>
        <w:bidi w:val="0"/>
        <w:spacing w:before="0" w:after="0" w:line="240" w:lineRule="auto"/>
        <w:ind w:left="0" w:right="0" w:firstLine="0"/>
        <w:jc w:val="left"/>
      </w:pPr>
      <w:r>
        <w:rPr>
          <w:color w:val="000000"/>
          <w:spacing w:val="0"/>
          <w:w w:val="100"/>
          <w:position w:val="0"/>
        </w:rPr>
        <w:t>主管会计工作负责人：杨秋平</w:t>
      </w:r>
    </w:p>
    <w:p>
      <w:pPr>
        <w:pStyle w:val="Style59"/>
        <w:keepNext w:val="0"/>
        <w:keepLines w:val="0"/>
        <w:framePr w:w="2030" w:h="240" w:wrap="none" w:vAnchor="text" w:hAnchor="page" w:x="12476" w:y="21"/>
        <w:widowControl w:val="0"/>
        <w:shd w:val="clear" w:color="auto" w:fill="auto"/>
        <w:bidi w:val="0"/>
        <w:spacing w:before="0" w:after="0" w:line="240" w:lineRule="auto"/>
        <w:ind w:left="0" w:right="0" w:firstLine="0"/>
        <w:jc w:val="left"/>
      </w:pPr>
      <w:r>
        <w:rPr>
          <w:color w:val="000000"/>
          <w:spacing w:val="0"/>
          <w:w w:val="100"/>
          <w:position w:val="0"/>
        </w:rPr>
        <w:t>会计机构负责人：张典洪</w:t>
      </w:r>
    </w:p>
    <w:p>
      <w:pPr>
        <w:widowControl w:val="0"/>
        <w:spacing w:after="244" w:line="1" w:lineRule="exact"/>
      </w:pPr>
    </w:p>
    <w:p>
      <w:pPr>
        <w:widowControl w:val="0"/>
        <w:spacing w:line="1" w:lineRule="exact"/>
        <w:sectPr>
          <w:footnotePr>
            <w:pos w:val="pageBottom"/>
            <w:numFmt w:val="decimal"/>
            <w:numRestart w:val="continuous"/>
          </w:footnotePr>
          <w:type w:val="continuous"/>
          <w:pgSz w:w="16840" w:h="11900" w:orient="landscape"/>
          <w:pgMar w:top="1147" w:right="1446" w:bottom="1157" w:left="1417" w:header="0" w:footer="3" w:gutter="0"/>
          <w:cols w:space="720"/>
          <w:noEndnote/>
          <w:rtlGutter w:val="0"/>
          <w:docGrid w:linePitch="360"/>
        </w:sectPr>
      </w:pPr>
    </w:p>
    <w:p>
      <w:pPr>
        <w:pStyle w:val="Style23"/>
        <w:keepNext/>
        <w:keepLines/>
        <w:widowControl w:val="0"/>
        <w:shd w:val="clear" w:color="auto" w:fill="auto"/>
        <w:tabs>
          <w:tab w:pos="517" w:val="left"/>
        </w:tabs>
        <w:bidi w:val="0"/>
        <w:spacing w:before="380" w:after="24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rPr>
        <w:t>三</w:t>
      </w:r>
      <w:bookmarkEnd w:id="565"/>
      <w:r>
        <w:rPr>
          <w:color w:val="000000"/>
          <w:spacing w:val="0"/>
          <w:w w:val="100"/>
          <w:position w:val="0"/>
        </w:rPr>
        <w:t>、</w:t>
        <w:tab/>
        <w:t>公司基本情况</w:t>
      </w:r>
      <w:bookmarkEnd w:id="563"/>
      <w:bookmarkEnd w:id="564"/>
      <w:bookmarkEnd w:id="566"/>
    </w:p>
    <w:p>
      <w:pPr>
        <w:pStyle w:val="Style31"/>
        <w:keepNext w:val="0"/>
        <w:keepLines w:val="0"/>
        <w:widowControl w:val="0"/>
        <w:shd w:val="clear" w:color="auto" w:fill="auto"/>
        <w:bidi w:val="0"/>
        <w:spacing w:before="0" w:after="100" w:line="275" w:lineRule="exact"/>
        <w:ind w:left="0" w:right="0" w:firstLine="440"/>
        <w:jc w:val="both"/>
        <w:rPr>
          <w:sz w:val="20"/>
          <w:szCs w:val="20"/>
        </w:rPr>
      </w:pPr>
      <w:r>
        <w:rPr>
          <w:color w:val="000000"/>
          <w:spacing w:val="0"/>
          <w:w w:val="100"/>
          <w:position w:val="0"/>
          <w:sz w:val="20"/>
          <w:szCs w:val="20"/>
        </w:rPr>
        <w:t>紫光国芯股份有限公司（以下简称“本公司”或“公司”）系</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日经河北省人民政府以冀 股办</w:t>
      </w:r>
      <w:r>
        <w:rPr>
          <w:rFonts w:ascii="Times New Roman" w:eastAsia="Times New Roman" w:hAnsi="Times New Roman" w:cs="Times New Roman"/>
          <w:color w:val="000000"/>
          <w:spacing w:val="0"/>
          <w:w w:val="100"/>
          <w:position w:val="0"/>
          <w:sz w:val="20"/>
          <w:szCs w:val="20"/>
        </w:rPr>
        <w:t>（2001）88</w:t>
      </w:r>
      <w:r>
        <w:rPr>
          <w:color w:val="000000"/>
          <w:spacing w:val="0"/>
          <w:w w:val="100"/>
          <w:position w:val="0"/>
          <w:sz w:val="20"/>
          <w:szCs w:val="20"/>
        </w:rPr>
        <w:t>号文批准，由唐山晶源裕丰电子有限公司整体变更而成的股份有限公司。</w:t>
      </w: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xml:space="preserve">月，经中国 证券监督管理委员会《关于核准唐山晶源裕丰电子股份有限公司公开发行股票的通知》（证监发行字 </w:t>
      </w:r>
      <w:r>
        <w:rPr>
          <w:rFonts w:ascii="Times New Roman" w:eastAsia="Times New Roman" w:hAnsi="Times New Roman" w:cs="Times New Roman"/>
          <w:color w:val="000000"/>
          <w:spacing w:val="0"/>
          <w:w w:val="100"/>
          <w:position w:val="0"/>
          <w:sz w:val="20"/>
          <w:szCs w:val="20"/>
        </w:rPr>
        <w:t>[2005]18</w:t>
      </w:r>
      <w:r>
        <w:rPr>
          <w:color w:val="000000"/>
          <w:spacing w:val="0"/>
          <w:w w:val="100"/>
          <w:position w:val="0"/>
          <w:sz w:val="20"/>
          <w:szCs w:val="20"/>
        </w:rPr>
        <w:t>号）核准，本公司首次向社会公开发行人民币普通股</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并于</w:t>
      </w: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日在深圳证券交易所正 式挂牌上市。</w:t>
      </w:r>
    </w:p>
    <w:p>
      <w:pPr>
        <w:pStyle w:val="Style31"/>
        <w:keepNext w:val="0"/>
        <w:keepLines w:val="0"/>
        <w:widowControl w:val="0"/>
        <w:shd w:val="clear" w:color="auto" w:fill="auto"/>
        <w:bidi w:val="0"/>
        <w:spacing w:before="0" w:after="100" w:line="272" w:lineRule="exact"/>
        <w:ind w:left="0" w:right="0" w:firstLine="440"/>
        <w:jc w:val="both"/>
        <w:rPr>
          <w:sz w:val="20"/>
          <w:szCs w:val="20"/>
        </w:rPr>
      </w:pPr>
      <w:r>
        <w:rPr>
          <w:color w:val="000000"/>
          <w:spacing w:val="0"/>
          <w:w w:val="100"/>
          <w:position w:val="0"/>
          <w:sz w:val="20"/>
          <w:szCs w:val="20"/>
        </w:rPr>
        <w:t xml:space="preserve">公司属于电子元器件制造业，主营业务为集成电路设计、开发、销售与技术服务；高亮度发光二级管 </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LED</w:t>
      </w:r>
      <w:r>
        <w:rPr>
          <w:color w:val="000000"/>
          <w:spacing w:val="0"/>
          <w:w w:val="100"/>
          <w:position w:val="0"/>
          <w:sz w:val="20"/>
          <w:szCs w:val="20"/>
        </w:rPr>
        <w:t>）</w:t>
      </w:r>
      <w:r>
        <w:rPr>
          <w:color w:val="000000"/>
          <w:spacing w:val="0"/>
          <w:w w:val="100"/>
          <w:position w:val="0"/>
          <w:sz w:val="20"/>
          <w:szCs w:val="20"/>
        </w:rPr>
        <w:t>衬底材料开发、生产、销售；生产和销售压电石英晶体器件；经营本公司自产产品和技术的出口 业务；经营本公司生产、科研所需的原辅材料、仪器仪表、机器设备、零配件及技术的进口业务（国家限 定公司经营和禁止进出口的商品除外）；经营进料加工和“三来一补”业务。</w:t>
      </w:r>
    </w:p>
    <w:p>
      <w:pPr>
        <w:pStyle w:val="Style31"/>
        <w:keepNext w:val="0"/>
        <w:keepLines w:val="0"/>
        <w:widowControl w:val="0"/>
        <w:shd w:val="clear" w:color="auto" w:fill="auto"/>
        <w:bidi w:val="0"/>
        <w:spacing w:before="0" w:after="100" w:line="278" w:lineRule="exact"/>
        <w:ind w:left="0" w:right="0" w:firstLine="440"/>
        <w:jc w:val="both"/>
        <w:rPr>
          <w:sz w:val="20"/>
          <w:szCs w:val="20"/>
        </w:rPr>
      </w:pPr>
      <w:r>
        <w:rPr>
          <w:color w:val="000000"/>
          <w:spacing w:val="0"/>
          <w:w w:val="100"/>
          <w:position w:val="0"/>
          <w:sz w:val="20"/>
          <w:szCs w:val="20"/>
        </w:rPr>
        <w:t>企业统一社会信用代码号为</w:t>
      </w:r>
      <w:r>
        <w:rPr>
          <w:rFonts w:ascii="Times New Roman" w:eastAsia="Times New Roman" w:hAnsi="Times New Roman" w:cs="Times New Roman"/>
          <w:color w:val="000000"/>
          <w:spacing w:val="0"/>
          <w:w w:val="100"/>
          <w:position w:val="0"/>
          <w:sz w:val="20"/>
          <w:szCs w:val="20"/>
        </w:rPr>
        <w:t>911302006010646915</w:t>
      </w:r>
      <w:r>
        <w:rPr>
          <w:color w:val="000000"/>
          <w:spacing w:val="0"/>
          <w:w w:val="100"/>
          <w:position w:val="0"/>
          <w:sz w:val="20"/>
          <w:szCs w:val="20"/>
        </w:rPr>
        <w:t>；法定代表人为赵伟国；公司注册地址为河北省玉田 县无终西街</w:t>
      </w:r>
      <w:r>
        <w:rPr>
          <w:rFonts w:ascii="Times New Roman" w:eastAsia="Times New Roman" w:hAnsi="Times New Roman" w:cs="Times New Roman"/>
          <w:color w:val="000000"/>
          <w:spacing w:val="0"/>
          <w:w w:val="100"/>
          <w:position w:val="0"/>
          <w:sz w:val="20"/>
          <w:szCs w:val="20"/>
        </w:rPr>
        <w:t>3129</w:t>
      </w:r>
      <w:r>
        <w:rPr>
          <w:color w:val="000000"/>
          <w:spacing w:val="0"/>
          <w:w w:val="100"/>
          <w:position w:val="0"/>
          <w:sz w:val="20"/>
          <w:szCs w:val="20"/>
        </w:rPr>
        <w:t>号。</w:t>
      </w:r>
    </w:p>
    <w:p>
      <w:pPr>
        <w:pStyle w:val="Style31"/>
        <w:keepNext w:val="0"/>
        <w:keepLines w:val="0"/>
        <w:widowControl w:val="0"/>
        <w:shd w:val="clear" w:color="auto" w:fill="auto"/>
        <w:bidi w:val="0"/>
        <w:spacing w:before="0" w:after="100" w:line="275" w:lineRule="exact"/>
        <w:ind w:left="0" w:right="0" w:firstLine="440"/>
        <w:jc w:val="both"/>
        <w:rPr>
          <w:sz w:val="20"/>
          <w:szCs w:val="20"/>
        </w:rPr>
      </w:pPr>
      <w:r>
        <w:rPr>
          <w:color w:val="000000"/>
          <w:spacing w:val="0"/>
          <w:w w:val="100"/>
          <w:position w:val="0"/>
          <w:sz w:val="20"/>
          <w:szCs w:val="20"/>
        </w:rPr>
        <w:t>本财务报告业经公司董事会于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日批准报出。</w:t>
      </w:r>
    </w:p>
    <w:p>
      <w:pPr>
        <w:pStyle w:val="Style31"/>
        <w:keepNext w:val="0"/>
        <w:keepLines w:val="0"/>
        <w:widowControl w:val="0"/>
        <w:shd w:val="clear" w:color="auto" w:fill="auto"/>
        <w:bidi w:val="0"/>
        <w:spacing w:before="0" w:after="100" w:line="275" w:lineRule="exact"/>
        <w:ind w:left="0" w:right="0" w:firstLine="440"/>
        <w:jc w:val="both"/>
        <w:rPr>
          <w:sz w:val="20"/>
          <w:szCs w:val="20"/>
        </w:rPr>
      </w:pPr>
      <w:r>
        <w:rPr>
          <w:b/>
          <w:bCs/>
          <w:color w:val="000000"/>
          <w:spacing w:val="0"/>
          <w:w w:val="100"/>
          <w:position w:val="0"/>
          <w:sz w:val="20"/>
          <w:szCs w:val="20"/>
        </w:rPr>
        <w:t>本年度合并财务报表范围</w:t>
      </w:r>
    </w:p>
    <w:p>
      <w:pPr>
        <w:pStyle w:val="Style31"/>
        <w:keepNext w:val="0"/>
        <w:keepLines w:val="0"/>
        <w:widowControl w:val="0"/>
        <w:shd w:val="clear" w:color="auto" w:fill="auto"/>
        <w:bidi w:val="0"/>
        <w:spacing w:before="0" w:after="280" w:line="283" w:lineRule="exact"/>
        <w:ind w:left="0" w:right="0" w:firstLine="440"/>
        <w:jc w:val="both"/>
        <w:rPr>
          <w:sz w:val="20"/>
          <w:szCs w:val="20"/>
        </w:rPr>
      </w:pPr>
      <w:r>
        <w:rPr>
          <w:color w:val="000000"/>
          <w:spacing w:val="0"/>
          <w:w w:val="100"/>
          <w:position w:val="0"/>
          <w:sz w:val="20"/>
          <w:szCs w:val="20"/>
        </w:rPr>
        <w:t>本期纳入合并范围的子公司共</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户，详见本附注九“在其他主体中的权益”。本公司本年度合并范围 比上年度增加</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户，详见本附注八“合并范围的变更”。</w:t>
      </w:r>
    </w:p>
    <w:p>
      <w:pPr>
        <w:pStyle w:val="Style23"/>
        <w:keepNext/>
        <w:keepLines/>
        <w:widowControl w:val="0"/>
        <w:shd w:val="clear" w:color="auto" w:fill="auto"/>
        <w:tabs>
          <w:tab w:pos="517" w:val="left"/>
        </w:tabs>
        <w:bidi w:val="0"/>
        <w:spacing w:before="0" w:after="240" w:line="240" w:lineRule="auto"/>
        <w:ind w:left="0" w:right="0" w:firstLine="0"/>
        <w:jc w:val="both"/>
      </w:pPr>
      <w:bookmarkStart w:id="567" w:name="bookmark567"/>
      <w:bookmarkStart w:id="568" w:name="bookmark568"/>
      <w:bookmarkStart w:id="569" w:name="bookmark569"/>
      <w:bookmarkStart w:id="570" w:name="bookmark570"/>
      <w:r>
        <w:rPr>
          <w:color w:val="000000"/>
          <w:spacing w:val="0"/>
          <w:w w:val="100"/>
          <w:position w:val="0"/>
        </w:rPr>
        <w:t>四</w:t>
      </w:r>
      <w:bookmarkEnd w:id="569"/>
      <w:r>
        <w:rPr>
          <w:color w:val="000000"/>
          <w:spacing w:val="0"/>
          <w:w w:val="100"/>
          <w:position w:val="0"/>
        </w:rPr>
        <w:t>、</w:t>
        <w:tab/>
        <w:t>财务报表编制基础</w:t>
      </w:r>
      <w:bookmarkEnd w:id="567"/>
      <w:bookmarkEnd w:id="568"/>
      <w:bookmarkEnd w:id="570"/>
    </w:p>
    <w:p>
      <w:pPr>
        <w:pStyle w:val="Style28"/>
        <w:keepNext/>
        <w:keepLines/>
        <w:widowControl w:val="0"/>
        <w:shd w:val="clear" w:color="auto" w:fill="auto"/>
        <w:tabs>
          <w:tab w:pos="598" w:val="left"/>
        </w:tabs>
        <w:bidi w:val="0"/>
        <w:spacing w:before="0" w:after="100" w:line="275" w:lineRule="exact"/>
        <w:ind w:left="0" w:right="0" w:firstLine="0"/>
        <w:jc w:val="both"/>
      </w:pPr>
      <w:bookmarkStart w:id="571" w:name="bookmark571"/>
      <w:bookmarkStart w:id="572" w:name="bookmark572"/>
      <w:bookmarkStart w:id="573" w:name="bookmark573"/>
      <w:bookmarkStart w:id="574" w:name="bookmark574"/>
      <w:r>
        <w:rPr>
          <w:color w:val="000000"/>
          <w:spacing w:val="0"/>
          <w:w w:val="100"/>
          <w:position w:val="0"/>
        </w:rPr>
        <w:t>（</w:t>
      </w:r>
      <w:bookmarkEnd w:id="573"/>
      <w:r>
        <w:rPr>
          <w:color w:val="000000"/>
          <w:spacing w:val="0"/>
          <w:w w:val="100"/>
          <w:position w:val="0"/>
        </w:rPr>
        <w:t>一）</w:t>
        <w:tab/>
        <w:t>编制基础</w:t>
      </w:r>
      <w:bookmarkEnd w:id="571"/>
      <w:bookmarkEnd w:id="572"/>
      <w:bookmarkEnd w:id="574"/>
    </w:p>
    <w:p>
      <w:pPr>
        <w:pStyle w:val="Style31"/>
        <w:keepNext w:val="0"/>
        <w:keepLines w:val="0"/>
        <w:widowControl w:val="0"/>
        <w:shd w:val="clear" w:color="auto" w:fill="auto"/>
        <w:bidi w:val="0"/>
        <w:spacing w:before="0" w:after="100" w:line="275" w:lineRule="exact"/>
        <w:ind w:left="0" w:right="0" w:firstLine="440"/>
        <w:jc w:val="both"/>
        <w:rPr>
          <w:sz w:val="20"/>
          <w:szCs w:val="20"/>
        </w:rPr>
      </w:pPr>
      <w:r>
        <w:rPr>
          <w:color w:val="000000"/>
          <w:spacing w:val="0"/>
          <w:w w:val="100"/>
          <w:position w:val="0"/>
          <w:sz w:val="20"/>
          <w:szCs w:val="20"/>
        </w:rPr>
        <w:t>本公司财务报表以持续经营为编制基础，根据实际发生的交易和事项，按照财政部发布的《企业会计 准则一基本准则》及其后颁布和修订的</w:t>
      </w:r>
      <w:r>
        <w:rPr>
          <w:rFonts w:ascii="Times New Roman" w:eastAsia="Times New Roman" w:hAnsi="Times New Roman" w:cs="Times New Roman"/>
          <w:color w:val="000000"/>
          <w:spacing w:val="0"/>
          <w:w w:val="100"/>
          <w:position w:val="0"/>
          <w:sz w:val="20"/>
          <w:szCs w:val="20"/>
        </w:rPr>
        <w:t>41</w:t>
      </w:r>
      <w:r>
        <w:rPr>
          <w:color w:val="000000"/>
          <w:spacing w:val="0"/>
          <w:w w:val="100"/>
          <w:position w:val="0"/>
          <w:sz w:val="20"/>
          <w:szCs w:val="20"/>
        </w:rPr>
        <w:t>项具体会计准则、企业会计准则应用指南、企业会计准则解释 及其他相关规定（以下合称“企业会计准则”）以及中国证券监督管理委员会《公开发行证券的公司信息 披露编报规则第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号一一财务报告的一般规定》</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年修订</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，并基于本附注五“重要会计政策及会计 估计”所述会计政策和会计估计编制。</w:t>
      </w:r>
    </w:p>
    <w:p>
      <w:pPr>
        <w:pStyle w:val="Style28"/>
        <w:keepNext/>
        <w:keepLines/>
        <w:widowControl w:val="0"/>
        <w:shd w:val="clear" w:color="auto" w:fill="auto"/>
        <w:tabs>
          <w:tab w:pos="598" w:val="left"/>
        </w:tabs>
        <w:bidi w:val="0"/>
        <w:spacing w:before="0" w:after="100" w:line="275" w:lineRule="exact"/>
        <w:ind w:left="0" w:right="0" w:firstLine="0"/>
        <w:jc w:val="both"/>
      </w:pPr>
      <w:bookmarkStart w:id="575" w:name="bookmark575"/>
      <w:bookmarkStart w:id="576" w:name="bookmark576"/>
      <w:bookmarkStart w:id="577" w:name="bookmark577"/>
      <w:bookmarkStart w:id="578" w:name="bookmark578"/>
      <w:r>
        <w:rPr>
          <w:color w:val="000000"/>
          <w:spacing w:val="0"/>
          <w:w w:val="100"/>
          <w:position w:val="0"/>
        </w:rPr>
        <w:t>（</w:t>
      </w:r>
      <w:bookmarkEnd w:id="577"/>
      <w:r>
        <w:rPr>
          <w:color w:val="000000"/>
          <w:spacing w:val="0"/>
          <w:w w:val="100"/>
          <w:position w:val="0"/>
        </w:rPr>
        <w:t>二）</w:t>
        <w:tab/>
        <w:t>持续经营</w:t>
      </w:r>
      <w:bookmarkEnd w:id="575"/>
      <w:bookmarkEnd w:id="576"/>
      <w:bookmarkEnd w:id="578"/>
    </w:p>
    <w:p>
      <w:pPr>
        <w:pStyle w:val="Style31"/>
        <w:keepNext w:val="0"/>
        <w:keepLines w:val="0"/>
        <w:widowControl w:val="0"/>
        <w:shd w:val="clear" w:color="auto" w:fill="auto"/>
        <w:bidi w:val="0"/>
        <w:spacing w:before="0" w:after="280" w:line="275" w:lineRule="exact"/>
        <w:ind w:left="0" w:right="0" w:firstLine="440"/>
        <w:jc w:val="both"/>
        <w:rPr>
          <w:sz w:val="20"/>
          <w:szCs w:val="20"/>
        </w:rPr>
      </w:pPr>
      <w:r>
        <w:rPr>
          <w:color w:val="000000"/>
          <w:spacing w:val="0"/>
          <w:w w:val="100"/>
          <w:position w:val="0"/>
          <w:sz w:val="20"/>
          <w:szCs w:val="20"/>
        </w:rPr>
        <w:t>公司自本报告期末至少</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个月内具备持续经营能力，无影响持续经营能力的重大事项。</w:t>
      </w:r>
    </w:p>
    <w:p>
      <w:pPr>
        <w:pStyle w:val="Style23"/>
        <w:keepNext/>
        <w:keepLines/>
        <w:widowControl w:val="0"/>
        <w:shd w:val="clear" w:color="auto" w:fill="auto"/>
        <w:tabs>
          <w:tab w:pos="522" w:val="left"/>
        </w:tabs>
        <w:bidi w:val="0"/>
        <w:spacing w:before="0" w:after="240" w:line="240" w:lineRule="auto"/>
        <w:ind w:left="0" w:right="0" w:firstLine="0"/>
        <w:jc w:val="left"/>
      </w:pPr>
      <w:bookmarkStart w:id="579" w:name="bookmark579"/>
      <w:bookmarkStart w:id="580" w:name="bookmark580"/>
      <w:bookmarkStart w:id="581" w:name="bookmark581"/>
      <w:bookmarkStart w:id="582" w:name="bookmark582"/>
      <w:r>
        <w:rPr>
          <w:color w:val="000000"/>
          <w:spacing w:val="0"/>
          <w:w w:val="100"/>
          <w:position w:val="0"/>
        </w:rPr>
        <w:t>五</w:t>
      </w:r>
      <w:bookmarkEnd w:id="581"/>
      <w:r>
        <w:rPr>
          <w:color w:val="000000"/>
          <w:spacing w:val="0"/>
          <w:w w:val="100"/>
          <w:position w:val="0"/>
        </w:rPr>
        <w:t>、</w:t>
        <w:tab/>
        <w:t>重要会计政策及会计估计</w:t>
      </w:r>
      <w:bookmarkEnd w:id="579"/>
      <w:bookmarkEnd w:id="580"/>
      <w:bookmarkEnd w:id="582"/>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本公司主要从事集成电路的设计与销售，根据实际生产经营特点，依据相关企业会计准则的规定，制 定的具体会计政策和会计估计包括收入确认和计量、应收款项坏账准备的确认和计量等，详见本附注五“重 要会计政策及会计估计”相关政策描述。</w:t>
      </w:r>
    </w:p>
    <w:p>
      <w:pPr>
        <w:pStyle w:val="Style28"/>
        <w:keepNext/>
        <w:keepLines/>
        <w:widowControl w:val="0"/>
        <w:shd w:val="clear" w:color="auto" w:fill="auto"/>
        <w:tabs>
          <w:tab w:pos="598" w:val="left"/>
        </w:tabs>
        <w:bidi w:val="0"/>
        <w:spacing w:before="0" w:after="100" w:line="275" w:lineRule="exact"/>
        <w:ind w:left="0" w:right="0" w:firstLine="0"/>
        <w:jc w:val="left"/>
      </w:pPr>
      <w:bookmarkStart w:id="583" w:name="bookmark583"/>
      <w:bookmarkStart w:id="584" w:name="bookmark584"/>
      <w:bookmarkStart w:id="585" w:name="bookmark585"/>
      <w:bookmarkStart w:id="586" w:name="bookmark586"/>
      <w:r>
        <w:rPr>
          <w:color w:val="000000"/>
          <w:spacing w:val="0"/>
          <w:w w:val="100"/>
          <w:position w:val="0"/>
        </w:rPr>
        <w:t>（</w:t>
      </w:r>
      <w:bookmarkEnd w:id="585"/>
      <w:r>
        <w:rPr>
          <w:color w:val="000000"/>
          <w:spacing w:val="0"/>
          <w:w w:val="100"/>
          <w:position w:val="0"/>
        </w:rPr>
        <w:t>一）</w:t>
        <w:tab/>
        <w:t>遵循企业会计准则的声明</w:t>
      </w:r>
      <w:bookmarkEnd w:id="583"/>
      <w:bookmarkEnd w:id="584"/>
      <w:bookmarkEnd w:id="586"/>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本公司所编制的财务报表符合企业会计准则的要求，真实、完整地反映了报告期公司的财务状况、经 营成果、现金流量等有关信息。</w:t>
      </w:r>
    </w:p>
    <w:p>
      <w:pPr>
        <w:pStyle w:val="Style28"/>
        <w:keepNext/>
        <w:keepLines/>
        <w:widowControl w:val="0"/>
        <w:shd w:val="clear" w:color="auto" w:fill="auto"/>
        <w:tabs>
          <w:tab w:pos="598" w:val="left"/>
        </w:tabs>
        <w:bidi w:val="0"/>
        <w:spacing w:before="0" w:after="100" w:line="275" w:lineRule="exact"/>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w:t>
      </w:r>
      <w:bookmarkEnd w:id="589"/>
      <w:r>
        <w:rPr>
          <w:color w:val="000000"/>
          <w:spacing w:val="0"/>
          <w:w w:val="100"/>
          <w:position w:val="0"/>
        </w:rPr>
        <w:t>二）</w:t>
        <w:tab/>
        <w:t>会计期间</w:t>
      </w:r>
      <w:bookmarkEnd w:id="587"/>
      <w:bookmarkEnd w:id="588"/>
      <w:bookmarkEnd w:id="590"/>
    </w:p>
    <w:p>
      <w:pPr>
        <w:pStyle w:val="Style31"/>
        <w:keepNext w:val="0"/>
        <w:keepLines w:val="0"/>
        <w:widowControl w:val="0"/>
        <w:shd w:val="clear" w:color="auto" w:fill="auto"/>
        <w:bidi w:val="0"/>
        <w:spacing w:before="0" w:after="100" w:line="275" w:lineRule="exact"/>
        <w:ind w:left="0" w:right="0" w:firstLine="440"/>
        <w:jc w:val="both"/>
        <w:rPr>
          <w:sz w:val="20"/>
          <w:szCs w:val="20"/>
        </w:rPr>
      </w:pPr>
      <w:r>
        <w:rPr>
          <w:color w:val="000000"/>
          <w:spacing w:val="0"/>
          <w:w w:val="100"/>
          <w:position w:val="0"/>
          <w:sz w:val="20"/>
          <w:szCs w:val="20"/>
        </w:rPr>
        <w:t>本公司会计年度采用公历年，自公历</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日止为一个会计年度。</w:t>
      </w:r>
    </w:p>
    <w:p>
      <w:pPr>
        <w:pStyle w:val="Style28"/>
        <w:keepNext/>
        <w:keepLines/>
        <w:widowControl w:val="0"/>
        <w:shd w:val="clear" w:color="auto" w:fill="auto"/>
        <w:tabs>
          <w:tab w:pos="598" w:val="left"/>
        </w:tabs>
        <w:bidi w:val="0"/>
        <w:spacing w:before="0" w:after="100" w:line="275" w:lineRule="exact"/>
        <w:ind w:left="0" w:right="0" w:firstLine="0"/>
        <w:jc w:val="both"/>
      </w:pPr>
      <w:bookmarkStart w:id="591" w:name="bookmark591"/>
      <w:bookmarkStart w:id="592" w:name="bookmark592"/>
      <w:bookmarkStart w:id="593" w:name="bookmark593"/>
      <w:bookmarkStart w:id="594" w:name="bookmark594"/>
      <w:r>
        <w:rPr>
          <w:color w:val="000000"/>
          <w:spacing w:val="0"/>
          <w:w w:val="100"/>
          <w:position w:val="0"/>
        </w:rPr>
        <w:t>（</w:t>
      </w:r>
      <w:bookmarkEnd w:id="593"/>
      <w:r>
        <w:rPr>
          <w:color w:val="000000"/>
          <w:spacing w:val="0"/>
          <w:w w:val="100"/>
          <w:position w:val="0"/>
        </w:rPr>
        <w:t>三）</w:t>
        <w:tab/>
        <w:t>营业周期</w:t>
      </w:r>
      <w:bookmarkEnd w:id="591"/>
      <w:bookmarkEnd w:id="592"/>
      <w:bookmarkEnd w:id="594"/>
    </w:p>
    <w:p>
      <w:pPr>
        <w:pStyle w:val="Style31"/>
        <w:keepNext w:val="0"/>
        <w:keepLines w:val="0"/>
        <w:widowControl w:val="0"/>
        <w:shd w:val="clear" w:color="auto" w:fill="auto"/>
        <w:bidi w:val="0"/>
        <w:spacing w:before="0" w:after="100" w:line="275" w:lineRule="exact"/>
        <w:ind w:left="0" w:right="0" w:firstLine="440"/>
        <w:jc w:val="both"/>
        <w:rPr>
          <w:sz w:val="20"/>
          <w:szCs w:val="20"/>
        </w:rPr>
      </w:pPr>
      <w:r>
        <w:rPr>
          <w:color w:val="000000"/>
          <w:spacing w:val="0"/>
          <w:w w:val="100"/>
          <w:position w:val="0"/>
          <w:sz w:val="20"/>
          <w:szCs w:val="20"/>
        </w:rPr>
        <w:t>本公司以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个月作为一个营业周期，并以其作为资产和负债的流动性划分标准。</w:t>
      </w:r>
    </w:p>
    <w:p>
      <w:pPr>
        <w:pStyle w:val="Style28"/>
        <w:keepNext/>
        <w:keepLines/>
        <w:widowControl w:val="0"/>
        <w:shd w:val="clear" w:color="auto" w:fill="auto"/>
        <w:tabs>
          <w:tab w:pos="598" w:val="left"/>
        </w:tabs>
        <w:bidi w:val="0"/>
        <w:spacing w:before="0" w:after="100" w:line="275" w:lineRule="exact"/>
        <w:ind w:left="0" w:right="0" w:firstLine="0"/>
        <w:jc w:val="left"/>
      </w:pPr>
      <w:bookmarkStart w:id="595" w:name="bookmark595"/>
      <w:bookmarkStart w:id="596" w:name="bookmark596"/>
      <w:bookmarkStart w:id="597" w:name="bookmark597"/>
      <w:bookmarkStart w:id="598" w:name="bookmark598"/>
      <w:r>
        <w:rPr>
          <w:color w:val="000000"/>
          <w:spacing w:val="0"/>
          <w:w w:val="100"/>
          <w:position w:val="0"/>
        </w:rPr>
        <w:t>（</w:t>
      </w:r>
      <w:bookmarkEnd w:id="597"/>
      <w:r>
        <w:rPr>
          <w:color w:val="000000"/>
          <w:spacing w:val="0"/>
          <w:w w:val="100"/>
          <w:position w:val="0"/>
        </w:rPr>
        <w:t>四）</w:t>
        <w:tab/>
        <w:t>记账本位币</w:t>
      </w:r>
      <w:bookmarkEnd w:id="595"/>
      <w:bookmarkEnd w:id="596"/>
      <w:bookmarkEnd w:id="598"/>
    </w:p>
    <w:p>
      <w:pPr>
        <w:pStyle w:val="Style31"/>
        <w:keepNext w:val="0"/>
        <w:keepLines w:val="0"/>
        <w:widowControl w:val="0"/>
        <w:shd w:val="clear" w:color="auto" w:fill="auto"/>
        <w:bidi w:val="0"/>
        <w:spacing w:before="0" w:after="100" w:line="275" w:lineRule="exact"/>
        <w:ind w:left="0" w:right="0" w:firstLine="440"/>
        <w:jc w:val="both"/>
        <w:rPr>
          <w:sz w:val="20"/>
          <w:szCs w:val="20"/>
        </w:rPr>
      </w:pPr>
      <w:r>
        <w:rPr>
          <w:color w:val="000000"/>
          <w:spacing w:val="0"/>
          <w:w w:val="100"/>
          <w:position w:val="0"/>
          <w:sz w:val="20"/>
          <w:szCs w:val="20"/>
        </w:rPr>
        <w:t xml:space="preserve">本公司的记账本位币为人民币，编制财务报表采用的货币为人民币。本公司之境外子公司根据其经营 </w:t>
      </w:r>
      <w:r>
        <w:rPr>
          <w:color w:val="000000"/>
          <w:spacing w:val="0"/>
          <w:w w:val="100"/>
          <w:position w:val="0"/>
          <w:sz w:val="20"/>
          <w:szCs w:val="20"/>
        </w:rPr>
        <w:t>所处的主要经济环境中的货币确定其记账本位币。</w:t>
      </w:r>
    </w:p>
    <w:p>
      <w:pPr>
        <w:pStyle w:val="Style28"/>
        <w:keepNext/>
        <w:keepLines/>
        <w:widowControl w:val="0"/>
        <w:shd w:val="clear" w:color="auto" w:fill="auto"/>
        <w:bidi w:val="0"/>
        <w:spacing w:before="0" w:after="160" w:line="274" w:lineRule="exact"/>
        <w:ind w:left="0" w:right="0" w:firstLine="0"/>
        <w:jc w:val="left"/>
      </w:pPr>
      <w:bookmarkStart w:id="599" w:name="bookmark599"/>
      <w:bookmarkStart w:id="600" w:name="bookmark600"/>
      <w:bookmarkStart w:id="601" w:name="bookmark601"/>
      <w:bookmarkStart w:id="602" w:name="bookmark602"/>
      <w:r>
        <w:rPr>
          <w:color w:val="000000"/>
          <w:spacing w:val="0"/>
          <w:w w:val="100"/>
          <w:position w:val="0"/>
        </w:rPr>
        <w:t>（</w:t>
      </w:r>
      <w:bookmarkEnd w:id="601"/>
      <w:r>
        <w:rPr>
          <w:color w:val="000000"/>
          <w:spacing w:val="0"/>
          <w:w w:val="100"/>
          <w:position w:val="0"/>
        </w:rPr>
        <w:t>五）同一控制下和非同一控制下企业合并的会计处理方法</w:t>
      </w:r>
      <w:bookmarkEnd w:id="599"/>
      <w:bookmarkEnd w:id="600"/>
      <w:bookmarkEnd w:id="602"/>
    </w:p>
    <w:p>
      <w:pPr>
        <w:pStyle w:val="Style28"/>
        <w:keepNext/>
        <w:keepLines/>
        <w:widowControl w:val="0"/>
        <w:shd w:val="clear" w:color="auto" w:fill="auto"/>
        <w:tabs>
          <w:tab w:pos="875" w:val="left"/>
        </w:tabs>
        <w:bidi w:val="0"/>
        <w:spacing w:before="0" w:after="100" w:line="286" w:lineRule="auto"/>
        <w:ind w:left="0" w:right="0" w:firstLine="440"/>
        <w:jc w:val="left"/>
      </w:pPr>
      <w:bookmarkStart w:id="599" w:name="bookmark599"/>
      <w:bookmarkStart w:id="600" w:name="bookmark600"/>
      <w:bookmarkStart w:id="603" w:name="bookmark603"/>
      <w:r>
        <w:rPr>
          <w:rFonts w:ascii="Times New Roman" w:eastAsia="Times New Roman" w:hAnsi="Times New Roman" w:cs="Times New Roman"/>
          <w:color w:val="000000"/>
          <w:spacing w:val="0"/>
          <w:w w:val="100"/>
          <w:position w:val="0"/>
        </w:rPr>
        <w:t>1</w:t>
      </w:r>
      <w:bookmarkEnd w:id="603"/>
      <w:r>
        <w:rPr>
          <w:color w:val="000000"/>
          <w:spacing w:val="0"/>
          <w:w w:val="100"/>
          <w:position w:val="0"/>
        </w:rPr>
        <w:t>、</w:t>
        <w:tab/>
        <w:t>同一控制下企业合并</w:t>
      </w:r>
      <w:bookmarkEnd w:id="599"/>
      <w:bookmarkEnd w:id="600"/>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参与合并的企业在合并前后均受同一方或相同的多方最终控制且该控制并非暂时性的，为同一控制下 的企业合并。合并日为合并方实际取得对被合并方控制权的日期。</w:t>
      </w:r>
    </w:p>
    <w:p>
      <w:pPr>
        <w:pStyle w:val="Style31"/>
        <w:keepNext w:val="0"/>
        <w:keepLines w:val="0"/>
        <w:widowControl w:val="0"/>
        <w:shd w:val="clear" w:color="auto" w:fill="auto"/>
        <w:bidi w:val="0"/>
        <w:spacing w:before="0" w:after="100" w:line="271" w:lineRule="exact"/>
        <w:ind w:left="0" w:right="0" w:firstLine="440"/>
        <w:jc w:val="both"/>
        <w:rPr>
          <w:sz w:val="20"/>
          <w:szCs w:val="20"/>
        </w:rPr>
      </w:pPr>
      <w:r>
        <w:rPr>
          <w:color w:val="000000"/>
          <w:spacing w:val="0"/>
          <w:w w:val="100"/>
          <w:position w:val="0"/>
          <w:sz w:val="20"/>
          <w:szCs w:val="20"/>
        </w:rPr>
        <w:t>在企业合并中取得的资产和负债，按照合并日被合并方在最终控制方合并财务报表中的账面价值计量。 被合并各方采用的会计政策与本公司不一致的，在合并日按照本公司会计政策进行调整，在此基础上按照 调整后的账面价值确认。</w:t>
      </w:r>
    </w:p>
    <w:p>
      <w:pPr>
        <w:pStyle w:val="Style31"/>
        <w:keepNext w:val="0"/>
        <w:keepLines w:val="0"/>
        <w:widowControl w:val="0"/>
        <w:shd w:val="clear" w:color="auto" w:fill="auto"/>
        <w:bidi w:val="0"/>
        <w:spacing w:before="0" w:after="100" w:line="269" w:lineRule="exact"/>
        <w:ind w:left="0" w:right="0" w:firstLine="440"/>
        <w:jc w:val="both"/>
        <w:rPr>
          <w:sz w:val="20"/>
          <w:szCs w:val="20"/>
        </w:rPr>
      </w:pPr>
      <w:r>
        <w:rPr>
          <w:color w:val="000000"/>
          <w:spacing w:val="0"/>
          <w:w w:val="100"/>
          <w:position w:val="0"/>
          <w:sz w:val="20"/>
          <w:szCs w:val="20"/>
        </w:rPr>
        <w:t>在合并中取得的净资产账面价值与支付的合并对价账面价值（或发行股份面值总额）的差额，调整资 本公积中的股本溢价，资本公积中的股本溢价不足冲减的，调整留存收益。</w:t>
      </w:r>
    </w:p>
    <w:p>
      <w:pPr>
        <w:pStyle w:val="Style31"/>
        <w:keepNext w:val="0"/>
        <w:keepLines w:val="0"/>
        <w:widowControl w:val="0"/>
        <w:shd w:val="clear" w:color="auto" w:fill="auto"/>
        <w:bidi w:val="0"/>
        <w:spacing w:before="0" w:after="100" w:line="283" w:lineRule="exact"/>
        <w:ind w:left="0" w:right="0" w:firstLine="440"/>
        <w:jc w:val="both"/>
        <w:rPr>
          <w:sz w:val="20"/>
          <w:szCs w:val="20"/>
        </w:rPr>
      </w:pPr>
      <w:r>
        <w:rPr>
          <w:color w:val="000000"/>
          <w:spacing w:val="0"/>
          <w:w w:val="100"/>
          <w:position w:val="0"/>
          <w:sz w:val="20"/>
          <w:szCs w:val="20"/>
        </w:rPr>
        <w:t>为进行企业合并而发生的各项直接相关费用，包括为进行合并而支付的审计费用、评估费用、法律服 务费等，于发生时计入当期损益。</w:t>
      </w:r>
    </w:p>
    <w:p>
      <w:pPr>
        <w:pStyle w:val="Style31"/>
        <w:keepNext w:val="0"/>
        <w:keepLines w:val="0"/>
        <w:widowControl w:val="0"/>
        <w:shd w:val="clear" w:color="auto" w:fill="auto"/>
        <w:bidi w:val="0"/>
        <w:spacing w:before="0" w:after="100" w:line="278" w:lineRule="exact"/>
        <w:ind w:left="0" w:right="0" w:firstLine="440"/>
        <w:jc w:val="both"/>
        <w:rPr>
          <w:sz w:val="20"/>
          <w:szCs w:val="20"/>
        </w:rPr>
      </w:pPr>
      <w:r>
        <w:rPr>
          <w:color w:val="000000"/>
          <w:spacing w:val="0"/>
          <w:w w:val="100"/>
          <w:position w:val="0"/>
          <w:sz w:val="20"/>
          <w:szCs w:val="20"/>
        </w:rPr>
        <w:t>企业合并中发行权益性证券发生的手续费、佣金等，抵减权益性证券溢价收入，溢价收入不足冲减的， 冲减留存收益。</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通过多次交易分步实现的同一控制下企业合并，属于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的，本公司将各项交易作为一项取 得控制权的交易进行会计处理。不属于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的，取得控制权日，按照下列步骤进行会计处理：</w:t>
      </w:r>
    </w:p>
    <w:p>
      <w:pPr>
        <w:pStyle w:val="Style31"/>
        <w:keepNext w:val="0"/>
        <w:keepLines w:val="0"/>
        <w:widowControl w:val="0"/>
        <w:shd w:val="clear" w:color="auto" w:fill="auto"/>
        <w:tabs>
          <w:tab w:pos="1005" w:val="left"/>
        </w:tabs>
        <w:bidi w:val="0"/>
        <w:spacing w:before="0" w:after="100" w:line="278" w:lineRule="exact"/>
        <w:ind w:left="0" w:right="0" w:firstLine="440"/>
        <w:jc w:val="both"/>
        <w:rPr>
          <w:sz w:val="20"/>
          <w:szCs w:val="20"/>
        </w:rPr>
      </w:pPr>
      <w:bookmarkStart w:id="604" w:name="bookmark604"/>
      <w:r>
        <w:rPr>
          <w:color w:val="000000"/>
          <w:spacing w:val="0"/>
          <w:w w:val="100"/>
          <w:position w:val="0"/>
          <w:sz w:val="20"/>
          <w:szCs w:val="20"/>
        </w:rPr>
        <w:t>（</w:t>
      </w:r>
      <w:bookmarkEnd w:id="60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确定同一控制下企业合并形成的长期股权投资的初始投资成本。在合并日，根据合并后应享有 被合并方净资产在最终控制方合并财务报表中的账面价值的份额，确定长期股权投资的初始投资成本。</w:t>
      </w:r>
    </w:p>
    <w:p>
      <w:pPr>
        <w:pStyle w:val="Style31"/>
        <w:keepNext w:val="0"/>
        <w:keepLines w:val="0"/>
        <w:widowControl w:val="0"/>
        <w:shd w:val="clear" w:color="auto" w:fill="auto"/>
        <w:tabs>
          <w:tab w:pos="1005" w:val="left"/>
        </w:tabs>
        <w:bidi w:val="0"/>
        <w:spacing w:before="0" w:after="100" w:line="275" w:lineRule="exact"/>
        <w:ind w:left="0" w:right="0" w:firstLine="440"/>
        <w:jc w:val="both"/>
        <w:rPr>
          <w:sz w:val="20"/>
          <w:szCs w:val="20"/>
        </w:rPr>
      </w:pPr>
      <w:bookmarkStart w:id="605" w:name="bookmark605"/>
      <w:r>
        <w:rPr>
          <w:color w:val="000000"/>
          <w:spacing w:val="0"/>
          <w:w w:val="100"/>
          <w:position w:val="0"/>
          <w:sz w:val="20"/>
          <w:szCs w:val="20"/>
        </w:rPr>
        <w:t>（</w:t>
      </w:r>
      <w:bookmarkEnd w:id="60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长期股权投资初始投资成本与合并对价账面价值之间的差额的处理。合并日长期股权投资的初 始投资成本，与达到合并前的长期股权投资账面价值加上合并日进一步取得股份新支付对价的账面价值之 和的差额，调整资本公积（资本溢价或股本溢价），资本公积（资本溢价或股本溢价）不足冲减的，冲减 留存收益。</w:t>
      </w:r>
    </w:p>
    <w:p>
      <w:pPr>
        <w:pStyle w:val="Style31"/>
        <w:keepNext w:val="0"/>
        <w:keepLines w:val="0"/>
        <w:widowControl w:val="0"/>
        <w:shd w:val="clear" w:color="auto" w:fill="auto"/>
        <w:tabs>
          <w:tab w:pos="1005" w:val="left"/>
        </w:tabs>
        <w:bidi w:val="0"/>
        <w:spacing w:before="0" w:after="100" w:line="274" w:lineRule="exact"/>
        <w:ind w:left="0" w:right="0" w:firstLine="440"/>
        <w:jc w:val="both"/>
        <w:rPr>
          <w:sz w:val="20"/>
          <w:szCs w:val="20"/>
        </w:rPr>
      </w:pPr>
      <w:bookmarkStart w:id="606" w:name="bookmark606"/>
      <w:r>
        <w:rPr>
          <w:color w:val="000000"/>
          <w:spacing w:val="0"/>
          <w:w w:val="100"/>
          <w:position w:val="0"/>
          <w:sz w:val="20"/>
          <w:szCs w:val="20"/>
        </w:rPr>
        <w:t>（</w:t>
      </w:r>
      <w:bookmarkEnd w:id="606"/>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合并日之前持有的股权投资，因采用权益法核算或金融工具确认和计量准则核算而确认的其他 综合收益，暂不进行会计处理，直至处置该项投资时采用与被投资单位直接处置相关资产或负债相同的基 础进行会计处理；因采用权益法核算而确认的被投资单位净资产中除净损益、其他综合收益和利润分配以 外的所有者权益其他变动，暂不进行会计处理，直至处置该项投资时转入当期损益。其中，处置后的剩余 股权采用成本法或权益法核算的，其他综合收益和其他所有者权益应按比例结转，处置后的剩余股权改按 金融工具确认和计量准则进行会计处理的，其他综合收益和其他所有者权益应全部结转。</w:t>
      </w:r>
    </w:p>
    <w:p>
      <w:pPr>
        <w:pStyle w:val="Style31"/>
        <w:keepNext w:val="0"/>
        <w:keepLines w:val="0"/>
        <w:widowControl w:val="0"/>
        <w:shd w:val="clear" w:color="auto" w:fill="auto"/>
        <w:tabs>
          <w:tab w:pos="912" w:val="left"/>
        </w:tabs>
        <w:bidi w:val="0"/>
        <w:spacing w:before="0" w:after="160" w:line="274" w:lineRule="exact"/>
        <w:ind w:left="0" w:right="0" w:firstLine="440"/>
        <w:jc w:val="left"/>
        <w:rPr>
          <w:sz w:val="20"/>
          <w:szCs w:val="20"/>
        </w:rPr>
      </w:pPr>
      <w:bookmarkStart w:id="607" w:name="bookmark607"/>
      <w:r>
        <w:rPr>
          <w:color w:val="000000"/>
          <w:spacing w:val="0"/>
          <w:w w:val="100"/>
          <w:position w:val="0"/>
          <w:sz w:val="20"/>
          <w:szCs w:val="20"/>
        </w:rPr>
        <w:t>（</w:t>
      </w:r>
      <w:bookmarkEnd w:id="607"/>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在合并财务报表中的会计处理见本附注五（六）“合并财务报表的编制方法”。</w:t>
      </w:r>
    </w:p>
    <w:p>
      <w:pPr>
        <w:pStyle w:val="Style31"/>
        <w:keepNext w:val="0"/>
        <w:keepLines w:val="0"/>
        <w:widowControl w:val="0"/>
        <w:shd w:val="clear" w:color="auto" w:fill="auto"/>
        <w:tabs>
          <w:tab w:pos="875" w:val="left"/>
        </w:tabs>
        <w:bidi w:val="0"/>
        <w:spacing w:before="0" w:after="100" w:line="286" w:lineRule="auto"/>
        <w:ind w:left="0" w:right="0" w:firstLine="440"/>
        <w:jc w:val="both"/>
        <w:rPr>
          <w:sz w:val="20"/>
          <w:szCs w:val="20"/>
        </w:rPr>
      </w:pPr>
      <w:bookmarkStart w:id="608" w:name="bookmark608"/>
      <w:r>
        <w:rPr>
          <w:rFonts w:ascii="Times New Roman" w:eastAsia="Times New Roman" w:hAnsi="Times New Roman" w:cs="Times New Roman"/>
          <w:b/>
          <w:bCs/>
          <w:color w:val="000000"/>
          <w:spacing w:val="0"/>
          <w:w w:val="100"/>
          <w:position w:val="0"/>
          <w:sz w:val="20"/>
          <w:szCs w:val="20"/>
        </w:rPr>
        <w:t>2</w:t>
      </w:r>
      <w:bookmarkEnd w:id="608"/>
      <w:r>
        <w:rPr>
          <w:b/>
          <w:bCs/>
          <w:color w:val="000000"/>
          <w:spacing w:val="0"/>
          <w:w w:val="100"/>
          <w:position w:val="0"/>
          <w:sz w:val="20"/>
          <w:szCs w:val="20"/>
        </w:rPr>
        <w:t>、</w:t>
        <w:tab/>
        <w:t>非同一控制下企业合并</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参与合并的各方在合并前后不受同一方或相同的多方最终控制的，为非同一控制下的企业合并。</w:t>
      </w:r>
    </w:p>
    <w:p>
      <w:pPr>
        <w:pStyle w:val="Style31"/>
        <w:keepNext w:val="0"/>
        <w:keepLines w:val="0"/>
        <w:widowControl w:val="0"/>
        <w:shd w:val="clear" w:color="auto" w:fill="auto"/>
        <w:bidi w:val="0"/>
        <w:spacing w:before="0" w:after="100" w:line="278" w:lineRule="exact"/>
        <w:ind w:left="0" w:right="0" w:firstLine="440"/>
        <w:jc w:val="both"/>
        <w:rPr>
          <w:sz w:val="20"/>
          <w:szCs w:val="20"/>
        </w:rPr>
      </w:pPr>
      <w:r>
        <w:rPr>
          <w:color w:val="000000"/>
          <w:spacing w:val="0"/>
          <w:w w:val="100"/>
          <w:position w:val="0"/>
          <w:sz w:val="20"/>
          <w:szCs w:val="20"/>
        </w:rPr>
        <w:t>购买方在购买日对作为企业合并对价付出的资产、发生或承担的负债按照公允价值计量。公允价值与 其账面价值的差额，计入当期损益。</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购买方在购买日对合并成本进行分配，确认所取得的被购买方各项可辨认资产、负债及或有负债的公 允价值。</w:t>
      </w:r>
    </w:p>
    <w:p>
      <w:pPr>
        <w:pStyle w:val="Style31"/>
        <w:keepNext w:val="0"/>
        <w:keepLines w:val="0"/>
        <w:widowControl w:val="0"/>
        <w:shd w:val="clear" w:color="auto" w:fill="auto"/>
        <w:bidi w:val="0"/>
        <w:spacing w:before="0" w:after="100" w:line="269" w:lineRule="exact"/>
        <w:ind w:left="0" w:right="0" w:firstLine="440"/>
        <w:jc w:val="both"/>
        <w:rPr>
          <w:sz w:val="20"/>
          <w:szCs w:val="20"/>
        </w:rPr>
      </w:pPr>
      <w:r>
        <w:rPr>
          <w:color w:val="000000"/>
          <w:spacing w:val="0"/>
          <w:w w:val="100"/>
          <w:position w:val="0"/>
          <w:sz w:val="20"/>
          <w:szCs w:val="20"/>
        </w:rPr>
        <w:t>购买方对合并成本大于合并中取得的被购买方可辨认净资产公允价值份额的差额，确认为商誉；合并 成本小于合并中取得的被购买方可辨认净资产公允价值份额的差额，经复核后，计入当期损益。</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购买方为企业合并发生的审计、法律服务、评估咨询等中介费用以及其他相关管理费用，于发生时计 入当期损益；购买方作为合并对价发行的权益性证券或债务性证券的交易费用，计入权益性证券或债务性 证券的初始确认金额。</w:t>
      </w:r>
    </w:p>
    <w:p>
      <w:pPr>
        <w:pStyle w:val="Style31"/>
        <w:keepNext w:val="0"/>
        <w:keepLines w:val="0"/>
        <w:widowControl w:val="0"/>
        <w:shd w:val="clear" w:color="auto" w:fill="auto"/>
        <w:bidi w:val="0"/>
        <w:spacing w:before="0" w:after="100" w:line="278" w:lineRule="exact"/>
        <w:ind w:left="0" w:right="0" w:firstLine="440"/>
        <w:jc w:val="both"/>
        <w:rPr>
          <w:sz w:val="20"/>
          <w:szCs w:val="20"/>
        </w:rPr>
      </w:pPr>
      <w:r>
        <w:rPr>
          <w:color w:val="000000"/>
          <w:spacing w:val="0"/>
          <w:w w:val="100"/>
          <w:position w:val="0"/>
          <w:sz w:val="20"/>
          <w:szCs w:val="20"/>
        </w:rPr>
        <w:t>购买方通过多次交易分步实现非同一控制下企业合并的，属于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color w:val="000000"/>
          <w:spacing w:val="0"/>
          <w:w w:val="100"/>
          <w:position w:val="0"/>
          <w:sz w:val="20"/>
          <w:szCs w:val="20"/>
        </w:rPr>
        <w:t>''</w:t>
      </w:r>
      <w:r>
        <w:rPr>
          <w:color w:val="000000"/>
          <w:spacing w:val="0"/>
          <w:w w:val="100"/>
          <w:position w:val="0"/>
          <w:sz w:val="20"/>
          <w:szCs w:val="20"/>
        </w:rPr>
        <w:t>的，本公司将各项交易作 为一项取得控制权的交易进行会计处理。不属于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的，区别个别财务报表和合并财务报表进行 </w:t>
      </w:r>
      <w:r>
        <w:rPr>
          <w:color w:val="000000"/>
          <w:spacing w:val="0"/>
          <w:w w:val="100"/>
          <w:position w:val="0"/>
          <w:sz w:val="20"/>
          <w:szCs w:val="20"/>
        </w:rPr>
        <w:t>相关会计处理。</w:t>
      </w:r>
    </w:p>
    <w:p>
      <w:pPr>
        <w:pStyle w:val="Style31"/>
        <w:keepNext w:val="0"/>
        <w:keepLines w:val="0"/>
        <w:widowControl w:val="0"/>
        <w:shd w:val="clear" w:color="auto" w:fill="auto"/>
        <w:bidi w:val="0"/>
        <w:spacing w:before="0" w:after="100" w:line="272" w:lineRule="exact"/>
        <w:ind w:left="0" w:right="0" w:firstLine="440"/>
        <w:jc w:val="both"/>
        <w:rPr>
          <w:sz w:val="20"/>
          <w:szCs w:val="20"/>
        </w:rPr>
      </w:pPr>
      <w:r>
        <w:rPr>
          <w:color w:val="000000"/>
          <w:spacing w:val="0"/>
          <w:w w:val="100"/>
          <w:position w:val="0"/>
          <w:sz w:val="20"/>
          <w:szCs w:val="20"/>
        </w:rPr>
        <w:t>在个别财务报表中，以购买日之前所持被购买方的股权投资的账面价值与购买日新增投资成本之和， 作为改按成本法核算的初始投资成本；购买日之前持有的被购买方的股权投资因采用权益法核算而确认的 其他综合收益，在处置该项投资时采用与被投资单位直接处置相关资产或负债相同的基础进行会计处理， 因被投资方除净损益、其他综合收益和利润分配以外的其他所有者权益变动而确认的所有者权益，在处置 该项投资时转入处置期间的当期损益。其中，处置后的剩余股权根据长期股权投资准则采用成本法或权益 法核算的，其他综合收益和其他所有者权益应按比例结转，处置后的剩余股权改按金融工具确认和计量准 则进行会计处理的，其他综合收益和其他所有者权益应全部结转。购买日之前持有的股权投资，采用金融 工具确认和计量准则进行会计处理的，将该股权投资的公允价值加上新增投资成本之和，作为改按成本法 核算的初始投资成本，原持有股权的公允价值与账面价值的差额与原计入其他综合收益的累计公允价值变 动全部转入改按成本法核算的当期投资损益。</w:t>
      </w:r>
    </w:p>
    <w:p>
      <w:pPr>
        <w:pStyle w:val="Style31"/>
        <w:keepNext w:val="0"/>
        <w:keepLines w:val="0"/>
        <w:widowControl w:val="0"/>
        <w:shd w:val="clear" w:color="auto" w:fill="auto"/>
        <w:bidi w:val="0"/>
        <w:spacing w:before="0" w:after="160" w:line="273" w:lineRule="exact"/>
        <w:ind w:left="0" w:right="0" w:firstLine="440"/>
        <w:jc w:val="both"/>
        <w:rPr>
          <w:sz w:val="20"/>
          <w:szCs w:val="20"/>
        </w:rPr>
      </w:pPr>
      <w:r>
        <w:rPr>
          <w:color w:val="000000"/>
          <w:spacing w:val="0"/>
          <w:w w:val="100"/>
          <w:position w:val="0"/>
          <w:sz w:val="20"/>
          <w:szCs w:val="20"/>
        </w:rPr>
        <w:t>在合并财务报表中的会计处理见本附注五（六）“合并财务报表的编制方法”。</w:t>
      </w:r>
    </w:p>
    <w:p>
      <w:pPr>
        <w:pStyle w:val="Style31"/>
        <w:keepNext w:val="0"/>
        <w:keepLines w:val="0"/>
        <w:widowControl w:val="0"/>
        <w:shd w:val="clear" w:color="auto" w:fill="auto"/>
        <w:bidi w:val="0"/>
        <w:spacing w:before="0" w:after="60" w:line="286" w:lineRule="auto"/>
        <w:ind w:left="0" w:right="0" w:firstLine="440"/>
        <w:jc w:val="both"/>
        <w:rPr>
          <w:sz w:val="20"/>
          <w:szCs w:val="20"/>
        </w:rPr>
      </w:pPr>
      <w:bookmarkStart w:id="609" w:name="bookmark609"/>
      <w:r>
        <w:rPr>
          <w:rFonts w:ascii="Times New Roman" w:eastAsia="Times New Roman" w:hAnsi="Times New Roman" w:cs="Times New Roman"/>
          <w:b/>
          <w:bCs/>
          <w:color w:val="000000"/>
          <w:spacing w:val="0"/>
          <w:w w:val="100"/>
          <w:position w:val="0"/>
          <w:sz w:val="20"/>
          <w:szCs w:val="20"/>
        </w:rPr>
        <w:t>3</w:t>
      </w:r>
      <w:bookmarkEnd w:id="609"/>
      <w:r>
        <w:rPr>
          <w:b/>
          <w:bCs/>
          <w:color w:val="000000"/>
          <w:spacing w:val="0"/>
          <w:w w:val="100"/>
          <w:position w:val="0"/>
          <w:sz w:val="20"/>
          <w:szCs w:val="20"/>
        </w:rPr>
        <w:t>、将多次交易事项判断为一揽子交易的判断标准</w:t>
      </w:r>
    </w:p>
    <w:p>
      <w:pPr>
        <w:pStyle w:val="Style31"/>
        <w:keepNext w:val="0"/>
        <w:keepLines w:val="0"/>
        <w:widowControl w:val="0"/>
        <w:shd w:val="clear" w:color="auto" w:fill="auto"/>
        <w:bidi w:val="0"/>
        <w:spacing w:before="0" w:after="100" w:line="273" w:lineRule="exact"/>
        <w:ind w:left="0" w:right="0" w:firstLine="440"/>
        <w:jc w:val="both"/>
        <w:rPr>
          <w:sz w:val="20"/>
          <w:szCs w:val="20"/>
        </w:rPr>
      </w:pPr>
      <w:r>
        <w:rPr>
          <w:color w:val="000000"/>
          <w:spacing w:val="0"/>
          <w:w w:val="100"/>
          <w:position w:val="0"/>
          <w:sz w:val="20"/>
          <w:szCs w:val="20"/>
        </w:rPr>
        <w:t>本公司将多次交易事项判断为一揽子交易的判断标准如下：</w:t>
      </w:r>
    </w:p>
    <w:p>
      <w:pPr>
        <w:pStyle w:val="Style31"/>
        <w:keepNext w:val="0"/>
        <w:keepLines w:val="0"/>
        <w:widowControl w:val="0"/>
        <w:shd w:val="clear" w:color="auto" w:fill="auto"/>
        <w:tabs>
          <w:tab w:pos="880" w:val="left"/>
        </w:tabs>
        <w:bidi w:val="0"/>
        <w:spacing w:before="0" w:after="100" w:line="273" w:lineRule="exact"/>
        <w:ind w:left="0" w:right="0" w:firstLine="440"/>
        <w:jc w:val="both"/>
        <w:rPr>
          <w:sz w:val="20"/>
          <w:szCs w:val="20"/>
        </w:rPr>
      </w:pPr>
      <w:bookmarkStart w:id="610" w:name="bookmark610"/>
      <w:r>
        <w:rPr>
          <w:color w:val="000000"/>
          <w:spacing w:val="0"/>
          <w:w w:val="100"/>
          <w:position w:val="0"/>
          <w:sz w:val="20"/>
          <w:szCs w:val="20"/>
        </w:rPr>
        <w:t>（</w:t>
      </w:r>
      <w:bookmarkEnd w:id="61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这些交易是同时或者在考虑了彼此影响的情况下订立的；</w:t>
      </w:r>
    </w:p>
    <w:p>
      <w:pPr>
        <w:pStyle w:val="Style31"/>
        <w:keepNext w:val="0"/>
        <w:keepLines w:val="0"/>
        <w:widowControl w:val="0"/>
        <w:shd w:val="clear" w:color="auto" w:fill="auto"/>
        <w:tabs>
          <w:tab w:pos="880" w:val="left"/>
        </w:tabs>
        <w:bidi w:val="0"/>
        <w:spacing w:before="0" w:after="100" w:line="273" w:lineRule="exact"/>
        <w:ind w:left="0" w:right="0" w:firstLine="440"/>
        <w:jc w:val="both"/>
        <w:rPr>
          <w:sz w:val="20"/>
          <w:szCs w:val="20"/>
        </w:rPr>
      </w:pPr>
      <w:bookmarkStart w:id="611" w:name="bookmark611"/>
      <w:r>
        <w:rPr>
          <w:color w:val="000000"/>
          <w:spacing w:val="0"/>
          <w:w w:val="100"/>
          <w:position w:val="0"/>
          <w:sz w:val="20"/>
          <w:szCs w:val="20"/>
        </w:rPr>
        <w:t>（</w:t>
      </w:r>
      <w:bookmarkEnd w:id="61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这些交易整体才能达成一项完整的商业结果；</w:t>
      </w:r>
    </w:p>
    <w:p>
      <w:pPr>
        <w:pStyle w:val="Style31"/>
        <w:keepNext w:val="0"/>
        <w:keepLines w:val="0"/>
        <w:widowControl w:val="0"/>
        <w:shd w:val="clear" w:color="auto" w:fill="auto"/>
        <w:tabs>
          <w:tab w:pos="880" w:val="left"/>
        </w:tabs>
        <w:bidi w:val="0"/>
        <w:spacing w:before="0" w:after="100" w:line="273" w:lineRule="exact"/>
        <w:ind w:left="0" w:right="0" w:firstLine="440"/>
        <w:jc w:val="both"/>
        <w:rPr>
          <w:sz w:val="20"/>
          <w:szCs w:val="20"/>
        </w:rPr>
      </w:pPr>
      <w:bookmarkStart w:id="612" w:name="bookmark612"/>
      <w:r>
        <w:rPr>
          <w:color w:val="000000"/>
          <w:spacing w:val="0"/>
          <w:w w:val="100"/>
          <w:position w:val="0"/>
          <w:sz w:val="20"/>
          <w:szCs w:val="20"/>
        </w:rPr>
        <w:t>（</w:t>
      </w:r>
      <w:bookmarkEnd w:id="612"/>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一项交易的发生取决于其他至少一项交易的发生；</w:t>
      </w:r>
    </w:p>
    <w:p>
      <w:pPr>
        <w:pStyle w:val="Style31"/>
        <w:keepNext w:val="0"/>
        <w:keepLines w:val="0"/>
        <w:widowControl w:val="0"/>
        <w:shd w:val="clear" w:color="auto" w:fill="auto"/>
        <w:tabs>
          <w:tab w:pos="880" w:val="left"/>
        </w:tabs>
        <w:bidi w:val="0"/>
        <w:spacing w:before="0" w:after="100" w:line="273" w:lineRule="exact"/>
        <w:ind w:left="0" w:right="0" w:firstLine="440"/>
        <w:jc w:val="both"/>
        <w:rPr>
          <w:sz w:val="20"/>
          <w:szCs w:val="20"/>
        </w:rPr>
      </w:pPr>
      <w:bookmarkStart w:id="613" w:name="bookmark613"/>
      <w:r>
        <w:rPr>
          <w:color w:val="000000"/>
          <w:spacing w:val="0"/>
          <w:w w:val="100"/>
          <w:position w:val="0"/>
          <w:sz w:val="20"/>
          <w:szCs w:val="20"/>
        </w:rPr>
        <w:t>（</w:t>
      </w:r>
      <w:bookmarkEnd w:id="613"/>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一项交易单独考虑时是不经济的，但是和其他交易一并考虑时是经济的。</w:t>
      </w:r>
    </w:p>
    <w:p>
      <w:pPr>
        <w:pStyle w:val="Style28"/>
        <w:keepNext/>
        <w:keepLines/>
        <w:widowControl w:val="0"/>
        <w:shd w:val="clear" w:color="auto" w:fill="auto"/>
        <w:bidi w:val="0"/>
        <w:spacing w:before="0" w:after="100" w:line="273" w:lineRule="exact"/>
        <w:ind w:left="0" w:right="0" w:firstLine="0"/>
        <w:jc w:val="both"/>
      </w:pPr>
      <w:bookmarkStart w:id="614" w:name="bookmark614"/>
      <w:bookmarkStart w:id="615" w:name="bookmark615"/>
      <w:bookmarkStart w:id="616" w:name="bookmark616"/>
      <w:bookmarkStart w:id="617" w:name="bookmark617"/>
      <w:r>
        <w:rPr>
          <w:color w:val="000000"/>
          <w:spacing w:val="0"/>
          <w:w w:val="100"/>
          <w:position w:val="0"/>
        </w:rPr>
        <w:t>（</w:t>
      </w:r>
      <w:bookmarkEnd w:id="616"/>
      <w:r>
        <w:rPr>
          <w:color w:val="000000"/>
          <w:spacing w:val="0"/>
          <w:w w:val="100"/>
          <w:position w:val="0"/>
        </w:rPr>
        <w:t>六）合并财务报表的编制方法</w:t>
      </w:r>
      <w:bookmarkEnd w:id="614"/>
      <w:bookmarkEnd w:id="615"/>
      <w:bookmarkEnd w:id="617"/>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本公司合并财务报表的合并范围以控制为基础确定，控制是指投资方拥有被投资方的权力，通过参与 被投资方的相关活动而享有可变回报，并且有能力运用对被投资方的权力影响其回报金额。相关活动，是 指对被投资方的回报产生重大影响的活动。</w:t>
      </w:r>
    </w:p>
    <w:p>
      <w:pPr>
        <w:pStyle w:val="Style31"/>
        <w:keepNext w:val="0"/>
        <w:keepLines w:val="0"/>
        <w:widowControl w:val="0"/>
        <w:shd w:val="clear" w:color="auto" w:fill="auto"/>
        <w:bidi w:val="0"/>
        <w:spacing w:before="0" w:after="100" w:line="273" w:lineRule="exact"/>
        <w:ind w:left="0" w:right="0" w:firstLine="440"/>
        <w:jc w:val="both"/>
        <w:rPr>
          <w:sz w:val="20"/>
          <w:szCs w:val="20"/>
        </w:rPr>
      </w:pPr>
      <w:r>
        <w:rPr>
          <w:color w:val="000000"/>
          <w:spacing w:val="0"/>
          <w:w w:val="100"/>
          <w:position w:val="0"/>
          <w:sz w:val="20"/>
          <w:szCs w:val="20"/>
        </w:rPr>
        <w:t>本公司以自身和子公司的财务报表为基础，根据其他有关资料将整个企业集团视为一个会计主体，依 据相关企业会计准则的确认、计量和列报要求，已按照统一的会计政策及会计期间，反映企业集团整体财 务状况、经营成果和现金流量。合并程序具体包括：合并母公司与子公司的资产、负债、所有者权益、收 入、费用和现金流等项目；抵销母公司对子公司的长期股权投资与母公司在子公司所有者权益中所享有的 份额；抵销母公司与子公司、子公司相互之间发生的内部交易的影响，内部交易表明相关资产发生减值损 失的，全额确认该部分损失；站在企业集团角度对特殊交易事项予以调整。</w:t>
      </w:r>
    </w:p>
    <w:p>
      <w:pPr>
        <w:pStyle w:val="Style31"/>
        <w:keepNext w:val="0"/>
        <w:keepLines w:val="0"/>
        <w:widowControl w:val="0"/>
        <w:shd w:val="clear" w:color="auto" w:fill="auto"/>
        <w:bidi w:val="0"/>
        <w:spacing w:before="0" w:after="100" w:line="269" w:lineRule="exact"/>
        <w:ind w:left="0" w:right="0" w:firstLine="440"/>
        <w:jc w:val="both"/>
        <w:rPr>
          <w:sz w:val="20"/>
          <w:szCs w:val="20"/>
        </w:rPr>
      </w:pPr>
      <w:r>
        <w:rPr>
          <w:color w:val="000000"/>
          <w:spacing w:val="0"/>
          <w:w w:val="100"/>
          <w:position w:val="0"/>
          <w:sz w:val="20"/>
          <w:szCs w:val="20"/>
        </w:rPr>
        <w:t>子公司所有者权益中不属于母公司的份额，作为少数股东权益，在合并资产负债表中所有者权益项目 下以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少数股东权益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项目列示。</w:t>
      </w:r>
    </w:p>
    <w:p>
      <w:pPr>
        <w:pStyle w:val="Style31"/>
        <w:keepNext w:val="0"/>
        <w:keepLines w:val="0"/>
        <w:widowControl w:val="0"/>
        <w:shd w:val="clear" w:color="auto" w:fill="auto"/>
        <w:bidi w:val="0"/>
        <w:spacing w:before="0" w:after="100" w:line="276" w:lineRule="exact"/>
        <w:ind w:left="0" w:right="0" w:firstLine="440"/>
        <w:jc w:val="both"/>
        <w:rPr>
          <w:sz w:val="20"/>
          <w:szCs w:val="20"/>
        </w:rPr>
      </w:pPr>
      <w:r>
        <w:rPr>
          <w:color w:val="000000"/>
          <w:spacing w:val="0"/>
          <w:w w:val="100"/>
          <w:position w:val="0"/>
          <w:sz w:val="20"/>
          <w:szCs w:val="20"/>
        </w:rPr>
        <w:t>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少数股东损益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项目 列示。子公司当期综合收益中属于少数股东权益的份额，在合并利润表中综合收益总额项目下以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归属于 少数股东的综合收益总额''项目列示。</w:t>
      </w:r>
    </w:p>
    <w:p>
      <w:pPr>
        <w:pStyle w:val="Style31"/>
        <w:keepNext w:val="0"/>
        <w:keepLines w:val="0"/>
        <w:widowControl w:val="0"/>
        <w:shd w:val="clear" w:color="auto" w:fill="auto"/>
        <w:bidi w:val="0"/>
        <w:spacing w:before="0" w:after="100" w:line="278" w:lineRule="exact"/>
        <w:ind w:left="0" w:right="0" w:firstLine="440"/>
        <w:jc w:val="both"/>
        <w:rPr>
          <w:sz w:val="20"/>
          <w:szCs w:val="20"/>
        </w:rPr>
      </w:pPr>
      <w:r>
        <w:rPr>
          <w:color w:val="000000"/>
          <w:spacing w:val="0"/>
          <w:w w:val="100"/>
          <w:position w:val="0"/>
          <w:sz w:val="20"/>
          <w:szCs w:val="20"/>
        </w:rPr>
        <w:t>子公司少数股东分担的当期亏损超过了少数股东在该子公司期初所有者权益中所享有的份额的，其余 额仍冲减少数股东权益。</w:t>
      </w:r>
    </w:p>
    <w:p>
      <w:pPr>
        <w:pStyle w:val="Style31"/>
        <w:keepNext w:val="0"/>
        <w:keepLines w:val="0"/>
        <w:widowControl w:val="0"/>
        <w:shd w:val="clear" w:color="auto" w:fill="auto"/>
        <w:bidi w:val="0"/>
        <w:spacing w:before="0" w:after="100" w:line="272" w:lineRule="exact"/>
        <w:ind w:left="0" w:right="0" w:firstLine="440"/>
        <w:jc w:val="both"/>
        <w:rPr>
          <w:sz w:val="20"/>
          <w:szCs w:val="20"/>
        </w:rPr>
      </w:pPr>
      <w:r>
        <w:rPr>
          <w:color w:val="000000"/>
          <w:spacing w:val="0"/>
          <w:w w:val="100"/>
          <w:position w:val="0"/>
          <w:sz w:val="20"/>
          <w:szCs w:val="20"/>
        </w:rPr>
        <w:t>向子公司出售资产所发生的未实现内部交易损益，全额抵销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归属于母公司所有者的净利润子公司 向母公司出售资产所发生的未实现内部交易损益，按照母公司对该子公司的分配比例在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归属于母公司所 有者的净利润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少数股东损益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之间分配抵销。子公司之间出售资产所发生的未实现内部交易损益，按照 母公司对出售方子公司的分配比例在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归属于母公司所有者的净利润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少数股东损益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之间分配抵销。</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本公司在报告期内因同一控制下企业合并增加的子公司以及业务，编制合并报表时，调整合并资产负 债表的期初数，将该子公司以及业务合并当期期初至报告期末的收入、费用、利润纳入合并利润表，现金 流量纳入合并现金流量表，同时对比较报表的相关项目进行调整，视同合并后的报告主体自最终控制方开 始控制时点起一直存在。</w:t>
      </w:r>
    </w:p>
    <w:p>
      <w:pPr>
        <w:pStyle w:val="Style31"/>
        <w:keepNext w:val="0"/>
        <w:keepLines w:val="0"/>
        <w:widowControl w:val="0"/>
        <w:shd w:val="clear" w:color="auto" w:fill="auto"/>
        <w:bidi w:val="0"/>
        <w:spacing w:before="0" w:line="274" w:lineRule="exact"/>
        <w:ind w:left="0" w:right="0" w:firstLine="440"/>
        <w:jc w:val="both"/>
        <w:rPr>
          <w:sz w:val="20"/>
          <w:szCs w:val="20"/>
        </w:rPr>
      </w:pPr>
      <w:r>
        <w:rPr>
          <w:color w:val="000000"/>
          <w:spacing w:val="0"/>
          <w:w w:val="100"/>
          <w:position w:val="0"/>
          <w:sz w:val="20"/>
          <w:szCs w:val="20"/>
        </w:rPr>
        <w:t>本公司在报告期内因非同一控制下企业合并或其他方式增加的子公司以及业务，编制合并资产负债表 时，不调整合并资产负债表的期初数，将该子公司以及业务购买日至报告期末的收入、费用、利润、现金 流量纳入合并利润表和合并现金流量表。</w:t>
      </w:r>
    </w:p>
    <w:p>
      <w:pPr>
        <w:pStyle w:val="Style31"/>
        <w:keepNext w:val="0"/>
        <w:keepLines w:val="0"/>
        <w:widowControl w:val="0"/>
        <w:shd w:val="clear" w:color="auto" w:fill="auto"/>
        <w:bidi w:val="0"/>
        <w:spacing w:before="0" w:line="274" w:lineRule="exact"/>
        <w:ind w:left="0" w:right="0" w:firstLine="440"/>
        <w:jc w:val="both"/>
        <w:rPr>
          <w:sz w:val="20"/>
          <w:szCs w:val="20"/>
        </w:rPr>
      </w:pPr>
      <w:r>
        <w:rPr>
          <w:color w:val="000000"/>
          <w:spacing w:val="0"/>
          <w:w w:val="100"/>
          <w:position w:val="0"/>
          <w:sz w:val="20"/>
          <w:szCs w:val="20"/>
        </w:rPr>
        <w:t>本公司在报告期内处置子公司以及业务，编制合并资产负债表时，不调整合并资产负债表的期初数， 该子公司以及业务期初至处置日的收入、费用、利润纳入合并利润表，现金流量纳入合并现金流量表。</w:t>
      </w:r>
    </w:p>
    <w:p>
      <w:pPr>
        <w:pStyle w:val="Style31"/>
        <w:keepNext w:val="0"/>
        <w:keepLines w:val="0"/>
        <w:widowControl w:val="0"/>
        <w:shd w:val="clear" w:color="auto" w:fill="auto"/>
        <w:bidi w:val="0"/>
        <w:spacing w:before="0" w:line="274" w:lineRule="exact"/>
        <w:ind w:left="0" w:right="0" w:firstLine="440"/>
        <w:jc w:val="both"/>
        <w:rPr>
          <w:sz w:val="20"/>
          <w:szCs w:val="20"/>
        </w:rPr>
      </w:pPr>
      <w:r>
        <w:rPr>
          <w:color w:val="000000"/>
          <w:spacing w:val="0"/>
          <w:w w:val="100"/>
          <w:position w:val="0"/>
          <w:sz w:val="20"/>
          <w:szCs w:val="20"/>
        </w:rPr>
        <w:t>母公司购买子公司少数股东拥有的子公司股权，在合并财务报表中，因购买少数股权新取得的长期股 权投资与按照新增持股比例计算应享有子公司自购买日或合并日开始持续计算的净资产份额之间的差额， 调整资本公积（资本溢价或股本溢价），资本公积不足冲减的，调整留存收益。</w:t>
      </w:r>
    </w:p>
    <w:p>
      <w:pPr>
        <w:pStyle w:val="Style31"/>
        <w:keepNext w:val="0"/>
        <w:keepLines w:val="0"/>
        <w:widowControl w:val="0"/>
        <w:shd w:val="clear" w:color="auto" w:fill="auto"/>
        <w:bidi w:val="0"/>
        <w:spacing w:before="0" w:line="272" w:lineRule="exact"/>
        <w:ind w:left="0" w:right="0" w:firstLine="440"/>
        <w:jc w:val="both"/>
        <w:rPr>
          <w:sz w:val="20"/>
          <w:szCs w:val="20"/>
        </w:rPr>
      </w:pPr>
      <w:r>
        <w:rPr>
          <w:color w:val="000000"/>
          <w:spacing w:val="0"/>
          <w:w w:val="100"/>
          <w:position w:val="0"/>
          <w:sz w:val="20"/>
          <w:szCs w:val="20"/>
        </w:rPr>
        <w:t>通过多次交易分步实现的同一控制下企业合并，不属于“一揽子交易”的，取得控制权日，合并方在 达到合并之前持有的长期股权投资，在取得日与合并方与被合并方同处于同一方最终控制之日熟晚日与合 并日之间已确认的有关损益、其他综合收益和其他所有者权益变动，分别冲减比较报表期间的期初留存收 益或当期损益。</w:t>
      </w:r>
    </w:p>
    <w:p>
      <w:pPr>
        <w:pStyle w:val="Style31"/>
        <w:keepNext w:val="0"/>
        <w:keepLines w:val="0"/>
        <w:widowControl w:val="0"/>
        <w:shd w:val="clear" w:color="auto" w:fill="auto"/>
        <w:bidi w:val="0"/>
        <w:spacing w:before="0" w:line="272" w:lineRule="exact"/>
        <w:ind w:left="0" w:right="0" w:firstLine="440"/>
        <w:jc w:val="both"/>
        <w:rPr>
          <w:sz w:val="20"/>
          <w:szCs w:val="20"/>
        </w:rPr>
      </w:pPr>
      <w:r>
        <w:rPr>
          <w:color w:val="000000"/>
          <w:spacing w:val="0"/>
          <w:w w:val="100"/>
          <w:position w:val="0"/>
          <w:sz w:val="20"/>
          <w:szCs w:val="20"/>
        </w:rPr>
        <w:t>通过多次交易分步实现非同一控制下企业合并，不属于“一揽子交易”的，在合并财务报表中，对于 购买日之前持有的被购买方的股权，按照该股权在购买日的公允价值进行重新计量，公允价值与其账面价 值的差额计入当期投资收益；购买日之前持有的被购买方的股权涉及权益法核算下的其他综合收益等的， 与其相关的其他综合收益等转为购买日所属当期收益。由于被投资方重新计量设定收益计划净负债或资产 变动而产生的其他综合收益除外。</w:t>
      </w:r>
    </w:p>
    <w:p>
      <w:pPr>
        <w:pStyle w:val="Style31"/>
        <w:keepNext w:val="0"/>
        <w:keepLines w:val="0"/>
        <w:widowControl w:val="0"/>
        <w:shd w:val="clear" w:color="auto" w:fill="auto"/>
        <w:bidi w:val="0"/>
        <w:spacing w:before="0" w:line="274" w:lineRule="exact"/>
        <w:ind w:left="0" w:right="0" w:firstLine="440"/>
        <w:jc w:val="both"/>
        <w:rPr>
          <w:sz w:val="20"/>
          <w:szCs w:val="20"/>
        </w:rPr>
      </w:pPr>
      <w:r>
        <w:rPr>
          <w:color w:val="000000"/>
          <w:spacing w:val="0"/>
          <w:w w:val="100"/>
          <w:position w:val="0"/>
          <w:sz w:val="20"/>
          <w:szCs w:val="20"/>
        </w:rPr>
        <w:t>母公司在不丧失控制权的情况下部分处置对子公司的长期股权投资，在合并财务报表中，处置价款与 处置长期股权投资相对应享有子公司自购买日或合并日开始持续计算的净资产份额之间的差额，调整资本 公积（资本溢价或股本溢价），资本公积不足冲减的，调整留存收益。</w:t>
      </w:r>
    </w:p>
    <w:p>
      <w:pPr>
        <w:pStyle w:val="Style31"/>
        <w:keepNext w:val="0"/>
        <w:keepLines w:val="0"/>
        <w:widowControl w:val="0"/>
        <w:shd w:val="clear" w:color="auto" w:fill="auto"/>
        <w:bidi w:val="0"/>
        <w:spacing w:before="0" w:line="272" w:lineRule="exact"/>
        <w:ind w:left="0" w:right="0" w:firstLine="440"/>
        <w:jc w:val="both"/>
        <w:rPr>
          <w:sz w:val="20"/>
          <w:szCs w:val="20"/>
        </w:rPr>
      </w:pPr>
      <w:r>
        <w:rPr>
          <w:color w:val="000000"/>
          <w:spacing w:val="0"/>
          <w:w w:val="100"/>
          <w:position w:val="0"/>
          <w:sz w:val="20"/>
          <w:szCs w:val="20"/>
        </w:rPr>
        <w:t>因处置部分股权投资等原因丧失了对被投资方的控制权的，在编制合并财务报表时，对于剩余股权， 按照其在丧失控制权日的公允价值进行重新计量。处置股权取得的对价与剩余股权公允价值之和，减去按 原持股比例计算应享有原有子公司自购买日或合并日开始持续计算的净资产的份额之间的差额，计入丧失 控制权当期的投资收益，同时冲减商誉。与原有子公司股权投资相关的其他综合收益等，在丧失控制权时 转为当期投资收益。</w:t>
      </w:r>
    </w:p>
    <w:p>
      <w:pPr>
        <w:pStyle w:val="Style31"/>
        <w:keepNext w:val="0"/>
        <w:keepLines w:val="0"/>
        <w:widowControl w:val="0"/>
        <w:shd w:val="clear" w:color="auto" w:fill="auto"/>
        <w:bidi w:val="0"/>
        <w:spacing w:before="0" w:line="272" w:lineRule="exact"/>
        <w:ind w:left="0" w:right="0" w:firstLine="440"/>
        <w:jc w:val="both"/>
        <w:rPr>
          <w:sz w:val="20"/>
          <w:szCs w:val="20"/>
        </w:rPr>
      </w:pPr>
      <w:r>
        <w:rPr>
          <w:color w:val="000000"/>
          <w:spacing w:val="0"/>
          <w:w w:val="100"/>
          <w:position w:val="0"/>
          <w:sz w:val="20"/>
          <w:szCs w:val="20"/>
        </w:rPr>
        <w:t>通过多次交易分步处置对子公司股权投资直至丧失控制权的，如果处置对子公司股权投资直至丧失控 制权的各项交易属于一揽子交易的，将各项交易作为一项处置子公司并丧失控制权的交易进行会计处理； 但是，在丧失控制权之前每一次处置价款与处置投资对应的享有该子公司净资产份额的差额，在合并财务 报表中确认为其他综合收益，在丧失控制权时一并转入丧失控制权当期的损益。</w:t>
      </w:r>
    </w:p>
    <w:p>
      <w:pPr>
        <w:pStyle w:val="Style31"/>
        <w:keepNext w:val="0"/>
        <w:keepLines w:val="0"/>
        <w:widowControl w:val="0"/>
        <w:shd w:val="clear" w:color="auto" w:fill="auto"/>
        <w:bidi w:val="0"/>
        <w:spacing w:before="0" w:line="273" w:lineRule="exact"/>
        <w:ind w:left="0" w:right="0" w:firstLine="440"/>
        <w:jc w:val="both"/>
        <w:rPr>
          <w:sz w:val="20"/>
          <w:szCs w:val="20"/>
        </w:rPr>
      </w:pPr>
      <w:r>
        <w:rPr>
          <w:color w:val="000000"/>
          <w:spacing w:val="0"/>
          <w:w w:val="100"/>
          <w:position w:val="0"/>
          <w:sz w:val="20"/>
          <w:szCs w:val="20"/>
        </w:rPr>
        <w:t>合并所有者权益变动表根据合并资产负债表和合并利润表编制。</w:t>
      </w:r>
    </w:p>
    <w:p>
      <w:pPr>
        <w:pStyle w:val="Style28"/>
        <w:keepNext/>
        <w:keepLines/>
        <w:widowControl w:val="0"/>
        <w:shd w:val="clear" w:color="auto" w:fill="auto"/>
        <w:tabs>
          <w:tab w:pos="548" w:val="left"/>
        </w:tabs>
        <w:bidi w:val="0"/>
        <w:spacing w:before="0" w:after="120" w:line="273" w:lineRule="exact"/>
        <w:ind w:left="0" w:right="0" w:firstLine="0"/>
        <w:jc w:val="both"/>
      </w:pPr>
      <w:bookmarkStart w:id="618" w:name="bookmark618"/>
      <w:bookmarkStart w:id="619" w:name="bookmark619"/>
      <w:bookmarkStart w:id="620" w:name="bookmark620"/>
      <w:bookmarkStart w:id="621" w:name="bookmark621"/>
      <w:r>
        <w:rPr>
          <w:color w:val="000000"/>
          <w:spacing w:val="0"/>
          <w:w w:val="100"/>
          <w:position w:val="0"/>
        </w:rPr>
        <w:t>（</w:t>
      </w:r>
      <w:bookmarkEnd w:id="620"/>
      <w:r>
        <w:rPr>
          <w:color w:val="000000"/>
          <w:spacing w:val="0"/>
          <w:w w:val="100"/>
          <w:position w:val="0"/>
        </w:rPr>
        <w:t>七）</w:t>
        <w:tab/>
        <w:t>合营安排的分类及共同经营的会计处理方法</w:t>
      </w:r>
      <w:bookmarkEnd w:id="618"/>
      <w:bookmarkEnd w:id="619"/>
      <w:bookmarkEnd w:id="621"/>
    </w:p>
    <w:p>
      <w:pPr>
        <w:pStyle w:val="Style31"/>
        <w:keepNext w:val="0"/>
        <w:keepLines w:val="0"/>
        <w:widowControl w:val="0"/>
        <w:shd w:val="clear" w:color="auto" w:fill="auto"/>
        <w:bidi w:val="0"/>
        <w:spacing w:before="0" w:line="278" w:lineRule="exact"/>
        <w:ind w:left="0" w:right="0" w:firstLine="440"/>
        <w:jc w:val="both"/>
        <w:rPr>
          <w:sz w:val="20"/>
          <w:szCs w:val="20"/>
        </w:rPr>
      </w:pPr>
      <w:r>
        <w:rPr>
          <w:color w:val="000000"/>
          <w:spacing w:val="0"/>
          <w:w w:val="100"/>
          <w:position w:val="0"/>
          <w:sz w:val="20"/>
          <w:szCs w:val="20"/>
        </w:rPr>
        <w:t>合营安排指一项由两个或两个以上的参与方共同控制的安排。共同控制，是指按照相关约定对某项安 排所共有的控制，并且该安排的相关活动必须经过分享控制权的参与方一致同意后才能决策。</w:t>
      </w:r>
    </w:p>
    <w:p>
      <w:pPr>
        <w:pStyle w:val="Style31"/>
        <w:keepNext w:val="0"/>
        <w:keepLines w:val="0"/>
        <w:widowControl w:val="0"/>
        <w:shd w:val="clear" w:color="auto" w:fill="auto"/>
        <w:bidi w:val="0"/>
        <w:spacing w:before="0" w:line="273" w:lineRule="exact"/>
        <w:ind w:left="0" w:right="0" w:firstLine="440"/>
        <w:jc w:val="both"/>
        <w:rPr>
          <w:sz w:val="20"/>
          <w:szCs w:val="20"/>
        </w:rPr>
      </w:pPr>
      <w:r>
        <w:rPr>
          <w:color w:val="000000"/>
          <w:spacing w:val="0"/>
          <w:w w:val="100"/>
          <w:position w:val="0"/>
          <w:sz w:val="20"/>
          <w:szCs w:val="20"/>
        </w:rPr>
        <w:t>本公司根据在合营安排中享有的权利和承担的义务将合营安排分为共同经营和合营企业。</w:t>
      </w:r>
    </w:p>
    <w:p>
      <w:pPr>
        <w:pStyle w:val="Style31"/>
        <w:keepNext w:val="0"/>
        <w:keepLines w:val="0"/>
        <w:widowControl w:val="0"/>
        <w:shd w:val="clear" w:color="auto" w:fill="auto"/>
        <w:bidi w:val="0"/>
        <w:spacing w:before="0" w:line="274" w:lineRule="exact"/>
        <w:ind w:left="0" w:right="0" w:firstLine="440"/>
        <w:jc w:val="both"/>
        <w:rPr>
          <w:sz w:val="20"/>
          <w:szCs w:val="20"/>
        </w:rPr>
      </w:pPr>
      <w:r>
        <w:rPr>
          <w:color w:val="000000"/>
          <w:spacing w:val="0"/>
          <w:w w:val="100"/>
          <w:position w:val="0"/>
          <w:sz w:val="20"/>
          <w:szCs w:val="20"/>
        </w:rPr>
        <w:t>共同经营，是指合营方享有该安排相关资产且承担该安排相关负债的合营安排。本公司作为共同经营 中的合营方按照相关企业会计准则的规定确认单独持有的资产和承担的负债，以及按份额确认持有的资产 和承担的负债，根据相关约定单独或按份额确认相关的收入和费用。与共同经营发生购买、销售不构成业 务的资产交易的，仅确认因该交易产生的损益中归属于共同经营其他参与方的部分。</w:t>
      </w:r>
    </w:p>
    <w:p>
      <w:pPr>
        <w:pStyle w:val="Style31"/>
        <w:keepNext w:val="0"/>
        <w:keepLines w:val="0"/>
        <w:widowControl w:val="0"/>
        <w:shd w:val="clear" w:color="auto" w:fill="auto"/>
        <w:bidi w:val="0"/>
        <w:spacing w:before="0" w:line="264" w:lineRule="exact"/>
        <w:ind w:left="0" w:right="0" w:firstLine="440"/>
        <w:jc w:val="both"/>
        <w:rPr>
          <w:sz w:val="20"/>
          <w:szCs w:val="20"/>
        </w:rPr>
      </w:pPr>
      <w:r>
        <w:rPr>
          <w:color w:val="000000"/>
          <w:spacing w:val="0"/>
          <w:w w:val="100"/>
          <w:position w:val="0"/>
          <w:sz w:val="20"/>
          <w:szCs w:val="20"/>
        </w:rPr>
        <w:t>合营企业是指合营方仅对该安排的净资产享有权利的合营安排。本公司作为合营企业的合营方按照 《企业会计准则第</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号</w:t>
      </w:r>
      <w:r>
        <w:rPr>
          <w:color w:val="000000"/>
          <w:spacing w:val="0"/>
          <w:w w:val="100"/>
          <w:position w:val="0"/>
          <w:sz w:val="20"/>
          <w:szCs w:val="20"/>
        </w:rPr>
        <w:t>一</w:t>
      </w:r>
      <w:r>
        <w:rPr>
          <w:color w:val="000000"/>
          <w:spacing w:val="0"/>
          <w:w w:val="100"/>
          <w:position w:val="0"/>
          <w:sz w:val="20"/>
          <w:szCs w:val="20"/>
        </w:rPr>
        <w:t>长期股权投资》的规定对合营企业的投资进行会计处理。</w:t>
      </w:r>
    </w:p>
    <w:p>
      <w:pPr>
        <w:pStyle w:val="Style28"/>
        <w:keepNext/>
        <w:keepLines/>
        <w:widowControl w:val="0"/>
        <w:shd w:val="clear" w:color="auto" w:fill="auto"/>
        <w:tabs>
          <w:tab w:pos="548" w:val="left"/>
        </w:tabs>
        <w:bidi w:val="0"/>
        <w:spacing w:before="0" w:after="120" w:line="273" w:lineRule="exact"/>
        <w:ind w:left="0" w:right="0" w:firstLine="0"/>
        <w:jc w:val="both"/>
      </w:pPr>
      <w:bookmarkStart w:id="622" w:name="bookmark622"/>
      <w:bookmarkStart w:id="623" w:name="bookmark623"/>
      <w:bookmarkStart w:id="624" w:name="bookmark624"/>
      <w:bookmarkStart w:id="625" w:name="bookmark625"/>
      <w:r>
        <w:rPr>
          <w:color w:val="000000"/>
          <w:spacing w:val="0"/>
          <w:w w:val="100"/>
          <w:position w:val="0"/>
        </w:rPr>
        <w:t>（</w:t>
      </w:r>
      <w:bookmarkEnd w:id="624"/>
      <w:r>
        <w:rPr>
          <w:color w:val="000000"/>
          <w:spacing w:val="0"/>
          <w:w w:val="100"/>
          <w:position w:val="0"/>
        </w:rPr>
        <w:t>八）</w:t>
        <w:tab/>
        <w:t>现金及现金等价物的确定标准</w:t>
      </w:r>
      <w:bookmarkEnd w:id="622"/>
      <w:bookmarkEnd w:id="623"/>
      <w:bookmarkEnd w:id="625"/>
    </w:p>
    <w:p>
      <w:pPr>
        <w:pStyle w:val="Style31"/>
        <w:keepNext w:val="0"/>
        <w:keepLines w:val="0"/>
        <w:widowControl w:val="0"/>
        <w:shd w:val="clear" w:color="auto" w:fill="auto"/>
        <w:bidi w:val="0"/>
        <w:spacing w:before="0" w:line="274" w:lineRule="exact"/>
        <w:ind w:left="0" w:right="0" w:firstLine="440"/>
        <w:jc w:val="both"/>
        <w:rPr>
          <w:sz w:val="20"/>
          <w:szCs w:val="20"/>
        </w:rPr>
      </w:pPr>
      <w:r>
        <w:rPr>
          <w:color w:val="000000"/>
          <w:spacing w:val="0"/>
          <w:w w:val="100"/>
          <w:position w:val="0"/>
          <w:sz w:val="20"/>
          <w:szCs w:val="20"/>
        </w:rPr>
        <w:t>本公司现金及现金等价物包括库存现金、可以随时用于支付的存款以及本公司持有的期限短（一般为 从购买日起，三个月内到期）、流动性强、易于转换为已知金额的现金、价值变动风险很小的投资。</w:t>
      </w:r>
    </w:p>
    <w:p>
      <w:pPr>
        <w:pStyle w:val="Style28"/>
        <w:keepNext/>
        <w:keepLines/>
        <w:widowControl w:val="0"/>
        <w:shd w:val="clear" w:color="auto" w:fill="auto"/>
        <w:bidi w:val="0"/>
        <w:spacing w:before="0" w:after="120" w:line="240" w:lineRule="auto"/>
        <w:ind w:left="0" w:right="0" w:firstLine="140"/>
        <w:jc w:val="both"/>
      </w:pPr>
      <w:bookmarkStart w:id="626" w:name="bookmark626"/>
      <w:bookmarkStart w:id="627" w:name="bookmark627"/>
      <w:bookmarkStart w:id="628" w:name="bookmark628"/>
      <w:bookmarkStart w:id="629" w:name="bookmark629"/>
      <w:r>
        <w:rPr>
          <w:color w:val="000000"/>
          <w:spacing w:val="0"/>
          <w:w w:val="100"/>
          <w:position w:val="0"/>
        </w:rPr>
        <w:t>（</w:t>
      </w:r>
      <w:bookmarkEnd w:id="628"/>
      <w:r>
        <w:rPr>
          <w:color w:val="000000"/>
          <w:spacing w:val="0"/>
          <w:w w:val="100"/>
          <w:position w:val="0"/>
        </w:rPr>
        <w:t>九）外币业务和外币报表折算</w:t>
      </w:r>
      <w:bookmarkEnd w:id="626"/>
      <w:bookmarkEnd w:id="627"/>
      <w:bookmarkEnd w:id="629"/>
    </w:p>
    <w:p>
      <w:pPr>
        <w:pStyle w:val="Style31"/>
        <w:keepNext w:val="0"/>
        <w:keepLines w:val="0"/>
        <w:widowControl w:val="0"/>
        <w:shd w:val="clear" w:color="auto" w:fill="auto"/>
        <w:tabs>
          <w:tab w:pos="808" w:val="left"/>
        </w:tabs>
        <w:bidi w:val="0"/>
        <w:spacing w:before="0" w:after="100" w:line="272" w:lineRule="exact"/>
        <w:ind w:left="0" w:right="0" w:firstLine="440"/>
        <w:jc w:val="both"/>
        <w:rPr>
          <w:sz w:val="20"/>
          <w:szCs w:val="20"/>
        </w:rPr>
      </w:pPr>
      <w:bookmarkStart w:id="630" w:name="bookmark630"/>
      <w:r>
        <w:rPr>
          <w:rFonts w:ascii="Times New Roman" w:eastAsia="Times New Roman" w:hAnsi="Times New Roman" w:cs="Times New Roman"/>
          <w:b/>
          <w:bCs/>
          <w:color w:val="000000"/>
          <w:spacing w:val="0"/>
          <w:w w:val="100"/>
          <w:position w:val="0"/>
          <w:sz w:val="20"/>
          <w:szCs w:val="20"/>
        </w:rPr>
        <w:t>1</w:t>
      </w:r>
      <w:bookmarkEnd w:id="630"/>
      <w:r>
        <w:rPr>
          <w:b/>
          <w:bCs/>
          <w:color w:val="000000"/>
          <w:spacing w:val="0"/>
          <w:w w:val="100"/>
          <w:position w:val="0"/>
          <w:sz w:val="20"/>
          <w:szCs w:val="20"/>
        </w:rPr>
        <w:t>、</w:t>
        <w:tab/>
        <w:t>外币业务折算</w:t>
      </w:r>
    </w:p>
    <w:p>
      <w:pPr>
        <w:pStyle w:val="Style31"/>
        <w:keepNext w:val="0"/>
        <w:keepLines w:val="0"/>
        <w:widowControl w:val="0"/>
        <w:shd w:val="clear" w:color="auto" w:fill="auto"/>
        <w:bidi w:val="0"/>
        <w:spacing w:before="0" w:after="100" w:line="269" w:lineRule="exact"/>
        <w:ind w:left="0" w:right="0" w:firstLine="440"/>
        <w:jc w:val="both"/>
        <w:rPr>
          <w:sz w:val="20"/>
          <w:szCs w:val="20"/>
        </w:rPr>
      </w:pPr>
      <w:r>
        <w:rPr>
          <w:color w:val="000000"/>
          <w:spacing w:val="0"/>
          <w:w w:val="100"/>
          <w:position w:val="0"/>
          <w:sz w:val="20"/>
          <w:szCs w:val="20"/>
        </w:rPr>
        <w:t>外币业务按交易发生日的即期汇率或所属当月期初汇率折合成记账本位币记账，期末分外币货币性项 目和外币非货币性项目进行处理。</w:t>
      </w:r>
    </w:p>
    <w:p>
      <w:pPr>
        <w:pStyle w:val="Style31"/>
        <w:keepNext w:val="0"/>
        <w:keepLines w:val="0"/>
        <w:widowControl w:val="0"/>
        <w:shd w:val="clear" w:color="auto" w:fill="auto"/>
        <w:bidi w:val="0"/>
        <w:spacing w:before="0" w:after="100" w:line="272" w:lineRule="exact"/>
        <w:ind w:left="0" w:right="0" w:firstLine="440"/>
        <w:jc w:val="both"/>
        <w:rPr>
          <w:sz w:val="20"/>
          <w:szCs w:val="20"/>
        </w:rPr>
      </w:pPr>
      <w:r>
        <w:rPr>
          <w:color w:val="000000"/>
          <w:spacing w:val="0"/>
          <w:w w:val="100"/>
          <w:position w:val="0"/>
          <w:sz w:val="20"/>
          <w:szCs w:val="20"/>
        </w:rPr>
        <w:t>外币货币性项目余额按资产负债表日即期汇率折算，由此产生的汇兑差额，除属于与购建符合资本化 条件的资产相关的外币专门借款产生的汇兑差额按照借款费用资本化的原则处理外，均计入当期损益。以 历史成本计量的外币非货币性项目，仍采用交易发生日的即期汇率折算，不改变其记账本位币金额。以公 允价值计量的外币非货币性项目，采用公允价值确定日的即期汇率折算，由此产生的汇兑差额计入当期损 益或其他综合收益。</w:t>
      </w:r>
    </w:p>
    <w:p>
      <w:pPr>
        <w:pStyle w:val="Style31"/>
        <w:keepNext w:val="0"/>
        <w:keepLines w:val="0"/>
        <w:widowControl w:val="0"/>
        <w:shd w:val="clear" w:color="auto" w:fill="auto"/>
        <w:tabs>
          <w:tab w:pos="818" w:val="left"/>
        </w:tabs>
        <w:bidi w:val="0"/>
        <w:spacing w:before="0" w:after="100" w:line="272" w:lineRule="exact"/>
        <w:ind w:left="0" w:right="0" w:firstLine="440"/>
        <w:jc w:val="both"/>
        <w:rPr>
          <w:sz w:val="20"/>
          <w:szCs w:val="20"/>
        </w:rPr>
      </w:pPr>
      <w:bookmarkStart w:id="631" w:name="bookmark631"/>
      <w:r>
        <w:rPr>
          <w:rFonts w:ascii="Times New Roman" w:eastAsia="Times New Roman" w:hAnsi="Times New Roman" w:cs="Times New Roman"/>
          <w:b/>
          <w:bCs/>
          <w:color w:val="000000"/>
          <w:spacing w:val="0"/>
          <w:w w:val="100"/>
          <w:position w:val="0"/>
          <w:sz w:val="20"/>
          <w:szCs w:val="20"/>
        </w:rPr>
        <w:t>2</w:t>
      </w:r>
      <w:bookmarkEnd w:id="631"/>
      <w:r>
        <w:rPr>
          <w:b/>
          <w:bCs/>
          <w:color w:val="000000"/>
          <w:spacing w:val="0"/>
          <w:w w:val="100"/>
          <w:position w:val="0"/>
          <w:sz w:val="20"/>
          <w:szCs w:val="20"/>
        </w:rPr>
        <w:t>、</w:t>
        <w:tab/>
        <w:t>外币报表折算</w:t>
      </w:r>
    </w:p>
    <w:p>
      <w:pPr>
        <w:pStyle w:val="Style31"/>
        <w:keepNext w:val="0"/>
        <w:keepLines w:val="0"/>
        <w:widowControl w:val="0"/>
        <w:shd w:val="clear" w:color="auto" w:fill="auto"/>
        <w:bidi w:val="0"/>
        <w:spacing w:before="0" w:after="100" w:line="270" w:lineRule="exact"/>
        <w:ind w:left="0" w:right="0" w:firstLine="440"/>
        <w:jc w:val="both"/>
        <w:rPr>
          <w:sz w:val="20"/>
          <w:szCs w:val="20"/>
        </w:rPr>
      </w:pPr>
      <w:r>
        <w:rPr>
          <w:color w:val="000000"/>
          <w:spacing w:val="0"/>
          <w:w w:val="100"/>
          <w:position w:val="0"/>
          <w:sz w:val="20"/>
          <w:szCs w:val="20"/>
        </w:rPr>
        <w:t>资产负债表中的资产和负债项目，采用资产负债表日的即期汇率折算；所有者权益项目除“未分配利 润”、“其他综合收益”项目外，其他项目采用发生时的即期汇率折算。利润表中的收入和费用项目，采 用交易发生日的即期汇率的近似汇率折算。按照上述折算产生的外币财务报表折算差额，在其他综合收益 项目下单独列示“外币报表折算差额”项目。外币现金流量以及境外子公司的现金流量采用现金流量发生 日的即期汇率的近似汇率折算。汇率变动对现金的影响额，在现金流量表中单独列示。</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处置境外经营时，将资产负债表中其他综合收益项目下列示的、与该境外经营相关的外币财务报表折 算差额，自其他综合收益项目转入处置当期损益；部分处置境外经营的，按处置的比例计算处置部分的外 币财务报表折算差额，转入处置当期损益。</w:t>
      </w:r>
    </w:p>
    <w:p>
      <w:pPr>
        <w:pStyle w:val="Style28"/>
        <w:keepNext/>
        <w:keepLines/>
        <w:widowControl w:val="0"/>
        <w:shd w:val="clear" w:color="auto" w:fill="auto"/>
        <w:bidi w:val="0"/>
        <w:spacing w:before="0" w:after="100" w:line="272" w:lineRule="exact"/>
        <w:ind w:left="0" w:right="0" w:firstLine="0"/>
        <w:jc w:val="both"/>
      </w:pPr>
      <w:bookmarkStart w:id="632" w:name="bookmark632"/>
      <w:bookmarkStart w:id="633" w:name="bookmark633"/>
      <w:bookmarkStart w:id="634" w:name="bookmark634"/>
      <w:r>
        <w:rPr>
          <w:color w:val="000000"/>
          <w:spacing w:val="0"/>
          <w:w w:val="100"/>
          <w:position w:val="0"/>
        </w:rPr>
        <w:t>（十）金融工具</w:t>
      </w:r>
      <w:bookmarkEnd w:id="632"/>
      <w:bookmarkEnd w:id="633"/>
      <w:bookmarkEnd w:id="634"/>
    </w:p>
    <w:p>
      <w:pPr>
        <w:pStyle w:val="Style31"/>
        <w:keepNext w:val="0"/>
        <w:keepLines w:val="0"/>
        <w:widowControl w:val="0"/>
        <w:shd w:val="clear" w:color="auto" w:fill="auto"/>
        <w:bidi w:val="0"/>
        <w:spacing w:before="0" w:after="100" w:line="272" w:lineRule="exact"/>
        <w:ind w:left="0" w:right="0" w:firstLine="440"/>
        <w:jc w:val="both"/>
        <w:rPr>
          <w:sz w:val="20"/>
          <w:szCs w:val="20"/>
        </w:rPr>
      </w:pPr>
      <w:r>
        <w:rPr>
          <w:color w:val="000000"/>
          <w:spacing w:val="0"/>
          <w:w w:val="100"/>
          <w:position w:val="0"/>
          <w:sz w:val="20"/>
          <w:szCs w:val="20"/>
        </w:rPr>
        <w:t>金融工具包括金融资产、金融负债和权益工具。</w:t>
      </w:r>
    </w:p>
    <w:p>
      <w:pPr>
        <w:pStyle w:val="Style31"/>
        <w:keepNext w:val="0"/>
        <w:keepLines w:val="0"/>
        <w:widowControl w:val="0"/>
        <w:shd w:val="clear" w:color="auto" w:fill="auto"/>
        <w:tabs>
          <w:tab w:pos="808" w:val="left"/>
        </w:tabs>
        <w:bidi w:val="0"/>
        <w:spacing w:before="0" w:after="100" w:line="272" w:lineRule="exact"/>
        <w:ind w:left="0" w:right="0" w:firstLine="440"/>
        <w:jc w:val="both"/>
        <w:rPr>
          <w:sz w:val="20"/>
          <w:szCs w:val="20"/>
        </w:rPr>
      </w:pPr>
      <w:bookmarkStart w:id="635" w:name="bookmark635"/>
      <w:r>
        <w:rPr>
          <w:rFonts w:ascii="Times New Roman" w:eastAsia="Times New Roman" w:hAnsi="Times New Roman" w:cs="Times New Roman"/>
          <w:b/>
          <w:bCs/>
          <w:color w:val="000000"/>
          <w:spacing w:val="0"/>
          <w:w w:val="100"/>
          <w:position w:val="0"/>
          <w:sz w:val="20"/>
          <w:szCs w:val="20"/>
        </w:rPr>
        <w:t>1</w:t>
      </w:r>
      <w:bookmarkEnd w:id="635"/>
      <w:r>
        <w:rPr>
          <w:b/>
          <w:bCs/>
          <w:color w:val="000000"/>
          <w:spacing w:val="0"/>
          <w:w w:val="100"/>
          <w:position w:val="0"/>
          <w:sz w:val="20"/>
          <w:szCs w:val="20"/>
        </w:rPr>
        <w:t>、</w:t>
        <w:tab/>
        <w:t>金融工具的分类</w:t>
      </w:r>
    </w:p>
    <w:p>
      <w:pPr>
        <w:pStyle w:val="Style31"/>
        <w:keepNext w:val="0"/>
        <w:keepLines w:val="0"/>
        <w:widowControl w:val="0"/>
        <w:shd w:val="clear" w:color="auto" w:fill="auto"/>
        <w:bidi w:val="0"/>
        <w:spacing w:before="0" w:after="100" w:line="272" w:lineRule="exact"/>
        <w:ind w:left="0" w:right="0" w:firstLine="440"/>
        <w:jc w:val="left"/>
        <w:rPr>
          <w:sz w:val="20"/>
          <w:szCs w:val="20"/>
        </w:rPr>
      </w:pPr>
      <w:r>
        <w:rPr>
          <w:color w:val="000000"/>
          <w:spacing w:val="0"/>
          <w:w w:val="100"/>
          <w:position w:val="0"/>
          <w:sz w:val="20"/>
          <w:szCs w:val="20"/>
        </w:rPr>
        <w:t>本公司根据投资目的和经济实质以及风险管理的要求，将金融资产在初始确认时划分为下列四类：（</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以公允价值计量且其变动计入当期损益的金融资产，包括交易性金融资产和指定为以公允价值计量且其变 动计入当期损益的金融资产；（</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）持有至到期投资；（</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）应收款项；（</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）可供出售金融资产。将金融负债 在初始确认时划分为下列两类：（</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）以公允价值计量且其变动计入当期损益的金融负债，包括交易性金融 负债和指定为以公允价值计量且其变动计入当期损益的金融负债；（</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）其他金融负债。</w:t>
      </w:r>
    </w:p>
    <w:p>
      <w:pPr>
        <w:pStyle w:val="Style31"/>
        <w:keepNext w:val="0"/>
        <w:keepLines w:val="0"/>
        <w:widowControl w:val="0"/>
        <w:shd w:val="clear" w:color="auto" w:fill="auto"/>
        <w:tabs>
          <w:tab w:pos="818" w:val="left"/>
        </w:tabs>
        <w:bidi w:val="0"/>
        <w:spacing w:before="0" w:after="100" w:line="272" w:lineRule="exact"/>
        <w:ind w:left="0" w:right="0" w:firstLine="440"/>
        <w:jc w:val="both"/>
        <w:rPr>
          <w:sz w:val="20"/>
          <w:szCs w:val="20"/>
        </w:rPr>
      </w:pPr>
      <w:bookmarkStart w:id="636" w:name="bookmark636"/>
      <w:r>
        <w:rPr>
          <w:rFonts w:ascii="Times New Roman" w:eastAsia="Times New Roman" w:hAnsi="Times New Roman" w:cs="Times New Roman"/>
          <w:b/>
          <w:bCs/>
          <w:color w:val="000000"/>
          <w:spacing w:val="0"/>
          <w:w w:val="100"/>
          <w:position w:val="0"/>
          <w:sz w:val="20"/>
          <w:szCs w:val="20"/>
        </w:rPr>
        <w:t>2</w:t>
      </w:r>
      <w:bookmarkEnd w:id="636"/>
      <w:r>
        <w:rPr>
          <w:b/>
          <w:bCs/>
          <w:color w:val="000000"/>
          <w:spacing w:val="0"/>
          <w:w w:val="100"/>
          <w:position w:val="0"/>
          <w:sz w:val="20"/>
          <w:szCs w:val="20"/>
        </w:rPr>
        <w:t>、</w:t>
        <w:tab/>
        <w:t>金融工具的确认依据和计量方法</w:t>
      </w:r>
    </w:p>
    <w:p>
      <w:pPr>
        <w:pStyle w:val="Style31"/>
        <w:keepNext w:val="0"/>
        <w:keepLines w:val="0"/>
        <w:widowControl w:val="0"/>
        <w:shd w:val="clear" w:color="auto" w:fill="auto"/>
        <w:bidi w:val="0"/>
        <w:spacing w:before="0" w:after="100" w:line="278" w:lineRule="exact"/>
        <w:ind w:left="0" w:right="0" w:firstLine="440"/>
        <w:jc w:val="both"/>
        <w:rPr>
          <w:sz w:val="20"/>
          <w:szCs w:val="20"/>
        </w:rPr>
      </w:pPr>
      <w:r>
        <w:rPr>
          <w:color w:val="000000"/>
          <w:spacing w:val="0"/>
          <w:w w:val="100"/>
          <w:position w:val="0"/>
          <w:sz w:val="20"/>
          <w:szCs w:val="20"/>
        </w:rPr>
        <w:t>本公司在成为金融工具合同的一方时，确认一项金融资产或金融负债。对各项金融工具的计量方法如 下：</w:t>
      </w:r>
    </w:p>
    <w:p>
      <w:pPr>
        <w:pStyle w:val="Style31"/>
        <w:keepNext w:val="0"/>
        <w:keepLines w:val="0"/>
        <w:widowControl w:val="0"/>
        <w:shd w:val="clear" w:color="auto" w:fill="auto"/>
        <w:tabs>
          <w:tab w:pos="928" w:val="left"/>
        </w:tabs>
        <w:bidi w:val="0"/>
        <w:spacing w:before="0" w:after="100" w:line="272" w:lineRule="exact"/>
        <w:ind w:left="0" w:right="0" w:firstLine="440"/>
        <w:jc w:val="left"/>
        <w:rPr>
          <w:sz w:val="20"/>
          <w:szCs w:val="20"/>
        </w:rPr>
      </w:pPr>
      <w:bookmarkStart w:id="637" w:name="bookmark637"/>
      <w:r>
        <w:rPr>
          <w:color w:val="000000"/>
          <w:spacing w:val="0"/>
          <w:w w:val="100"/>
          <w:position w:val="0"/>
          <w:sz w:val="20"/>
          <w:szCs w:val="20"/>
        </w:rPr>
        <w:t>（</w:t>
      </w:r>
      <w:bookmarkEnd w:id="63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以公允价值计量且其变动计入当期损益的金融资产（金融负债）</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取得时以公允价值（扣除已宣告但尚未发放的现金股利或已到付息期但尚未领取的债券利息）作为初 始确认金额，相关的交易费用计入当期损益。</w:t>
      </w:r>
    </w:p>
    <w:p>
      <w:pPr>
        <w:pStyle w:val="Style31"/>
        <w:keepNext w:val="0"/>
        <w:keepLines w:val="0"/>
        <w:widowControl w:val="0"/>
        <w:shd w:val="clear" w:color="auto" w:fill="auto"/>
        <w:bidi w:val="0"/>
        <w:spacing w:before="0" w:after="100" w:line="272" w:lineRule="exact"/>
        <w:ind w:left="0" w:right="0" w:firstLine="440"/>
        <w:jc w:val="left"/>
        <w:rPr>
          <w:sz w:val="20"/>
          <w:szCs w:val="20"/>
        </w:rPr>
      </w:pPr>
      <w:r>
        <w:rPr>
          <w:color w:val="000000"/>
          <w:spacing w:val="0"/>
          <w:w w:val="100"/>
          <w:position w:val="0"/>
          <w:sz w:val="20"/>
          <w:szCs w:val="20"/>
        </w:rPr>
        <w:t>持有期间将取得的利息或现金股利确认为投资收益，期末将公允价值变动计入当期损益。</w:t>
      </w:r>
    </w:p>
    <w:p>
      <w:pPr>
        <w:pStyle w:val="Style31"/>
        <w:keepNext w:val="0"/>
        <w:keepLines w:val="0"/>
        <w:widowControl w:val="0"/>
        <w:shd w:val="clear" w:color="auto" w:fill="auto"/>
        <w:bidi w:val="0"/>
        <w:spacing w:before="0" w:after="100" w:line="272" w:lineRule="exact"/>
        <w:ind w:left="0" w:right="0" w:firstLine="440"/>
        <w:jc w:val="left"/>
        <w:rPr>
          <w:sz w:val="20"/>
          <w:szCs w:val="20"/>
        </w:rPr>
      </w:pPr>
      <w:r>
        <w:rPr>
          <w:color w:val="000000"/>
          <w:spacing w:val="0"/>
          <w:w w:val="100"/>
          <w:position w:val="0"/>
          <w:sz w:val="20"/>
          <w:szCs w:val="20"/>
        </w:rPr>
        <w:t>处置时，其公允价值与初始入账金额之间的差额确认为投资收益，同时调整公允价值变动损益。</w:t>
      </w:r>
    </w:p>
    <w:p>
      <w:pPr>
        <w:pStyle w:val="Style31"/>
        <w:keepNext w:val="0"/>
        <w:keepLines w:val="0"/>
        <w:widowControl w:val="0"/>
        <w:shd w:val="clear" w:color="auto" w:fill="auto"/>
        <w:tabs>
          <w:tab w:pos="928" w:val="left"/>
        </w:tabs>
        <w:bidi w:val="0"/>
        <w:spacing w:before="0" w:after="100" w:line="272" w:lineRule="exact"/>
        <w:ind w:left="0" w:right="0" w:firstLine="440"/>
        <w:jc w:val="both"/>
        <w:rPr>
          <w:sz w:val="20"/>
          <w:szCs w:val="20"/>
        </w:rPr>
      </w:pPr>
      <w:bookmarkStart w:id="638" w:name="bookmark638"/>
      <w:r>
        <w:rPr>
          <w:color w:val="000000"/>
          <w:spacing w:val="0"/>
          <w:w w:val="100"/>
          <w:position w:val="0"/>
          <w:sz w:val="20"/>
          <w:szCs w:val="20"/>
        </w:rPr>
        <w:t>（</w:t>
      </w:r>
      <w:bookmarkEnd w:id="63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持有至到期投资</w:t>
      </w:r>
    </w:p>
    <w:p>
      <w:pPr>
        <w:pStyle w:val="Style31"/>
        <w:keepNext w:val="0"/>
        <w:keepLines w:val="0"/>
        <w:widowControl w:val="0"/>
        <w:shd w:val="clear" w:color="auto" w:fill="auto"/>
        <w:bidi w:val="0"/>
        <w:spacing w:before="0" w:after="100" w:line="272" w:lineRule="exact"/>
        <w:ind w:left="0" w:right="0" w:firstLine="440"/>
        <w:jc w:val="both"/>
        <w:rPr>
          <w:sz w:val="20"/>
          <w:szCs w:val="20"/>
        </w:rPr>
      </w:pPr>
      <w:r>
        <w:rPr>
          <w:color w:val="000000"/>
          <w:spacing w:val="0"/>
          <w:w w:val="100"/>
          <w:position w:val="0"/>
          <w:sz w:val="20"/>
          <w:szCs w:val="20"/>
        </w:rPr>
        <w:t>取得时按公允价值（扣除已到付息期但尚未领取的债券利息）和相关交易费用之和作为初始确认金额。</w:t>
      </w:r>
    </w:p>
    <w:p>
      <w:pPr>
        <w:pStyle w:val="Style31"/>
        <w:keepNext w:val="0"/>
        <w:keepLines w:val="0"/>
        <w:widowControl w:val="0"/>
        <w:shd w:val="clear" w:color="auto" w:fill="auto"/>
        <w:bidi w:val="0"/>
        <w:spacing w:before="0" w:after="100" w:line="269" w:lineRule="exact"/>
        <w:ind w:left="0" w:right="0" w:firstLine="440"/>
        <w:jc w:val="both"/>
        <w:rPr>
          <w:sz w:val="20"/>
          <w:szCs w:val="20"/>
        </w:rPr>
      </w:pPr>
      <w:r>
        <w:rPr>
          <w:color w:val="000000"/>
          <w:spacing w:val="0"/>
          <w:w w:val="100"/>
          <w:position w:val="0"/>
          <w:sz w:val="20"/>
          <w:szCs w:val="20"/>
        </w:rPr>
        <w:t>持有期间按照摊余成本和实际利率计算确认利息收入，计入投资收益。实际利率在取得时确定，在该 预期存续期间或适用的更短期间内保持不变。</w:t>
      </w:r>
    </w:p>
    <w:p>
      <w:pPr>
        <w:pStyle w:val="Style31"/>
        <w:keepNext w:val="0"/>
        <w:keepLines w:val="0"/>
        <w:widowControl w:val="0"/>
        <w:shd w:val="clear" w:color="auto" w:fill="auto"/>
        <w:bidi w:val="0"/>
        <w:spacing w:before="0" w:after="100" w:line="272" w:lineRule="exact"/>
        <w:ind w:left="0" w:right="0" w:firstLine="440"/>
        <w:jc w:val="left"/>
        <w:rPr>
          <w:sz w:val="20"/>
          <w:szCs w:val="20"/>
        </w:rPr>
      </w:pPr>
      <w:r>
        <w:rPr>
          <w:color w:val="000000"/>
          <w:spacing w:val="0"/>
          <w:w w:val="100"/>
          <w:position w:val="0"/>
          <w:sz w:val="20"/>
          <w:szCs w:val="20"/>
        </w:rPr>
        <w:t>处置时，将所取得价款与该投资账面价值之间的差额计入投资收益。</w:t>
      </w:r>
    </w:p>
    <w:p>
      <w:pPr>
        <w:pStyle w:val="Style31"/>
        <w:keepNext w:val="0"/>
        <w:keepLines w:val="0"/>
        <w:widowControl w:val="0"/>
        <w:shd w:val="clear" w:color="auto" w:fill="auto"/>
        <w:tabs>
          <w:tab w:pos="928" w:val="left"/>
        </w:tabs>
        <w:bidi w:val="0"/>
        <w:spacing w:before="0" w:after="100" w:line="272" w:lineRule="exact"/>
        <w:ind w:left="0" w:right="0" w:firstLine="440"/>
        <w:jc w:val="both"/>
        <w:rPr>
          <w:sz w:val="20"/>
          <w:szCs w:val="20"/>
        </w:rPr>
      </w:pPr>
      <w:bookmarkStart w:id="639" w:name="bookmark639"/>
      <w:r>
        <w:rPr>
          <w:color w:val="000000"/>
          <w:spacing w:val="0"/>
          <w:w w:val="100"/>
          <w:position w:val="0"/>
          <w:sz w:val="20"/>
          <w:szCs w:val="20"/>
        </w:rPr>
        <w:t>（</w:t>
      </w:r>
      <w:bookmarkEnd w:id="639"/>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应收款项</w:t>
      </w:r>
    </w:p>
    <w:p>
      <w:pPr>
        <w:pStyle w:val="Style31"/>
        <w:keepNext w:val="0"/>
        <w:keepLines w:val="0"/>
        <w:widowControl w:val="0"/>
        <w:shd w:val="clear" w:color="auto" w:fill="auto"/>
        <w:bidi w:val="0"/>
        <w:spacing w:before="0" w:after="100" w:line="269" w:lineRule="exact"/>
        <w:ind w:left="0" w:right="0" w:firstLine="440"/>
        <w:jc w:val="both"/>
        <w:rPr>
          <w:sz w:val="20"/>
          <w:szCs w:val="20"/>
        </w:rPr>
      </w:pPr>
      <w:r>
        <w:rPr>
          <w:color w:val="000000"/>
          <w:spacing w:val="0"/>
          <w:w w:val="100"/>
          <w:position w:val="0"/>
          <w:sz w:val="20"/>
          <w:szCs w:val="20"/>
        </w:rPr>
        <w:t xml:space="preserve">对外销售商品或提供劳务形成的应收债权，以及持有的其他企业的不包括在活跃市场上有报价的债务 工具的债权，包括应收账款、应收票据、预付账款、其他应收款等，以向购货方应收的合同或协议价款作 </w:t>
      </w:r>
      <w:r>
        <w:rPr>
          <w:color w:val="000000"/>
          <w:spacing w:val="0"/>
          <w:w w:val="100"/>
          <w:position w:val="0"/>
          <w:sz w:val="20"/>
          <w:szCs w:val="20"/>
        </w:rPr>
        <w:t>为初始确认金额；具有融资性质的，按其现值进行初始确认。</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收回或处置时，将取得的价款与该应收款项账面价值之间的差额计入当期损益。</w:t>
      </w:r>
    </w:p>
    <w:p>
      <w:pPr>
        <w:pStyle w:val="Style31"/>
        <w:keepNext w:val="0"/>
        <w:keepLines w:val="0"/>
        <w:widowControl w:val="0"/>
        <w:shd w:val="clear" w:color="auto" w:fill="auto"/>
        <w:tabs>
          <w:tab w:pos="928" w:val="left"/>
        </w:tabs>
        <w:bidi w:val="0"/>
        <w:spacing w:before="0" w:after="100" w:line="274" w:lineRule="exact"/>
        <w:ind w:left="0" w:right="0" w:firstLine="440"/>
        <w:jc w:val="both"/>
        <w:rPr>
          <w:sz w:val="20"/>
          <w:szCs w:val="20"/>
        </w:rPr>
      </w:pPr>
      <w:bookmarkStart w:id="640" w:name="bookmark640"/>
      <w:r>
        <w:rPr>
          <w:color w:val="000000"/>
          <w:spacing w:val="0"/>
          <w:w w:val="100"/>
          <w:position w:val="0"/>
          <w:sz w:val="20"/>
          <w:szCs w:val="20"/>
        </w:rPr>
        <w:t>（</w:t>
      </w:r>
      <w:bookmarkEnd w:id="640"/>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可供出售金融资产</w:t>
      </w:r>
    </w:p>
    <w:p>
      <w:pPr>
        <w:pStyle w:val="Style31"/>
        <w:keepNext w:val="0"/>
        <w:keepLines w:val="0"/>
        <w:widowControl w:val="0"/>
        <w:shd w:val="clear" w:color="auto" w:fill="auto"/>
        <w:bidi w:val="0"/>
        <w:spacing w:before="0" w:after="100" w:line="278" w:lineRule="exact"/>
        <w:ind w:left="0" w:right="0" w:firstLine="440"/>
        <w:jc w:val="both"/>
        <w:rPr>
          <w:sz w:val="20"/>
          <w:szCs w:val="20"/>
        </w:rPr>
      </w:pPr>
      <w:r>
        <w:rPr>
          <w:color w:val="000000"/>
          <w:spacing w:val="0"/>
          <w:w w:val="100"/>
          <w:position w:val="0"/>
          <w:sz w:val="20"/>
          <w:szCs w:val="20"/>
        </w:rPr>
        <w:t>取得时按公允价值（扣除已宣告但尚未发放的现金股利或已到付息期但尚未领取的债券利息）和相关 交易费用之和作为初始确认金额。</w:t>
      </w:r>
    </w:p>
    <w:p>
      <w:pPr>
        <w:pStyle w:val="Style31"/>
        <w:keepNext w:val="0"/>
        <w:keepLines w:val="0"/>
        <w:widowControl w:val="0"/>
        <w:shd w:val="clear" w:color="auto" w:fill="auto"/>
        <w:bidi w:val="0"/>
        <w:spacing w:before="0" w:after="100" w:line="271" w:lineRule="exact"/>
        <w:ind w:left="0" w:right="0" w:firstLine="440"/>
        <w:jc w:val="both"/>
        <w:rPr>
          <w:sz w:val="20"/>
          <w:szCs w:val="20"/>
        </w:rPr>
      </w:pPr>
      <w:r>
        <w:rPr>
          <w:color w:val="000000"/>
          <w:spacing w:val="0"/>
          <w:w w:val="100"/>
          <w:position w:val="0"/>
          <w:sz w:val="20"/>
          <w:szCs w:val="20"/>
        </w:rPr>
        <w:t>持有期间将取得的利息或现金股利确认为投资收益。期末以公允价值计量且将公允价值变动计入其他 综合收益。对被投资单位不具有控制、共同控制或重大影响并且在活跃市场中没有报价、公允价值不能可 靠计量的股权投资，作为可供出售金融资产列报，按成本进行后续计量。</w:t>
      </w:r>
    </w:p>
    <w:p>
      <w:pPr>
        <w:pStyle w:val="Style31"/>
        <w:keepNext w:val="0"/>
        <w:keepLines w:val="0"/>
        <w:widowControl w:val="0"/>
        <w:shd w:val="clear" w:color="auto" w:fill="auto"/>
        <w:bidi w:val="0"/>
        <w:spacing w:before="0" w:after="100" w:line="278" w:lineRule="exact"/>
        <w:ind w:left="0" w:right="0" w:firstLine="440"/>
        <w:jc w:val="both"/>
        <w:rPr>
          <w:sz w:val="20"/>
          <w:szCs w:val="20"/>
        </w:rPr>
      </w:pPr>
      <w:r>
        <w:rPr>
          <w:color w:val="000000"/>
          <w:spacing w:val="0"/>
          <w:w w:val="100"/>
          <w:position w:val="0"/>
          <w:sz w:val="20"/>
          <w:szCs w:val="20"/>
        </w:rPr>
        <w:t>处置时，将取得的价款与该金融资产账面价值之间的差额，计入投资损益；同时，将原其他综合收益 的公允价值变动累计额对应处置部分的金额转出，计入投资损益。</w:t>
      </w:r>
    </w:p>
    <w:p>
      <w:pPr>
        <w:pStyle w:val="Style31"/>
        <w:keepNext w:val="0"/>
        <w:keepLines w:val="0"/>
        <w:widowControl w:val="0"/>
        <w:shd w:val="clear" w:color="auto" w:fill="auto"/>
        <w:tabs>
          <w:tab w:pos="928" w:val="left"/>
        </w:tabs>
        <w:bidi w:val="0"/>
        <w:spacing w:before="0" w:after="100" w:line="274" w:lineRule="exact"/>
        <w:ind w:left="0" w:right="0" w:firstLine="440"/>
        <w:jc w:val="both"/>
        <w:rPr>
          <w:sz w:val="20"/>
          <w:szCs w:val="20"/>
        </w:rPr>
      </w:pPr>
      <w:bookmarkStart w:id="641" w:name="bookmark641"/>
      <w:r>
        <w:rPr>
          <w:color w:val="000000"/>
          <w:spacing w:val="0"/>
          <w:w w:val="100"/>
          <w:position w:val="0"/>
          <w:sz w:val="20"/>
          <w:szCs w:val="20"/>
        </w:rPr>
        <w:t>（</w:t>
      </w:r>
      <w:bookmarkEnd w:id="641"/>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其他金融负债</w:t>
      </w:r>
    </w:p>
    <w:p>
      <w:pPr>
        <w:pStyle w:val="Style31"/>
        <w:keepNext w:val="0"/>
        <w:keepLines w:val="0"/>
        <w:widowControl w:val="0"/>
        <w:shd w:val="clear" w:color="auto" w:fill="auto"/>
        <w:bidi w:val="0"/>
        <w:spacing w:before="0" w:after="160" w:line="274" w:lineRule="exact"/>
        <w:ind w:left="0" w:right="0" w:firstLine="440"/>
        <w:jc w:val="left"/>
        <w:rPr>
          <w:sz w:val="20"/>
          <w:szCs w:val="20"/>
        </w:rPr>
      </w:pPr>
      <w:r>
        <w:rPr>
          <w:color w:val="000000"/>
          <w:spacing w:val="0"/>
          <w:w w:val="100"/>
          <w:position w:val="0"/>
          <w:sz w:val="20"/>
          <w:szCs w:val="20"/>
        </w:rPr>
        <w:t>按其公允价值和相关交易费用之和作为初始确认金额，采用摊余成本进行后续计量。</w:t>
      </w:r>
    </w:p>
    <w:p>
      <w:pPr>
        <w:pStyle w:val="Style31"/>
        <w:keepNext w:val="0"/>
        <w:keepLines w:val="0"/>
        <w:widowControl w:val="0"/>
        <w:shd w:val="clear" w:color="auto" w:fill="auto"/>
        <w:tabs>
          <w:tab w:pos="836" w:val="left"/>
        </w:tabs>
        <w:bidi w:val="0"/>
        <w:spacing w:before="0" w:after="100" w:line="286" w:lineRule="auto"/>
        <w:ind w:left="0" w:right="0" w:firstLine="440"/>
        <w:jc w:val="both"/>
        <w:rPr>
          <w:sz w:val="20"/>
          <w:szCs w:val="20"/>
        </w:rPr>
      </w:pPr>
      <w:bookmarkStart w:id="642" w:name="bookmark642"/>
      <w:r>
        <w:rPr>
          <w:rFonts w:ascii="Times New Roman" w:eastAsia="Times New Roman" w:hAnsi="Times New Roman" w:cs="Times New Roman"/>
          <w:b/>
          <w:bCs/>
          <w:color w:val="000000"/>
          <w:spacing w:val="0"/>
          <w:w w:val="100"/>
          <w:position w:val="0"/>
          <w:sz w:val="20"/>
          <w:szCs w:val="20"/>
        </w:rPr>
        <w:t>3</w:t>
      </w:r>
      <w:bookmarkEnd w:id="642"/>
      <w:r>
        <w:rPr>
          <w:b/>
          <w:bCs/>
          <w:color w:val="000000"/>
          <w:spacing w:val="0"/>
          <w:w w:val="100"/>
          <w:position w:val="0"/>
          <w:sz w:val="20"/>
          <w:szCs w:val="20"/>
        </w:rPr>
        <w:t>、</w:t>
        <w:tab/>
        <w:t>金融资产转移的确认依据和计量方法</w:t>
      </w:r>
    </w:p>
    <w:p>
      <w:pPr>
        <w:pStyle w:val="Style31"/>
        <w:keepNext w:val="0"/>
        <w:keepLines w:val="0"/>
        <w:widowControl w:val="0"/>
        <w:shd w:val="clear" w:color="auto" w:fill="auto"/>
        <w:bidi w:val="0"/>
        <w:spacing w:before="0" w:after="100" w:line="276" w:lineRule="exact"/>
        <w:ind w:left="0" w:right="0" w:firstLine="440"/>
        <w:jc w:val="both"/>
        <w:rPr>
          <w:sz w:val="20"/>
          <w:szCs w:val="20"/>
        </w:rPr>
      </w:pPr>
      <w:r>
        <w:rPr>
          <w:color w:val="000000"/>
          <w:spacing w:val="0"/>
          <w:w w:val="100"/>
          <w:position w:val="0"/>
          <w:sz w:val="20"/>
          <w:szCs w:val="20"/>
        </w:rPr>
        <w:t>发生金融资产转移时，如已将金融资产所有权上几乎所有的风险和报酬转移给转入方，则终止确认该 金融资产；如既保留了金融资产所有权上几乎所有的风险和报酬又没有失去对金融资产的控制，则不终止 确认该金融资产。</w:t>
      </w:r>
    </w:p>
    <w:p>
      <w:pPr>
        <w:pStyle w:val="Style31"/>
        <w:keepNext w:val="0"/>
        <w:keepLines w:val="0"/>
        <w:widowControl w:val="0"/>
        <w:shd w:val="clear" w:color="auto" w:fill="auto"/>
        <w:bidi w:val="0"/>
        <w:spacing w:before="0" w:after="100" w:line="271" w:lineRule="exact"/>
        <w:ind w:left="0" w:right="0" w:firstLine="440"/>
        <w:jc w:val="both"/>
        <w:rPr>
          <w:sz w:val="20"/>
          <w:szCs w:val="20"/>
        </w:rPr>
      </w:pPr>
      <w:r>
        <w:rPr>
          <w:color w:val="000000"/>
          <w:spacing w:val="0"/>
          <w:w w:val="100"/>
          <w:position w:val="0"/>
          <w:sz w:val="20"/>
          <w:szCs w:val="20"/>
        </w:rPr>
        <w:t>在判断金融资产转移是否满足上述金融资产终止确认条件时，采用实质重于形式的原则。公司将金融 资产转移区分为金融资产整体转移和部分转移。金融资产整体转移满足终止确认条件的，将下列两项金额 的差额计入当期损益：</w:t>
      </w:r>
    </w:p>
    <w:p>
      <w:pPr>
        <w:pStyle w:val="Style31"/>
        <w:keepNext w:val="0"/>
        <w:keepLines w:val="0"/>
        <w:widowControl w:val="0"/>
        <w:shd w:val="clear" w:color="auto" w:fill="auto"/>
        <w:tabs>
          <w:tab w:pos="928" w:val="left"/>
        </w:tabs>
        <w:bidi w:val="0"/>
        <w:spacing w:before="0" w:after="100" w:line="274" w:lineRule="exact"/>
        <w:ind w:left="0" w:right="0" w:firstLine="440"/>
        <w:jc w:val="both"/>
        <w:rPr>
          <w:sz w:val="20"/>
          <w:szCs w:val="20"/>
        </w:rPr>
      </w:pPr>
      <w:bookmarkStart w:id="643" w:name="bookmark643"/>
      <w:r>
        <w:rPr>
          <w:color w:val="000000"/>
          <w:spacing w:val="0"/>
          <w:w w:val="100"/>
          <w:position w:val="0"/>
          <w:sz w:val="20"/>
          <w:szCs w:val="20"/>
        </w:rPr>
        <w:t>（</w:t>
      </w:r>
      <w:bookmarkEnd w:id="64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所转移金融资产的账面价值；</w:t>
      </w:r>
    </w:p>
    <w:p>
      <w:pPr>
        <w:pStyle w:val="Style31"/>
        <w:keepNext w:val="0"/>
        <w:keepLines w:val="0"/>
        <w:widowControl w:val="0"/>
        <w:shd w:val="clear" w:color="auto" w:fill="auto"/>
        <w:tabs>
          <w:tab w:pos="1021" w:val="left"/>
        </w:tabs>
        <w:bidi w:val="0"/>
        <w:spacing w:before="0" w:after="100" w:line="278" w:lineRule="exact"/>
        <w:ind w:left="0" w:right="0" w:firstLine="440"/>
        <w:jc w:val="both"/>
        <w:rPr>
          <w:sz w:val="20"/>
          <w:szCs w:val="20"/>
        </w:rPr>
      </w:pPr>
      <w:bookmarkStart w:id="644" w:name="bookmark644"/>
      <w:r>
        <w:rPr>
          <w:color w:val="000000"/>
          <w:spacing w:val="0"/>
          <w:w w:val="100"/>
          <w:position w:val="0"/>
          <w:sz w:val="20"/>
          <w:szCs w:val="20"/>
        </w:rPr>
        <w:t>（</w:t>
      </w:r>
      <w:bookmarkEnd w:id="64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因转移而收到的对价，与原直接计入所有者权益的公允价值变动累计额（涉及转移的金融资产 为可供出售金融资产的情形）之和。</w:t>
      </w:r>
    </w:p>
    <w:p>
      <w:pPr>
        <w:pStyle w:val="Style31"/>
        <w:keepNext w:val="0"/>
        <w:keepLines w:val="0"/>
        <w:widowControl w:val="0"/>
        <w:shd w:val="clear" w:color="auto" w:fill="auto"/>
        <w:bidi w:val="0"/>
        <w:spacing w:before="0" w:after="100" w:line="278" w:lineRule="exact"/>
        <w:ind w:left="0" w:right="0" w:firstLine="440"/>
        <w:jc w:val="both"/>
        <w:rPr>
          <w:sz w:val="20"/>
          <w:szCs w:val="20"/>
        </w:rPr>
      </w:pPr>
      <w:r>
        <w:rPr>
          <w:color w:val="000000"/>
          <w:spacing w:val="0"/>
          <w:w w:val="100"/>
          <w:position w:val="0"/>
          <w:sz w:val="20"/>
          <w:szCs w:val="2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31"/>
        <w:keepNext w:val="0"/>
        <w:keepLines w:val="0"/>
        <w:widowControl w:val="0"/>
        <w:shd w:val="clear" w:color="auto" w:fill="auto"/>
        <w:tabs>
          <w:tab w:pos="928" w:val="left"/>
        </w:tabs>
        <w:bidi w:val="0"/>
        <w:spacing w:before="0" w:after="100" w:line="274" w:lineRule="exact"/>
        <w:ind w:left="0" w:right="0" w:firstLine="440"/>
        <w:jc w:val="both"/>
        <w:rPr>
          <w:sz w:val="20"/>
          <w:szCs w:val="20"/>
        </w:rPr>
      </w:pPr>
      <w:bookmarkStart w:id="645" w:name="bookmark645"/>
      <w:r>
        <w:rPr>
          <w:color w:val="000000"/>
          <w:spacing w:val="0"/>
          <w:w w:val="100"/>
          <w:position w:val="0"/>
          <w:sz w:val="20"/>
          <w:szCs w:val="20"/>
        </w:rPr>
        <w:t>（</w:t>
      </w:r>
      <w:bookmarkEnd w:id="64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终止确认部分的账面价值。</w:t>
      </w:r>
    </w:p>
    <w:p>
      <w:pPr>
        <w:pStyle w:val="Style31"/>
        <w:keepNext w:val="0"/>
        <w:keepLines w:val="0"/>
        <w:widowControl w:val="0"/>
        <w:shd w:val="clear" w:color="auto" w:fill="auto"/>
        <w:tabs>
          <w:tab w:pos="1021" w:val="left"/>
        </w:tabs>
        <w:bidi w:val="0"/>
        <w:spacing w:before="0" w:after="100" w:line="283" w:lineRule="exact"/>
        <w:ind w:left="0" w:right="0" w:firstLine="440"/>
        <w:jc w:val="both"/>
        <w:rPr>
          <w:sz w:val="20"/>
          <w:szCs w:val="20"/>
        </w:rPr>
      </w:pPr>
      <w:bookmarkStart w:id="646" w:name="bookmark646"/>
      <w:r>
        <w:rPr>
          <w:color w:val="000000"/>
          <w:spacing w:val="0"/>
          <w:w w:val="100"/>
          <w:position w:val="0"/>
          <w:sz w:val="20"/>
          <w:szCs w:val="20"/>
        </w:rPr>
        <w:t>（</w:t>
      </w:r>
      <w:bookmarkEnd w:id="64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终止确认部分的对价，与原直接计入所有者权益的公允价值变动累计额中对应终止确认部分的 金额（涉及转移的金融资产为可供出售金融资产的情形）之和。</w:t>
      </w:r>
    </w:p>
    <w:p>
      <w:pPr>
        <w:pStyle w:val="Style31"/>
        <w:keepNext w:val="0"/>
        <w:keepLines w:val="0"/>
        <w:widowControl w:val="0"/>
        <w:shd w:val="clear" w:color="auto" w:fill="auto"/>
        <w:bidi w:val="0"/>
        <w:spacing w:before="0" w:after="160" w:line="274" w:lineRule="exact"/>
        <w:ind w:left="0" w:right="0" w:firstLine="440"/>
        <w:jc w:val="both"/>
        <w:rPr>
          <w:sz w:val="20"/>
          <w:szCs w:val="20"/>
        </w:rPr>
      </w:pPr>
      <w:r>
        <w:rPr>
          <w:color w:val="000000"/>
          <w:spacing w:val="0"/>
          <w:w w:val="100"/>
          <w:position w:val="0"/>
          <w:sz w:val="20"/>
          <w:szCs w:val="20"/>
        </w:rPr>
        <w:t>金融资产转移不满足终止确认条件的，继续确认该金融资产，所收到的对价确认为一项金融负债。</w:t>
      </w:r>
    </w:p>
    <w:p>
      <w:pPr>
        <w:pStyle w:val="Style31"/>
        <w:keepNext w:val="0"/>
        <w:keepLines w:val="0"/>
        <w:widowControl w:val="0"/>
        <w:shd w:val="clear" w:color="auto" w:fill="auto"/>
        <w:tabs>
          <w:tab w:pos="836" w:val="left"/>
        </w:tabs>
        <w:bidi w:val="0"/>
        <w:spacing w:before="0" w:after="100" w:line="286" w:lineRule="auto"/>
        <w:ind w:left="0" w:right="0" w:firstLine="440"/>
        <w:jc w:val="both"/>
        <w:rPr>
          <w:sz w:val="20"/>
          <w:szCs w:val="20"/>
        </w:rPr>
      </w:pPr>
      <w:bookmarkStart w:id="647" w:name="bookmark647"/>
      <w:r>
        <w:rPr>
          <w:rFonts w:ascii="Times New Roman" w:eastAsia="Times New Roman" w:hAnsi="Times New Roman" w:cs="Times New Roman"/>
          <w:b/>
          <w:bCs/>
          <w:color w:val="000000"/>
          <w:spacing w:val="0"/>
          <w:w w:val="100"/>
          <w:position w:val="0"/>
          <w:sz w:val="20"/>
          <w:szCs w:val="20"/>
        </w:rPr>
        <w:t>4</w:t>
      </w:r>
      <w:bookmarkEnd w:id="647"/>
      <w:r>
        <w:rPr>
          <w:b/>
          <w:bCs/>
          <w:color w:val="000000"/>
          <w:spacing w:val="0"/>
          <w:w w:val="100"/>
          <w:position w:val="0"/>
          <w:sz w:val="20"/>
          <w:szCs w:val="20"/>
        </w:rPr>
        <w:t>、</w:t>
        <w:tab/>
        <w:t>金融负债终止确认条件</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金融负债的现时义务全部或部分已经解除的，则终止确认该金融负债或其一部分；本公司若与债权人 签订协议，以承担新金融负债方式替换现存金融负债，且新金融负债与现存金融负债的合同条款实质上不 同的，则终止确认现存金融负债，并同时确认新金融负债。</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对现存金融负债全部或部分合同条款作出实质性修改的，则终止确认现存金融负债或其一部分，同时 将修改条款后的金融负债确认为一项新金融负债。</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金融负债全部或部分终止确认时，终止确认的金融负债账面价值与支付对价（包括转出的非现金资产 或承担的新金融负债）之间的差额，计入当期损益。</w:t>
      </w:r>
    </w:p>
    <w:p>
      <w:pPr>
        <w:pStyle w:val="Style31"/>
        <w:keepNext w:val="0"/>
        <w:keepLines w:val="0"/>
        <w:widowControl w:val="0"/>
        <w:shd w:val="clear" w:color="auto" w:fill="auto"/>
        <w:bidi w:val="0"/>
        <w:spacing w:before="0" w:after="160" w:line="274" w:lineRule="exact"/>
        <w:ind w:left="0" w:right="0" w:firstLine="440"/>
        <w:jc w:val="both"/>
        <w:rPr>
          <w:sz w:val="20"/>
          <w:szCs w:val="20"/>
        </w:rPr>
      </w:pPr>
      <w:r>
        <w:rPr>
          <w:color w:val="000000"/>
          <w:spacing w:val="0"/>
          <w:w w:val="100"/>
          <w:position w:val="0"/>
          <w:sz w:val="20"/>
          <w:szCs w:val="20"/>
        </w:rPr>
        <w:t>若回购部分金融负债的，在回购日按照继续确认部分与终止确认部分的相对公允价值，将该金融负债 整体的账面价值进行分配。分配给终止确认部分的账面价值与支付的对价（包括转出的非现金资产或承担 的新金融负债）之间的差额，计入当期损益。</w:t>
      </w:r>
    </w:p>
    <w:p>
      <w:pPr>
        <w:pStyle w:val="Style31"/>
        <w:keepNext w:val="0"/>
        <w:keepLines w:val="0"/>
        <w:widowControl w:val="0"/>
        <w:shd w:val="clear" w:color="auto" w:fill="auto"/>
        <w:tabs>
          <w:tab w:pos="836" w:val="left"/>
        </w:tabs>
        <w:bidi w:val="0"/>
        <w:spacing w:before="0" w:after="100" w:line="286" w:lineRule="auto"/>
        <w:ind w:left="0" w:right="0" w:firstLine="440"/>
        <w:jc w:val="both"/>
        <w:rPr>
          <w:sz w:val="20"/>
          <w:szCs w:val="20"/>
        </w:rPr>
      </w:pPr>
      <w:bookmarkStart w:id="648" w:name="bookmark648"/>
      <w:r>
        <w:rPr>
          <w:rFonts w:ascii="Times New Roman" w:eastAsia="Times New Roman" w:hAnsi="Times New Roman" w:cs="Times New Roman"/>
          <w:b/>
          <w:bCs/>
          <w:color w:val="000000"/>
          <w:spacing w:val="0"/>
          <w:w w:val="100"/>
          <w:position w:val="0"/>
          <w:sz w:val="20"/>
          <w:szCs w:val="20"/>
        </w:rPr>
        <w:t>5</w:t>
      </w:r>
      <w:bookmarkEnd w:id="648"/>
      <w:r>
        <w:rPr>
          <w:b/>
          <w:bCs/>
          <w:color w:val="000000"/>
          <w:spacing w:val="0"/>
          <w:w w:val="100"/>
          <w:position w:val="0"/>
          <w:sz w:val="20"/>
          <w:szCs w:val="20"/>
        </w:rPr>
        <w:t>、</w:t>
        <w:tab/>
        <w:t>金融资产和金融负债公允价值的确定方法</w:t>
      </w:r>
    </w:p>
    <w:p>
      <w:pPr>
        <w:pStyle w:val="Style31"/>
        <w:keepNext w:val="0"/>
        <w:keepLines w:val="0"/>
        <w:widowControl w:val="0"/>
        <w:shd w:val="clear" w:color="auto" w:fill="auto"/>
        <w:bidi w:val="0"/>
        <w:spacing w:before="0" w:after="160" w:line="274" w:lineRule="exact"/>
        <w:ind w:left="0" w:right="0" w:firstLine="440"/>
        <w:jc w:val="both"/>
        <w:rPr>
          <w:sz w:val="20"/>
          <w:szCs w:val="20"/>
        </w:rPr>
      </w:pPr>
      <w:r>
        <w:rPr>
          <w:color w:val="000000"/>
          <w:spacing w:val="0"/>
          <w:w w:val="100"/>
          <w:position w:val="0"/>
          <w:sz w:val="20"/>
          <w:szCs w:val="20"/>
        </w:rPr>
        <w:t xml:space="preserve">采用公允价值计量的金融资产和金融负债全部直接参考活跃市场中的报价。金融工具不存在活跃市场 </w:t>
      </w:r>
      <w:r>
        <w:rPr>
          <w:color w:val="000000"/>
          <w:spacing w:val="0"/>
          <w:w w:val="100"/>
          <w:position w:val="0"/>
          <w:sz w:val="20"/>
          <w:szCs w:val="20"/>
        </w:rPr>
        <w:t>的，本公司采用估值技术确定其公允价值。估值技术包括参考熟悉情况并自愿交易的各方最近进行的市场 交易中使用的价格、参照实质上相同的其他金融工具当前的公允价值、现金流量折现法和期权定价模型等。</w:t>
      </w:r>
    </w:p>
    <w:p>
      <w:pPr>
        <w:pStyle w:val="Style31"/>
        <w:keepNext w:val="0"/>
        <w:keepLines w:val="0"/>
        <w:widowControl w:val="0"/>
        <w:shd w:val="clear" w:color="auto" w:fill="auto"/>
        <w:bidi w:val="0"/>
        <w:spacing w:before="0" w:after="100" w:line="286" w:lineRule="auto"/>
        <w:ind w:left="0" w:right="0" w:firstLine="460"/>
        <w:jc w:val="left"/>
        <w:rPr>
          <w:sz w:val="20"/>
          <w:szCs w:val="20"/>
        </w:rPr>
      </w:pPr>
      <w:bookmarkStart w:id="649" w:name="bookmark649"/>
      <w:r>
        <w:rPr>
          <w:rFonts w:ascii="Times New Roman" w:eastAsia="Times New Roman" w:hAnsi="Times New Roman" w:cs="Times New Roman"/>
          <w:b/>
          <w:bCs/>
          <w:color w:val="000000"/>
          <w:spacing w:val="0"/>
          <w:w w:val="100"/>
          <w:position w:val="0"/>
          <w:sz w:val="20"/>
          <w:szCs w:val="20"/>
        </w:rPr>
        <w:t>6</w:t>
      </w:r>
      <w:bookmarkEnd w:id="649"/>
      <w:r>
        <w:rPr>
          <w:b/>
          <w:bCs/>
          <w:color w:val="000000"/>
          <w:spacing w:val="0"/>
          <w:w w:val="100"/>
          <w:position w:val="0"/>
          <w:sz w:val="20"/>
          <w:szCs w:val="20"/>
        </w:rPr>
        <w:t>、金融资产（不含应收款项）减值</w:t>
      </w:r>
    </w:p>
    <w:p>
      <w:pPr>
        <w:pStyle w:val="Style31"/>
        <w:keepNext w:val="0"/>
        <w:keepLines w:val="0"/>
        <w:widowControl w:val="0"/>
        <w:shd w:val="clear" w:color="auto" w:fill="auto"/>
        <w:bidi w:val="0"/>
        <w:spacing w:before="0" w:after="100" w:line="274" w:lineRule="exact"/>
        <w:ind w:left="0" w:right="0" w:firstLine="460"/>
        <w:jc w:val="both"/>
        <w:rPr>
          <w:sz w:val="20"/>
          <w:szCs w:val="20"/>
        </w:rPr>
      </w:pPr>
      <w:r>
        <w:rPr>
          <w:color w:val="000000"/>
          <w:spacing w:val="0"/>
          <w:w w:val="100"/>
          <w:position w:val="0"/>
          <w:sz w:val="20"/>
          <w:szCs w:val="20"/>
        </w:rPr>
        <w:t>除以公允价值计量且其变动计入当期损益的金融资产外，于资产负债表日对金融资产的账面价值进行 检查，如果有客观证据表明某项金融资产发生减值的，计提减值准备。</w:t>
      </w:r>
    </w:p>
    <w:p>
      <w:pPr>
        <w:pStyle w:val="Style31"/>
        <w:keepNext w:val="0"/>
        <w:keepLines w:val="0"/>
        <w:widowControl w:val="0"/>
        <w:shd w:val="clear" w:color="auto" w:fill="auto"/>
        <w:tabs>
          <w:tab w:pos="948" w:val="left"/>
        </w:tabs>
        <w:bidi w:val="0"/>
        <w:spacing w:before="0" w:after="100" w:line="274" w:lineRule="exact"/>
        <w:ind w:left="0" w:right="0" w:firstLine="460"/>
        <w:jc w:val="both"/>
        <w:rPr>
          <w:sz w:val="20"/>
          <w:szCs w:val="20"/>
        </w:rPr>
      </w:pPr>
      <w:bookmarkStart w:id="650" w:name="bookmark650"/>
      <w:r>
        <w:rPr>
          <w:color w:val="000000"/>
          <w:spacing w:val="0"/>
          <w:w w:val="100"/>
          <w:position w:val="0"/>
          <w:sz w:val="20"/>
          <w:szCs w:val="20"/>
        </w:rPr>
        <w:t>（</w:t>
      </w:r>
      <w:bookmarkEnd w:id="65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可供出售金融资产的减值</w:t>
      </w:r>
    </w:p>
    <w:p>
      <w:pPr>
        <w:pStyle w:val="Style31"/>
        <w:keepNext w:val="0"/>
        <w:keepLines w:val="0"/>
        <w:widowControl w:val="0"/>
        <w:shd w:val="clear" w:color="auto" w:fill="auto"/>
        <w:bidi w:val="0"/>
        <w:spacing w:before="0" w:after="100" w:line="276" w:lineRule="exact"/>
        <w:ind w:left="0" w:right="0" w:firstLine="460"/>
        <w:jc w:val="both"/>
        <w:rPr>
          <w:sz w:val="20"/>
          <w:szCs w:val="20"/>
        </w:rPr>
      </w:pPr>
      <w:r>
        <w:rPr>
          <w:color w:val="000000"/>
          <w:spacing w:val="0"/>
          <w:w w:val="100"/>
          <w:position w:val="0"/>
          <w:sz w:val="20"/>
          <w:szCs w:val="20"/>
        </w:rPr>
        <w:t>期末如果可供出售金融资产的公允价值发生较大幅度下降，或在综合考虑各种相关因素后，预期这种 下降趋势属于非暂时性的，就认定其已发生减值，将原直接计入其他综合收益的公允价值下降形成的累计 损失一并转出，确认减值损失。</w:t>
      </w:r>
    </w:p>
    <w:p>
      <w:pPr>
        <w:pStyle w:val="Style31"/>
        <w:keepNext w:val="0"/>
        <w:keepLines w:val="0"/>
        <w:widowControl w:val="0"/>
        <w:shd w:val="clear" w:color="auto" w:fill="auto"/>
        <w:bidi w:val="0"/>
        <w:spacing w:before="0" w:after="100" w:line="278" w:lineRule="exact"/>
        <w:ind w:left="0" w:right="0" w:firstLine="460"/>
        <w:jc w:val="both"/>
        <w:rPr>
          <w:sz w:val="20"/>
          <w:szCs w:val="20"/>
        </w:rPr>
      </w:pPr>
      <w:r>
        <w:rPr>
          <w:color w:val="000000"/>
          <w:spacing w:val="0"/>
          <w:w w:val="100"/>
          <w:position w:val="0"/>
          <w:sz w:val="20"/>
          <w:szCs w:val="20"/>
        </w:rPr>
        <w:t>对于可供出售金融资产由于下列损失事项影响其预计未来现金流量减少</w:t>
      </w:r>
      <w:r>
        <w:rPr>
          <w:color w:val="000000"/>
          <w:spacing w:val="0"/>
          <w:w w:val="100"/>
          <w:position w:val="0"/>
          <w:sz w:val="20"/>
          <w:szCs w:val="20"/>
        </w:rPr>
        <w:t>，</w:t>
      </w:r>
      <w:r>
        <w:rPr>
          <w:color w:val="000000"/>
          <w:spacing w:val="0"/>
          <w:w w:val="100"/>
          <w:position w:val="0"/>
          <w:sz w:val="20"/>
          <w:szCs w:val="20"/>
        </w:rPr>
        <w:t>并且能够可靠计量，将认定其 发生减值：</w:t>
      </w:r>
    </w:p>
    <w:p>
      <w:pPr>
        <w:pStyle w:val="Style31"/>
        <w:keepNext w:val="0"/>
        <w:keepLines w:val="0"/>
        <w:widowControl w:val="0"/>
        <w:numPr>
          <w:ilvl w:val="0"/>
          <w:numId w:val="7"/>
        </w:numPr>
        <w:shd w:val="clear" w:color="auto" w:fill="auto"/>
        <w:tabs>
          <w:tab w:pos="852" w:val="left"/>
        </w:tabs>
        <w:bidi w:val="0"/>
        <w:spacing w:before="0" w:after="100" w:line="274" w:lineRule="exact"/>
        <w:ind w:left="0" w:right="0" w:firstLine="460"/>
        <w:jc w:val="both"/>
        <w:rPr>
          <w:sz w:val="20"/>
          <w:szCs w:val="20"/>
        </w:rPr>
      </w:pPr>
      <w:bookmarkStart w:id="651" w:name="bookmark651"/>
      <w:bookmarkEnd w:id="651"/>
      <w:r>
        <w:rPr>
          <w:color w:val="000000"/>
          <w:spacing w:val="0"/>
          <w:w w:val="100"/>
          <w:position w:val="0"/>
          <w:sz w:val="20"/>
          <w:szCs w:val="20"/>
        </w:rPr>
        <w:t>债务人发生严重财务困难；</w:t>
      </w:r>
    </w:p>
    <w:p>
      <w:pPr>
        <w:pStyle w:val="Style31"/>
        <w:keepNext w:val="0"/>
        <w:keepLines w:val="0"/>
        <w:widowControl w:val="0"/>
        <w:numPr>
          <w:ilvl w:val="0"/>
          <w:numId w:val="7"/>
        </w:numPr>
        <w:shd w:val="clear" w:color="auto" w:fill="auto"/>
        <w:tabs>
          <w:tab w:pos="857" w:val="left"/>
        </w:tabs>
        <w:bidi w:val="0"/>
        <w:spacing w:before="0" w:after="100" w:line="274" w:lineRule="exact"/>
        <w:ind w:left="0" w:right="0" w:firstLine="460"/>
        <w:jc w:val="left"/>
        <w:rPr>
          <w:sz w:val="20"/>
          <w:szCs w:val="20"/>
        </w:rPr>
      </w:pPr>
      <w:bookmarkStart w:id="652" w:name="bookmark652"/>
      <w:bookmarkEnd w:id="652"/>
      <w:r>
        <w:rPr>
          <w:color w:val="000000"/>
          <w:spacing w:val="0"/>
          <w:w w:val="100"/>
          <w:position w:val="0"/>
          <w:sz w:val="20"/>
          <w:szCs w:val="20"/>
        </w:rPr>
        <w:t>债务人违反了合同条款</w:t>
      </w:r>
      <w:r>
        <w:rPr>
          <w:color w:val="000000"/>
          <w:spacing w:val="0"/>
          <w:w w:val="100"/>
          <w:position w:val="0"/>
          <w:sz w:val="20"/>
          <w:szCs w:val="20"/>
        </w:rPr>
        <w:t>，</w:t>
      </w:r>
      <w:r>
        <w:rPr>
          <w:color w:val="000000"/>
          <w:spacing w:val="0"/>
          <w:w w:val="100"/>
          <w:position w:val="0"/>
          <w:sz w:val="20"/>
          <w:szCs w:val="20"/>
        </w:rPr>
        <w:t>如偿付利息或本金发生违约或逾期；</w:t>
      </w:r>
    </w:p>
    <w:p>
      <w:pPr>
        <w:pStyle w:val="Style31"/>
        <w:keepNext w:val="0"/>
        <w:keepLines w:val="0"/>
        <w:widowControl w:val="0"/>
        <w:numPr>
          <w:ilvl w:val="0"/>
          <w:numId w:val="7"/>
        </w:numPr>
        <w:shd w:val="clear" w:color="auto" w:fill="auto"/>
        <w:tabs>
          <w:tab w:pos="857" w:val="left"/>
        </w:tabs>
        <w:bidi w:val="0"/>
        <w:spacing w:before="0" w:after="100" w:line="274" w:lineRule="exact"/>
        <w:ind w:left="0" w:right="0" w:firstLine="460"/>
        <w:jc w:val="left"/>
        <w:rPr>
          <w:sz w:val="20"/>
          <w:szCs w:val="20"/>
        </w:rPr>
      </w:pPr>
      <w:bookmarkStart w:id="653" w:name="bookmark653"/>
      <w:bookmarkEnd w:id="653"/>
      <w:r>
        <w:rPr>
          <w:color w:val="000000"/>
          <w:spacing w:val="0"/>
          <w:w w:val="100"/>
          <w:position w:val="0"/>
          <w:sz w:val="20"/>
          <w:szCs w:val="20"/>
        </w:rPr>
        <w:t>本公司出于经济或法律等方面因素的考虑</w:t>
      </w:r>
      <w:r>
        <w:rPr>
          <w:color w:val="000000"/>
          <w:spacing w:val="0"/>
          <w:w w:val="100"/>
          <w:position w:val="0"/>
          <w:sz w:val="20"/>
          <w:szCs w:val="20"/>
        </w:rPr>
        <w:t>，</w:t>
      </w:r>
      <w:r>
        <w:rPr>
          <w:color w:val="000000"/>
          <w:spacing w:val="0"/>
          <w:w w:val="100"/>
          <w:position w:val="0"/>
          <w:sz w:val="20"/>
          <w:szCs w:val="20"/>
        </w:rPr>
        <w:t>对发生财务困难的债务人做出让步；</w:t>
      </w:r>
    </w:p>
    <w:p>
      <w:pPr>
        <w:pStyle w:val="Style31"/>
        <w:keepNext w:val="0"/>
        <w:keepLines w:val="0"/>
        <w:widowControl w:val="0"/>
        <w:numPr>
          <w:ilvl w:val="0"/>
          <w:numId w:val="7"/>
        </w:numPr>
        <w:shd w:val="clear" w:color="auto" w:fill="auto"/>
        <w:tabs>
          <w:tab w:pos="857" w:val="left"/>
        </w:tabs>
        <w:bidi w:val="0"/>
        <w:spacing w:before="0" w:after="100" w:line="274" w:lineRule="exact"/>
        <w:ind w:left="0" w:right="0" w:firstLine="460"/>
        <w:jc w:val="left"/>
        <w:rPr>
          <w:sz w:val="20"/>
          <w:szCs w:val="20"/>
        </w:rPr>
      </w:pPr>
      <w:bookmarkStart w:id="654" w:name="bookmark654"/>
      <w:bookmarkEnd w:id="654"/>
      <w:r>
        <w:rPr>
          <w:color w:val="000000"/>
          <w:spacing w:val="0"/>
          <w:w w:val="100"/>
          <w:position w:val="0"/>
          <w:sz w:val="20"/>
          <w:szCs w:val="20"/>
        </w:rPr>
        <w:t>债务人很可能倒闭或进行其他财务重组；</w:t>
      </w:r>
    </w:p>
    <w:p>
      <w:pPr>
        <w:pStyle w:val="Style31"/>
        <w:keepNext w:val="0"/>
        <w:keepLines w:val="0"/>
        <w:widowControl w:val="0"/>
        <w:numPr>
          <w:ilvl w:val="0"/>
          <w:numId w:val="7"/>
        </w:numPr>
        <w:shd w:val="clear" w:color="auto" w:fill="auto"/>
        <w:tabs>
          <w:tab w:pos="857" w:val="left"/>
        </w:tabs>
        <w:bidi w:val="0"/>
        <w:spacing w:before="0" w:after="100" w:line="274" w:lineRule="exact"/>
        <w:ind w:left="0" w:right="0" w:firstLine="460"/>
        <w:jc w:val="left"/>
        <w:rPr>
          <w:sz w:val="20"/>
          <w:szCs w:val="20"/>
        </w:rPr>
      </w:pPr>
      <w:bookmarkStart w:id="655" w:name="bookmark655"/>
      <w:bookmarkEnd w:id="655"/>
      <w:r>
        <w:rPr>
          <w:color w:val="000000"/>
          <w:spacing w:val="0"/>
          <w:w w:val="100"/>
          <w:position w:val="0"/>
          <w:sz w:val="20"/>
          <w:szCs w:val="20"/>
        </w:rPr>
        <w:t>因发行方发生重大财务困难</w:t>
      </w:r>
      <w:r>
        <w:rPr>
          <w:color w:val="000000"/>
          <w:spacing w:val="0"/>
          <w:w w:val="100"/>
          <w:position w:val="0"/>
          <w:sz w:val="20"/>
          <w:szCs w:val="20"/>
        </w:rPr>
        <w:t>，</w:t>
      </w:r>
      <w:r>
        <w:rPr>
          <w:color w:val="000000"/>
          <w:spacing w:val="0"/>
          <w:w w:val="100"/>
          <w:position w:val="0"/>
          <w:sz w:val="20"/>
          <w:szCs w:val="20"/>
        </w:rPr>
        <w:t>该金融资产无法在活跃市场继续交易；</w:t>
      </w:r>
    </w:p>
    <w:p>
      <w:pPr>
        <w:pStyle w:val="Style31"/>
        <w:keepNext w:val="0"/>
        <w:keepLines w:val="0"/>
        <w:widowControl w:val="0"/>
        <w:numPr>
          <w:ilvl w:val="0"/>
          <w:numId w:val="7"/>
        </w:numPr>
        <w:shd w:val="clear" w:color="auto" w:fill="auto"/>
        <w:tabs>
          <w:tab w:pos="810" w:val="left"/>
        </w:tabs>
        <w:bidi w:val="0"/>
        <w:spacing w:before="0" w:after="100" w:line="269" w:lineRule="exact"/>
        <w:ind w:left="0" w:right="0" w:firstLine="460"/>
        <w:jc w:val="both"/>
        <w:rPr>
          <w:sz w:val="20"/>
          <w:szCs w:val="20"/>
        </w:rPr>
      </w:pPr>
      <w:bookmarkStart w:id="656" w:name="bookmark656"/>
      <w:bookmarkEnd w:id="656"/>
      <w:r>
        <w:rPr>
          <w:color w:val="000000"/>
          <w:spacing w:val="0"/>
          <w:w w:val="100"/>
          <w:position w:val="0"/>
          <w:sz w:val="20"/>
          <w:szCs w:val="20"/>
        </w:rPr>
        <w:t>权益工具发行方经营所处的技术、市场、经济或法律环境等发生重大不利变化，使权益工具投资人 可能无法收回投资成本；</w:t>
      </w:r>
    </w:p>
    <w:p>
      <w:pPr>
        <w:pStyle w:val="Style31"/>
        <w:keepNext w:val="0"/>
        <w:keepLines w:val="0"/>
        <w:widowControl w:val="0"/>
        <w:numPr>
          <w:ilvl w:val="0"/>
          <w:numId w:val="7"/>
        </w:numPr>
        <w:shd w:val="clear" w:color="auto" w:fill="auto"/>
        <w:tabs>
          <w:tab w:pos="857" w:val="left"/>
        </w:tabs>
        <w:bidi w:val="0"/>
        <w:spacing w:before="0" w:after="100" w:line="274" w:lineRule="exact"/>
        <w:ind w:left="0" w:right="0" w:firstLine="460"/>
        <w:jc w:val="left"/>
        <w:rPr>
          <w:sz w:val="20"/>
          <w:szCs w:val="20"/>
        </w:rPr>
      </w:pPr>
      <w:bookmarkStart w:id="657" w:name="bookmark657"/>
      <w:bookmarkEnd w:id="657"/>
      <w:r>
        <w:rPr>
          <w:color w:val="000000"/>
          <w:spacing w:val="0"/>
          <w:w w:val="100"/>
          <w:position w:val="0"/>
          <w:sz w:val="20"/>
          <w:szCs w:val="20"/>
        </w:rPr>
        <w:t>权益工具投资的公允价值发生严重或非暂时性下跌。</w:t>
      </w:r>
    </w:p>
    <w:p>
      <w:pPr>
        <w:pStyle w:val="Style31"/>
        <w:keepNext w:val="0"/>
        <w:keepLines w:val="0"/>
        <w:widowControl w:val="0"/>
        <w:shd w:val="clear" w:color="auto" w:fill="auto"/>
        <w:bidi w:val="0"/>
        <w:spacing w:before="0" w:after="100" w:line="276" w:lineRule="exact"/>
        <w:ind w:left="0" w:right="0" w:firstLine="460"/>
        <w:jc w:val="both"/>
        <w:rPr>
          <w:sz w:val="20"/>
          <w:szCs w:val="20"/>
        </w:rPr>
      </w:pPr>
      <w:r>
        <w:rPr>
          <w:color w:val="000000"/>
          <w:spacing w:val="0"/>
          <w:w w:val="100"/>
          <w:position w:val="0"/>
          <w:sz w:val="20"/>
          <w:szCs w:val="20"/>
        </w:rPr>
        <w:t>对于已确认减值损失的可供出售债务工具，在随后的会计期间公允价值已上升且客观上与确认原减值 损失确认后发生的事项有关的，原确认的减值损失予以转回，计入当期损益。可供出售权益工具投资发生 的减值损失，不得通过损益转回。</w:t>
      </w:r>
    </w:p>
    <w:p>
      <w:pPr>
        <w:pStyle w:val="Style31"/>
        <w:keepNext w:val="0"/>
        <w:keepLines w:val="0"/>
        <w:widowControl w:val="0"/>
        <w:shd w:val="clear" w:color="auto" w:fill="auto"/>
        <w:tabs>
          <w:tab w:pos="948" w:val="left"/>
        </w:tabs>
        <w:bidi w:val="0"/>
        <w:spacing w:before="0" w:after="100" w:line="274" w:lineRule="exact"/>
        <w:ind w:left="0" w:right="0" w:firstLine="460"/>
        <w:jc w:val="both"/>
        <w:rPr>
          <w:sz w:val="20"/>
          <w:szCs w:val="20"/>
        </w:rPr>
      </w:pPr>
      <w:bookmarkStart w:id="658" w:name="bookmark658"/>
      <w:r>
        <w:rPr>
          <w:color w:val="000000"/>
          <w:spacing w:val="0"/>
          <w:w w:val="100"/>
          <w:position w:val="0"/>
          <w:sz w:val="20"/>
          <w:szCs w:val="20"/>
        </w:rPr>
        <w:t>（</w:t>
      </w:r>
      <w:bookmarkEnd w:id="65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持有至到期投资的减值准备</w:t>
      </w:r>
    </w:p>
    <w:p>
      <w:pPr>
        <w:pStyle w:val="Style31"/>
        <w:keepNext w:val="0"/>
        <w:keepLines w:val="0"/>
        <w:widowControl w:val="0"/>
        <w:shd w:val="clear" w:color="auto" w:fill="auto"/>
        <w:bidi w:val="0"/>
        <w:spacing w:before="0" w:after="100" w:line="274" w:lineRule="exact"/>
        <w:ind w:left="0" w:right="0" w:firstLine="460"/>
        <w:jc w:val="left"/>
        <w:rPr>
          <w:sz w:val="20"/>
          <w:szCs w:val="20"/>
        </w:rPr>
      </w:pPr>
      <w:r>
        <w:rPr>
          <w:color w:val="000000"/>
          <w:spacing w:val="0"/>
          <w:w w:val="100"/>
          <w:position w:val="0"/>
          <w:sz w:val="20"/>
          <w:szCs w:val="20"/>
        </w:rPr>
        <w:t>持有至到期投资减值损失的计量比照应收款项减值损失计量方法处理。</w:t>
      </w:r>
    </w:p>
    <w:p>
      <w:pPr>
        <w:pStyle w:val="Style28"/>
        <w:keepNext/>
        <w:keepLines/>
        <w:widowControl w:val="0"/>
        <w:shd w:val="clear" w:color="auto" w:fill="auto"/>
        <w:bidi w:val="0"/>
        <w:spacing w:before="0" w:after="100" w:line="274" w:lineRule="exact"/>
        <w:ind w:left="0" w:right="0" w:firstLine="0"/>
        <w:jc w:val="left"/>
      </w:pPr>
      <w:bookmarkStart w:id="659" w:name="bookmark659"/>
      <w:bookmarkStart w:id="660" w:name="bookmark660"/>
      <w:bookmarkStart w:id="661" w:name="bookmark661"/>
      <w:r>
        <w:rPr>
          <w:color w:val="000000"/>
          <w:spacing w:val="0"/>
          <w:w w:val="100"/>
          <w:position w:val="0"/>
        </w:rPr>
        <w:t>（十一）应收款项坏账准备</w:t>
      </w:r>
      <w:bookmarkEnd w:id="659"/>
      <w:bookmarkEnd w:id="660"/>
      <w:bookmarkEnd w:id="661"/>
    </w:p>
    <w:p>
      <w:pPr>
        <w:pStyle w:val="Style31"/>
        <w:keepNext w:val="0"/>
        <w:keepLines w:val="0"/>
        <w:widowControl w:val="0"/>
        <w:shd w:val="clear" w:color="auto" w:fill="auto"/>
        <w:bidi w:val="0"/>
        <w:spacing w:before="0" w:after="100" w:line="274" w:lineRule="exact"/>
        <w:ind w:left="0" w:right="0" w:firstLine="460"/>
        <w:jc w:val="both"/>
        <w:rPr>
          <w:sz w:val="20"/>
          <w:szCs w:val="20"/>
        </w:rPr>
      </w:pPr>
      <w:r>
        <w:rPr>
          <w:color w:val="000000"/>
          <w:spacing w:val="0"/>
          <w:w w:val="100"/>
          <w:position w:val="0"/>
          <w:sz w:val="20"/>
          <w:szCs w:val="20"/>
        </w:rPr>
        <w:t>期末如果有客观证据表明应收款项发生减值，则将其账面价值减记至可收回金额，减记的金额确认为 资产减值损失，计入当期损益。可收回金额是通过对其未来现金流量（不包括尚未发生的信用损失）按原 实际利率折现确定，并考虑相关担保物的价值（扣除预计处置费用等）。原实际利率是初始确认该应收款 项时计算确定的实际利率。短期应收款项的预计未来现金流量与其现值相差很小，在确定相关减值损失时, 不对其预计未来现金流量进行折现。对于有确凿证据表明确实无法收回的应收款项，本公司按规定程序批 准后作为坏账损失，冲销提取的坏账准备。</w:t>
      </w:r>
    </w:p>
    <w:p>
      <w:pPr>
        <w:pStyle w:val="Style31"/>
        <w:keepNext w:val="0"/>
        <w:keepLines w:val="0"/>
        <w:widowControl w:val="0"/>
        <w:shd w:val="clear" w:color="auto" w:fill="auto"/>
        <w:bidi w:val="0"/>
        <w:spacing w:before="0" w:after="160" w:line="269" w:lineRule="exact"/>
        <w:ind w:left="0" w:right="0" w:firstLine="460"/>
        <w:jc w:val="both"/>
        <w:rPr>
          <w:sz w:val="20"/>
          <w:szCs w:val="20"/>
        </w:rPr>
      </w:pPr>
      <w:r>
        <w:rPr>
          <w:color w:val="000000"/>
          <w:spacing w:val="0"/>
          <w:w w:val="100"/>
          <w:position w:val="0"/>
          <w:sz w:val="20"/>
          <w:szCs w:val="20"/>
        </w:rPr>
        <w:t>本公司计提坏账准备时，首先对单项金额重大的应收款项单独进行减值测试，并按下述</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、中所述方 法处理；其次，可以考虑单项金额不重大的应收款项是否需要单独计提，需要单独计提的则按下述</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、中 所述方法处理；除上述以外的应收款项，按照信用风险特征组合计提并按下述</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、中所述方法处理。</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、单项金额重大并单项计提坏账准备的应收款项</w:t>
      </w:r>
    </w:p>
    <w:tbl>
      <w:tblPr>
        <w:tblOverlap w:val="never"/>
        <w:jc w:val="center"/>
        <w:tblLayout w:type="fixed"/>
      </w:tblPr>
      <w:tblGrid>
        <w:gridCol w:w="4579"/>
        <w:gridCol w:w="4853"/>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单项金额重大的判断依据或金额标准：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应收款项金额</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万元以上（含）</w:t>
            </w:r>
          </w:p>
        </w:tc>
      </w:tr>
      <w:tr>
        <w:trPr>
          <w:trHeight w:val="85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单项金额重大并单项计提坏账准备的计提方法：</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对于单项金额重大的应收款项单独进行减值测试， 有客观证据表明发生了减值，根据其未来现金流量 现值低于其账面价值的差额计提坏账准备。</w:t>
            </w:r>
          </w:p>
        </w:tc>
      </w:tr>
    </w:tbl>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、按信用风险特征组合计提坏账准备应收款项</w:t>
      </w:r>
    </w:p>
    <w:p>
      <w:pPr>
        <w:pStyle w:val="Style31"/>
        <w:keepNext w:val="0"/>
        <w:keepLines w:val="0"/>
        <w:widowControl w:val="0"/>
        <w:shd w:val="clear" w:color="auto" w:fill="auto"/>
        <w:bidi w:val="0"/>
        <w:spacing w:before="0" w:after="480" w:line="271" w:lineRule="exact"/>
        <w:ind w:left="0" w:right="0" w:firstLine="440"/>
        <w:jc w:val="both"/>
        <w:rPr>
          <w:sz w:val="20"/>
          <w:szCs w:val="20"/>
        </w:rPr>
      </w:pPr>
      <w:r>
        <w:rPr>
          <w:color w:val="000000"/>
          <w:spacing w:val="0"/>
          <w:w w:val="100"/>
          <w:position w:val="0"/>
          <w:sz w:val="20"/>
          <w:szCs w:val="20"/>
        </w:rPr>
        <w:t>对于单项金额不重大的应收款项，与经单独测试后未减值的应收款项一起按信用风险特征划分为账龄 组合，根据以前年度与之相同或相类似的、具有类似信用风险特征的应收账款组合的实际损失率为基础， 结合现时情况确定本期账龄组合计提坏账准备的比例，据此计算本期应计提的坏账准备。</w:t>
      </w:r>
    </w:p>
    <w:tbl>
      <w:tblPr>
        <w:tblOverlap w:val="never"/>
        <w:jc w:val="center"/>
        <w:tblLayout w:type="fixed"/>
      </w:tblPr>
      <w:tblGrid>
        <w:gridCol w:w="3874"/>
        <w:gridCol w:w="4992"/>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账龄组合</w:t>
            </w:r>
          </w:p>
        </w:tc>
      </w:tr>
      <w:tr>
        <w:trPr>
          <w:trHeight w:val="49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坏账准备计提方法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账龄分析法</w:t>
            </w:r>
          </w:p>
        </w:tc>
      </w:tr>
    </w:tbl>
    <w:p>
      <w:pPr>
        <w:widowControl w:val="0"/>
        <w:spacing w:after="99" w:line="1" w:lineRule="exact"/>
      </w:pPr>
    </w:p>
    <w:p>
      <w:pPr>
        <w:widowControl w:val="0"/>
        <w:spacing w:line="1" w:lineRule="exact"/>
      </w:pPr>
    </w:p>
    <w:tbl>
      <w:tblPr>
        <w:tblOverlap w:val="never"/>
        <w:jc w:val="center"/>
        <w:tblLayout w:type="fixed"/>
      </w:tblPr>
      <w:tblGrid>
        <w:gridCol w:w="3062"/>
        <w:gridCol w:w="2885"/>
        <w:gridCol w:w="2914"/>
      </w:tblGrid>
      <w:tr>
        <w:trPr>
          <w:trHeight w:val="398"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组合中，采用账龄分析法计提坏账准备的：</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应收账款计提比例（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其他应收款计提比例（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年以内（含</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r>
      <w:tr>
        <w:trPr>
          <w:trHeight w:val="28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r>
      <w:tr>
        <w:trPr>
          <w:trHeight w:val="29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年</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w:t>
            </w:r>
          </w:p>
        </w:tc>
      </w:tr>
      <w:tr>
        <w:trPr>
          <w:trHeight w:val="29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w:t>
            </w:r>
          </w:p>
        </w:tc>
      </w:tr>
      <w:tr>
        <w:trPr>
          <w:trHeight w:val="29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p>
        </w:tc>
      </w:tr>
      <w:tr>
        <w:trPr>
          <w:trHeight w:val="30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98"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、单项金额不重大但单独计提坏账准备的应收款项</w:t>
            </w:r>
          </w:p>
        </w:tc>
      </w:tr>
    </w:tbl>
    <w:p>
      <w:pPr>
        <w:widowControl w:val="0"/>
        <w:spacing w:after="99" w:line="1" w:lineRule="exact"/>
      </w:pPr>
    </w:p>
    <w:p>
      <w:pPr>
        <w:widowControl w:val="0"/>
        <w:spacing w:line="1" w:lineRule="exact"/>
      </w:pPr>
    </w:p>
    <w:tbl>
      <w:tblPr>
        <w:tblOverlap w:val="never"/>
        <w:jc w:val="center"/>
        <w:tblLayout w:type="fixed"/>
      </w:tblPr>
      <w:tblGrid>
        <w:gridCol w:w="2890"/>
        <w:gridCol w:w="6269"/>
      </w:tblGrid>
      <w:tr>
        <w:trPr>
          <w:trHeight w:val="48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单项计提坏账准备的理由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根据款项性质或者有客观表明发生了减值</w:t>
            </w:r>
          </w:p>
        </w:tc>
      </w:tr>
      <w:tr>
        <w:trPr>
          <w:trHeight w:val="5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坏账准备的计提方法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有客观证据表明发生了减值，根据其未来现金流量现值低于其账面 价值的差额计提坏账准备。</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662" w:name="bookmark662"/>
            <w:r>
              <w:rPr>
                <w:b/>
                <w:bCs/>
                <w:color w:val="000000"/>
                <w:spacing w:val="0"/>
                <w:w w:val="100"/>
                <w:position w:val="0"/>
                <w:sz w:val="20"/>
                <w:szCs w:val="20"/>
              </w:rPr>
              <w:t>（十二）存货</w:t>
            </w:r>
            <w:bookmarkEnd w:id="662"/>
          </w:p>
        </w:tc>
        <w:tc>
          <w:tcPr>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、存货的分类</w:t>
            </w:r>
          </w:p>
        </w:tc>
        <w:tc>
          <w:tcPr>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60" w:line="278" w:lineRule="exact"/>
        <w:ind w:left="0" w:right="0" w:firstLine="440"/>
        <w:jc w:val="both"/>
        <w:rPr>
          <w:sz w:val="20"/>
          <w:szCs w:val="20"/>
        </w:rPr>
      </w:pPr>
      <w:r>
        <w:rPr>
          <w:color w:val="000000"/>
          <w:spacing w:val="0"/>
          <w:w w:val="100"/>
          <w:position w:val="0"/>
          <w:sz w:val="20"/>
          <w:szCs w:val="20"/>
        </w:rPr>
        <w:t>存货分类为：原材料、周转材料、库存商品、在产品、产成品、发出商品、委托加工物资、开发成本 等。</w:t>
      </w:r>
    </w:p>
    <w:p>
      <w:pPr>
        <w:pStyle w:val="Style31"/>
        <w:keepNext w:val="0"/>
        <w:keepLines w:val="0"/>
        <w:widowControl w:val="0"/>
        <w:shd w:val="clear" w:color="auto" w:fill="auto"/>
        <w:tabs>
          <w:tab w:pos="734" w:val="left"/>
        </w:tabs>
        <w:bidi w:val="0"/>
        <w:spacing w:before="0" w:after="100" w:line="286" w:lineRule="auto"/>
        <w:ind w:left="0" w:right="0" w:firstLine="380"/>
        <w:jc w:val="both"/>
        <w:rPr>
          <w:sz w:val="20"/>
          <w:szCs w:val="20"/>
        </w:rPr>
      </w:pPr>
      <w:bookmarkStart w:id="663" w:name="bookmark663"/>
      <w:r>
        <w:rPr>
          <w:rFonts w:ascii="Times New Roman" w:eastAsia="Times New Roman" w:hAnsi="Times New Roman" w:cs="Times New Roman"/>
          <w:b/>
          <w:bCs/>
          <w:color w:val="000000"/>
          <w:spacing w:val="0"/>
          <w:w w:val="100"/>
          <w:position w:val="0"/>
          <w:sz w:val="20"/>
          <w:szCs w:val="20"/>
        </w:rPr>
        <w:t>2</w:t>
      </w:r>
      <w:bookmarkEnd w:id="663"/>
      <w:r>
        <w:rPr>
          <w:b/>
          <w:bCs/>
          <w:color w:val="000000"/>
          <w:spacing w:val="0"/>
          <w:w w:val="100"/>
          <w:position w:val="0"/>
          <w:sz w:val="20"/>
          <w:szCs w:val="20"/>
        </w:rPr>
        <w:t>、</w:t>
        <w:tab/>
        <w:t>发出存货的计价方法</w:t>
      </w:r>
    </w:p>
    <w:p>
      <w:pPr>
        <w:pStyle w:val="Style31"/>
        <w:keepNext w:val="0"/>
        <w:keepLines w:val="0"/>
        <w:widowControl w:val="0"/>
        <w:shd w:val="clear" w:color="auto" w:fill="auto"/>
        <w:bidi w:val="0"/>
        <w:spacing w:before="0" w:after="160" w:line="271" w:lineRule="exact"/>
        <w:ind w:left="0" w:right="0" w:firstLine="440"/>
        <w:jc w:val="both"/>
        <w:rPr>
          <w:sz w:val="20"/>
          <w:szCs w:val="20"/>
        </w:rPr>
      </w:pPr>
      <w:r>
        <w:rPr>
          <w:color w:val="000000"/>
          <w:spacing w:val="0"/>
          <w:w w:val="100"/>
          <w:position w:val="0"/>
          <w:sz w:val="20"/>
          <w:szCs w:val="20"/>
        </w:rPr>
        <w:t>原材料以计划成本或实际成本计价，采用计划成本计价的，期末通过分摊材料成本差异，将存货的计 划成本调整为实际成本；产品成本计算主要采用品种法、批次法，发出计价按产品特点分别采用移动加权 平均法或加权平均法；开发成本项目按完工百分比法结转成本。</w:t>
      </w:r>
    </w:p>
    <w:p>
      <w:pPr>
        <w:pStyle w:val="Style31"/>
        <w:keepNext w:val="0"/>
        <w:keepLines w:val="0"/>
        <w:widowControl w:val="0"/>
        <w:shd w:val="clear" w:color="auto" w:fill="auto"/>
        <w:tabs>
          <w:tab w:pos="734" w:val="left"/>
        </w:tabs>
        <w:bidi w:val="0"/>
        <w:spacing w:before="0" w:after="100" w:line="286" w:lineRule="auto"/>
        <w:ind w:left="0" w:right="0" w:firstLine="380"/>
        <w:jc w:val="both"/>
        <w:rPr>
          <w:sz w:val="20"/>
          <w:szCs w:val="20"/>
        </w:rPr>
      </w:pPr>
      <w:bookmarkStart w:id="664" w:name="bookmark664"/>
      <w:r>
        <w:rPr>
          <w:rFonts w:ascii="Times New Roman" w:eastAsia="Times New Roman" w:hAnsi="Times New Roman" w:cs="Times New Roman"/>
          <w:b/>
          <w:bCs/>
          <w:color w:val="000000"/>
          <w:spacing w:val="0"/>
          <w:w w:val="100"/>
          <w:position w:val="0"/>
          <w:sz w:val="20"/>
          <w:szCs w:val="20"/>
        </w:rPr>
        <w:t>3</w:t>
      </w:r>
      <w:bookmarkEnd w:id="664"/>
      <w:r>
        <w:rPr>
          <w:b/>
          <w:bCs/>
          <w:color w:val="000000"/>
          <w:spacing w:val="0"/>
          <w:w w:val="100"/>
          <w:position w:val="0"/>
          <w:sz w:val="20"/>
          <w:szCs w:val="20"/>
        </w:rPr>
        <w:t>、</w:t>
        <w:tab/>
        <w:t>存货可变现净值的确定依据及存货跌价准备的计提方法</w:t>
      </w:r>
    </w:p>
    <w:p>
      <w:pPr>
        <w:pStyle w:val="Style31"/>
        <w:keepNext w:val="0"/>
        <w:keepLines w:val="0"/>
        <w:widowControl w:val="0"/>
        <w:shd w:val="clear" w:color="auto" w:fill="auto"/>
        <w:bidi w:val="0"/>
        <w:spacing w:before="0" w:after="100" w:line="274" w:lineRule="exact"/>
        <w:ind w:left="0" w:right="0" w:firstLine="380"/>
        <w:jc w:val="both"/>
        <w:rPr>
          <w:sz w:val="20"/>
          <w:szCs w:val="20"/>
        </w:rPr>
      </w:pPr>
      <w:r>
        <w:rPr>
          <w:color w:val="000000"/>
          <w:spacing w:val="0"/>
          <w:w w:val="100"/>
          <w:position w:val="0"/>
          <w:sz w:val="20"/>
          <w:szCs w:val="20"/>
        </w:rPr>
        <w:t>期末对存货进行全面清查后，按存货的成本与可变现净值孰低提取或调整存货跌价准备。</w:t>
      </w:r>
    </w:p>
    <w:p>
      <w:pPr>
        <w:pStyle w:val="Style31"/>
        <w:keepNext w:val="0"/>
        <w:keepLines w:val="0"/>
        <w:widowControl w:val="0"/>
        <w:shd w:val="clear" w:color="auto" w:fill="auto"/>
        <w:bidi w:val="0"/>
        <w:spacing w:before="0" w:after="380" w:line="274" w:lineRule="exact"/>
        <w:ind w:left="0" w:right="0" w:firstLine="440"/>
        <w:jc w:val="both"/>
        <w:rPr>
          <w:sz w:val="20"/>
          <w:szCs w:val="20"/>
        </w:rPr>
      </w:pPr>
      <w:r>
        <w:rPr>
          <w:color w:val="000000"/>
          <w:spacing w:val="0"/>
          <w:w w:val="100"/>
          <w:position w:val="0"/>
          <w:sz w:val="20"/>
          <w:szCs w:val="20"/>
        </w:rPr>
        <w:t>产成品、库存商品和用于出售的原材料等存货，在正常生产经营过程中，以该存货的估计售价减去估 计的销售费用和相关税费后的金额，确定其可变现净值；需要经过加工的材料存货，在正常生产经营过程 中，以所生产的产成品的估计售价减去至完工时估计将要发生的成本、估计的销售费用和相关税费后的金 额，确定其可变现净值；为执行销售合同或者劳务合同而持有的存货，其可变现净值以合同价格为基础计 算，若持有存货的数量多于销售合同订购数量的，超出部分的存货的可变现净值以一般销售价格为基础计</w:t>
      </w:r>
    </w:p>
    <w:p>
      <w:pPr>
        <w:pStyle w:val="Style31"/>
        <w:keepNext w:val="0"/>
        <w:keepLines w:val="0"/>
        <w:widowControl w:val="0"/>
        <w:shd w:val="clear" w:color="auto" w:fill="auto"/>
        <w:bidi w:val="0"/>
        <w:spacing w:before="0" w:after="100" w:line="276" w:lineRule="exact"/>
        <w:ind w:left="0" w:right="0" w:firstLine="440"/>
        <w:jc w:val="both"/>
        <w:rPr>
          <w:sz w:val="20"/>
          <w:szCs w:val="20"/>
        </w:rPr>
      </w:pPr>
      <w:r>
        <w:rPr>
          <w:color w:val="000000"/>
          <w:spacing w:val="0"/>
          <w:w w:val="100"/>
          <w:position w:val="0"/>
          <w:sz w:val="20"/>
          <w:szCs w:val="2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31"/>
        <w:keepNext w:val="0"/>
        <w:keepLines w:val="0"/>
        <w:widowControl w:val="0"/>
        <w:shd w:val="clear" w:color="auto" w:fill="auto"/>
        <w:bidi w:val="0"/>
        <w:spacing w:before="0" w:after="160" w:line="274" w:lineRule="exact"/>
        <w:ind w:left="0" w:right="0" w:firstLine="440"/>
        <w:jc w:val="both"/>
        <w:rPr>
          <w:sz w:val="20"/>
          <w:szCs w:val="20"/>
        </w:rPr>
      </w:pPr>
      <w:r>
        <w:rPr>
          <w:color w:val="000000"/>
          <w:spacing w:val="0"/>
          <w:w w:val="100"/>
          <w:position w:val="0"/>
          <w:sz w:val="20"/>
          <w:szCs w:val="20"/>
        </w:rPr>
        <w:t>如果以前减记存货价值的影响因素已经消失的，减记的金额予以恢复，并在原己计提的存货跌价准备 金额内转回，转回的金额计入当期损益。</w:t>
      </w:r>
    </w:p>
    <w:p>
      <w:pPr>
        <w:pStyle w:val="Style31"/>
        <w:keepNext w:val="0"/>
        <w:keepLines w:val="0"/>
        <w:widowControl w:val="0"/>
        <w:shd w:val="clear" w:color="auto" w:fill="auto"/>
        <w:bidi w:val="0"/>
        <w:spacing w:before="0" w:after="100" w:line="240" w:lineRule="auto"/>
        <w:ind w:left="0" w:right="0" w:firstLine="380"/>
        <w:jc w:val="both"/>
        <w:rPr>
          <w:sz w:val="20"/>
          <w:szCs w:val="20"/>
        </w:rPr>
      </w:pPr>
      <w:bookmarkStart w:id="665" w:name="bookmark665"/>
      <w:r>
        <w:rPr>
          <w:rFonts w:ascii="Times New Roman" w:eastAsia="Times New Roman" w:hAnsi="Times New Roman" w:cs="Times New Roman"/>
          <w:b/>
          <w:bCs/>
          <w:color w:val="000000"/>
          <w:spacing w:val="0"/>
          <w:w w:val="100"/>
          <w:position w:val="0"/>
          <w:sz w:val="20"/>
          <w:szCs w:val="20"/>
        </w:rPr>
        <w:t>4</w:t>
      </w:r>
      <w:bookmarkEnd w:id="665"/>
      <w:r>
        <w:rPr>
          <w:b/>
          <w:bCs/>
          <w:color w:val="000000"/>
          <w:spacing w:val="0"/>
          <w:w w:val="100"/>
          <w:position w:val="0"/>
          <w:sz w:val="20"/>
          <w:szCs w:val="20"/>
        </w:rPr>
        <w:t>、存货的盘存制度</w:t>
      </w:r>
    </w:p>
    <w:p>
      <w:pPr>
        <w:pStyle w:val="Style31"/>
        <w:keepNext w:val="0"/>
        <w:keepLines w:val="0"/>
        <w:widowControl w:val="0"/>
        <w:shd w:val="clear" w:color="auto" w:fill="auto"/>
        <w:bidi w:val="0"/>
        <w:spacing w:before="0" w:after="160" w:line="274" w:lineRule="exact"/>
        <w:ind w:left="0" w:right="0" w:firstLine="440"/>
        <w:jc w:val="left"/>
        <w:rPr>
          <w:sz w:val="20"/>
          <w:szCs w:val="20"/>
        </w:rPr>
      </w:pPr>
      <w:r>
        <w:rPr>
          <w:color w:val="000000"/>
          <w:spacing w:val="0"/>
          <w:w w:val="100"/>
          <w:position w:val="0"/>
          <w:sz w:val="20"/>
          <w:szCs w:val="20"/>
        </w:rPr>
        <w:t>本公司采用永续盘存制。</w:t>
      </w:r>
    </w:p>
    <w:p>
      <w:pPr>
        <w:pStyle w:val="Style31"/>
        <w:keepNext w:val="0"/>
        <w:keepLines w:val="0"/>
        <w:widowControl w:val="0"/>
        <w:shd w:val="clear" w:color="auto" w:fill="auto"/>
        <w:bidi w:val="0"/>
        <w:spacing w:before="0" w:after="40" w:line="286" w:lineRule="auto"/>
        <w:ind w:left="0" w:right="0" w:firstLine="440"/>
        <w:jc w:val="left"/>
        <w:rPr>
          <w:sz w:val="20"/>
          <w:szCs w:val="20"/>
        </w:rPr>
      </w:pPr>
      <w:bookmarkStart w:id="666" w:name="bookmark666"/>
      <w:r>
        <w:rPr>
          <w:rFonts w:ascii="Times New Roman" w:eastAsia="Times New Roman" w:hAnsi="Times New Roman" w:cs="Times New Roman"/>
          <w:b/>
          <w:bCs/>
          <w:color w:val="000000"/>
          <w:spacing w:val="0"/>
          <w:w w:val="100"/>
          <w:position w:val="0"/>
          <w:sz w:val="20"/>
          <w:szCs w:val="20"/>
        </w:rPr>
        <w:t>5</w:t>
      </w:r>
      <w:bookmarkEnd w:id="666"/>
      <w:r>
        <w:rPr>
          <w:b/>
          <w:bCs/>
          <w:color w:val="000000"/>
          <w:spacing w:val="0"/>
          <w:w w:val="100"/>
          <w:position w:val="0"/>
          <w:sz w:val="20"/>
          <w:szCs w:val="20"/>
        </w:rPr>
        <w:t>、周转材料的摊销方法</w:t>
      </w:r>
    </w:p>
    <w:p>
      <w:pPr>
        <w:pStyle w:val="Style31"/>
        <w:keepNext w:val="0"/>
        <w:keepLines w:val="0"/>
        <w:widowControl w:val="0"/>
        <w:shd w:val="clear" w:color="auto" w:fill="auto"/>
        <w:bidi w:val="0"/>
        <w:spacing w:before="0" w:after="100" w:line="283" w:lineRule="exact"/>
        <w:ind w:left="0" w:right="0" w:firstLine="440"/>
        <w:jc w:val="both"/>
        <w:rPr>
          <w:sz w:val="20"/>
          <w:szCs w:val="20"/>
        </w:rPr>
      </w:pPr>
      <w:r>
        <w:rPr>
          <w:color w:val="000000"/>
          <w:spacing w:val="0"/>
          <w:w w:val="100"/>
          <w:position w:val="0"/>
          <w:sz w:val="20"/>
          <w:szCs w:val="20"/>
        </w:rPr>
        <w:t>本公司周转材料包括模具、探针卡、低值易耗品等。低值易耗品采用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一次摊销法</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进行分摊，其他周 转材料按预计使用年限进行摊销。</w:t>
      </w:r>
    </w:p>
    <w:p>
      <w:pPr>
        <w:pStyle w:val="Style28"/>
        <w:keepNext/>
        <w:keepLines/>
        <w:widowControl w:val="0"/>
        <w:shd w:val="clear" w:color="auto" w:fill="auto"/>
        <w:bidi w:val="0"/>
        <w:spacing w:before="0" w:after="100" w:line="274" w:lineRule="exact"/>
        <w:ind w:left="0" w:right="0" w:firstLine="0"/>
        <w:jc w:val="left"/>
      </w:pPr>
      <w:bookmarkStart w:id="667" w:name="bookmark667"/>
      <w:bookmarkStart w:id="668" w:name="bookmark668"/>
      <w:bookmarkStart w:id="669" w:name="bookmark669"/>
      <w:r>
        <w:rPr>
          <w:color w:val="000000"/>
          <w:spacing w:val="0"/>
          <w:w w:val="100"/>
          <w:position w:val="0"/>
        </w:rPr>
        <w:t>（十三）划分为持有待售资产的确认标准</w:t>
      </w:r>
      <w:bookmarkEnd w:id="667"/>
      <w:bookmarkEnd w:id="668"/>
      <w:bookmarkEnd w:id="669"/>
    </w:p>
    <w:p>
      <w:pPr>
        <w:pStyle w:val="Style31"/>
        <w:keepNext w:val="0"/>
        <w:keepLines w:val="0"/>
        <w:widowControl w:val="0"/>
        <w:shd w:val="clear" w:color="auto" w:fill="auto"/>
        <w:bidi w:val="0"/>
        <w:spacing w:before="0" w:after="100" w:line="274" w:lineRule="exact"/>
        <w:ind w:left="0" w:right="0" w:firstLine="440"/>
        <w:jc w:val="left"/>
        <w:rPr>
          <w:sz w:val="20"/>
          <w:szCs w:val="20"/>
        </w:rPr>
      </w:pPr>
      <w:r>
        <w:rPr>
          <w:color w:val="000000"/>
          <w:spacing w:val="0"/>
          <w:w w:val="100"/>
          <w:position w:val="0"/>
          <w:sz w:val="20"/>
          <w:szCs w:val="20"/>
        </w:rPr>
        <w:t>本公司对于同时满足下列条件的企业组成部分（或非流动资产，下同）确认为持有待售：该组成部分 必须在其当前状况下仅根据出售此类组成部分的惯常条款即可立即出售；本公司已经就处置该组成部分按 照规定程序作出决议，本公司已经与受让方签订了不可撤销的转让协议；该项转让将在一年内完成。</w:t>
      </w:r>
    </w:p>
    <w:p>
      <w:pPr>
        <w:pStyle w:val="Style28"/>
        <w:keepNext/>
        <w:keepLines/>
        <w:widowControl w:val="0"/>
        <w:shd w:val="clear" w:color="auto" w:fill="auto"/>
        <w:bidi w:val="0"/>
        <w:spacing w:before="0" w:after="160" w:line="274" w:lineRule="exact"/>
        <w:ind w:left="0" w:right="0" w:firstLine="0"/>
        <w:jc w:val="left"/>
      </w:pPr>
      <w:bookmarkStart w:id="670" w:name="bookmark670"/>
      <w:bookmarkStart w:id="671" w:name="bookmark671"/>
      <w:bookmarkStart w:id="672" w:name="bookmark672"/>
      <w:r>
        <w:rPr>
          <w:color w:val="000000"/>
          <w:spacing w:val="0"/>
          <w:w w:val="100"/>
          <w:position w:val="0"/>
        </w:rPr>
        <w:t>（十四）长期股权投资</w:t>
      </w:r>
      <w:bookmarkEnd w:id="670"/>
      <w:bookmarkEnd w:id="671"/>
      <w:bookmarkEnd w:id="672"/>
    </w:p>
    <w:p>
      <w:pPr>
        <w:pStyle w:val="Style28"/>
        <w:keepNext/>
        <w:keepLines/>
        <w:widowControl w:val="0"/>
        <w:shd w:val="clear" w:color="auto" w:fill="auto"/>
        <w:tabs>
          <w:tab w:pos="808" w:val="left"/>
        </w:tabs>
        <w:bidi w:val="0"/>
        <w:spacing w:before="0" w:after="100" w:line="274" w:lineRule="exact"/>
        <w:ind w:left="0" w:right="0" w:firstLine="440"/>
        <w:jc w:val="left"/>
      </w:pPr>
      <w:bookmarkStart w:id="670" w:name="bookmark670"/>
      <w:bookmarkStart w:id="671" w:name="bookmark671"/>
      <w:bookmarkStart w:id="673" w:name="bookmark673"/>
      <w:r>
        <w:rPr>
          <w:rFonts w:ascii="Times New Roman" w:eastAsia="Times New Roman" w:hAnsi="Times New Roman" w:cs="Times New Roman"/>
          <w:color w:val="000000"/>
          <w:spacing w:val="0"/>
          <w:w w:val="100"/>
          <w:position w:val="0"/>
        </w:rPr>
        <w:t>1</w:t>
      </w:r>
      <w:bookmarkEnd w:id="673"/>
      <w:r>
        <w:rPr>
          <w:color w:val="000000"/>
          <w:spacing w:val="0"/>
          <w:w w:val="100"/>
          <w:position w:val="0"/>
        </w:rPr>
        <w:t>、</w:t>
        <w:tab/>
        <w:t>长期股权投资的分类及其判断依据</w:t>
      </w:r>
      <w:bookmarkEnd w:id="670"/>
      <w:bookmarkEnd w:id="671"/>
    </w:p>
    <w:p>
      <w:pPr>
        <w:pStyle w:val="Style31"/>
        <w:keepNext w:val="0"/>
        <w:keepLines w:val="0"/>
        <w:widowControl w:val="0"/>
        <w:shd w:val="clear" w:color="auto" w:fill="auto"/>
        <w:tabs>
          <w:tab w:pos="928" w:val="left"/>
        </w:tabs>
        <w:bidi w:val="0"/>
        <w:spacing w:before="0" w:after="100" w:line="274" w:lineRule="exact"/>
        <w:ind w:left="0" w:right="0" w:firstLine="440"/>
        <w:jc w:val="left"/>
        <w:rPr>
          <w:sz w:val="20"/>
          <w:szCs w:val="20"/>
        </w:rPr>
      </w:pPr>
      <w:bookmarkStart w:id="674" w:name="bookmark674"/>
      <w:r>
        <w:rPr>
          <w:color w:val="000000"/>
          <w:spacing w:val="0"/>
          <w:w w:val="100"/>
          <w:position w:val="0"/>
          <w:sz w:val="20"/>
          <w:szCs w:val="20"/>
        </w:rPr>
        <w:t>（</w:t>
      </w:r>
      <w:bookmarkEnd w:id="67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长期股权投资的分类</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本公司将长期股权投资分为对被投资单位实施控制的权益性投资（即对子公司的投资），对被投资单 位实施重大影响的权益性投资（即对联营企业的投资），对被投资单位实施共同控制的权益性投资（即对 合营企业的投资）三类。</w:t>
      </w:r>
    </w:p>
    <w:p>
      <w:pPr>
        <w:pStyle w:val="Style31"/>
        <w:keepNext w:val="0"/>
        <w:keepLines w:val="0"/>
        <w:widowControl w:val="0"/>
        <w:shd w:val="clear" w:color="auto" w:fill="auto"/>
        <w:tabs>
          <w:tab w:pos="928" w:val="left"/>
        </w:tabs>
        <w:bidi w:val="0"/>
        <w:spacing w:before="0" w:after="100" w:line="274" w:lineRule="exact"/>
        <w:ind w:left="0" w:right="0" w:firstLine="440"/>
        <w:jc w:val="both"/>
        <w:rPr>
          <w:sz w:val="20"/>
          <w:szCs w:val="20"/>
        </w:rPr>
      </w:pPr>
      <w:bookmarkStart w:id="675" w:name="bookmark675"/>
      <w:r>
        <w:rPr>
          <w:color w:val="000000"/>
          <w:spacing w:val="0"/>
          <w:w w:val="100"/>
          <w:position w:val="0"/>
          <w:sz w:val="20"/>
          <w:szCs w:val="20"/>
        </w:rPr>
        <w:t>（</w:t>
      </w:r>
      <w:bookmarkEnd w:id="67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长期股权投资类别的判断依据</w:t>
      </w:r>
    </w:p>
    <w:p>
      <w:pPr>
        <w:pStyle w:val="Style31"/>
        <w:keepNext w:val="0"/>
        <w:keepLines w:val="0"/>
        <w:widowControl w:val="0"/>
        <w:numPr>
          <w:ilvl w:val="0"/>
          <w:numId w:val="9"/>
        </w:numPr>
        <w:shd w:val="clear" w:color="auto" w:fill="auto"/>
        <w:tabs>
          <w:tab w:pos="832" w:val="left"/>
        </w:tabs>
        <w:bidi w:val="0"/>
        <w:spacing w:before="0" w:after="100" w:line="274" w:lineRule="exact"/>
        <w:ind w:left="0" w:right="0" w:firstLine="440"/>
        <w:jc w:val="left"/>
        <w:rPr>
          <w:sz w:val="20"/>
          <w:szCs w:val="20"/>
        </w:rPr>
      </w:pPr>
      <w:bookmarkStart w:id="676" w:name="bookmark676"/>
      <w:bookmarkEnd w:id="676"/>
      <w:r>
        <w:rPr>
          <w:color w:val="000000"/>
          <w:spacing w:val="0"/>
          <w:w w:val="100"/>
          <w:position w:val="0"/>
          <w:sz w:val="20"/>
          <w:szCs w:val="20"/>
        </w:rPr>
        <w:t>确定对被投资单位控制的依据详见本附注五（六）“合并财务报表的编制方法”；</w:t>
      </w:r>
    </w:p>
    <w:p>
      <w:pPr>
        <w:pStyle w:val="Style31"/>
        <w:keepNext w:val="0"/>
        <w:keepLines w:val="0"/>
        <w:widowControl w:val="0"/>
        <w:numPr>
          <w:ilvl w:val="0"/>
          <w:numId w:val="9"/>
        </w:numPr>
        <w:shd w:val="clear" w:color="auto" w:fill="auto"/>
        <w:tabs>
          <w:tab w:pos="837" w:val="left"/>
        </w:tabs>
        <w:bidi w:val="0"/>
        <w:spacing w:before="0" w:after="100" w:line="274" w:lineRule="exact"/>
        <w:ind w:left="0" w:right="0" w:firstLine="440"/>
        <w:jc w:val="left"/>
        <w:rPr>
          <w:sz w:val="20"/>
          <w:szCs w:val="20"/>
        </w:rPr>
      </w:pPr>
      <w:bookmarkStart w:id="677" w:name="bookmark677"/>
      <w:bookmarkEnd w:id="677"/>
      <w:r>
        <w:rPr>
          <w:color w:val="000000"/>
          <w:spacing w:val="0"/>
          <w:w w:val="100"/>
          <w:position w:val="0"/>
          <w:sz w:val="20"/>
          <w:szCs w:val="20"/>
        </w:rPr>
        <w:t>确定对被投资单位具有重大影响的依据：</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重大影响，是指对一个企业的财务和经营决策有参与决策的权力，但并不能够控制或者与其他方一起 共同控制这些政策的制定。</w:t>
      </w:r>
    </w:p>
    <w:p>
      <w:pPr>
        <w:pStyle w:val="Style31"/>
        <w:keepNext w:val="0"/>
        <w:keepLines w:val="0"/>
        <w:widowControl w:val="0"/>
        <w:shd w:val="clear" w:color="auto" w:fill="auto"/>
        <w:bidi w:val="0"/>
        <w:spacing w:before="0" w:after="100" w:line="274" w:lineRule="exact"/>
        <w:ind w:left="0" w:right="0" w:firstLine="440"/>
        <w:jc w:val="left"/>
        <w:rPr>
          <w:sz w:val="20"/>
          <w:szCs w:val="20"/>
        </w:rPr>
      </w:pPr>
      <w:r>
        <w:rPr>
          <w:color w:val="000000"/>
          <w:spacing w:val="0"/>
          <w:w w:val="100"/>
          <w:position w:val="0"/>
          <w:sz w:val="20"/>
          <w:szCs w:val="20"/>
        </w:rPr>
        <w:t>本公司通常通过以下一种或几种情形判断是否对被投资单位具有重大影响：</w:t>
      </w:r>
    </w:p>
    <w:p>
      <w:pPr>
        <w:pStyle w:val="Style31"/>
        <w:keepNext w:val="0"/>
        <w:keepLines w:val="0"/>
        <w:widowControl w:val="0"/>
        <w:shd w:val="clear" w:color="auto" w:fill="auto"/>
        <w:tabs>
          <w:tab w:pos="861" w:val="left"/>
        </w:tabs>
        <w:bidi w:val="0"/>
        <w:spacing w:before="0" w:after="100" w:line="274" w:lineRule="exact"/>
        <w:ind w:left="0" w:right="0" w:firstLine="440"/>
        <w:jc w:val="left"/>
        <w:rPr>
          <w:sz w:val="20"/>
          <w:szCs w:val="20"/>
        </w:rPr>
      </w:pPr>
      <w:bookmarkStart w:id="678" w:name="bookmark678"/>
      <w:r>
        <w:rPr>
          <w:rFonts w:ascii="Times New Roman" w:eastAsia="Times New Roman" w:hAnsi="Times New Roman" w:cs="Times New Roman"/>
          <w:color w:val="000000"/>
          <w:spacing w:val="0"/>
          <w:w w:val="100"/>
          <w:position w:val="0"/>
          <w:sz w:val="20"/>
          <w:szCs w:val="20"/>
        </w:rPr>
        <w:t>A</w:t>
      </w:r>
      <w:bookmarkEnd w:id="678"/>
      <w:r>
        <w:rPr>
          <w:color w:val="000000"/>
          <w:spacing w:val="0"/>
          <w:w w:val="100"/>
          <w:position w:val="0"/>
          <w:sz w:val="20"/>
          <w:szCs w:val="20"/>
        </w:rPr>
        <w:t>、</w:t>
        <w:tab/>
      </w:r>
      <w:r>
        <w:rPr>
          <w:color w:val="000000"/>
          <w:spacing w:val="0"/>
          <w:w w:val="100"/>
          <w:position w:val="0"/>
          <w:sz w:val="20"/>
          <w:szCs w:val="20"/>
        </w:rPr>
        <w:t>在被投资单位的董事会或类似权力机构中派有代表。</w:t>
      </w:r>
    </w:p>
    <w:p>
      <w:pPr>
        <w:pStyle w:val="Style31"/>
        <w:keepNext w:val="0"/>
        <w:keepLines w:val="0"/>
        <w:widowControl w:val="0"/>
        <w:shd w:val="clear" w:color="auto" w:fill="auto"/>
        <w:tabs>
          <w:tab w:pos="861" w:val="left"/>
        </w:tabs>
        <w:bidi w:val="0"/>
        <w:spacing w:before="0" w:after="100" w:line="274" w:lineRule="exact"/>
        <w:ind w:left="0" w:right="0" w:firstLine="440"/>
        <w:jc w:val="left"/>
        <w:rPr>
          <w:sz w:val="20"/>
          <w:szCs w:val="20"/>
        </w:rPr>
      </w:pPr>
      <w:bookmarkStart w:id="679" w:name="bookmark679"/>
      <w:r>
        <w:rPr>
          <w:rFonts w:ascii="Times New Roman" w:eastAsia="Times New Roman" w:hAnsi="Times New Roman" w:cs="Times New Roman"/>
          <w:color w:val="000000"/>
          <w:spacing w:val="0"/>
          <w:w w:val="100"/>
          <w:position w:val="0"/>
          <w:sz w:val="20"/>
          <w:szCs w:val="20"/>
        </w:rPr>
        <w:t>B</w:t>
      </w:r>
      <w:bookmarkEnd w:id="679"/>
      <w:r>
        <w:rPr>
          <w:color w:val="000000"/>
          <w:spacing w:val="0"/>
          <w:w w:val="100"/>
          <w:position w:val="0"/>
          <w:sz w:val="20"/>
          <w:szCs w:val="20"/>
        </w:rPr>
        <w:t>、</w:t>
        <w:tab/>
      </w:r>
      <w:r>
        <w:rPr>
          <w:color w:val="000000"/>
          <w:spacing w:val="0"/>
          <w:w w:val="100"/>
          <w:position w:val="0"/>
          <w:sz w:val="20"/>
          <w:szCs w:val="20"/>
        </w:rPr>
        <w:t>参与被投资单位财务和经营政策制定过程。</w:t>
      </w:r>
    </w:p>
    <w:p>
      <w:pPr>
        <w:pStyle w:val="Style31"/>
        <w:keepNext w:val="0"/>
        <w:keepLines w:val="0"/>
        <w:widowControl w:val="0"/>
        <w:shd w:val="clear" w:color="auto" w:fill="auto"/>
        <w:tabs>
          <w:tab w:pos="861" w:val="left"/>
        </w:tabs>
        <w:bidi w:val="0"/>
        <w:spacing w:before="0" w:after="100" w:line="274" w:lineRule="exact"/>
        <w:ind w:left="0" w:right="0" w:firstLine="440"/>
        <w:jc w:val="left"/>
        <w:rPr>
          <w:sz w:val="20"/>
          <w:szCs w:val="20"/>
        </w:rPr>
      </w:pPr>
      <w:bookmarkStart w:id="680" w:name="bookmark680"/>
      <w:r>
        <w:rPr>
          <w:rFonts w:ascii="Times New Roman" w:eastAsia="Times New Roman" w:hAnsi="Times New Roman" w:cs="Times New Roman"/>
          <w:color w:val="000000"/>
          <w:spacing w:val="0"/>
          <w:w w:val="100"/>
          <w:position w:val="0"/>
          <w:sz w:val="20"/>
          <w:szCs w:val="20"/>
        </w:rPr>
        <w:t>C</w:t>
      </w:r>
      <w:bookmarkEnd w:id="680"/>
      <w:r>
        <w:rPr>
          <w:color w:val="000000"/>
          <w:spacing w:val="0"/>
          <w:w w:val="100"/>
          <w:position w:val="0"/>
          <w:sz w:val="20"/>
          <w:szCs w:val="20"/>
        </w:rPr>
        <w:t>、</w:t>
        <w:tab/>
      </w:r>
      <w:r>
        <w:rPr>
          <w:color w:val="000000"/>
          <w:spacing w:val="0"/>
          <w:w w:val="100"/>
          <w:position w:val="0"/>
          <w:sz w:val="20"/>
          <w:szCs w:val="20"/>
        </w:rPr>
        <w:t>与被投资单位之间发生重要交易。</w:t>
      </w:r>
    </w:p>
    <w:p>
      <w:pPr>
        <w:pStyle w:val="Style31"/>
        <w:keepNext w:val="0"/>
        <w:keepLines w:val="0"/>
        <w:widowControl w:val="0"/>
        <w:shd w:val="clear" w:color="auto" w:fill="auto"/>
        <w:tabs>
          <w:tab w:pos="861" w:val="left"/>
        </w:tabs>
        <w:bidi w:val="0"/>
        <w:spacing w:before="0" w:after="100" w:line="274" w:lineRule="exact"/>
        <w:ind w:left="0" w:right="0" w:firstLine="440"/>
        <w:jc w:val="left"/>
        <w:rPr>
          <w:sz w:val="20"/>
          <w:szCs w:val="20"/>
        </w:rPr>
      </w:pPr>
      <w:bookmarkStart w:id="681" w:name="bookmark681"/>
      <w:r>
        <w:rPr>
          <w:rFonts w:ascii="Times New Roman" w:eastAsia="Times New Roman" w:hAnsi="Times New Roman" w:cs="Times New Roman"/>
          <w:color w:val="000000"/>
          <w:spacing w:val="0"/>
          <w:w w:val="100"/>
          <w:position w:val="0"/>
          <w:sz w:val="20"/>
          <w:szCs w:val="20"/>
        </w:rPr>
        <w:t>D</w:t>
      </w:r>
      <w:bookmarkEnd w:id="681"/>
      <w:r>
        <w:rPr>
          <w:color w:val="000000"/>
          <w:spacing w:val="0"/>
          <w:w w:val="100"/>
          <w:position w:val="0"/>
          <w:sz w:val="20"/>
          <w:szCs w:val="20"/>
        </w:rPr>
        <w:t>、</w:t>
        <w:tab/>
      </w:r>
      <w:r>
        <w:rPr>
          <w:color w:val="000000"/>
          <w:spacing w:val="0"/>
          <w:w w:val="100"/>
          <w:position w:val="0"/>
          <w:sz w:val="20"/>
          <w:szCs w:val="20"/>
        </w:rPr>
        <w:t>向被投资单位派出管理人员。</w:t>
      </w:r>
    </w:p>
    <w:p>
      <w:pPr>
        <w:pStyle w:val="Style31"/>
        <w:keepNext w:val="0"/>
        <w:keepLines w:val="0"/>
        <w:widowControl w:val="0"/>
        <w:shd w:val="clear" w:color="auto" w:fill="auto"/>
        <w:tabs>
          <w:tab w:pos="861" w:val="left"/>
        </w:tabs>
        <w:bidi w:val="0"/>
        <w:spacing w:before="0" w:after="100" w:line="274" w:lineRule="exact"/>
        <w:ind w:left="0" w:right="0" w:firstLine="440"/>
        <w:jc w:val="left"/>
        <w:rPr>
          <w:sz w:val="20"/>
          <w:szCs w:val="20"/>
        </w:rPr>
      </w:pPr>
      <w:bookmarkStart w:id="682" w:name="bookmark682"/>
      <w:r>
        <w:rPr>
          <w:rFonts w:ascii="Times New Roman" w:eastAsia="Times New Roman" w:hAnsi="Times New Roman" w:cs="Times New Roman"/>
          <w:color w:val="000000"/>
          <w:spacing w:val="0"/>
          <w:w w:val="100"/>
          <w:position w:val="0"/>
          <w:sz w:val="20"/>
          <w:szCs w:val="20"/>
        </w:rPr>
        <w:t>E</w:t>
      </w:r>
      <w:bookmarkEnd w:id="682"/>
      <w:r>
        <w:rPr>
          <w:color w:val="000000"/>
          <w:spacing w:val="0"/>
          <w:w w:val="100"/>
          <w:position w:val="0"/>
          <w:sz w:val="20"/>
          <w:szCs w:val="20"/>
        </w:rPr>
        <w:t>、</w:t>
        <w:tab/>
      </w:r>
      <w:r>
        <w:rPr>
          <w:color w:val="000000"/>
          <w:spacing w:val="0"/>
          <w:w w:val="100"/>
          <w:position w:val="0"/>
          <w:sz w:val="20"/>
          <w:szCs w:val="20"/>
        </w:rPr>
        <w:t>向被投资单位提供关键技术资料。</w:t>
      </w:r>
    </w:p>
    <w:p>
      <w:pPr>
        <w:pStyle w:val="Style31"/>
        <w:keepNext w:val="0"/>
        <w:keepLines w:val="0"/>
        <w:widowControl w:val="0"/>
        <w:shd w:val="clear" w:color="auto" w:fill="auto"/>
        <w:bidi w:val="0"/>
        <w:spacing w:before="0" w:after="100" w:line="278" w:lineRule="exact"/>
        <w:ind w:left="0" w:right="0" w:firstLine="440"/>
        <w:jc w:val="both"/>
        <w:rPr>
          <w:sz w:val="20"/>
          <w:szCs w:val="20"/>
        </w:rPr>
      </w:pPr>
      <w:r>
        <w:rPr>
          <w:color w:val="000000"/>
          <w:spacing w:val="0"/>
          <w:w w:val="100"/>
          <w:position w:val="0"/>
          <w:sz w:val="20"/>
          <w:szCs w:val="20"/>
        </w:rPr>
        <w:t>公司在判断是否对被投资方具有重大影响时，不限于是否存在上述一种或多种情形，还需要综合考虑 所有事实和情况来做出综合的判断。</w:t>
      </w:r>
    </w:p>
    <w:p>
      <w:pPr>
        <w:pStyle w:val="Style31"/>
        <w:keepNext w:val="0"/>
        <w:keepLines w:val="0"/>
        <w:widowControl w:val="0"/>
        <w:numPr>
          <w:ilvl w:val="0"/>
          <w:numId w:val="9"/>
        </w:numPr>
        <w:shd w:val="clear" w:color="auto" w:fill="auto"/>
        <w:tabs>
          <w:tab w:pos="837" w:val="left"/>
        </w:tabs>
        <w:bidi w:val="0"/>
        <w:spacing w:before="0" w:after="100" w:line="274" w:lineRule="exact"/>
        <w:ind w:left="0" w:right="0" w:firstLine="440"/>
        <w:jc w:val="both"/>
        <w:rPr>
          <w:sz w:val="20"/>
          <w:szCs w:val="20"/>
        </w:rPr>
      </w:pPr>
      <w:bookmarkStart w:id="683" w:name="bookmark683"/>
      <w:bookmarkEnd w:id="683"/>
      <w:r>
        <w:rPr>
          <w:color w:val="000000"/>
          <w:spacing w:val="0"/>
          <w:w w:val="100"/>
          <w:position w:val="0"/>
          <w:sz w:val="20"/>
          <w:szCs w:val="20"/>
        </w:rPr>
        <w:t>确定被投资单位是否为共同控制的依据：</w:t>
      </w:r>
    </w:p>
    <w:p>
      <w:pPr>
        <w:pStyle w:val="Style31"/>
        <w:keepNext w:val="0"/>
        <w:keepLines w:val="0"/>
        <w:widowControl w:val="0"/>
        <w:shd w:val="clear" w:color="auto" w:fill="auto"/>
        <w:bidi w:val="0"/>
        <w:spacing w:before="0" w:after="100" w:line="269" w:lineRule="exact"/>
        <w:ind w:left="0" w:right="0" w:firstLine="440"/>
        <w:jc w:val="both"/>
        <w:rPr>
          <w:sz w:val="20"/>
          <w:szCs w:val="20"/>
        </w:rPr>
      </w:pPr>
      <w:r>
        <w:rPr>
          <w:color w:val="000000"/>
          <w:spacing w:val="0"/>
          <w:w w:val="100"/>
          <w:position w:val="0"/>
          <w:sz w:val="20"/>
          <w:szCs w:val="20"/>
        </w:rPr>
        <w:t>合营安排的定义、分类以及共同控制的判断标准详见本附注五（七）“合营安排的分类及共同经营的 会计处理方法”。</w:t>
      </w:r>
    </w:p>
    <w:p>
      <w:pPr>
        <w:pStyle w:val="Style31"/>
        <w:keepNext w:val="0"/>
        <w:keepLines w:val="0"/>
        <w:widowControl w:val="0"/>
        <w:shd w:val="clear" w:color="auto" w:fill="auto"/>
        <w:tabs>
          <w:tab w:pos="818" w:val="left"/>
        </w:tabs>
        <w:bidi w:val="0"/>
        <w:spacing w:before="0" w:after="100" w:line="274" w:lineRule="exact"/>
        <w:ind w:left="0" w:right="0" w:firstLine="440"/>
        <w:jc w:val="left"/>
        <w:rPr>
          <w:sz w:val="20"/>
          <w:szCs w:val="20"/>
        </w:rPr>
      </w:pPr>
      <w:bookmarkStart w:id="684" w:name="bookmark684"/>
      <w:r>
        <w:rPr>
          <w:rFonts w:ascii="Times New Roman" w:eastAsia="Times New Roman" w:hAnsi="Times New Roman" w:cs="Times New Roman"/>
          <w:b/>
          <w:bCs/>
          <w:color w:val="000000"/>
          <w:spacing w:val="0"/>
          <w:w w:val="100"/>
          <w:position w:val="0"/>
          <w:sz w:val="20"/>
          <w:szCs w:val="20"/>
        </w:rPr>
        <w:t>2</w:t>
      </w:r>
      <w:bookmarkEnd w:id="684"/>
      <w:r>
        <w:rPr>
          <w:b/>
          <w:bCs/>
          <w:color w:val="000000"/>
          <w:spacing w:val="0"/>
          <w:w w:val="100"/>
          <w:position w:val="0"/>
          <w:sz w:val="20"/>
          <w:szCs w:val="20"/>
        </w:rPr>
        <w:t>、</w:t>
        <w:tab/>
        <w:t>长期股权投资初始成本的确定</w:t>
      </w:r>
    </w:p>
    <w:p>
      <w:pPr>
        <w:pStyle w:val="Style31"/>
        <w:keepNext w:val="0"/>
        <w:keepLines w:val="0"/>
        <w:widowControl w:val="0"/>
        <w:shd w:val="clear" w:color="auto" w:fill="auto"/>
        <w:bidi w:val="0"/>
        <w:spacing w:before="0" w:after="100" w:line="274" w:lineRule="exact"/>
        <w:ind w:left="0" w:right="0" w:firstLine="440"/>
        <w:jc w:val="left"/>
        <w:rPr>
          <w:sz w:val="20"/>
          <w:szCs w:val="20"/>
        </w:rPr>
      </w:pPr>
      <w:bookmarkStart w:id="685" w:name="bookmark685"/>
      <w:r>
        <w:rPr>
          <w:color w:val="000000"/>
          <w:spacing w:val="0"/>
          <w:w w:val="100"/>
          <w:position w:val="0"/>
          <w:sz w:val="20"/>
          <w:szCs w:val="20"/>
        </w:rPr>
        <w:t>（</w:t>
      </w:r>
      <w:bookmarkEnd w:id="68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）企业合并形成的长期股权投资</w:t>
      </w:r>
    </w:p>
    <w:p>
      <w:pPr>
        <w:pStyle w:val="Style31"/>
        <w:keepNext w:val="0"/>
        <w:keepLines w:val="0"/>
        <w:widowControl w:val="0"/>
        <w:shd w:val="clear" w:color="auto" w:fill="auto"/>
        <w:bidi w:val="0"/>
        <w:spacing w:before="0" w:after="100" w:line="272" w:lineRule="exact"/>
        <w:ind w:left="0" w:right="0" w:firstLine="440"/>
        <w:jc w:val="both"/>
        <w:rPr>
          <w:sz w:val="20"/>
          <w:szCs w:val="20"/>
        </w:rPr>
      </w:pPr>
      <w:r>
        <w:rPr>
          <w:color w:val="000000"/>
          <w:spacing w:val="0"/>
          <w:w w:val="100"/>
          <w:position w:val="0"/>
          <w:sz w:val="20"/>
          <w:szCs w:val="20"/>
        </w:rPr>
        <w:t>对于同一控制下的企业合并，本公司以支付现金、转让非现金资产或承担债务方式以及以发行权益性 证券作为合并对价的，在合并日按照取得被合并方所有者权益在最终控制方合并财务报表中的账面价值的 份额作为长期股权投资的初始投资成本。长期股权投资初始投资成本与支付合并对价之间的差额，调整资 本公积（资本溢价或股本溢价），资本公积（资本溢价或股本溢价）不足冲减的，调整留存收益。合并方 以发行权益性证券作为合并对价的，按照发行股份的面值总额作为股本，长期股权投资初始投资成本与所 发行股份面值总额之间的差额，调整资本公积（资本溢价或股本溢价），资本公积（资本溢价或股本溢价） 不足冲减的，调整留存收益。</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 xml:space="preserve">对于非同一控制下的企业合并，本公司按照购买日确定的合并成本作为长期股权投资的初始投资成本。 </w:t>
      </w:r>
      <w:r>
        <w:rPr>
          <w:color w:val="000000"/>
          <w:spacing w:val="0"/>
          <w:w w:val="100"/>
          <w:position w:val="0"/>
          <w:sz w:val="20"/>
          <w:szCs w:val="20"/>
        </w:rPr>
        <w:t>合并成本为购买日购买方为取得对被购买方的控制权而付出的资产、发生或承担的负债以及发行的权益性 证券的公允价值。购买方作为合并对价发行的权益性证券或债务性证券的交易费用，计入权益性证券或债 务性证券的初始确认金额。通过多次交易分步实现的非同一控制下企业合并，以购买日之前所持被购买方 的股权投资的账面价值与购买日新增投资成本之和，作为该项投资的初始投资成本。本公司将合并协议约 定的或有对价作为企业合并转移对价的一部分，按照其在购买日的公允价值计入企业合并成本。</w:t>
      </w:r>
    </w:p>
    <w:p>
      <w:pPr>
        <w:pStyle w:val="Style31"/>
        <w:keepNext w:val="0"/>
        <w:keepLines w:val="0"/>
        <w:widowControl w:val="0"/>
        <w:shd w:val="clear" w:color="auto" w:fill="auto"/>
        <w:bidi w:val="0"/>
        <w:spacing w:before="0" w:after="100" w:line="264" w:lineRule="exact"/>
        <w:ind w:left="0" w:right="0" w:firstLine="440"/>
        <w:jc w:val="both"/>
        <w:rPr>
          <w:sz w:val="20"/>
          <w:szCs w:val="20"/>
        </w:rPr>
      </w:pPr>
      <w:r>
        <w:rPr>
          <w:color w:val="000000"/>
          <w:spacing w:val="0"/>
          <w:w w:val="100"/>
          <w:position w:val="0"/>
          <w:sz w:val="20"/>
          <w:szCs w:val="20"/>
        </w:rPr>
        <w:t>为企业合并而发生的审计、法律服务、评估咨询等中介费用以及其他相关管理费用于发生时计入当期 损益。</w:t>
      </w:r>
    </w:p>
    <w:p>
      <w:pPr>
        <w:pStyle w:val="Style31"/>
        <w:keepNext w:val="0"/>
        <w:keepLines w:val="0"/>
        <w:widowControl w:val="0"/>
        <w:shd w:val="clear" w:color="auto" w:fill="auto"/>
        <w:bidi w:val="0"/>
        <w:spacing w:before="0" w:after="100" w:line="273" w:lineRule="exact"/>
        <w:ind w:left="0" w:right="0" w:firstLine="440"/>
        <w:jc w:val="both"/>
        <w:rPr>
          <w:sz w:val="20"/>
          <w:szCs w:val="20"/>
        </w:rPr>
      </w:pPr>
      <w:bookmarkStart w:id="686" w:name="bookmark686"/>
      <w:r>
        <w:rPr>
          <w:color w:val="000000"/>
          <w:spacing w:val="0"/>
          <w:w w:val="100"/>
          <w:position w:val="0"/>
          <w:sz w:val="20"/>
          <w:szCs w:val="20"/>
        </w:rPr>
        <w:t>（</w:t>
      </w:r>
      <w:bookmarkEnd w:id="68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）其他方式取得的长期股权投资</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以支付现金方式取得的长期股权投资，按照实际支付的购买价款作为初始投资成本。初始投资成本包 括与取得长期股权投资直接相关的费用、税金及其他必要支出。</w:t>
      </w:r>
    </w:p>
    <w:p>
      <w:pPr>
        <w:pStyle w:val="Style31"/>
        <w:keepNext w:val="0"/>
        <w:keepLines w:val="0"/>
        <w:widowControl w:val="0"/>
        <w:shd w:val="clear" w:color="auto" w:fill="auto"/>
        <w:bidi w:val="0"/>
        <w:spacing w:before="0" w:after="100" w:line="273" w:lineRule="exact"/>
        <w:ind w:left="0" w:right="0" w:firstLine="440"/>
        <w:jc w:val="left"/>
        <w:rPr>
          <w:sz w:val="20"/>
          <w:szCs w:val="20"/>
        </w:rPr>
      </w:pPr>
      <w:r>
        <w:rPr>
          <w:color w:val="000000"/>
          <w:spacing w:val="0"/>
          <w:w w:val="100"/>
          <w:position w:val="0"/>
          <w:sz w:val="20"/>
          <w:szCs w:val="20"/>
        </w:rPr>
        <w:t>以发行权益性证券取得的长期股权投资，按照发行权益性证券的公允价值作为初始投资成本。</w:t>
      </w:r>
    </w:p>
    <w:p>
      <w:pPr>
        <w:pStyle w:val="Style31"/>
        <w:keepNext w:val="0"/>
        <w:keepLines w:val="0"/>
        <w:widowControl w:val="0"/>
        <w:shd w:val="clear" w:color="auto" w:fill="auto"/>
        <w:bidi w:val="0"/>
        <w:spacing w:before="0" w:after="100" w:line="272" w:lineRule="exact"/>
        <w:ind w:left="0" w:right="0" w:firstLine="440"/>
        <w:jc w:val="both"/>
        <w:rPr>
          <w:sz w:val="20"/>
          <w:szCs w:val="20"/>
        </w:rPr>
      </w:pPr>
      <w:r>
        <w:rPr>
          <w:color w:val="000000"/>
          <w:spacing w:val="0"/>
          <w:w w:val="100"/>
          <w:position w:val="0"/>
          <w:sz w:val="20"/>
          <w:szCs w:val="20"/>
        </w:rPr>
        <w:t>在非货币性资产交换具备商业实质和换入资产或换出资产的公允价值能够可靠计量的前提下，非货币 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31"/>
        <w:keepNext w:val="0"/>
        <w:keepLines w:val="0"/>
        <w:widowControl w:val="0"/>
        <w:shd w:val="clear" w:color="auto" w:fill="auto"/>
        <w:bidi w:val="0"/>
        <w:spacing w:before="0" w:after="160" w:line="273" w:lineRule="exact"/>
        <w:ind w:left="0" w:right="0" w:firstLine="440"/>
        <w:jc w:val="left"/>
        <w:rPr>
          <w:sz w:val="20"/>
          <w:szCs w:val="20"/>
        </w:rPr>
      </w:pPr>
      <w:r>
        <w:rPr>
          <w:color w:val="000000"/>
          <w:spacing w:val="0"/>
          <w:w w:val="100"/>
          <w:position w:val="0"/>
          <w:sz w:val="20"/>
          <w:szCs w:val="20"/>
        </w:rPr>
        <w:t>本公司通过债务重组取得的长期股权投资，其初始投资成本按照公允价值为基础确定。</w:t>
      </w:r>
    </w:p>
    <w:p>
      <w:pPr>
        <w:pStyle w:val="Style31"/>
        <w:keepNext w:val="0"/>
        <w:keepLines w:val="0"/>
        <w:widowControl w:val="0"/>
        <w:shd w:val="clear" w:color="auto" w:fill="auto"/>
        <w:bidi w:val="0"/>
        <w:spacing w:before="0" w:after="100" w:line="286" w:lineRule="auto"/>
        <w:ind w:left="0" w:right="0" w:firstLine="440"/>
        <w:jc w:val="left"/>
        <w:rPr>
          <w:sz w:val="20"/>
          <w:szCs w:val="20"/>
        </w:rPr>
      </w:pPr>
      <w:bookmarkStart w:id="687" w:name="bookmark687"/>
      <w:r>
        <w:rPr>
          <w:rFonts w:ascii="Times New Roman" w:eastAsia="Times New Roman" w:hAnsi="Times New Roman" w:cs="Times New Roman"/>
          <w:b/>
          <w:bCs/>
          <w:color w:val="000000"/>
          <w:spacing w:val="0"/>
          <w:w w:val="100"/>
          <w:position w:val="0"/>
          <w:sz w:val="20"/>
          <w:szCs w:val="20"/>
        </w:rPr>
        <w:t>3</w:t>
      </w:r>
      <w:bookmarkEnd w:id="687"/>
      <w:r>
        <w:rPr>
          <w:b/>
          <w:bCs/>
          <w:color w:val="000000"/>
          <w:spacing w:val="0"/>
          <w:w w:val="100"/>
          <w:position w:val="0"/>
          <w:sz w:val="20"/>
          <w:szCs w:val="20"/>
        </w:rPr>
        <w:t>、长期股权投资的后续计量及损益确认方法</w:t>
      </w:r>
    </w:p>
    <w:p>
      <w:pPr>
        <w:pStyle w:val="Style31"/>
        <w:keepNext w:val="0"/>
        <w:keepLines w:val="0"/>
        <w:widowControl w:val="0"/>
        <w:shd w:val="clear" w:color="auto" w:fill="auto"/>
        <w:bidi w:val="0"/>
        <w:spacing w:before="0" w:after="100" w:line="273" w:lineRule="exact"/>
        <w:ind w:left="0" w:right="0" w:firstLine="440"/>
        <w:jc w:val="left"/>
        <w:rPr>
          <w:sz w:val="20"/>
          <w:szCs w:val="20"/>
        </w:rPr>
      </w:pPr>
      <w:r>
        <w:rPr>
          <w:color w:val="000000"/>
          <w:spacing w:val="0"/>
          <w:w w:val="100"/>
          <w:position w:val="0"/>
          <w:sz w:val="20"/>
          <w:szCs w:val="20"/>
        </w:rPr>
        <w:t>本公司能够对被投资单位实施控制的长期股权投资采用成本法核算。</w:t>
      </w:r>
    </w:p>
    <w:p>
      <w:pPr>
        <w:pStyle w:val="Style31"/>
        <w:keepNext w:val="0"/>
        <w:keepLines w:val="0"/>
        <w:widowControl w:val="0"/>
        <w:shd w:val="clear" w:color="auto" w:fill="auto"/>
        <w:bidi w:val="0"/>
        <w:spacing w:before="0" w:after="100" w:line="278" w:lineRule="exact"/>
        <w:ind w:left="0" w:right="0" w:firstLine="440"/>
        <w:jc w:val="left"/>
        <w:rPr>
          <w:sz w:val="20"/>
          <w:szCs w:val="20"/>
        </w:rPr>
      </w:pPr>
      <w:r>
        <w:rPr>
          <w:color w:val="000000"/>
          <w:spacing w:val="0"/>
          <w:w w:val="100"/>
          <w:position w:val="0"/>
          <w:sz w:val="20"/>
          <w:szCs w:val="20"/>
        </w:rPr>
        <w:t>采用成本法核算的长期股权投资按照初始投资成本计价，追加或收回投资调整长期股权投资的成本。 被投资单位宣告分派的现金股利或利润，确认为当期投资收益。</w:t>
      </w:r>
    </w:p>
    <w:p>
      <w:pPr>
        <w:pStyle w:val="Style31"/>
        <w:keepNext w:val="0"/>
        <w:keepLines w:val="0"/>
        <w:widowControl w:val="0"/>
        <w:shd w:val="clear" w:color="auto" w:fill="auto"/>
        <w:bidi w:val="0"/>
        <w:spacing w:before="0" w:after="100" w:line="278" w:lineRule="exact"/>
        <w:ind w:left="0" w:right="0" w:firstLine="440"/>
        <w:jc w:val="left"/>
        <w:rPr>
          <w:sz w:val="20"/>
          <w:szCs w:val="20"/>
        </w:rPr>
      </w:pPr>
      <w:r>
        <w:rPr>
          <w:color w:val="000000"/>
          <w:spacing w:val="0"/>
          <w:w w:val="100"/>
          <w:position w:val="0"/>
          <w:sz w:val="20"/>
          <w:szCs w:val="20"/>
        </w:rPr>
        <w:t>对合营企业和联营企业的长期股权投资，采用权益法核算。初始投资成本大于投资时应享有被投资单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享有被投资单位可辨认净资产公允价值份额的差额，计入当期损益，同时调整长期股权投资的成本。</w:t>
      </w:r>
    </w:p>
    <w:p>
      <w:pPr>
        <w:pStyle w:val="Style31"/>
        <w:keepNext w:val="0"/>
        <w:keepLines w:val="0"/>
        <w:widowControl w:val="0"/>
        <w:shd w:val="clear" w:color="auto" w:fill="auto"/>
        <w:bidi w:val="0"/>
        <w:spacing w:before="0" w:after="100" w:line="271" w:lineRule="exact"/>
        <w:ind w:left="0" w:right="0" w:firstLine="440"/>
        <w:jc w:val="left"/>
        <w:rPr>
          <w:sz w:val="20"/>
          <w:szCs w:val="20"/>
        </w:rPr>
      </w:pPr>
      <w:r>
        <w:rPr>
          <w:color w:val="000000"/>
          <w:spacing w:val="0"/>
          <w:w w:val="100"/>
          <w:position w:val="0"/>
          <w:sz w:val="20"/>
          <w:szCs w:val="20"/>
        </w:rPr>
        <w:t>本公司取得长期股权投资后，按照应享有或应分担的被投资单位实现的净损益和其他综合收益的份额, 分别确认投资收益和其他综合收益，同时调整长期股权投资的账面价值；本公司按照被投资单位宣告分派 的利润或现金股利计算应享有的部分，相应减少长期股权投资的账面价值；本公司对于被投资单位除净损 益、其他综合收益和利润分配以外所有者权益的其他变动，调整长期股权投资的账面价值并计入所有者权 益。</w:t>
      </w:r>
    </w:p>
    <w:p>
      <w:pPr>
        <w:pStyle w:val="Style31"/>
        <w:keepNext w:val="0"/>
        <w:keepLines w:val="0"/>
        <w:widowControl w:val="0"/>
        <w:shd w:val="clear" w:color="auto" w:fill="auto"/>
        <w:bidi w:val="0"/>
        <w:spacing w:before="0" w:after="100" w:line="283" w:lineRule="exact"/>
        <w:ind w:left="0" w:right="0" w:firstLine="440"/>
        <w:jc w:val="left"/>
        <w:rPr>
          <w:sz w:val="20"/>
          <w:szCs w:val="20"/>
        </w:rPr>
      </w:pPr>
      <w:r>
        <w:rPr>
          <w:color w:val="000000"/>
          <w:spacing w:val="0"/>
          <w:w w:val="100"/>
          <w:position w:val="0"/>
          <w:sz w:val="20"/>
          <w:szCs w:val="20"/>
        </w:rPr>
        <w:t>本公司在确认应享有被投资单位净损益的份额时，以取得投资时被投资单位可辨认净资产的公允价值 为基础，对被投资单位的净利润进行调整后确认。</w:t>
      </w:r>
    </w:p>
    <w:p>
      <w:pPr>
        <w:pStyle w:val="Style31"/>
        <w:keepNext w:val="0"/>
        <w:keepLines w:val="0"/>
        <w:widowControl w:val="0"/>
        <w:shd w:val="clear" w:color="auto" w:fill="auto"/>
        <w:bidi w:val="0"/>
        <w:spacing w:before="0" w:after="100" w:line="274" w:lineRule="exact"/>
        <w:ind w:left="0" w:right="0" w:firstLine="440"/>
        <w:jc w:val="left"/>
        <w:rPr>
          <w:sz w:val="20"/>
          <w:szCs w:val="20"/>
        </w:rPr>
      </w:pPr>
      <w:r>
        <w:rPr>
          <w:color w:val="000000"/>
          <w:spacing w:val="0"/>
          <w:w w:val="100"/>
          <w:position w:val="0"/>
          <w:sz w:val="20"/>
          <w:szCs w:val="20"/>
        </w:rPr>
        <w:t>被投资单位采用的会计政策及会计期间与本公司不一致的，按照本公司的会计政策及会计期间对被投 资单位的财务报表进行调整，并据以确认投资收益和其他综合收益等。</w:t>
      </w:r>
    </w:p>
    <w:p>
      <w:pPr>
        <w:pStyle w:val="Style31"/>
        <w:keepNext w:val="0"/>
        <w:keepLines w:val="0"/>
        <w:widowControl w:val="0"/>
        <w:shd w:val="clear" w:color="auto" w:fill="auto"/>
        <w:bidi w:val="0"/>
        <w:spacing w:before="0" w:after="100" w:line="274" w:lineRule="exact"/>
        <w:ind w:left="0" w:right="0" w:firstLine="440"/>
        <w:jc w:val="left"/>
        <w:rPr>
          <w:sz w:val="20"/>
          <w:szCs w:val="20"/>
        </w:rPr>
      </w:pPr>
      <w:r>
        <w:rPr>
          <w:color w:val="000000"/>
          <w:spacing w:val="0"/>
          <w:w w:val="100"/>
          <w:position w:val="0"/>
          <w:sz w:val="20"/>
          <w:szCs w:val="20"/>
        </w:rPr>
        <w:t>本公司确认被投资单位发生的净亏损，以长期股权投资的账面价值以及其他实质上构成对被投资单位 净投资的长期权益减记至零为限，本公司负有承担额外损失义务的除外。</w:t>
      </w:r>
    </w:p>
    <w:p>
      <w:pPr>
        <w:pStyle w:val="Style31"/>
        <w:keepNext w:val="0"/>
        <w:keepLines w:val="0"/>
        <w:widowControl w:val="0"/>
        <w:shd w:val="clear" w:color="auto" w:fill="auto"/>
        <w:bidi w:val="0"/>
        <w:spacing w:before="0" w:after="100" w:line="278" w:lineRule="exact"/>
        <w:ind w:left="0" w:right="0" w:firstLine="440"/>
        <w:jc w:val="left"/>
        <w:rPr>
          <w:sz w:val="20"/>
          <w:szCs w:val="20"/>
        </w:rPr>
      </w:pPr>
      <w:r>
        <w:rPr>
          <w:color w:val="000000"/>
          <w:spacing w:val="0"/>
          <w:w w:val="100"/>
          <w:position w:val="0"/>
          <w:sz w:val="20"/>
          <w:szCs w:val="20"/>
        </w:rPr>
        <w:t>被投资单位以后实现净利润的，本公司在其收益分享额弥补未确认的亏损分担额后，恢复确认收益分 享额。</w:t>
      </w:r>
    </w:p>
    <w:p>
      <w:pPr>
        <w:pStyle w:val="Style31"/>
        <w:keepNext w:val="0"/>
        <w:keepLines w:val="0"/>
        <w:widowControl w:val="0"/>
        <w:shd w:val="clear" w:color="auto" w:fill="auto"/>
        <w:bidi w:val="0"/>
        <w:spacing w:before="0" w:after="100" w:line="278" w:lineRule="exact"/>
        <w:ind w:left="0" w:right="0" w:firstLine="440"/>
        <w:jc w:val="left"/>
        <w:rPr>
          <w:sz w:val="20"/>
          <w:szCs w:val="20"/>
        </w:rPr>
      </w:pPr>
      <w:r>
        <w:rPr>
          <w:color w:val="000000"/>
          <w:spacing w:val="0"/>
          <w:w w:val="100"/>
          <w:position w:val="0"/>
          <w:sz w:val="20"/>
          <w:szCs w:val="20"/>
        </w:rPr>
        <w:t>本公司计算确认应享有或应分担被投资单位的净损益时，与联营企业、合营企业之间发生的未实现内 部交易损益按照应享有的比例计算归属于本公司的部分，予以抵销，在此基础上确认投资收益。</w:t>
      </w:r>
    </w:p>
    <w:p>
      <w:pPr>
        <w:pStyle w:val="Style31"/>
        <w:keepNext w:val="0"/>
        <w:keepLines w:val="0"/>
        <w:widowControl w:val="0"/>
        <w:shd w:val="clear" w:color="auto" w:fill="auto"/>
        <w:bidi w:val="0"/>
        <w:spacing w:before="0" w:after="100" w:line="278" w:lineRule="exact"/>
        <w:ind w:left="0" w:right="0" w:firstLine="440"/>
        <w:jc w:val="left"/>
        <w:rPr>
          <w:sz w:val="20"/>
          <w:szCs w:val="20"/>
        </w:rPr>
      </w:pPr>
      <w:r>
        <w:rPr>
          <w:color w:val="000000"/>
          <w:spacing w:val="0"/>
          <w:w w:val="100"/>
          <w:position w:val="0"/>
          <w:sz w:val="20"/>
          <w:szCs w:val="20"/>
        </w:rPr>
        <w:t>本公司与被投资单位发生的未实现内部交易损失，按照《企业会计准则第</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号——资产减值》等的有 关规定属于资产减值损失的，全额确认交易损失。</w:t>
      </w:r>
    </w:p>
    <w:p>
      <w:pPr>
        <w:pStyle w:val="Style31"/>
        <w:keepNext w:val="0"/>
        <w:keepLines w:val="0"/>
        <w:widowControl w:val="0"/>
        <w:shd w:val="clear" w:color="auto" w:fill="auto"/>
        <w:bidi w:val="0"/>
        <w:spacing w:before="0" w:after="100" w:line="271" w:lineRule="exact"/>
        <w:ind w:left="0" w:right="0" w:firstLine="440"/>
        <w:jc w:val="left"/>
        <w:rPr>
          <w:sz w:val="20"/>
          <w:szCs w:val="20"/>
        </w:rPr>
      </w:pPr>
      <w:r>
        <w:rPr>
          <w:color w:val="000000"/>
          <w:spacing w:val="0"/>
          <w:w w:val="100"/>
          <w:position w:val="0"/>
          <w:sz w:val="20"/>
          <w:szCs w:val="20"/>
        </w:rPr>
        <w:t>本公司因追加投资等原因能够对被投资单位施加重大影响或实施共同控制但不构成控制的，按照《企 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 xml:space="preserve">号一金融工具确认和计量》确定的原持有的股权投资的公允价值加上新增投资成本之 和，作为改按权益法核算的初始投资成本。原持有的股权投资分类为可供出售金融资产的，其公允价值与 </w:t>
      </w:r>
      <w:r>
        <w:rPr>
          <w:color w:val="000000"/>
          <w:spacing w:val="0"/>
          <w:w w:val="100"/>
          <w:position w:val="0"/>
          <w:sz w:val="20"/>
          <w:szCs w:val="20"/>
        </w:rPr>
        <w:t>账面价值之间的差额，以及原计入其他综合收益的累计公允价值变动转入改按权益法核算的当期损益。</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本公司因处置部分股权投资等原因丧失了对被投资单位的共同控制或重大影响的，处置后的剩余股权 改按《企业会计准则第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号——金融工具确认和计量》核算，其在丧失共同控制或重大影响之日的公允 价值与账面价值之间的差额计入当期损益。原股权投资因采用权益法核算而确认的其他综合收益，在终止 采用权益法核算时采用与被投资单位直接处置相关资产或负债相同的基础进行会计处理。</w:t>
      </w:r>
    </w:p>
    <w:p>
      <w:pPr>
        <w:pStyle w:val="Style31"/>
        <w:keepNext w:val="0"/>
        <w:keepLines w:val="0"/>
        <w:widowControl w:val="0"/>
        <w:shd w:val="clear" w:color="auto" w:fill="auto"/>
        <w:bidi w:val="0"/>
        <w:spacing w:before="0" w:after="100" w:line="269" w:lineRule="exact"/>
        <w:ind w:left="0" w:right="0" w:firstLine="440"/>
        <w:jc w:val="both"/>
        <w:rPr>
          <w:sz w:val="20"/>
          <w:szCs w:val="20"/>
        </w:rPr>
      </w:pPr>
      <w:r>
        <w:rPr>
          <w:color w:val="000000"/>
          <w:spacing w:val="0"/>
          <w:w w:val="100"/>
          <w:position w:val="0"/>
          <w:sz w:val="20"/>
          <w:szCs w:val="20"/>
        </w:rPr>
        <w:t>本公司因处置部分权益性投资等原因丧失了对被投资单位的控制的，在编制个别财务报表时，处置后 的剩余股权能够对被投资单位实施共同控制或施加重大影响的，改按权益法核算，并对该剩余股权视同自 取得时即采用权益法核算进行调整；处置后的剩余股权不能对被投资单位实施共同控制或施加重大影响的, 改按《企业会计准则第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号一金融工具确认和计量》的有关规定进行会计处理。</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处置长期股权投资，其账面价值与实际取得价款之间的差额，计入当期损益。采用权益法核算的长期 股权投资，在处置该项投资时，采用与被投资单位直接处置相关资产或负债相同的基础，按相应比例对原 计入其他综合收益的部分进行会计处理。</w:t>
      </w:r>
    </w:p>
    <w:p>
      <w:pPr>
        <w:pStyle w:val="Style28"/>
        <w:keepNext/>
        <w:keepLines/>
        <w:widowControl w:val="0"/>
        <w:shd w:val="clear" w:color="auto" w:fill="auto"/>
        <w:bidi w:val="0"/>
        <w:spacing w:before="0" w:after="100" w:line="274" w:lineRule="exact"/>
        <w:ind w:left="0" w:right="0" w:firstLine="0"/>
        <w:jc w:val="left"/>
      </w:pPr>
      <w:bookmarkStart w:id="688" w:name="bookmark688"/>
      <w:bookmarkStart w:id="689" w:name="bookmark689"/>
      <w:bookmarkStart w:id="690" w:name="bookmark690"/>
      <w:r>
        <w:rPr>
          <w:color w:val="000000"/>
          <w:spacing w:val="0"/>
          <w:w w:val="100"/>
          <w:position w:val="0"/>
        </w:rPr>
        <w:t>（十五）投资性房地产</w:t>
      </w:r>
      <w:bookmarkEnd w:id="688"/>
      <w:bookmarkEnd w:id="689"/>
      <w:bookmarkEnd w:id="690"/>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公司对投资性房地产采用成本模式计量。对按照成本模式计量的投资性房地产一出租用建筑物采用与 本公司固定资产相同的折旧政策，出租用土地使用权采用与本公司与无形资产相同的摊销政策。</w:t>
      </w:r>
    </w:p>
    <w:p>
      <w:pPr>
        <w:pStyle w:val="Style28"/>
        <w:keepNext/>
        <w:keepLines/>
        <w:widowControl w:val="0"/>
        <w:shd w:val="clear" w:color="auto" w:fill="auto"/>
        <w:bidi w:val="0"/>
        <w:spacing w:before="0" w:after="160" w:line="274" w:lineRule="exact"/>
        <w:ind w:left="0" w:right="0" w:firstLine="0"/>
        <w:jc w:val="left"/>
      </w:pPr>
      <w:bookmarkStart w:id="691" w:name="bookmark691"/>
      <w:bookmarkStart w:id="692" w:name="bookmark692"/>
      <w:bookmarkStart w:id="693" w:name="bookmark693"/>
      <w:r>
        <w:rPr>
          <w:color w:val="000000"/>
          <w:spacing w:val="0"/>
          <w:w w:val="100"/>
          <w:position w:val="0"/>
        </w:rPr>
        <w:t>（十六）固定资产</w:t>
      </w:r>
      <w:bookmarkEnd w:id="691"/>
      <w:bookmarkEnd w:id="692"/>
      <w:bookmarkEnd w:id="693"/>
    </w:p>
    <w:p>
      <w:pPr>
        <w:pStyle w:val="Style28"/>
        <w:keepNext/>
        <w:keepLines/>
        <w:widowControl w:val="0"/>
        <w:shd w:val="clear" w:color="auto" w:fill="auto"/>
        <w:tabs>
          <w:tab w:pos="790" w:val="left"/>
        </w:tabs>
        <w:bidi w:val="0"/>
        <w:spacing w:before="0" w:after="100" w:line="286" w:lineRule="auto"/>
        <w:ind w:left="0" w:right="0" w:firstLine="440"/>
        <w:jc w:val="left"/>
      </w:pPr>
      <w:bookmarkStart w:id="691" w:name="bookmark691"/>
      <w:bookmarkStart w:id="692" w:name="bookmark692"/>
      <w:bookmarkStart w:id="694" w:name="bookmark694"/>
      <w:r>
        <w:rPr>
          <w:rFonts w:ascii="Times New Roman" w:eastAsia="Times New Roman" w:hAnsi="Times New Roman" w:cs="Times New Roman"/>
          <w:color w:val="000000"/>
          <w:spacing w:val="0"/>
          <w:w w:val="100"/>
          <w:position w:val="0"/>
        </w:rPr>
        <w:t>1</w:t>
      </w:r>
      <w:bookmarkEnd w:id="694"/>
      <w:r>
        <w:rPr>
          <w:color w:val="000000"/>
          <w:spacing w:val="0"/>
          <w:w w:val="100"/>
          <w:position w:val="0"/>
        </w:rPr>
        <w:t>、</w:t>
        <w:tab/>
        <w:t>固定资产确认条件</w:t>
      </w:r>
      <w:bookmarkEnd w:id="691"/>
      <w:bookmarkEnd w:id="692"/>
    </w:p>
    <w:p>
      <w:pPr>
        <w:pStyle w:val="Style31"/>
        <w:keepNext w:val="0"/>
        <w:keepLines w:val="0"/>
        <w:widowControl w:val="0"/>
        <w:shd w:val="clear" w:color="auto" w:fill="auto"/>
        <w:bidi w:val="0"/>
        <w:spacing w:before="0" w:after="160" w:line="272" w:lineRule="exact"/>
        <w:ind w:left="0" w:right="0" w:firstLine="440"/>
        <w:jc w:val="both"/>
        <w:rPr>
          <w:sz w:val="20"/>
          <w:szCs w:val="20"/>
        </w:rPr>
      </w:pPr>
      <w:r>
        <w:rPr>
          <w:color w:val="000000"/>
          <w:spacing w:val="0"/>
          <w:w w:val="100"/>
          <w:position w:val="0"/>
          <w:sz w:val="20"/>
          <w:szCs w:val="20"/>
        </w:rPr>
        <w:t>固定资产指为生产商品、提供劳务、出租或经营管理而持有，并且使用寿命超过一个会计年度的有形 资产。固定资产分类为：房屋及建筑物、机器设备、运输工具、电子设备及其他。本公司固定资产在同时 满足下列条件时予以确认：（</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）与该固定资产有关的经济利益很可能流入企业；（</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）该固定资产的成本能 够可靠地计量。</w:t>
      </w:r>
    </w:p>
    <w:p>
      <w:pPr>
        <w:pStyle w:val="Style31"/>
        <w:keepNext w:val="0"/>
        <w:keepLines w:val="0"/>
        <w:widowControl w:val="0"/>
        <w:shd w:val="clear" w:color="auto" w:fill="auto"/>
        <w:tabs>
          <w:tab w:pos="799" w:val="left"/>
        </w:tabs>
        <w:bidi w:val="0"/>
        <w:spacing w:before="0" w:after="100" w:line="286" w:lineRule="auto"/>
        <w:ind w:left="0" w:right="0" w:firstLine="440"/>
        <w:jc w:val="left"/>
        <w:rPr>
          <w:sz w:val="20"/>
          <w:szCs w:val="20"/>
        </w:rPr>
      </w:pPr>
      <w:bookmarkStart w:id="695" w:name="bookmark695"/>
      <w:r>
        <w:rPr>
          <w:rFonts w:ascii="Times New Roman" w:eastAsia="Times New Roman" w:hAnsi="Times New Roman" w:cs="Times New Roman"/>
          <w:b/>
          <w:bCs/>
          <w:color w:val="000000"/>
          <w:spacing w:val="0"/>
          <w:w w:val="100"/>
          <w:position w:val="0"/>
          <w:sz w:val="20"/>
          <w:szCs w:val="20"/>
        </w:rPr>
        <w:t>2</w:t>
      </w:r>
      <w:bookmarkEnd w:id="695"/>
      <w:r>
        <w:rPr>
          <w:b/>
          <w:bCs/>
          <w:color w:val="000000"/>
          <w:spacing w:val="0"/>
          <w:w w:val="100"/>
          <w:position w:val="0"/>
          <w:sz w:val="20"/>
          <w:szCs w:val="20"/>
        </w:rPr>
        <w:t>、</w:t>
        <w:tab/>
        <w:t>折旧方法</w:t>
      </w:r>
    </w:p>
    <w:p>
      <w:pPr>
        <w:pStyle w:val="Style31"/>
        <w:keepNext w:val="0"/>
        <w:keepLines w:val="0"/>
        <w:widowControl w:val="0"/>
        <w:shd w:val="clear" w:color="auto" w:fill="auto"/>
        <w:bidi w:val="0"/>
        <w:spacing w:before="0" w:after="100" w:line="278" w:lineRule="exact"/>
        <w:ind w:left="0" w:right="0" w:firstLine="440"/>
        <w:jc w:val="both"/>
        <w:rPr>
          <w:sz w:val="20"/>
          <w:szCs w:val="20"/>
        </w:rPr>
      </w:pPr>
      <w:r>
        <w:rPr>
          <w:color w:val="000000"/>
          <w:spacing w:val="0"/>
          <w:w w:val="100"/>
          <w:position w:val="0"/>
          <w:sz w:val="20"/>
          <w:szCs w:val="20"/>
        </w:rPr>
        <w:t>本公司固定资产折旧采用年限平均法分类计提，根据固定资产类别、预计使用寿命和预计净残值率确 定折旧率。</w:t>
      </w:r>
    </w:p>
    <w:tbl>
      <w:tblPr>
        <w:tblOverlap w:val="never"/>
        <w:jc w:val="center"/>
        <w:tblLayout w:type="fixed"/>
      </w:tblPr>
      <w:tblGrid>
        <w:gridCol w:w="2635"/>
        <w:gridCol w:w="2098"/>
        <w:gridCol w:w="1867"/>
        <w:gridCol w:w="2678"/>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残值率（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年折旧率（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3.17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9.50-19.00</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9.50-19.00</w:t>
            </w:r>
          </w:p>
        </w:tc>
      </w:tr>
      <w:tr>
        <w:trPr>
          <w:trHeight w:val="49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19.00-31.67</w:t>
            </w:r>
          </w:p>
        </w:tc>
      </w:tr>
    </w:tbl>
    <w:p>
      <w:pPr>
        <w:pStyle w:val="Style33"/>
        <w:keepNext w:val="0"/>
        <w:keepLines w:val="0"/>
        <w:widowControl w:val="0"/>
        <w:shd w:val="clear" w:color="auto" w:fill="auto"/>
        <w:bidi w:val="0"/>
        <w:spacing w:before="0" w:after="0" w:line="240" w:lineRule="auto"/>
        <w:ind w:left="302"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、其他</w:t>
      </w:r>
    </w:p>
    <w:p>
      <w:pPr>
        <w:widowControl w:val="0"/>
        <w:spacing w:after="99" w:line="1" w:lineRule="exact"/>
      </w:pPr>
    </w:p>
    <w:p>
      <w:pPr>
        <w:pStyle w:val="Style31"/>
        <w:keepNext w:val="0"/>
        <w:keepLines w:val="0"/>
        <w:widowControl w:val="0"/>
        <w:shd w:val="clear" w:color="auto" w:fill="auto"/>
        <w:bidi w:val="0"/>
        <w:spacing w:before="0" w:after="100" w:line="271" w:lineRule="exact"/>
        <w:ind w:left="0" w:right="0" w:firstLine="440"/>
        <w:jc w:val="both"/>
        <w:rPr>
          <w:sz w:val="20"/>
          <w:szCs w:val="20"/>
        </w:rPr>
      </w:pPr>
      <w:r>
        <w:rPr>
          <w:color w:val="000000"/>
          <w:spacing w:val="0"/>
          <w:w w:val="100"/>
          <w:position w:val="0"/>
          <w:sz w:val="20"/>
          <w:szCs w:val="20"/>
        </w:rPr>
        <w:t>本公司对符合固定资产确认条件的、与固定资产有关的更新改造等后续支出，计入固定资产成本，同 时将被替换部分的账面价值扣除；对不符合上述固定资产确认条件的、与固定资产有关的修理费用等后续 支出，计入当期损益。</w:t>
      </w:r>
    </w:p>
    <w:p>
      <w:pPr>
        <w:pStyle w:val="Style31"/>
        <w:keepNext w:val="0"/>
        <w:keepLines w:val="0"/>
        <w:widowControl w:val="0"/>
        <w:shd w:val="clear" w:color="auto" w:fill="auto"/>
        <w:bidi w:val="0"/>
        <w:spacing w:before="0" w:after="100" w:line="274" w:lineRule="exact"/>
        <w:ind w:left="0" w:right="0" w:firstLine="440"/>
        <w:jc w:val="left"/>
        <w:rPr>
          <w:sz w:val="20"/>
          <w:szCs w:val="20"/>
        </w:rPr>
      </w:pPr>
      <w:r>
        <w:rPr>
          <w:color w:val="000000"/>
          <w:spacing w:val="0"/>
          <w:w w:val="100"/>
          <w:position w:val="0"/>
          <w:sz w:val="20"/>
          <w:szCs w:val="20"/>
        </w:rPr>
        <w:t>本公司采用与自有固定资产相一致的折旧政策计提租赁资产折旧。</w:t>
      </w:r>
    </w:p>
    <w:p>
      <w:pPr>
        <w:pStyle w:val="Style28"/>
        <w:keepNext/>
        <w:keepLines/>
        <w:widowControl w:val="0"/>
        <w:shd w:val="clear" w:color="auto" w:fill="auto"/>
        <w:bidi w:val="0"/>
        <w:spacing w:before="0" w:after="100" w:line="274" w:lineRule="exact"/>
        <w:ind w:left="0" w:right="0" w:firstLine="0"/>
        <w:jc w:val="left"/>
      </w:pPr>
      <w:bookmarkStart w:id="696" w:name="bookmark696"/>
      <w:bookmarkStart w:id="697" w:name="bookmark697"/>
      <w:bookmarkStart w:id="698" w:name="bookmark698"/>
      <w:r>
        <w:rPr>
          <w:color w:val="000000"/>
          <w:spacing w:val="0"/>
          <w:w w:val="100"/>
          <w:position w:val="0"/>
        </w:rPr>
        <w:t>（十七）在建工程</w:t>
      </w:r>
      <w:bookmarkEnd w:id="696"/>
      <w:bookmarkEnd w:id="697"/>
      <w:bookmarkEnd w:id="698"/>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本公司在建工程指为建造或更新改造固定资产而进行的各项建筑和安装工程，按成本进行初始计量， 工程成本包括在建期间发生的各项工程支出以及符合资本化条件的借款费用等。</w:t>
      </w:r>
    </w:p>
    <w:p>
      <w:pPr>
        <w:pStyle w:val="Style31"/>
        <w:keepNext w:val="0"/>
        <w:keepLines w:val="0"/>
        <w:widowControl w:val="0"/>
        <w:shd w:val="clear" w:color="auto" w:fill="auto"/>
        <w:bidi w:val="0"/>
        <w:spacing w:before="0" w:after="100" w:line="276" w:lineRule="exact"/>
        <w:ind w:left="0" w:right="0" w:firstLine="440"/>
        <w:jc w:val="both"/>
        <w:rPr>
          <w:sz w:val="20"/>
          <w:szCs w:val="20"/>
        </w:rPr>
      </w:pPr>
      <w:r>
        <w:rPr>
          <w:color w:val="000000"/>
          <w:spacing w:val="0"/>
          <w:w w:val="100"/>
          <w:position w:val="0"/>
          <w:sz w:val="20"/>
          <w:szCs w:val="20"/>
        </w:rPr>
        <w:t xml:space="preserve">本公司在工程完工、验收合格交付使用的当月结转固定资产，并按建造该项资产达到预定可使用状态 前所发生的全部支出，作为固定资产的入账价值。对已达到预定可使用状态但尚未办理竣工决算的，自达 到预定可使用状态之日起，根据工程预算、造价或者工程实际成本等，按估计的价值转入固定资产，并按 </w:t>
      </w:r>
      <w:r>
        <w:rPr>
          <w:color w:val="000000"/>
          <w:spacing w:val="0"/>
          <w:w w:val="100"/>
          <w:position w:val="0"/>
          <w:sz w:val="20"/>
          <w:szCs w:val="20"/>
        </w:rPr>
        <w:t>本公司固定资产折旧政策计提固定资产折旧，待办理竣工决算后，再按实际成本调整原来的暂估价值，但 不调整原己计提的折旧额。</w:t>
      </w:r>
    </w:p>
    <w:p>
      <w:pPr>
        <w:pStyle w:val="Style28"/>
        <w:keepNext/>
        <w:keepLines/>
        <w:widowControl w:val="0"/>
        <w:shd w:val="clear" w:color="auto" w:fill="auto"/>
        <w:bidi w:val="0"/>
        <w:spacing w:before="0" w:after="160" w:line="274" w:lineRule="exact"/>
        <w:ind w:left="0" w:right="0" w:firstLine="0"/>
        <w:jc w:val="both"/>
      </w:pPr>
      <w:bookmarkStart w:id="699" w:name="bookmark699"/>
      <w:bookmarkStart w:id="700" w:name="bookmark700"/>
      <w:bookmarkStart w:id="701" w:name="bookmark701"/>
      <w:r>
        <w:rPr>
          <w:color w:val="000000"/>
          <w:spacing w:val="0"/>
          <w:w w:val="100"/>
          <w:position w:val="0"/>
        </w:rPr>
        <w:t>（十八）借款费用</w:t>
      </w:r>
      <w:bookmarkEnd w:id="699"/>
      <w:bookmarkEnd w:id="700"/>
      <w:bookmarkEnd w:id="701"/>
    </w:p>
    <w:p>
      <w:pPr>
        <w:pStyle w:val="Style28"/>
        <w:keepNext/>
        <w:keepLines/>
        <w:widowControl w:val="0"/>
        <w:shd w:val="clear" w:color="auto" w:fill="auto"/>
        <w:tabs>
          <w:tab w:pos="808" w:val="left"/>
        </w:tabs>
        <w:bidi w:val="0"/>
        <w:spacing w:before="0" w:after="100" w:line="286" w:lineRule="auto"/>
        <w:ind w:left="0" w:right="0" w:firstLine="440"/>
        <w:jc w:val="left"/>
      </w:pPr>
      <w:bookmarkStart w:id="699" w:name="bookmark699"/>
      <w:bookmarkStart w:id="700" w:name="bookmark700"/>
      <w:bookmarkStart w:id="702" w:name="bookmark702"/>
      <w:r>
        <w:rPr>
          <w:rFonts w:ascii="Times New Roman" w:eastAsia="Times New Roman" w:hAnsi="Times New Roman" w:cs="Times New Roman"/>
          <w:color w:val="000000"/>
          <w:spacing w:val="0"/>
          <w:w w:val="100"/>
          <w:position w:val="0"/>
        </w:rPr>
        <w:t>1</w:t>
      </w:r>
      <w:bookmarkEnd w:id="702"/>
      <w:r>
        <w:rPr>
          <w:color w:val="000000"/>
          <w:spacing w:val="0"/>
          <w:w w:val="100"/>
          <w:position w:val="0"/>
        </w:rPr>
        <w:t>、</w:t>
        <w:tab/>
        <w:t>借款费用资本化的确认原则</w:t>
      </w:r>
      <w:bookmarkEnd w:id="699"/>
      <w:bookmarkEnd w:id="700"/>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借款费用，包括借款利息、折价或者溢价的摊销、辅助费用以及因外币借款而发生的汇兑差额等。</w:t>
      </w:r>
    </w:p>
    <w:p>
      <w:pPr>
        <w:pStyle w:val="Style31"/>
        <w:keepNext w:val="0"/>
        <w:keepLines w:val="0"/>
        <w:widowControl w:val="0"/>
        <w:shd w:val="clear" w:color="auto" w:fill="auto"/>
        <w:bidi w:val="0"/>
        <w:spacing w:before="0" w:after="100" w:line="269" w:lineRule="exact"/>
        <w:ind w:left="0" w:right="0" w:firstLine="440"/>
        <w:jc w:val="both"/>
        <w:rPr>
          <w:sz w:val="20"/>
          <w:szCs w:val="20"/>
        </w:rPr>
      </w:pPr>
      <w:r>
        <w:rPr>
          <w:color w:val="000000"/>
          <w:spacing w:val="0"/>
          <w:w w:val="100"/>
          <w:position w:val="0"/>
          <w:sz w:val="20"/>
          <w:szCs w:val="20"/>
        </w:rPr>
        <w:t>本公司发生的借款费用，可直接归属于符合资本化条件的资产的购建或者生产的，予以资本化，计入 相关资产成本；其他借款费用，在发生时根据其发生额确认为费用，计入当期损益。</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符合资本化条件的资产，是指需要经过相当长时间的购建或者生产活动才能达到预定可使用或者可销 售状态的固定资产、投资性房地产和存货等资产。</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借款费用同时满足下列条件时开始资本化：</w:t>
      </w:r>
    </w:p>
    <w:p>
      <w:pPr>
        <w:pStyle w:val="Style31"/>
        <w:keepNext w:val="0"/>
        <w:keepLines w:val="0"/>
        <w:widowControl w:val="0"/>
        <w:shd w:val="clear" w:color="auto" w:fill="auto"/>
        <w:tabs>
          <w:tab w:pos="1016" w:val="left"/>
        </w:tabs>
        <w:bidi w:val="0"/>
        <w:spacing w:before="0" w:after="100" w:line="274" w:lineRule="exact"/>
        <w:ind w:left="0" w:right="0" w:firstLine="440"/>
        <w:jc w:val="both"/>
        <w:rPr>
          <w:sz w:val="20"/>
          <w:szCs w:val="20"/>
        </w:rPr>
      </w:pPr>
      <w:bookmarkStart w:id="703" w:name="bookmark703"/>
      <w:r>
        <w:rPr>
          <w:color w:val="000000"/>
          <w:spacing w:val="0"/>
          <w:w w:val="100"/>
          <w:position w:val="0"/>
          <w:sz w:val="20"/>
          <w:szCs w:val="20"/>
        </w:rPr>
        <w:t>（</w:t>
      </w:r>
      <w:bookmarkEnd w:id="70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资产支出已经发生，资产支出包括为购建或者生产符合资本化条件的资产而以支付现金、转移 非现金资产或者承担带息债务形式发生的支出；</w:t>
      </w:r>
    </w:p>
    <w:p>
      <w:pPr>
        <w:pStyle w:val="Style31"/>
        <w:keepNext w:val="0"/>
        <w:keepLines w:val="0"/>
        <w:widowControl w:val="0"/>
        <w:shd w:val="clear" w:color="auto" w:fill="auto"/>
        <w:tabs>
          <w:tab w:pos="928" w:val="left"/>
        </w:tabs>
        <w:bidi w:val="0"/>
        <w:spacing w:before="0" w:after="100" w:line="274" w:lineRule="exact"/>
        <w:ind w:left="0" w:right="0" w:firstLine="440"/>
        <w:jc w:val="both"/>
        <w:rPr>
          <w:sz w:val="20"/>
          <w:szCs w:val="20"/>
        </w:rPr>
      </w:pPr>
      <w:bookmarkStart w:id="704" w:name="bookmark704"/>
      <w:r>
        <w:rPr>
          <w:color w:val="000000"/>
          <w:spacing w:val="0"/>
          <w:w w:val="100"/>
          <w:position w:val="0"/>
          <w:sz w:val="20"/>
          <w:szCs w:val="20"/>
        </w:rPr>
        <w:t>（</w:t>
      </w:r>
      <w:bookmarkEnd w:id="70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借款费用已经发生；</w:t>
      </w:r>
    </w:p>
    <w:p>
      <w:pPr>
        <w:pStyle w:val="Style31"/>
        <w:keepNext w:val="0"/>
        <w:keepLines w:val="0"/>
        <w:widowControl w:val="0"/>
        <w:shd w:val="clear" w:color="auto" w:fill="auto"/>
        <w:tabs>
          <w:tab w:pos="928" w:val="left"/>
        </w:tabs>
        <w:bidi w:val="0"/>
        <w:spacing w:before="0" w:after="160" w:line="274" w:lineRule="exact"/>
        <w:ind w:left="0" w:right="0" w:firstLine="440"/>
        <w:jc w:val="left"/>
        <w:rPr>
          <w:sz w:val="20"/>
          <w:szCs w:val="20"/>
        </w:rPr>
      </w:pPr>
      <w:bookmarkStart w:id="705" w:name="bookmark705"/>
      <w:r>
        <w:rPr>
          <w:color w:val="000000"/>
          <w:spacing w:val="0"/>
          <w:w w:val="100"/>
          <w:position w:val="0"/>
          <w:sz w:val="20"/>
          <w:szCs w:val="20"/>
        </w:rPr>
        <w:t>（</w:t>
      </w:r>
      <w:bookmarkEnd w:id="705"/>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为使资产达到预定可使用或者可销售状态所必要的购建或者生产活动已经开始。</w:t>
      </w:r>
    </w:p>
    <w:p>
      <w:pPr>
        <w:pStyle w:val="Style31"/>
        <w:keepNext w:val="0"/>
        <w:keepLines w:val="0"/>
        <w:widowControl w:val="0"/>
        <w:shd w:val="clear" w:color="auto" w:fill="auto"/>
        <w:tabs>
          <w:tab w:pos="818" w:val="left"/>
        </w:tabs>
        <w:bidi w:val="0"/>
        <w:spacing w:before="0" w:after="100" w:line="286" w:lineRule="auto"/>
        <w:ind w:left="0" w:right="0" w:firstLine="440"/>
        <w:jc w:val="both"/>
        <w:rPr>
          <w:sz w:val="20"/>
          <w:szCs w:val="20"/>
        </w:rPr>
      </w:pPr>
      <w:bookmarkStart w:id="706" w:name="bookmark706"/>
      <w:r>
        <w:rPr>
          <w:rFonts w:ascii="Times New Roman" w:eastAsia="Times New Roman" w:hAnsi="Times New Roman" w:cs="Times New Roman"/>
          <w:b/>
          <w:bCs/>
          <w:color w:val="000000"/>
          <w:spacing w:val="0"/>
          <w:w w:val="100"/>
          <w:position w:val="0"/>
          <w:sz w:val="20"/>
          <w:szCs w:val="20"/>
        </w:rPr>
        <w:t>2</w:t>
      </w:r>
      <w:bookmarkEnd w:id="706"/>
      <w:r>
        <w:rPr>
          <w:b/>
          <w:bCs/>
          <w:color w:val="000000"/>
          <w:spacing w:val="0"/>
          <w:w w:val="100"/>
          <w:position w:val="0"/>
          <w:sz w:val="20"/>
          <w:szCs w:val="20"/>
        </w:rPr>
        <w:t>、</w:t>
        <w:tab/>
        <w:t>借款费用资本化期间</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资本化期间，指从借款费用开始资本化时点到停止资本化时点的期间，借款费用暂停资本化的期间不 包括在内。</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当购建或者生产符合资本化条件的资产达到预定可使用或者可销售状态时，借款费用停止资本化。</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当购建或者生产符合资本化条件的资产中部分项目分别完工且可单独使用时，该部分资产借款费用停 止资本化。</w:t>
      </w:r>
    </w:p>
    <w:p>
      <w:pPr>
        <w:pStyle w:val="Style31"/>
        <w:keepNext w:val="0"/>
        <w:keepLines w:val="0"/>
        <w:widowControl w:val="0"/>
        <w:shd w:val="clear" w:color="auto" w:fill="auto"/>
        <w:bidi w:val="0"/>
        <w:spacing w:before="0" w:after="160" w:line="274" w:lineRule="exact"/>
        <w:ind w:left="0" w:right="0" w:firstLine="440"/>
        <w:jc w:val="both"/>
        <w:rPr>
          <w:sz w:val="20"/>
          <w:szCs w:val="20"/>
        </w:rPr>
      </w:pPr>
      <w:r>
        <w:rPr>
          <w:color w:val="000000"/>
          <w:spacing w:val="0"/>
          <w:w w:val="100"/>
          <w:position w:val="0"/>
          <w:sz w:val="20"/>
          <w:szCs w:val="20"/>
        </w:rPr>
        <w:t>购建或者生产的资产的各部分分别完工，但必须等到整体完工后才可使用或可对外销售的，在该资产 整体完工时停止借款费用资本化。</w:t>
      </w:r>
    </w:p>
    <w:p>
      <w:pPr>
        <w:pStyle w:val="Style31"/>
        <w:keepNext w:val="0"/>
        <w:keepLines w:val="0"/>
        <w:widowControl w:val="0"/>
        <w:shd w:val="clear" w:color="auto" w:fill="auto"/>
        <w:tabs>
          <w:tab w:pos="818" w:val="left"/>
        </w:tabs>
        <w:bidi w:val="0"/>
        <w:spacing w:before="0" w:after="100" w:line="286" w:lineRule="auto"/>
        <w:ind w:left="0" w:right="0" w:firstLine="440"/>
        <w:jc w:val="both"/>
        <w:rPr>
          <w:sz w:val="20"/>
          <w:szCs w:val="20"/>
        </w:rPr>
      </w:pPr>
      <w:bookmarkStart w:id="707" w:name="bookmark707"/>
      <w:r>
        <w:rPr>
          <w:rFonts w:ascii="Times New Roman" w:eastAsia="Times New Roman" w:hAnsi="Times New Roman" w:cs="Times New Roman"/>
          <w:b/>
          <w:bCs/>
          <w:color w:val="000000"/>
          <w:spacing w:val="0"/>
          <w:w w:val="100"/>
          <w:position w:val="0"/>
          <w:sz w:val="20"/>
          <w:szCs w:val="20"/>
        </w:rPr>
        <w:t>3</w:t>
      </w:r>
      <w:bookmarkEnd w:id="707"/>
      <w:r>
        <w:rPr>
          <w:b/>
          <w:bCs/>
          <w:color w:val="000000"/>
          <w:spacing w:val="0"/>
          <w:w w:val="100"/>
          <w:position w:val="0"/>
          <w:sz w:val="20"/>
          <w:szCs w:val="20"/>
        </w:rPr>
        <w:t>、</w:t>
        <w:tab/>
        <w:t>借款费用暂停资本化期间</w:t>
      </w:r>
    </w:p>
    <w:p>
      <w:pPr>
        <w:pStyle w:val="Style31"/>
        <w:keepNext w:val="0"/>
        <w:keepLines w:val="0"/>
        <w:widowControl w:val="0"/>
        <w:shd w:val="clear" w:color="auto" w:fill="auto"/>
        <w:bidi w:val="0"/>
        <w:spacing w:before="0" w:after="160" w:line="274" w:lineRule="exact"/>
        <w:ind w:left="0" w:right="0" w:firstLine="440"/>
        <w:jc w:val="both"/>
        <w:rPr>
          <w:sz w:val="20"/>
          <w:szCs w:val="20"/>
        </w:rPr>
      </w:pPr>
      <w:r>
        <w:rPr>
          <w:color w:val="000000"/>
          <w:spacing w:val="0"/>
          <w:w w:val="100"/>
          <w:position w:val="0"/>
          <w:sz w:val="20"/>
          <w:szCs w:val="2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31"/>
        <w:keepNext w:val="0"/>
        <w:keepLines w:val="0"/>
        <w:widowControl w:val="0"/>
        <w:shd w:val="clear" w:color="auto" w:fill="auto"/>
        <w:tabs>
          <w:tab w:pos="818" w:val="left"/>
        </w:tabs>
        <w:bidi w:val="0"/>
        <w:spacing w:before="0" w:after="100" w:line="286" w:lineRule="auto"/>
        <w:ind w:left="0" w:right="0" w:firstLine="440"/>
        <w:jc w:val="both"/>
        <w:rPr>
          <w:sz w:val="20"/>
          <w:szCs w:val="20"/>
        </w:rPr>
      </w:pPr>
      <w:bookmarkStart w:id="708" w:name="bookmark708"/>
      <w:r>
        <w:rPr>
          <w:rFonts w:ascii="Times New Roman" w:eastAsia="Times New Roman" w:hAnsi="Times New Roman" w:cs="Times New Roman"/>
          <w:b/>
          <w:bCs/>
          <w:color w:val="000000"/>
          <w:spacing w:val="0"/>
          <w:w w:val="100"/>
          <w:position w:val="0"/>
          <w:sz w:val="20"/>
          <w:szCs w:val="20"/>
        </w:rPr>
        <w:t>4</w:t>
      </w:r>
      <w:bookmarkEnd w:id="708"/>
      <w:r>
        <w:rPr>
          <w:b/>
          <w:bCs/>
          <w:color w:val="000000"/>
          <w:spacing w:val="0"/>
          <w:w w:val="100"/>
          <w:position w:val="0"/>
          <w:sz w:val="20"/>
          <w:szCs w:val="20"/>
        </w:rPr>
        <w:t>、</w:t>
        <w:tab/>
        <w:t>借款费用资本化金额的计算方法</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对于为购建或者生产符合资本化条件的资产而借入的专门借款，以专门借款当期实际发生的借款费用 及其辅助费，减去尚未动用的借款资金存入银行取得的利息收入或进行暂时性投资取得的投资收益后的金 额，来确定借款费用的资本化金额。</w:t>
      </w:r>
    </w:p>
    <w:p>
      <w:pPr>
        <w:pStyle w:val="Style31"/>
        <w:keepNext w:val="0"/>
        <w:keepLines w:val="0"/>
        <w:widowControl w:val="0"/>
        <w:shd w:val="clear" w:color="auto" w:fill="auto"/>
        <w:bidi w:val="0"/>
        <w:spacing w:before="0" w:after="100" w:line="271" w:lineRule="exact"/>
        <w:ind w:left="0" w:right="0" w:firstLine="440"/>
        <w:jc w:val="both"/>
        <w:rPr>
          <w:sz w:val="20"/>
          <w:szCs w:val="20"/>
        </w:rPr>
      </w:pPr>
      <w:r>
        <w:rPr>
          <w:color w:val="000000"/>
          <w:spacing w:val="0"/>
          <w:w w:val="100"/>
          <w:position w:val="0"/>
          <w:sz w:val="20"/>
          <w:szCs w:val="20"/>
        </w:rPr>
        <w:t>对于为购建或者生产符合资本化条件的资产而占用的一般借款，根据累计资产支出超过专门借款部分 的资产支出加权平均数乘以所占用一般借款的资本化率，计算确定一般借款应予资本化的利息金额。资本 化率根据一般借款加权平均利率计算确定。</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借款存在折价或者溢价的，按照实际利率法确定每一会计期间应摊销的折价或者溢价金额，调整每期 利息金额。</w:t>
      </w:r>
    </w:p>
    <w:p>
      <w:pPr>
        <w:pStyle w:val="Style31"/>
        <w:keepNext w:val="0"/>
        <w:keepLines w:val="0"/>
        <w:widowControl w:val="0"/>
        <w:shd w:val="clear" w:color="auto" w:fill="auto"/>
        <w:bidi w:val="0"/>
        <w:spacing w:before="0" w:after="100" w:line="274" w:lineRule="exact"/>
        <w:ind w:left="0" w:right="0" w:firstLine="440"/>
        <w:jc w:val="left"/>
        <w:rPr>
          <w:sz w:val="20"/>
          <w:szCs w:val="20"/>
        </w:rPr>
      </w:pPr>
      <w:r>
        <w:rPr>
          <w:color w:val="000000"/>
          <w:spacing w:val="0"/>
          <w:w w:val="100"/>
          <w:position w:val="0"/>
          <w:sz w:val="20"/>
          <w:szCs w:val="20"/>
        </w:rPr>
        <w:t>资本化期间内，外币专门借款的汇兑差额全部予以资本化；外币一般借款的汇兑差额计入当期损益。</w:t>
      </w:r>
    </w:p>
    <w:p>
      <w:pPr>
        <w:pStyle w:val="Style28"/>
        <w:keepNext/>
        <w:keepLines/>
        <w:widowControl w:val="0"/>
        <w:shd w:val="clear" w:color="auto" w:fill="auto"/>
        <w:bidi w:val="0"/>
        <w:spacing w:before="0" w:after="160" w:line="274" w:lineRule="exact"/>
        <w:ind w:left="0" w:right="0" w:firstLine="0"/>
        <w:jc w:val="both"/>
      </w:pPr>
      <w:bookmarkStart w:id="709" w:name="bookmark709"/>
      <w:bookmarkStart w:id="710" w:name="bookmark710"/>
      <w:bookmarkStart w:id="711" w:name="bookmark711"/>
      <w:r>
        <w:rPr>
          <w:color w:val="000000"/>
          <w:spacing w:val="0"/>
          <w:w w:val="100"/>
          <w:position w:val="0"/>
        </w:rPr>
        <w:t>（十九）无形资产</w:t>
      </w:r>
      <w:bookmarkEnd w:id="709"/>
      <w:bookmarkEnd w:id="710"/>
      <w:bookmarkEnd w:id="711"/>
    </w:p>
    <w:p>
      <w:pPr>
        <w:pStyle w:val="Style28"/>
        <w:keepNext/>
        <w:keepLines/>
        <w:widowControl w:val="0"/>
        <w:shd w:val="clear" w:color="auto" w:fill="auto"/>
        <w:bidi w:val="0"/>
        <w:spacing w:before="0" w:after="160" w:line="240" w:lineRule="auto"/>
        <w:ind w:left="0" w:right="0" w:firstLine="440"/>
        <w:jc w:val="left"/>
      </w:pPr>
      <w:bookmarkStart w:id="709" w:name="bookmark709"/>
      <w:bookmarkStart w:id="710" w:name="bookmark710"/>
      <w:bookmarkStart w:id="712" w:name="bookmark712"/>
      <w:r>
        <w:rPr>
          <w:rFonts w:ascii="Times New Roman" w:eastAsia="Times New Roman" w:hAnsi="Times New Roman" w:cs="Times New Roman"/>
          <w:color w:val="000000"/>
          <w:spacing w:val="0"/>
          <w:w w:val="100"/>
          <w:position w:val="0"/>
        </w:rPr>
        <w:t>1</w:t>
      </w:r>
      <w:bookmarkEnd w:id="712"/>
      <w:r>
        <w:rPr>
          <w:color w:val="000000"/>
          <w:spacing w:val="0"/>
          <w:w w:val="100"/>
          <w:position w:val="0"/>
        </w:rPr>
        <w:t>、无形资产的计价方法</w:t>
      </w:r>
      <w:bookmarkEnd w:id="709"/>
      <w:bookmarkEnd w:id="710"/>
    </w:p>
    <w:p>
      <w:pPr>
        <w:pStyle w:val="Style31"/>
        <w:keepNext w:val="0"/>
        <w:keepLines w:val="0"/>
        <w:widowControl w:val="0"/>
        <w:shd w:val="clear" w:color="auto" w:fill="auto"/>
        <w:bidi w:val="0"/>
        <w:spacing w:before="0" w:after="100" w:line="240" w:lineRule="auto"/>
        <w:ind w:left="0" w:right="0" w:firstLine="4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）取得无形资产时按成本进行初始计量</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本公司外购无形资产的成本，包括购买价款、相关税费以及直接归属于使该项资产达到预定用途所发 生的其他支出。购买无形资产的价款超过正常信用条件延期支付，实质上具有融资性质的，无形资产的成 本以购买价款的现值为基础确定。</w:t>
      </w:r>
    </w:p>
    <w:p>
      <w:pPr>
        <w:pStyle w:val="Style31"/>
        <w:keepNext w:val="0"/>
        <w:keepLines w:val="0"/>
        <w:widowControl w:val="0"/>
        <w:shd w:val="clear" w:color="auto" w:fill="auto"/>
        <w:bidi w:val="0"/>
        <w:spacing w:before="0" w:after="100" w:line="278" w:lineRule="exact"/>
        <w:ind w:left="0" w:right="0" w:firstLine="440"/>
        <w:jc w:val="both"/>
        <w:rPr>
          <w:sz w:val="20"/>
          <w:szCs w:val="20"/>
        </w:rPr>
      </w:pPr>
      <w:r>
        <w:rPr>
          <w:color w:val="000000"/>
          <w:spacing w:val="0"/>
          <w:w w:val="100"/>
          <w:position w:val="0"/>
          <w:sz w:val="20"/>
          <w:szCs w:val="20"/>
        </w:rPr>
        <w:t>对债务重组取得债务人用以抵债的无形资产，以该无形资产的公允价值为基础确定其入账价值，并将 重组债务的账面价值与该用以抵债的无形资产公允价值之间的差额，计入当期损益。</w:t>
      </w:r>
    </w:p>
    <w:p>
      <w:pPr>
        <w:pStyle w:val="Style31"/>
        <w:keepNext w:val="0"/>
        <w:keepLines w:val="0"/>
        <w:widowControl w:val="0"/>
        <w:shd w:val="clear" w:color="auto" w:fill="auto"/>
        <w:bidi w:val="0"/>
        <w:spacing w:before="0" w:after="100" w:line="270" w:lineRule="exact"/>
        <w:ind w:left="0" w:right="0" w:firstLine="440"/>
        <w:jc w:val="both"/>
        <w:rPr>
          <w:sz w:val="20"/>
          <w:szCs w:val="20"/>
        </w:rPr>
      </w:pPr>
      <w:r>
        <w:rPr>
          <w:color w:val="000000"/>
          <w:spacing w:val="0"/>
          <w:w w:val="100"/>
          <w:position w:val="0"/>
          <w:sz w:val="20"/>
          <w:szCs w:val="2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31"/>
        <w:keepNext w:val="0"/>
        <w:keepLines w:val="0"/>
        <w:widowControl w:val="0"/>
        <w:shd w:val="clear" w:color="auto" w:fill="auto"/>
        <w:bidi w:val="0"/>
        <w:spacing w:before="0" w:after="100" w:line="259" w:lineRule="exact"/>
        <w:ind w:left="0" w:right="0" w:firstLine="440"/>
        <w:jc w:val="both"/>
        <w:rPr>
          <w:sz w:val="20"/>
          <w:szCs w:val="20"/>
        </w:rPr>
      </w:pPr>
      <w:r>
        <w:rPr>
          <w:color w:val="000000"/>
          <w:spacing w:val="0"/>
          <w:w w:val="100"/>
          <w:position w:val="0"/>
          <w:sz w:val="20"/>
          <w:szCs w:val="20"/>
        </w:rPr>
        <w:t>以同一控制下的企业吸收合并方式取得的无形资产按被合并方的账面价值确定其入账价值；以非同一 控制下的企业吸收合并方式取得的无形资产按公允价值确定其入账价值。</w:t>
      </w:r>
    </w:p>
    <w:p>
      <w:pPr>
        <w:pStyle w:val="Style31"/>
        <w:keepNext w:val="0"/>
        <w:keepLines w:val="0"/>
        <w:widowControl w:val="0"/>
        <w:shd w:val="clear" w:color="auto" w:fill="auto"/>
        <w:bidi w:val="0"/>
        <w:spacing w:before="0" w:after="100" w:line="271" w:lineRule="exact"/>
        <w:ind w:left="0" w:right="0" w:firstLine="440"/>
        <w:jc w:val="both"/>
        <w:rPr>
          <w:sz w:val="20"/>
          <w:szCs w:val="20"/>
        </w:rPr>
      </w:pPr>
      <w:r>
        <w:rPr>
          <w:color w:val="000000"/>
          <w:spacing w:val="0"/>
          <w:w w:val="100"/>
          <w:position w:val="0"/>
          <w:sz w:val="20"/>
          <w:szCs w:val="2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）后续计量</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本公司对使用寿命有限的无形资产自其可供使用时起至不再作为无形资产确认时止在无形资产使用 寿命内采用直线法摊销，摊销金额按其受益对象计入相关资产成本和当期损益。本公司对已提减值准备的 无形资产计算应摊销金额时，还需扣除该无形资产己计提的减值准备累计金额。</w:t>
      </w:r>
    </w:p>
    <w:p>
      <w:pPr>
        <w:pStyle w:val="Style31"/>
        <w:keepNext w:val="0"/>
        <w:keepLines w:val="0"/>
        <w:widowControl w:val="0"/>
        <w:shd w:val="clear" w:color="auto" w:fill="auto"/>
        <w:bidi w:val="0"/>
        <w:spacing w:before="0" w:after="160" w:line="274" w:lineRule="exact"/>
        <w:ind w:left="0" w:right="0" w:firstLine="440"/>
        <w:jc w:val="both"/>
        <w:rPr>
          <w:sz w:val="20"/>
          <w:szCs w:val="20"/>
        </w:rPr>
      </w:pPr>
      <w:r>
        <w:rPr>
          <w:color w:val="000000"/>
          <w:spacing w:val="0"/>
          <w:w w:val="100"/>
          <w:position w:val="0"/>
          <w:sz w:val="20"/>
          <w:szCs w:val="20"/>
        </w:rPr>
        <w:t>对于使用寿命不确定的无形资产，本公司不对其进行摊销，但在每个会计期末，对该部分无形资产的 使用寿命进行复核，如使用寿命仍不能确定，则对其进行减值测试。</w:t>
      </w:r>
    </w:p>
    <w:p>
      <w:pPr>
        <w:pStyle w:val="Style31"/>
        <w:keepNext w:val="0"/>
        <w:keepLines w:val="0"/>
        <w:widowControl w:val="0"/>
        <w:shd w:val="clear" w:color="auto" w:fill="auto"/>
        <w:tabs>
          <w:tab w:pos="818" w:val="left"/>
        </w:tabs>
        <w:bidi w:val="0"/>
        <w:spacing w:before="0" w:after="40" w:line="286" w:lineRule="auto"/>
        <w:ind w:left="0" w:right="0" w:firstLine="440"/>
        <w:jc w:val="both"/>
        <w:rPr>
          <w:sz w:val="20"/>
          <w:szCs w:val="20"/>
        </w:rPr>
      </w:pPr>
      <w:bookmarkStart w:id="713" w:name="bookmark713"/>
      <w:r>
        <w:rPr>
          <w:rFonts w:ascii="Times New Roman" w:eastAsia="Times New Roman" w:hAnsi="Times New Roman" w:cs="Times New Roman"/>
          <w:b/>
          <w:bCs/>
          <w:color w:val="000000"/>
          <w:spacing w:val="0"/>
          <w:w w:val="100"/>
          <w:position w:val="0"/>
          <w:sz w:val="20"/>
          <w:szCs w:val="20"/>
        </w:rPr>
        <w:t>2</w:t>
      </w:r>
      <w:bookmarkEnd w:id="713"/>
      <w:r>
        <w:rPr>
          <w:b/>
          <w:bCs/>
          <w:color w:val="000000"/>
          <w:spacing w:val="0"/>
          <w:w w:val="100"/>
          <w:position w:val="0"/>
          <w:sz w:val="20"/>
          <w:szCs w:val="20"/>
        </w:rPr>
        <w:t>、</w:t>
        <w:tab/>
        <w:t>使用寿命有限的无形资产的使用寿命估计</w:t>
      </w:r>
    </w:p>
    <w:p>
      <w:pPr>
        <w:pStyle w:val="Style31"/>
        <w:keepNext w:val="0"/>
        <w:keepLines w:val="0"/>
        <w:widowControl w:val="0"/>
        <w:shd w:val="clear" w:color="auto" w:fill="auto"/>
        <w:bidi w:val="0"/>
        <w:spacing w:before="0" w:after="100" w:line="278" w:lineRule="exact"/>
        <w:ind w:left="0" w:right="0" w:firstLine="440"/>
        <w:jc w:val="both"/>
        <w:rPr>
          <w:sz w:val="20"/>
          <w:szCs w:val="20"/>
        </w:rPr>
      </w:pPr>
      <w:r>
        <w:rPr>
          <w:color w:val="000000"/>
          <w:spacing w:val="0"/>
          <w:w w:val="100"/>
          <w:position w:val="0"/>
          <w:sz w:val="20"/>
          <w:szCs w:val="20"/>
        </w:rPr>
        <w:t>本公司对来源于合同性权利或其他法定权利的无形资产，认定其使用寿命不超过合同性权利或其他法 定权利的期限；对合同或法律没有规定使用寿命的无形资产，通常综合同行业比较、历史经验、相关专家 论证等各方面因素判断，确定无形资产为公司带来经济利益的期限。</w:t>
      </w:r>
    </w:p>
    <w:p>
      <w:pPr>
        <w:pStyle w:val="Style31"/>
        <w:keepNext w:val="0"/>
        <w:keepLines w:val="0"/>
        <w:widowControl w:val="0"/>
        <w:shd w:val="clear" w:color="auto" w:fill="auto"/>
        <w:bidi w:val="0"/>
        <w:spacing w:before="0" w:after="160" w:line="274" w:lineRule="exact"/>
        <w:ind w:left="0" w:right="0" w:firstLine="440"/>
        <w:jc w:val="both"/>
        <w:rPr>
          <w:sz w:val="20"/>
          <w:szCs w:val="20"/>
        </w:rPr>
      </w:pPr>
      <w:r>
        <w:rPr>
          <w:color w:val="000000"/>
          <w:spacing w:val="0"/>
          <w:w w:val="100"/>
          <w:position w:val="0"/>
          <w:sz w:val="20"/>
          <w:szCs w:val="20"/>
        </w:rPr>
        <w:t>每期末，本公司对使用寿命有限的无形资产的使用寿命及摊销方法进行复核，如发生变更则作为会计 估计变更处理。</w:t>
      </w:r>
    </w:p>
    <w:p>
      <w:pPr>
        <w:pStyle w:val="Style31"/>
        <w:keepNext w:val="0"/>
        <w:keepLines w:val="0"/>
        <w:widowControl w:val="0"/>
        <w:shd w:val="clear" w:color="auto" w:fill="auto"/>
        <w:tabs>
          <w:tab w:pos="818" w:val="left"/>
        </w:tabs>
        <w:bidi w:val="0"/>
        <w:spacing w:before="0" w:after="40" w:line="286" w:lineRule="auto"/>
        <w:ind w:left="0" w:right="0" w:firstLine="440"/>
        <w:jc w:val="both"/>
        <w:rPr>
          <w:sz w:val="20"/>
          <w:szCs w:val="20"/>
        </w:rPr>
      </w:pPr>
      <w:bookmarkStart w:id="714" w:name="bookmark714"/>
      <w:r>
        <w:rPr>
          <w:rFonts w:ascii="Times New Roman" w:eastAsia="Times New Roman" w:hAnsi="Times New Roman" w:cs="Times New Roman"/>
          <w:b/>
          <w:bCs/>
          <w:color w:val="000000"/>
          <w:spacing w:val="0"/>
          <w:w w:val="100"/>
          <w:position w:val="0"/>
          <w:sz w:val="20"/>
          <w:szCs w:val="20"/>
        </w:rPr>
        <w:t>3</w:t>
      </w:r>
      <w:bookmarkEnd w:id="714"/>
      <w:r>
        <w:rPr>
          <w:b/>
          <w:bCs/>
          <w:color w:val="000000"/>
          <w:spacing w:val="0"/>
          <w:w w:val="100"/>
          <w:position w:val="0"/>
          <w:sz w:val="20"/>
          <w:szCs w:val="20"/>
        </w:rPr>
        <w:t>、</w:t>
        <w:tab/>
        <w:t>使用寿命不确定的无形资产的判断依据</w:t>
      </w:r>
    </w:p>
    <w:p>
      <w:pPr>
        <w:pStyle w:val="Style31"/>
        <w:keepNext w:val="0"/>
        <w:keepLines w:val="0"/>
        <w:widowControl w:val="0"/>
        <w:shd w:val="clear" w:color="auto" w:fill="auto"/>
        <w:bidi w:val="0"/>
        <w:spacing w:before="0" w:after="160" w:line="274" w:lineRule="exact"/>
        <w:ind w:left="0" w:right="0" w:firstLine="440"/>
        <w:jc w:val="both"/>
        <w:rPr>
          <w:sz w:val="20"/>
          <w:szCs w:val="20"/>
        </w:rPr>
      </w:pPr>
      <w:r>
        <w:rPr>
          <w:color w:val="000000"/>
          <w:spacing w:val="0"/>
          <w:w w:val="100"/>
          <w:position w:val="0"/>
          <w:sz w:val="20"/>
          <w:szCs w:val="20"/>
        </w:rPr>
        <w:t>无法合理确定无形资产为公司带来经济利益期限的，本公司将其视为使用寿命不确定的无形资产。本 公司无使用寿命不确定的无形资产。</w:t>
      </w:r>
    </w:p>
    <w:p>
      <w:pPr>
        <w:pStyle w:val="Style31"/>
        <w:keepNext w:val="0"/>
        <w:keepLines w:val="0"/>
        <w:widowControl w:val="0"/>
        <w:shd w:val="clear" w:color="auto" w:fill="auto"/>
        <w:tabs>
          <w:tab w:pos="818" w:val="left"/>
        </w:tabs>
        <w:bidi w:val="0"/>
        <w:spacing w:before="0" w:after="40" w:line="286" w:lineRule="auto"/>
        <w:ind w:left="0" w:right="0" w:firstLine="440"/>
        <w:jc w:val="both"/>
        <w:rPr>
          <w:sz w:val="20"/>
          <w:szCs w:val="20"/>
        </w:rPr>
      </w:pPr>
      <w:bookmarkStart w:id="715" w:name="bookmark715"/>
      <w:r>
        <w:rPr>
          <w:rFonts w:ascii="Times New Roman" w:eastAsia="Times New Roman" w:hAnsi="Times New Roman" w:cs="Times New Roman"/>
          <w:b/>
          <w:bCs/>
          <w:color w:val="000000"/>
          <w:spacing w:val="0"/>
          <w:w w:val="100"/>
          <w:position w:val="0"/>
          <w:sz w:val="20"/>
          <w:szCs w:val="20"/>
        </w:rPr>
        <w:t>4</w:t>
      </w:r>
      <w:bookmarkEnd w:id="715"/>
      <w:r>
        <w:rPr>
          <w:b/>
          <w:bCs/>
          <w:color w:val="000000"/>
          <w:spacing w:val="0"/>
          <w:w w:val="100"/>
          <w:position w:val="0"/>
          <w:sz w:val="20"/>
          <w:szCs w:val="20"/>
        </w:rPr>
        <w:t>、</w:t>
        <w:tab/>
        <w:t>划分内部研究开发项目的研究阶段和开发阶段具体标准</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本公司对内部研究开发项目的支出分为研究阶段支出和开发阶段支出。</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研究阶段：为获取并理解新的科学或技术知识等而进行的独创性的有计划调查、研究活动的阶段。</w:t>
      </w:r>
    </w:p>
    <w:p>
      <w:pPr>
        <w:pStyle w:val="Style31"/>
        <w:keepNext w:val="0"/>
        <w:keepLines w:val="0"/>
        <w:widowControl w:val="0"/>
        <w:shd w:val="clear" w:color="auto" w:fill="auto"/>
        <w:bidi w:val="0"/>
        <w:spacing w:before="0" w:after="160" w:line="274" w:lineRule="exact"/>
        <w:ind w:left="0" w:right="0" w:firstLine="440"/>
        <w:jc w:val="both"/>
        <w:rPr>
          <w:sz w:val="20"/>
          <w:szCs w:val="20"/>
        </w:rPr>
      </w:pPr>
      <w:r>
        <w:rPr>
          <w:color w:val="000000"/>
          <w:spacing w:val="0"/>
          <w:w w:val="100"/>
          <w:position w:val="0"/>
          <w:sz w:val="20"/>
          <w:szCs w:val="20"/>
        </w:rPr>
        <w:t>开发阶段：在进行商业性生产或使用前，将研究成果或其他知识应用于某项计划或设计，以生产出新 的或具有实质性改进的材料、装置、产品等活动的阶段。</w:t>
      </w:r>
    </w:p>
    <w:p>
      <w:pPr>
        <w:pStyle w:val="Style31"/>
        <w:keepNext w:val="0"/>
        <w:keepLines w:val="0"/>
        <w:widowControl w:val="0"/>
        <w:shd w:val="clear" w:color="auto" w:fill="auto"/>
        <w:tabs>
          <w:tab w:pos="818" w:val="left"/>
        </w:tabs>
        <w:bidi w:val="0"/>
        <w:spacing w:before="0" w:after="40" w:line="286" w:lineRule="auto"/>
        <w:ind w:left="0" w:right="0" w:firstLine="440"/>
        <w:jc w:val="both"/>
        <w:rPr>
          <w:sz w:val="20"/>
          <w:szCs w:val="20"/>
        </w:rPr>
      </w:pPr>
      <w:bookmarkStart w:id="716" w:name="bookmark716"/>
      <w:r>
        <w:rPr>
          <w:rFonts w:ascii="Times New Roman" w:eastAsia="Times New Roman" w:hAnsi="Times New Roman" w:cs="Times New Roman"/>
          <w:b/>
          <w:bCs/>
          <w:color w:val="000000"/>
          <w:spacing w:val="0"/>
          <w:w w:val="100"/>
          <w:position w:val="0"/>
          <w:sz w:val="20"/>
          <w:szCs w:val="20"/>
        </w:rPr>
        <w:t>5</w:t>
      </w:r>
      <w:bookmarkEnd w:id="716"/>
      <w:r>
        <w:rPr>
          <w:b/>
          <w:bCs/>
          <w:color w:val="000000"/>
          <w:spacing w:val="0"/>
          <w:w w:val="100"/>
          <w:position w:val="0"/>
          <w:sz w:val="20"/>
          <w:szCs w:val="20"/>
        </w:rPr>
        <w:t>、</w:t>
        <w:tab/>
        <w:t>开发阶段支出符合资本化的具体标准</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本公司对内部研究开发项目开发阶段的支出，同时满足下列条件时确认为无形资产：</w:t>
      </w:r>
    </w:p>
    <w:p>
      <w:pPr>
        <w:pStyle w:val="Style31"/>
        <w:keepNext w:val="0"/>
        <w:keepLines w:val="0"/>
        <w:widowControl w:val="0"/>
        <w:shd w:val="clear" w:color="auto" w:fill="auto"/>
        <w:tabs>
          <w:tab w:pos="928" w:val="left"/>
        </w:tabs>
        <w:bidi w:val="0"/>
        <w:spacing w:before="0" w:after="100" w:line="274" w:lineRule="exact"/>
        <w:ind w:left="0" w:right="0" w:firstLine="440"/>
        <w:jc w:val="both"/>
        <w:rPr>
          <w:sz w:val="20"/>
          <w:szCs w:val="20"/>
        </w:rPr>
      </w:pPr>
      <w:bookmarkStart w:id="717" w:name="bookmark717"/>
      <w:r>
        <w:rPr>
          <w:color w:val="000000"/>
          <w:spacing w:val="0"/>
          <w:w w:val="100"/>
          <w:position w:val="0"/>
          <w:sz w:val="20"/>
          <w:szCs w:val="20"/>
        </w:rPr>
        <w:t>（</w:t>
      </w:r>
      <w:bookmarkEnd w:id="71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完成该无形资产以使其能够使用或出售在技术上具有可行性；</w:t>
      </w:r>
    </w:p>
    <w:p>
      <w:pPr>
        <w:pStyle w:val="Style31"/>
        <w:keepNext w:val="0"/>
        <w:keepLines w:val="0"/>
        <w:widowControl w:val="0"/>
        <w:shd w:val="clear" w:color="auto" w:fill="auto"/>
        <w:tabs>
          <w:tab w:pos="928" w:val="left"/>
        </w:tabs>
        <w:bidi w:val="0"/>
        <w:spacing w:before="0" w:after="100" w:line="274" w:lineRule="exact"/>
        <w:ind w:left="0" w:right="0" w:firstLine="440"/>
        <w:jc w:val="both"/>
        <w:rPr>
          <w:sz w:val="20"/>
          <w:szCs w:val="20"/>
        </w:rPr>
      </w:pPr>
      <w:bookmarkStart w:id="718" w:name="bookmark718"/>
      <w:r>
        <w:rPr>
          <w:color w:val="000000"/>
          <w:spacing w:val="0"/>
          <w:w w:val="100"/>
          <w:position w:val="0"/>
          <w:sz w:val="20"/>
          <w:szCs w:val="20"/>
        </w:rPr>
        <w:t>（</w:t>
      </w:r>
      <w:bookmarkEnd w:id="71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具有完成该无形资产并使用或出售的意图；</w:t>
      </w:r>
    </w:p>
    <w:p>
      <w:pPr>
        <w:pStyle w:val="Style31"/>
        <w:keepNext w:val="0"/>
        <w:keepLines w:val="0"/>
        <w:widowControl w:val="0"/>
        <w:shd w:val="clear" w:color="auto" w:fill="auto"/>
        <w:bidi w:val="0"/>
        <w:spacing w:before="0" w:after="100" w:line="288" w:lineRule="exact"/>
        <w:ind w:left="0" w:right="0" w:firstLine="440"/>
        <w:jc w:val="both"/>
        <w:rPr>
          <w:sz w:val="20"/>
          <w:szCs w:val="20"/>
        </w:rPr>
      </w:pPr>
      <w:bookmarkStart w:id="719" w:name="bookmark719"/>
      <w:r>
        <w:rPr>
          <w:color w:val="000000"/>
          <w:spacing w:val="0"/>
          <w:w w:val="100"/>
          <w:position w:val="0"/>
          <w:sz w:val="20"/>
          <w:szCs w:val="20"/>
        </w:rPr>
        <w:t>（</w:t>
      </w:r>
      <w:bookmarkEnd w:id="719"/>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 无形资产产生经济利益的方式，包括能够证明运用该无形资产生产的产品存在市场或无形资产 自身存在市场，无形资产将在内部使用的，能够证明其有用性；</w:t>
      </w:r>
    </w:p>
    <w:p>
      <w:pPr>
        <w:pStyle w:val="Style31"/>
        <w:keepNext w:val="0"/>
        <w:keepLines w:val="0"/>
        <w:widowControl w:val="0"/>
        <w:shd w:val="clear" w:color="auto" w:fill="auto"/>
        <w:tabs>
          <w:tab w:pos="488" w:val="left"/>
        </w:tabs>
        <w:bidi w:val="0"/>
        <w:spacing w:before="0" w:after="100" w:line="274" w:lineRule="exact"/>
        <w:ind w:left="0" w:right="0" w:firstLine="440"/>
        <w:jc w:val="both"/>
        <w:rPr>
          <w:sz w:val="20"/>
          <w:szCs w:val="20"/>
        </w:rPr>
      </w:pPr>
      <w:bookmarkStart w:id="720" w:name="bookmark720"/>
      <w:r>
        <w:rPr>
          <w:color w:val="000000"/>
          <w:spacing w:val="0"/>
          <w:w w:val="100"/>
          <w:position w:val="0"/>
          <w:sz w:val="20"/>
          <w:szCs w:val="20"/>
        </w:rPr>
        <w:t>（</w:t>
      </w:r>
      <w:bookmarkEnd w:id="720"/>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 xml:space="preserve">有足够的技术、财务资源和其他资源支持，以完成该无形资产的开发，并有能力使用或出售该 </w:t>
      </w:r>
      <w:r>
        <w:rPr>
          <w:color w:val="000000"/>
          <w:spacing w:val="0"/>
          <w:w w:val="100"/>
          <w:position w:val="0"/>
          <w:sz w:val="20"/>
          <w:szCs w:val="20"/>
        </w:rPr>
        <w:t>无形资产；</w:t>
      </w:r>
    </w:p>
    <w:p>
      <w:pPr>
        <w:pStyle w:val="Style31"/>
        <w:keepNext w:val="0"/>
        <w:keepLines w:val="0"/>
        <w:widowControl w:val="0"/>
        <w:shd w:val="clear" w:color="auto" w:fill="auto"/>
        <w:bidi w:val="0"/>
        <w:spacing w:before="0" w:after="100" w:line="274" w:lineRule="exact"/>
        <w:ind w:left="0" w:right="0" w:firstLine="440"/>
        <w:jc w:val="left"/>
        <w:rPr>
          <w:sz w:val="20"/>
          <w:szCs w:val="20"/>
        </w:rPr>
      </w:pPr>
      <w:bookmarkStart w:id="721" w:name="bookmark721"/>
      <w:r>
        <w:rPr>
          <w:color w:val="000000"/>
          <w:spacing w:val="0"/>
          <w:w w:val="100"/>
          <w:position w:val="0"/>
          <w:sz w:val="20"/>
          <w:szCs w:val="20"/>
        </w:rPr>
        <w:t>（</w:t>
      </w:r>
      <w:bookmarkEnd w:id="721"/>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）归属于该无形资产开发阶段的支出能够可靠地计量。</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开发阶段的支出，若不满足上列条件的，于发生时计入当期损益。研究阶段的支出，在发生时计入当 期损益。</w:t>
      </w:r>
    </w:p>
    <w:p>
      <w:pPr>
        <w:pStyle w:val="Style28"/>
        <w:keepNext/>
        <w:keepLines/>
        <w:widowControl w:val="0"/>
        <w:shd w:val="clear" w:color="auto" w:fill="auto"/>
        <w:bidi w:val="0"/>
        <w:spacing w:before="0" w:after="100" w:line="274" w:lineRule="exact"/>
        <w:ind w:left="0" w:right="0" w:firstLine="0"/>
        <w:jc w:val="left"/>
      </w:pPr>
      <w:bookmarkStart w:id="722" w:name="bookmark722"/>
      <w:bookmarkStart w:id="723" w:name="bookmark723"/>
      <w:bookmarkStart w:id="724" w:name="bookmark724"/>
      <w:r>
        <w:rPr>
          <w:color w:val="000000"/>
          <w:spacing w:val="0"/>
          <w:w w:val="100"/>
          <w:position w:val="0"/>
        </w:rPr>
        <w:t>（二十）长期资产的减值测试方法及会计处理方法</w:t>
      </w:r>
      <w:bookmarkEnd w:id="722"/>
      <w:bookmarkEnd w:id="723"/>
      <w:bookmarkEnd w:id="724"/>
    </w:p>
    <w:p>
      <w:pPr>
        <w:pStyle w:val="Style31"/>
        <w:keepNext w:val="0"/>
        <w:keepLines w:val="0"/>
        <w:widowControl w:val="0"/>
        <w:shd w:val="clear" w:color="auto" w:fill="auto"/>
        <w:bidi w:val="0"/>
        <w:spacing w:before="0" w:after="100" w:line="270" w:lineRule="exact"/>
        <w:ind w:left="0" w:right="0" w:firstLine="440"/>
        <w:jc w:val="left"/>
        <w:rPr>
          <w:sz w:val="20"/>
          <w:szCs w:val="20"/>
        </w:rPr>
      </w:pPr>
      <w:r>
        <w:rPr>
          <w:color w:val="000000"/>
          <w:spacing w:val="0"/>
          <w:w w:val="100"/>
          <w:position w:val="0"/>
          <w:sz w:val="20"/>
          <w:szCs w:val="20"/>
        </w:rPr>
        <w:t>在每个资产负债表日判断长期股权投资、采用成本模式计量的投资性房地产、固定资产、在建工程、 使用寿命确定的无形资产等是否存在减值迹象，对存在减值迹象的，估计其可收回金额，可收回金额低于 其账面价值的，将资产的账面价值减记至可收回金额，减记的金额确认相应的减值损失，计入当期损益， 同时计提相应的减值准备。</w:t>
      </w:r>
    </w:p>
    <w:p>
      <w:pPr>
        <w:pStyle w:val="Style31"/>
        <w:keepNext w:val="0"/>
        <w:keepLines w:val="0"/>
        <w:widowControl w:val="0"/>
        <w:shd w:val="clear" w:color="auto" w:fill="auto"/>
        <w:bidi w:val="0"/>
        <w:spacing w:before="0" w:after="100" w:line="274" w:lineRule="exact"/>
        <w:ind w:left="0" w:right="0" w:firstLine="440"/>
        <w:jc w:val="left"/>
        <w:rPr>
          <w:sz w:val="20"/>
          <w:szCs w:val="20"/>
        </w:rPr>
      </w:pPr>
      <w:r>
        <w:rPr>
          <w:color w:val="000000"/>
          <w:spacing w:val="0"/>
          <w:w w:val="100"/>
          <w:position w:val="0"/>
          <w:sz w:val="20"/>
          <w:szCs w:val="20"/>
        </w:rPr>
        <w:t>资产可收回金额的估计，根据其公允价值减去处置费用后的净额与其预计未来现金流量的现值两者之 间较高者确定。本公司以单项资产为基础估计其可收回金额，在难以对单项资产可回收金额进行估计的情 况下，以资产所属的资产组为基础确定资产组的可收回金额。</w:t>
      </w:r>
    </w:p>
    <w:p>
      <w:pPr>
        <w:pStyle w:val="Style31"/>
        <w:keepNext w:val="0"/>
        <w:keepLines w:val="0"/>
        <w:widowControl w:val="0"/>
        <w:shd w:val="clear" w:color="auto" w:fill="auto"/>
        <w:bidi w:val="0"/>
        <w:spacing w:before="0" w:after="100" w:line="264" w:lineRule="exact"/>
        <w:ind w:left="0" w:right="0" w:firstLine="440"/>
        <w:jc w:val="left"/>
        <w:rPr>
          <w:sz w:val="20"/>
          <w:szCs w:val="20"/>
        </w:rPr>
      </w:pPr>
      <w:r>
        <w:rPr>
          <w:color w:val="000000"/>
          <w:spacing w:val="0"/>
          <w:w w:val="100"/>
          <w:position w:val="0"/>
          <w:sz w:val="20"/>
          <w:szCs w:val="20"/>
        </w:rPr>
        <w:t>资产减值损失确认后，减值资产的折旧或者摊销费用在未来期间做相应调整，使资产在剩余寿命内， 系统地分摊调整后的资产账面价值。</w:t>
      </w:r>
    </w:p>
    <w:p>
      <w:pPr>
        <w:pStyle w:val="Style31"/>
        <w:keepNext w:val="0"/>
        <w:keepLines w:val="0"/>
        <w:widowControl w:val="0"/>
        <w:shd w:val="clear" w:color="auto" w:fill="auto"/>
        <w:bidi w:val="0"/>
        <w:spacing w:before="0" w:after="100" w:line="278" w:lineRule="exact"/>
        <w:ind w:left="0" w:right="0" w:firstLine="440"/>
        <w:jc w:val="left"/>
        <w:rPr>
          <w:sz w:val="20"/>
          <w:szCs w:val="20"/>
        </w:rPr>
      </w:pPr>
      <w:r>
        <w:rPr>
          <w:color w:val="000000"/>
          <w:spacing w:val="0"/>
          <w:w w:val="100"/>
          <w:position w:val="0"/>
          <w:sz w:val="20"/>
          <w:szCs w:val="20"/>
        </w:rPr>
        <w:t>对于使用寿命不确定的无形资产、尚未达到使用状态的无形资产以及合并所形成的商誉每年年度终了 进行减值测试。</w:t>
      </w:r>
    </w:p>
    <w:p>
      <w:pPr>
        <w:pStyle w:val="Style31"/>
        <w:keepNext w:val="0"/>
        <w:keepLines w:val="0"/>
        <w:widowControl w:val="0"/>
        <w:shd w:val="clear" w:color="auto" w:fill="auto"/>
        <w:bidi w:val="0"/>
        <w:spacing w:before="0" w:after="100" w:line="275" w:lineRule="exact"/>
        <w:ind w:left="0" w:right="0" w:firstLine="440"/>
        <w:jc w:val="left"/>
        <w:rPr>
          <w:sz w:val="20"/>
          <w:szCs w:val="20"/>
        </w:rPr>
      </w:pPr>
      <w:r>
        <w:rPr>
          <w:color w:val="000000"/>
          <w:spacing w:val="0"/>
          <w:w w:val="100"/>
          <w:position w:val="0"/>
          <w:sz w:val="20"/>
          <w:szCs w:val="20"/>
        </w:rPr>
        <w:t>本公司对企业合并所形成的商誉，每年末均进行减值测试。对于因企业合并形成的商誉的账面价值， 自购买日起按照合理的方法分摊至相关的资产组；难以分摊至相关的资产组的，将其分摊至相关的资产组 组合。在将商誉的账面价值分摊至相关的资产组或者资产组组合时，按照各资产组或者资产组组合的公允 价值占相关资产组或者资产组组合公允价值总额的比例进行分摊。公允价值难以可靠计量的，按照各资产 组或者资产组组合的账面价值占相关资产组或者资产组组合账面价值总额的比例进行分摊。</w:t>
      </w:r>
    </w:p>
    <w:p>
      <w:pPr>
        <w:pStyle w:val="Style31"/>
        <w:keepNext w:val="0"/>
        <w:keepLines w:val="0"/>
        <w:widowControl w:val="0"/>
        <w:shd w:val="clear" w:color="auto" w:fill="auto"/>
        <w:bidi w:val="0"/>
        <w:spacing w:before="0" w:after="100" w:line="274" w:lineRule="exact"/>
        <w:ind w:left="0" w:right="0" w:firstLine="440"/>
        <w:jc w:val="left"/>
        <w:rPr>
          <w:sz w:val="20"/>
          <w:szCs w:val="20"/>
        </w:rPr>
      </w:pPr>
      <w:r>
        <w:rPr>
          <w:color w:val="000000"/>
          <w:spacing w:val="0"/>
          <w:w w:val="100"/>
          <w:position w:val="0"/>
          <w:sz w:val="20"/>
          <w:szCs w:val="2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面价值相比较，确认相应的减值损失。再对包含商誉的资产组或者资产组组合进行减值测试，比较这些相 关资产组或者资产组组合的账面价值（包括所分摊的商誉的账面价值部分）与其可收回金额，如相关资产 组或者资产组组合的可收回金额低于其账面价值的，确认商誉的减值损失。</w:t>
      </w:r>
    </w:p>
    <w:p>
      <w:pPr>
        <w:pStyle w:val="Style31"/>
        <w:keepNext w:val="0"/>
        <w:keepLines w:val="0"/>
        <w:widowControl w:val="0"/>
        <w:shd w:val="clear" w:color="auto" w:fill="auto"/>
        <w:bidi w:val="0"/>
        <w:spacing w:before="0" w:after="100" w:line="274" w:lineRule="exact"/>
        <w:ind w:left="0" w:right="0" w:firstLine="440"/>
        <w:jc w:val="left"/>
        <w:rPr>
          <w:sz w:val="20"/>
          <w:szCs w:val="20"/>
        </w:rPr>
      </w:pPr>
      <w:r>
        <w:rPr>
          <w:color w:val="000000"/>
          <w:spacing w:val="0"/>
          <w:w w:val="100"/>
          <w:position w:val="0"/>
          <w:sz w:val="20"/>
          <w:szCs w:val="20"/>
        </w:rPr>
        <w:t>除对资产进行处置、出售、对外投资等情况外，本公司对前期已确认的长期资产减值损失在以后会计 期间不予转回。</w:t>
      </w:r>
    </w:p>
    <w:p>
      <w:pPr>
        <w:pStyle w:val="Style28"/>
        <w:keepNext/>
        <w:keepLines/>
        <w:widowControl w:val="0"/>
        <w:shd w:val="clear" w:color="auto" w:fill="auto"/>
        <w:bidi w:val="0"/>
        <w:spacing w:before="0" w:after="100" w:line="274" w:lineRule="exact"/>
        <w:ind w:left="0" w:right="0" w:firstLine="0"/>
        <w:jc w:val="left"/>
      </w:pPr>
      <w:bookmarkStart w:id="725" w:name="bookmark725"/>
      <w:bookmarkStart w:id="726" w:name="bookmark726"/>
      <w:bookmarkStart w:id="727" w:name="bookmark727"/>
      <w:r>
        <w:rPr>
          <w:color w:val="000000"/>
          <w:spacing w:val="0"/>
          <w:w w:val="100"/>
          <w:position w:val="0"/>
        </w:rPr>
        <w:t>（二十一）长期待摊费用</w:t>
      </w:r>
      <w:bookmarkEnd w:id="725"/>
      <w:bookmarkEnd w:id="726"/>
      <w:bookmarkEnd w:id="727"/>
    </w:p>
    <w:p>
      <w:pPr>
        <w:pStyle w:val="Style31"/>
        <w:keepNext w:val="0"/>
        <w:keepLines w:val="0"/>
        <w:widowControl w:val="0"/>
        <w:shd w:val="clear" w:color="auto" w:fill="auto"/>
        <w:bidi w:val="0"/>
        <w:spacing w:before="0" w:after="100" w:line="278" w:lineRule="exact"/>
        <w:ind w:left="0" w:right="0" w:firstLine="440"/>
        <w:jc w:val="both"/>
        <w:rPr>
          <w:sz w:val="20"/>
          <w:szCs w:val="20"/>
        </w:rPr>
      </w:pPr>
      <w:r>
        <w:rPr>
          <w:color w:val="000000"/>
          <w:spacing w:val="0"/>
          <w:w w:val="100"/>
          <w:position w:val="0"/>
          <w:sz w:val="20"/>
          <w:szCs w:val="20"/>
        </w:rPr>
        <w:t>本公司对于已经发生但应由本期和以后各期负担的分摊期限在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年以上的各项费用作为长期待摊费用 核算，按预计受益年限分期平均摊销。如果长期待摊费用项目不能使以后会计期间受益的，则将其尚未摊 销的摊余价值全部转入当期损益。</w:t>
      </w:r>
    </w:p>
    <w:p>
      <w:pPr>
        <w:pStyle w:val="Style28"/>
        <w:keepNext/>
        <w:keepLines/>
        <w:widowControl w:val="0"/>
        <w:shd w:val="clear" w:color="auto" w:fill="auto"/>
        <w:bidi w:val="0"/>
        <w:spacing w:before="0" w:after="100" w:line="274" w:lineRule="exact"/>
        <w:ind w:left="0" w:right="0" w:firstLine="0"/>
        <w:jc w:val="left"/>
      </w:pPr>
      <w:bookmarkStart w:id="728" w:name="bookmark728"/>
      <w:bookmarkStart w:id="729" w:name="bookmark729"/>
      <w:bookmarkStart w:id="730" w:name="bookmark730"/>
      <w:r>
        <w:rPr>
          <w:color w:val="000000"/>
          <w:spacing w:val="0"/>
          <w:w w:val="100"/>
          <w:position w:val="0"/>
        </w:rPr>
        <w:t>（二十二）职工薪酬</w:t>
      </w:r>
      <w:bookmarkEnd w:id="728"/>
      <w:bookmarkEnd w:id="729"/>
      <w:bookmarkEnd w:id="730"/>
    </w:p>
    <w:p>
      <w:pPr>
        <w:pStyle w:val="Style31"/>
        <w:keepNext w:val="0"/>
        <w:keepLines w:val="0"/>
        <w:widowControl w:val="0"/>
        <w:shd w:val="clear" w:color="auto" w:fill="auto"/>
        <w:bidi w:val="0"/>
        <w:spacing w:before="0" w:after="100" w:line="274" w:lineRule="exact"/>
        <w:ind w:left="0" w:right="0" w:firstLine="440"/>
        <w:jc w:val="left"/>
        <w:rPr>
          <w:sz w:val="20"/>
          <w:szCs w:val="20"/>
        </w:rPr>
      </w:pPr>
      <w:r>
        <w:rPr>
          <w:color w:val="000000"/>
          <w:spacing w:val="0"/>
          <w:w w:val="100"/>
          <w:position w:val="0"/>
          <w:sz w:val="20"/>
          <w:szCs w:val="20"/>
        </w:rPr>
        <w:t>职工薪酬是指为获得职工提供的服务或解除劳动关系而给予的各种形式的报酬或补偿。包括短期薪酬、 离职后福利、辞退福利和其他长期职工福利。</w:t>
      </w:r>
    </w:p>
    <w:p>
      <w:pPr>
        <w:pStyle w:val="Style31"/>
        <w:keepNext w:val="0"/>
        <w:keepLines w:val="0"/>
        <w:widowControl w:val="0"/>
        <w:shd w:val="clear" w:color="auto" w:fill="auto"/>
        <w:tabs>
          <w:tab w:pos="778" w:val="left"/>
        </w:tabs>
        <w:bidi w:val="0"/>
        <w:spacing w:before="0" w:after="100" w:line="274" w:lineRule="exact"/>
        <w:ind w:left="0" w:right="0" w:firstLine="440"/>
        <w:jc w:val="left"/>
        <w:rPr>
          <w:sz w:val="20"/>
          <w:szCs w:val="20"/>
        </w:rPr>
      </w:pPr>
      <w:bookmarkStart w:id="731" w:name="bookmark731"/>
      <w:r>
        <w:rPr>
          <w:rFonts w:ascii="Times New Roman" w:eastAsia="Times New Roman" w:hAnsi="Times New Roman" w:cs="Times New Roman"/>
          <w:b/>
          <w:bCs/>
          <w:color w:val="000000"/>
          <w:spacing w:val="0"/>
          <w:w w:val="100"/>
          <w:position w:val="0"/>
          <w:sz w:val="20"/>
          <w:szCs w:val="20"/>
        </w:rPr>
        <w:t>1</w:t>
      </w:r>
      <w:bookmarkEnd w:id="731"/>
      <w:r>
        <w:rPr>
          <w:b/>
          <w:bCs/>
          <w:color w:val="000000"/>
          <w:spacing w:val="0"/>
          <w:w w:val="100"/>
          <w:position w:val="0"/>
          <w:sz w:val="20"/>
          <w:szCs w:val="20"/>
        </w:rPr>
        <w:t>、</w:t>
        <w:tab/>
        <w:t>短期薪酬的会计处理方法</w:t>
      </w:r>
    </w:p>
    <w:p>
      <w:pPr>
        <w:pStyle w:val="Style31"/>
        <w:keepNext w:val="0"/>
        <w:keepLines w:val="0"/>
        <w:widowControl w:val="0"/>
        <w:shd w:val="clear" w:color="auto" w:fill="auto"/>
        <w:bidi w:val="0"/>
        <w:spacing w:before="0" w:after="100" w:line="274" w:lineRule="exact"/>
        <w:ind w:left="0" w:right="0" w:firstLine="440"/>
        <w:jc w:val="left"/>
        <w:rPr>
          <w:sz w:val="20"/>
          <w:szCs w:val="20"/>
        </w:rPr>
      </w:pPr>
      <w:r>
        <w:rPr>
          <w:color w:val="000000"/>
          <w:spacing w:val="0"/>
          <w:w w:val="100"/>
          <w:position w:val="0"/>
          <w:sz w:val="20"/>
          <w:szCs w:val="20"/>
        </w:rPr>
        <w:t>短期薪酬主要包括工资、奖金、津贴和补贴、职工福利费、医疗保险费、生育保险费、工伤保险费、 住房公积金、工会经费和职工教育经费、非货币性福利等。在职工为公司提供服务的会计期间，将实际发 生的短期薪酬确认为负债，并计入当期损益或相关资产成本。</w:t>
      </w:r>
    </w:p>
    <w:p>
      <w:pPr>
        <w:pStyle w:val="Style31"/>
        <w:keepNext w:val="0"/>
        <w:keepLines w:val="0"/>
        <w:widowControl w:val="0"/>
        <w:shd w:val="clear" w:color="auto" w:fill="auto"/>
        <w:tabs>
          <w:tab w:pos="788" w:val="left"/>
        </w:tabs>
        <w:bidi w:val="0"/>
        <w:spacing w:before="0" w:after="100" w:line="274" w:lineRule="exact"/>
        <w:ind w:left="0" w:right="0" w:firstLine="440"/>
        <w:jc w:val="left"/>
        <w:rPr>
          <w:sz w:val="20"/>
          <w:szCs w:val="20"/>
        </w:rPr>
      </w:pPr>
      <w:bookmarkStart w:id="732" w:name="bookmark732"/>
      <w:r>
        <w:rPr>
          <w:rFonts w:ascii="Times New Roman" w:eastAsia="Times New Roman" w:hAnsi="Times New Roman" w:cs="Times New Roman"/>
          <w:b/>
          <w:bCs/>
          <w:color w:val="000000"/>
          <w:spacing w:val="0"/>
          <w:w w:val="100"/>
          <w:position w:val="0"/>
          <w:sz w:val="20"/>
          <w:szCs w:val="20"/>
        </w:rPr>
        <w:t>2</w:t>
      </w:r>
      <w:bookmarkEnd w:id="732"/>
      <w:r>
        <w:rPr>
          <w:b/>
          <w:bCs/>
          <w:color w:val="000000"/>
          <w:spacing w:val="0"/>
          <w:w w:val="100"/>
          <w:position w:val="0"/>
          <w:sz w:val="20"/>
          <w:szCs w:val="20"/>
        </w:rPr>
        <w:t>、</w:t>
        <w:tab/>
        <w:t>离职后福利的会计处理方法</w:t>
      </w:r>
    </w:p>
    <w:p>
      <w:pPr>
        <w:pStyle w:val="Style31"/>
        <w:keepNext w:val="0"/>
        <w:keepLines w:val="0"/>
        <w:widowControl w:val="0"/>
        <w:shd w:val="clear" w:color="auto" w:fill="auto"/>
        <w:bidi w:val="0"/>
        <w:spacing w:before="0" w:after="100" w:line="269" w:lineRule="exact"/>
        <w:ind w:left="0" w:right="0" w:firstLine="440"/>
        <w:jc w:val="left"/>
        <w:rPr>
          <w:sz w:val="20"/>
          <w:szCs w:val="20"/>
        </w:rPr>
      </w:pPr>
      <w:r>
        <w:rPr>
          <w:color w:val="000000"/>
          <w:spacing w:val="0"/>
          <w:w w:val="100"/>
          <w:position w:val="0"/>
          <w:sz w:val="20"/>
          <w:szCs w:val="20"/>
        </w:rPr>
        <w:t>离职后福利计划分类为设定提存计划和设定受益计划。本公司的离职后福利计划是设定提存计划，主 要包括基本养老保险、失业保险。在职工为公司提供服务的会计期间，将根据设定提存计划计算的应缴存 金额确认为负债，并计入当期损益或相关资产成本。</w:t>
      </w:r>
    </w:p>
    <w:p>
      <w:pPr>
        <w:pStyle w:val="Style31"/>
        <w:keepNext w:val="0"/>
        <w:keepLines w:val="0"/>
        <w:widowControl w:val="0"/>
        <w:shd w:val="clear" w:color="auto" w:fill="auto"/>
        <w:tabs>
          <w:tab w:pos="835" w:val="left"/>
        </w:tabs>
        <w:bidi w:val="0"/>
        <w:spacing w:before="0" w:after="100" w:line="275" w:lineRule="exact"/>
        <w:ind w:left="0" w:right="0" w:firstLine="440"/>
        <w:jc w:val="left"/>
        <w:rPr>
          <w:sz w:val="20"/>
          <w:szCs w:val="20"/>
        </w:rPr>
      </w:pPr>
      <w:bookmarkStart w:id="733" w:name="bookmark733"/>
      <w:r>
        <w:rPr>
          <w:rFonts w:ascii="Times New Roman" w:eastAsia="Times New Roman" w:hAnsi="Times New Roman" w:cs="Times New Roman"/>
          <w:b/>
          <w:bCs/>
          <w:color w:val="000000"/>
          <w:spacing w:val="0"/>
          <w:w w:val="100"/>
          <w:position w:val="0"/>
          <w:sz w:val="20"/>
          <w:szCs w:val="20"/>
        </w:rPr>
        <w:t>3</w:t>
      </w:r>
      <w:bookmarkEnd w:id="733"/>
      <w:r>
        <w:rPr>
          <w:b/>
          <w:bCs/>
          <w:color w:val="000000"/>
          <w:spacing w:val="0"/>
          <w:w w:val="100"/>
          <w:position w:val="0"/>
          <w:sz w:val="20"/>
          <w:szCs w:val="20"/>
        </w:rPr>
        <w:t>、</w:t>
        <w:tab/>
        <w:t>辞退福利的会计处理方法</w:t>
      </w:r>
    </w:p>
    <w:p>
      <w:pPr>
        <w:pStyle w:val="Style31"/>
        <w:keepNext w:val="0"/>
        <w:keepLines w:val="0"/>
        <w:widowControl w:val="0"/>
        <w:shd w:val="clear" w:color="auto" w:fill="auto"/>
        <w:bidi w:val="0"/>
        <w:spacing w:before="0" w:after="100" w:line="275" w:lineRule="exact"/>
        <w:ind w:left="0" w:right="0" w:firstLine="440"/>
        <w:jc w:val="left"/>
        <w:rPr>
          <w:sz w:val="20"/>
          <w:szCs w:val="20"/>
        </w:rPr>
      </w:pPr>
      <w:r>
        <w:rPr>
          <w:color w:val="000000"/>
          <w:spacing w:val="0"/>
          <w:w w:val="100"/>
          <w:position w:val="0"/>
          <w:sz w:val="20"/>
          <w:szCs w:val="20"/>
        </w:rPr>
        <w:t>在下列两者孰早日确认辞退福利产生的职工薪酬负债，并计入当期损益：</w:t>
      </w:r>
    </w:p>
    <w:p>
      <w:pPr>
        <w:pStyle w:val="Style31"/>
        <w:keepNext w:val="0"/>
        <w:keepLines w:val="0"/>
        <w:widowControl w:val="0"/>
        <w:shd w:val="clear" w:color="auto" w:fill="auto"/>
        <w:tabs>
          <w:tab w:pos="928" w:val="left"/>
        </w:tabs>
        <w:bidi w:val="0"/>
        <w:spacing w:before="0" w:after="100" w:line="275" w:lineRule="exact"/>
        <w:ind w:left="0" w:right="0" w:firstLine="440"/>
        <w:jc w:val="left"/>
        <w:rPr>
          <w:sz w:val="20"/>
          <w:szCs w:val="20"/>
        </w:rPr>
      </w:pPr>
      <w:bookmarkStart w:id="734" w:name="bookmark734"/>
      <w:r>
        <w:rPr>
          <w:color w:val="000000"/>
          <w:spacing w:val="0"/>
          <w:w w:val="100"/>
          <w:position w:val="0"/>
          <w:sz w:val="20"/>
          <w:szCs w:val="20"/>
        </w:rPr>
        <w:t>（</w:t>
      </w:r>
      <w:bookmarkEnd w:id="73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企业不能单方面撤回因解除劳动关系计划或裁减建议所提供的辞退福利时；</w:t>
      </w:r>
    </w:p>
    <w:p>
      <w:pPr>
        <w:pStyle w:val="Style31"/>
        <w:keepNext w:val="0"/>
        <w:keepLines w:val="0"/>
        <w:widowControl w:val="0"/>
        <w:shd w:val="clear" w:color="auto" w:fill="auto"/>
        <w:tabs>
          <w:tab w:pos="928" w:val="left"/>
        </w:tabs>
        <w:bidi w:val="0"/>
        <w:spacing w:before="0" w:after="100" w:line="275" w:lineRule="exact"/>
        <w:ind w:left="0" w:right="0" w:firstLine="440"/>
        <w:jc w:val="left"/>
        <w:rPr>
          <w:sz w:val="20"/>
          <w:szCs w:val="20"/>
        </w:rPr>
      </w:pPr>
      <w:bookmarkStart w:id="735" w:name="bookmark735"/>
      <w:r>
        <w:rPr>
          <w:color w:val="000000"/>
          <w:spacing w:val="0"/>
          <w:w w:val="100"/>
          <w:position w:val="0"/>
          <w:sz w:val="20"/>
          <w:szCs w:val="20"/>
        </w:rPr>
        <w:t>（</w:t>
      </w:r>
      <w:bookmarkEnd w:id="73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企业确认与涉及支付辞退福利的重组相关的成本或费用时。</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辞退福利预期在其确认的年度报告期结束后十二个月内完全支付的，适用短期薪酬的相关规定；辞退 福利预期在年度报告期结束后十二个月内不能完全支付的，适用其他长期职工福利的有关规定。</w:t>
      </w:r>
    </w:p>
    <w:p>
      <w:pPr>
        <w:pStyle w:val="Style31"/>
        <w:keepNext w:val="0"/>
        <w:keepLines w:val="0"/>
        <w:widowControl w:val="0"/>
        <w:shd w:val="clear" w:color="auto" w:fill="auto"/>
        <w:tabs>
          <w:tab w:pos="835" w:val="left"/>
        </w:tabs>
        <w:bidi w:val="0"/>
        <w:spacing w:before="0" w:after="100" w:line="275" w:lineRule="exact"/>
        <w:ind w:left="0" w:right="0" w:firstLine="440"/>
        <w:jc w:val="both"/>
        <w:rPr>
          <w:sz w:val="20"/>
          <w:szCs w:val="20"/>
        </w:rPr>
      </w:pPr>
      <w:bookmarkStart w:id="736" w:name="bookmark736"/>
      <w:r>
        <w:rPr>
          <w:rFonts w:ascii="Times New Roman" w:eastAsia="Times New Roman" w:hAnsi="Times New Roman" w:cs="Times New Roman"/>
          <w:b/>
          <w:bCs/>
          <w:color w:val="000000"/>
          <w:spacing w:val="0"/>
          <w:w w:val="100"/>
          <w:position w:val="0"/>
          <w:sz w:val="20"/>
          <w:szCs w:val="20"/>
        </w:rPr>
        <w:t>4</w:t>
      </w:r>
      <w:bookmarkEnd w:id="736"/>
      <w:r>
        <w:rPr>
          <w:b/>
          <w:bCs/>
          <w:color w:val="000000"/>
          <w:spacing w:val="0"/>
          <w:w w:val="100"/>
          <w:position w:val="0"/>
          <w:sz w:val="20"/>
          <w:szCs w:val="20"/>
        </w:rPr>
        <w:t>、</w:t>
        <w:tab/>
        <w:t>其他长期职工福利的会计处理方法</w:t>
      </w:r>
    </w:p>
    <w:p>
      <w:pPr>
        <w:pStyle w:val="Style31"/>
        <w:keepNext w:val="0"/>
        <w:keepLines w:val="0"/>
        <w:widowControl w:val="0"/>
        <w:shd w:val="clear" w:color="auto" w:fill="auto"/>
        <w:bidi w:val="0"/>
        <w:spacing w:before="0" w:after="100" w:line="275" w:lineRule="exact"/>
        <w:ind w:left="0" w:right="0" w:firstLine="440"/>
        <w:jc w:val="both"/>
        <w:rPr>
          <w:sz w:val="20"/>
          <w:szCs w:val="20"/>
        </w:rPr>
      </w:pPr>
      <w:r>
        <w:rPr>
          <w:color w:val="000000"/>
          <w:spacing w:val="0"/>
          <w:w w:val="100"/>
          <w:position w:val="0"/>
          <w:sz w:val="20"/>
          <w:szCs w:val="20"/>
        </w:rPr>
        <w:t>其他长期职工福利，符合设定提存计划条件的，根据上述</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、处理。不符合设定提存计划的，适用关 于设定受益计划的有关规定，确认和计量其他长期职工福利净负债或净资产。在报告期末，将其他长期职 工福利中的服务成本、净负债或净资产的利息净额、重新计量其他长期职工福利净负债或净资产所产生的 变动的总净额计入当期损益或相关资产成本。</w:t>
      </w:r>
    </w:p>
    <w:p>
      <w:pPr>
        <w:pStyle w:val="Style28"/>
        <w:keepNext/>
        <w:keepLines/>
        <w:widowControl w:val="0"/>
        <w:shd w:val="clear" w:color="auto" w:fill="auto"/>
        <w:bidi w:val="0"/>
        <w:spacing w:before="0" w:after="100" w:line="275" w:lineRule="exact"/>
        <w:ind w:left="0" w:right="0" w:firstLine="0"/>
        <w:jc w:val="left"/>
      </w:pPr>
      <w:bookmarkStart w:id="737" w:name="bookmark737"/>
      <w:bookmarkStart w:id="738" w:name="bookmark738"/>
      <w:bookmarkStart w:id="739" w:name="bookmark739"/>
      <w:r>
        <w:rPr>
          <w:color w:val="000000"/>
          <w:spacing w:val="0"/>
          <w:w w:val="100"/>
          <w:position w:val="0"/>
        </w:rPr>
        <w:t>（二十三）预计负债</w:t>
      </w:r>
      <w:bookmarkEnd w:id="737"/>
      <w:bookmarkEnd w:id="738"/>
      <w:bookmarkEnd w:id="739"/>
    </w:p>
    <w:p>
      <w:pPr>
        <w:pStyle w:val="Style31"/>
        <w:keepNext w:val="0"/>
        <w:keepLines w:val="0"/>
        <w:widowControl w:val="0"/>
        <w:shd w:val="clear" w:color="auto" w:fill="auto"/>
        <w:bidi w:val="0"/>
        <w:spacing w:before="0" w:after="100" w:line="278" w:lineRule="exact"/>
        <w:ind w:left="0" w:right="0" w:firstLine="440"/>
        <w:jc w:val="both"/>
        <w:rPr>
          <w:sz w:val="20"/>
          <w:szCs w:val="20"/>
        </w:rPr>
      </w:pPr>
      <w:r>
        <w:rPr>
          <w:color w:val="000000"/>
          <w:spacing w:val="0"/>
          <w:w w:val="100"/>
          <w:position w:val="0"/>
          <w:sz w:val="20"/>
          <w:szCs w:val="20"/>
        </w:rPr>
        <w:t>本公司对于涉及诉讼、债务担保、亏损合同、重组等或有事项同时符合以下条件时，将其确认为预计 负债：</w:t>
      </w:r>
    </w:p>
    <w:p>
      <w:pPr>
        <w:pStyle w:val="Style31"/>
        <w:keepNext w:val="0"/>
        <w:keepLines w:val="0"/>
        <w:widowControl w:val="0"/>
        <w:shd w:val="clear" w:color="auto" w:fill="auto"/>
        <w:tabs>
          <w:tab w:pos="928" w:val="left"/>
        </w:tabs>
        <w:bidi w:val="0"/>
        <w:spacing w:before="0" w:after="100" w:line="275" w:lineRule="exact"/>
        <w:ind w:left="0" w:right="0" w:firstLine="440"/>
        <w:jc w:val="both"/>
        <w:rPr>
          <w:sz w:val="20"/>
          <w:szCs w:val="20"/>
        </w:rPr>
      </w:pPr>
      <w:bookmarkStart w:id="740" w:name="bookmark740"/>
      <w:r>
        <w:rPr>
          <w:color w:val="000000"/>
          <w:spacing w:val="0"/>
          <w:w w:val="100"/>
          <w:position w:val="0"/>
          <w:sz w:val="20"/>
          <w:szCs w:val="20"/>
        </w:rPr>
        <w:t>（</w:t>
      </w:r>
      <w:bookmarkEnd w:id="74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该义务是公司承担的现时义务；</w:t>
      </w:r>
    </w:p>
    <w:p>
      <w:pPr>
        <w:pStyle w:val="Style31"/>
        <w:keepNext w:val="0"/>
        <w:keepLines w:val="0"/>
        <w:widowControl w:val="0"/>
        <w:shd w:val="clear" w:color="auto" w:fill="auto"/>
        <w:tabs>
          <w:tab w:pos="928" w:val="left"/>
        </w:tabs>
        <w:bidi w:val="0"/>
        <w:spacing w:before="0" w:after="100" w:line="275" w:lineRule="exact"/>
        <w:ind w:left="0" w:right="0" w:firstLine="440"/>
        <w:jc w:val="both"/>
        <w:rPr>
          <w:sz w:val="20"/>
          <w:szCs w:val="20"/>
        </w:rPr>
      </w:pPr>
      <w:bookmarkStart w:id="741" w:name="bookmark741"/>
      <w:r>
        <w:rPr>
          <w:color w:val="000000"/>
          <w:spacing w:val="0"/>
          <w:w w:val="100"/>
          <w:position w:val="0"/>
          <w:sz w:val="20"/>
          <w:szCs w:val="20"/>
        </w:rPr>
        <w:t>（</w:t>
      </w:r>
      <w:bookmarkEnd w:id="74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该义务的执行很可能导致经济利益流出本公司；</w:t>
      </w:r>
    </w:p>
    <w:p>
      <w:pPr>
        <w:pStyle w:val="Style31"/>
        <w:keepNext w:val="0"/>
        <w:keepLines w:val="0"/>
        <w:widowControl w:val="0"/>
        <w:shd w:val="clear" w:color="auto" w:fill="auto"/>
        <w:tabs>
          <w:tab w:pos="928" w:val="left"/>
        </w:tabs>
        <w:bidi w:val="0"/>
        <w:spacing w:before="0" w:after="100" w:line="275" w:lineRule="exact"/>
        <w:ind w:left="0" w:right="0" w:firstLine="440"/>
        <w:jc w:val="both"/>
        <w:rPr>
          <w:sz w:val="20"/>
          <w:szCs w:val="20"/>
        </w:rPr>
      </w:pPr>
      <w:bookmarkStart w:id="742" w:name="bookmark742"/>
      <w:r>
        <w:rPr>
          <w:color w:val="000000"/>
          <w:spacing w:val="0"/>
          <w:w w:val="100"/>
          <w:position w:val="0"/>
          <w:sz w:val="20"/>
          <w:szCs w:val="20"/>
        </w:rPr>
        <w:t>（</w:t>
      </w:r>
      <w:bookmarkEnd w:id="742"/>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该义务的金额能够可靠计量。</w:t>
      </w:r>
    </w:p>
    <w:p>
      <w:pPr>
        <w:pStyle w:val="Style31"/>
        <w:keepNext w:val="0"/>
        <w:keepLines w:val="0"/>
        <w:widowControl w:val="0"/>
        <w:shd w:val="clear" w:color="auto" w:fill="auto"/>
        <w:bidi w:val="0"/>
        <w:spacing w:before="0" w:after="100" w:line="275" w:lineRule="exact"/>
        <w:ind w:left="0" w:right="0" w:firstLine="440"/>
        <w:jc w:val="both"/>
        <w:rPr>
          <w:sz w:val="20"/>
          <w:szCs w:val="20"/>
        </w:rPr>
      </w:pPr>
      <w:r>
        <w:rPr>
          <w:color w:val="000000"/>
          <w:spacing w:val="0"/>
          <w:w w:val="100"/>
          <w:position w:val="0"/>
          <w:sz w:val="20"/>
          <w:szCs w:val="20"/>
        </w:rPr>
        <w:t>预计负债按照履行相关现时义务所需支出的最佳估计数进行初始计量，并综合考虑与或有事项有关的 风险、不确定性和货币时间价值等因素。货币时间价值影响重大的，通过对相关未来现金流出进行折现后 确定最佳估计数；因随着时间推移所进行的折现还原而导致的预计负债账面价值的增加金额，确认为利息 费用。</w:t>
      </w:r>
    </w:p>
    <w:p>
      <w:pPr>
        <w:pStyle w:val="Style31"/>
        <w:keepNext w:val="0"/>
        <w:keepLines w:val="0"/>
        <w:widowControl w:val="0"/>
        <w:shd w:val="clear" w:color="auto" w:fill="auto"/>
        <w:bidi w:val="0"/>
        <w:spacing w:before="0" w:after="100" w:line="275" w:lineRule="exact"/>
        <w:ind w:left="0" w:right="0" w:firstLine="440"/>
        <w:jc w:val="left"/>
        <w:rPr>
          <w:sz w:val="20"/>
          <w:szCs w:val="20"/>
        </w:rPr>
      </w:pPr>
      <w:r>
        <w:rPr>
          <w:color w:val="000000"/>
          <w:spacing w:val="0"/>
          <w:w w:val="100"/>
          <w:position w:val="0"/>
          <w:sz w:val="20"/>
          <w:szCs w:val="20"/>
        </w:rPr>
        <w:t>资产负债表日，对预计负债的账面价值进行复核并作适当调整，以反映当前的最佳估计数。</w:t>
      </w:r>
    </w:p>
    <w:p>
      <w:pPr>
        <w:pStyle w:val="Style31"/>
        <w:keepNext w:val="0"/>
        <w:keepLines w:val="0"/>
        <w:widowControl w:val="0"/>
        <w:shd w:val="clear" w:color="auto" w:fill="auto"/>
        <w:bidi w:val="0"/>
        <w:spacing w:before="0" w:after="100" w:line="276" w:lineRule="exact"/>
        <w:ind w:left="0" w:right="0" w:firstLine="440"/>
        <w:jc w:val="both"/>
        <w:rPr>
          <w:sz w:val="20"/>
          <w:szCs w:val="20"/>
        </w:rPr>
      </w:pPr>
      <w:r>
        <w:rPr>
          <w:color w:val="000000"/>
          <w:spacing w:val="0"/>
          <w:w w:val="100"/>
          <w:position w:val="0"/>
          <w:sz w:val="20"/>
          <w:szCs w:val="20"/>
        </w:rPr>
        <w:t>对过去的交易或事项形成的潜在义务，其存在需通过未来不确定事项的发生或不发生予以证实；或过 去的交易或者事项形成的现时义务，履行该义务不是很可能导致经济利益流出本公司或该义务的金额不能 可靠计量，则本公司会将该潜在义务或现时义务披露为或有负债。</w:t>
      </w:r>
    </w:p>
    <w:p>
      <w:pPr>
        <w:pStyle w:val="Style28"/>
        <w:keepNext/>
        <w:keepLines/>
        <w:widowControl w:val="0"/>
        <w:shd w:val="clear" w:color="auto" w:fill="auto"/>
        <w:bidi w:val="0"/>
        <w:spacing w:before="0" w:after="100" w:line="275" w:lineRule="exact"/>
        <w:ind w:left="0" w:right="0" w:firstLine="0"/>
        <w:jc w:val="left"/>
      </w:pPr>
      <w:bookmarkStart w:id="743" w:name="bookmark743"/>
      <w:bookmarkStart w:id="744" w:name="bookmark744"/>
      <w:bookmarkStart w:id="745" w:name="bookmark745"/>
      <w:r>
        <w:rPr>
          <w:color w:val="000000"/>
          <w:spacing w:val="0"/>
          <w:w w:val="100"/>
          <w:position w:val="0"/>
        </w:rPr>
        <w:t>（二十四）股份支付</w:t>
      </w:r>
      <w:bookmarkEnd w:id="743"/>
      <w:bookmarkEnd w:id="744"/>
      <w:bookmarkEnd w:id="745"/>
    </w:p>
    <w:p>
      <w:pPr>
        <w:pStyle w:val="Style28"/>
        <w:keepNext/>
        <w:keepLines/>
        <w:widowControl w:val="0"/>
        <w:shd w:val="clear" w:color="auto" w:fill="auto"/>
        <w:bidi w:val="0"/>
        <w:spacing w:before="0" w:after="100" w:line="275" w:lineRule="exact"/>
        <w:ind w:left="0" w:right="0" w:firstLine="440"/>
        <w:jc w:val="both"/>
      </w:pPr>
      <w:bookmarkStart w:id="743" w:name="bookmark743"/>
      <w:bookmarkStart w:id="744" w:name="bookmark744"/>
      <w:bookmarkStart w:id="746" w:name="bookmark746"/>
      <w:r>
        <w:rPr>
          <w:rFonts w:ascii="Times New Roman" w:eastAsia="Times New Roman" w:hAnsi="Times New Roman" w:cs="Times New Roman"/>
          <w:color w:val="000000"/>
          <w:spacing w:val="0"/>
          <w:w w:val="100"/>
          <w:position w:val="0"/>
        </w:rPr>
        <w:t>1</w:t>
      </w:r>
      <w:bookmarkEnd w:id="746"/>
      <w:r>
        <w:rPr>
          <w:color w:val="000000"/>
          <w:spacing w:val="0"/>
          <w:w w:val="100"/>
          <w:position w:val="0"/>
        </w:rPr>
        <w:t>、股份支付的种类及会计处理</w:t>
      </w:r>
      <w:bookmarkEnd w:id="743"/>
      <w:bookmarkEnd w:id="744"/>
    </w:p>
    <w:p>
      <w:pPr>
        <w:pStyle w:val="Style31"/>
        <w:keepNext w:val="0"/>
        <w:keepLines w:val="0"/>
        <w:widowControl w:val="0"/>
        <w:shd w:val="clear" w:color="auto" w:fill="auto"/>
        <w:bidi w:val="0"/>
        <w:spacing w:before="0" w:after="100" w:line="278" w:lineRule="exact"/>
        <w:ind w:left="0" w:right="0" w:firstLine="440"/>
        <w:jc w:val="both"/>
        <w:rPr>
          <w:sz w:val="20"/>
          <w:szCs w:val="20"/>
        </w:rPr>
      </w:pPr>
      <w:r>
        <w:rPr>
          <w:color w:val="000000"/>
          <w:spacing w:val="0"/>
          <w:w w:val="100"/>
          <w:position w:val="0"/>
          <w:sz w:val="20"/>
          <w:szCs w:val="20"/>
        </w:rPr>
        <w:t>股份支付是公司为了获取职工提供服务而授予权益工具或者承担以权益工具为基础确定的负债的交 易。股份支付分为以权益结算的股份支付和以现金结算的股份支付。</w:t>
      </w:r>
    </w:p>
    <w:p>
      <w:pPr>
        <w:pStyle w:val="Style31"/>
        <w:keepNext w:val="0"/>
        <w:keepLines w:val="0"/>
        <w:widowControl w:val="0"/>
        <w:shd w:val="clear" w:color="auto" w:fill="auto"/>
        <w:tabs>
          <w:tab w:pos="928" w:val="left"/>
        </w:tabs>
        <w:bidi w:val="0"/>
        <w:spacing w:before="0" w:after="100" w:line="275" w:lineRule="exact"/>
        <w:ind w:left="0" w:right="0" w:firstLine="440"/>
        <w:jc w:val="both"/>
        <w:rPr>
          <w:sz w:val="20"/>
          <w:szCs w:val="20"/>
        </w:rPr>
      </w:pPr>
      <w:bookmarkStart w:id="747" w:name="bookmark747"/>
      <w:r>
        <w:rPr>
          <w:color w:val="000000"/>
          <w:spacing w:val="0"/>
          <w:w w:val="100"/>
          <w:position w:val="0"/>
          <w:sz w:val="20"/>
          <w:szCs w:val="20"/>
        </w:rPr>
        <w:t>（</w:t>
      </w:r>
      <w:bookmarkEnd w:id="74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以权益结算的股份支付</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以权益结算的股份支付是指公司为获取服务以股份或其他权益工具作为对价进行结算的交易。以换取 职工提供服务的权益结算的股份支付，以授予职工的权益工具在授予日的公允价值计量。在完成等待期内 的服务或达到规定业绩条件才可行权，在等待期内以对可行权权益工具数量的最佳估计为基础，按照权益 工具授予日的公允价值，将当期取得的服务计入相关成本或费用，相应增加资本公积，不确认后续公允价 值变动。</w:t>
      </w:r>
    </w:p>
    <w:p>
      <w:pPr>
        <w:pStyle w:val="Style31"/>
        <w:keepNext w:val="0"/>
        <w:keepLines w:val="0"/>
        <w:widowControl w:val="0"/>
        <w:shd w:val="clear" w:color="auto" w:fill="auto"/>
        <w:tabs>
          <w:tab w:pos="928" w:val="left"/>
        </w:tabs>
        <w:bidi w:val="0"/>
        <w:spacing w:before="0" w:after="100" w:line="275" w:lineRule="exact"/>
        <w:ind w:left="0" w:right="0" w:firstLine="440"/>
        <w:jc w:val="both"/>
        <w:rPr>
          <w:sz w:val="20"/>
          <w:szCs w:val="20"/>
        </w:rPr>
      </w:pPr>
      <w:bookmarkStart w:id="748" w:name="bookmark748"/>
      <w:r>
        <w:rPr>
          <w:color w:val="000000"/>
          <w:spacing w:val="0"/>
          <w:w w:val="100"/>
          <w:position w:val="0"/>
          <w:sz w:val="20"/>
          <w:szCs w:val="20"/>
        </w:rPr>
        <w:t>（</w:t>
      </w:r>
      <w:bookmarkEnd w:id="74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以现金结算的股份支付</w:t>
      </w:r>
    </w:p>
    <w:p>
      <w:pPr>
        <w:pStyle w:val="Style31"/>
        <w:keepNext w:val="0"/>
        <w:keepLines w:val="0"/>
        <w:widowControl w:val="0"/>
        <w:shd w:val="clear" w:color="auto" w:fill="auto"/>
        <w:bidi w:val="0"/>
        <w:spacing w:before="0" w:after="160" w:line="271" w:lineRule="exact"/>
        <w:ind w:left="0" w:right="0" w:firstLine="440"/>
        <w:jc w:val="both"/>
        <w:rPr>
          <w:sz w:val="20"/>
          <w:szCs w:val="20"/>
        </w:rPr>
      </w:pPr>
      <w:r>
        <w:rPr>
          <w:color w:val="000000"/>
          <w:spacing w:val="0"/>
          <w:w w:val="100"/>
          <w:position w:val="0"/>
          <w:sz w:val="20"/>
          <w:szCs w:val="20"/>
        </w:rPr>
        <w:t xml:space="preserve">以现金结算的股份支付是指公司为获取服务承担以股份或其他权益工具为基础计算确定的支付现金 或其他资产义务的交易。以现金结算的股份支付，按照公司承担的以本公司股份数量为基础确定的负债的 公允价值计量。该以现金结算的股份支付须完成等待期内的服务或达到规定业绩条件以后才可行权，在等 待期的每个资产负债表日以对可行权情况的最佳估计为基础，按照公司承担负债的公允价值金额，将当期 取得的服务计入成本或费用，相应增加负债。在相关负债结算前的每个资产负债表日以及结算日，对负债 </w:t>
      </w:r>
      <w:r>
        <w:rPr>
          <w:color w:val="000000"/>
          <w:spacing w:val="0"/>
          <w:w w:val="100"/>
          <w:position w:val="0"/>
          <w:sz w:val="20"/>
          <w:szCs w:val="20"/>
        </w:rPr>
        <w:t>的公允价值重新计量，其变动计入当期损益。</w:t>
      </w:r>
    </w:p>
    <w:p>
      <w:pPr>
        <w:pStyle w:val="Style31"/>
        <w:keepNext w:val="0"/>
        <w:keepLines w:val="0"/>
        <w:widowControl w:val="0"/>
        <w:shd w:val="clear" w:color="auto" w:fill="auto"/>
        <w:tabs>
          <w:tab w:pos="818" w:val="left"/>
        </w:tabs>
        <w:bidi w:val="0"/>
        <w:spacing w:before="0" w:after="100" w:line="286" w:lineRule="auto"/>
        <w:ind w:left="0" w:right="0" w:firstLine="440"/>
        <w:jc w:val="both"/>
        <w:rPr>
          <w:sz w:val="20"/>
          <w:szCs w:val="20"/>
        </w:rPr>
      </w:pPr>
      <w:bookmarkStart w:id="749" w:name="bookmark749"/>
      <w:r>
        <w:rPr>
          <w:rFonts w:ascii="Times New Roman" w:eastAsia="Times New Roman" w:hAnsi="Times New Roman" w:cs="Times New Roman"/>
          <w:b/>
          <w:bCs/>
          <w:color w:val="000000"/>
          <w:spacing w:val="0"/>
          <w:w w:val="100"/>
          <w:position w:val="0"/>
          <w:sz w:val="20"/>
          <w:szCs w:val="20"/>
        </w:rPr>
        <w:t>2</w:t>
      </w:r>
      <w:bookmarkEnd w:id="749"/>
      <w:r>
        <w:rPr>
          <w:b/>
          <w:bCs/>
          <w:color w:val="000000"/>
          <w:spacing w:val="0"/>
          <w:w w:val="100"/>
          <w:position w:val="0"/>
          <w:sz w:val="20"/>
          <w:szCs w:val="20"/>
        </w:rPr>
        <w:t>、</w:t>
        <w:tab/>
        <w:t>权益工具公允价值的确定方法</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对于授予职工的股份，其公允价值按公司股份的市场价格计量，同时考虑授予股份所依据的条款和条 件（不包括市场条件之外的可行权条件）进行调整。</w:t>
      </w:r>
    </w:p>
    <w:p>
      <w:pPr>
        <w:pStyle w:val="Style31"/>
        <w:keepNext w:val="0"/>
        <w:keepLines w:val="0"/>
        <w:widowControl w:val="0"/>
        <w:shd w:val="clear" w:color="auto" w:fill="auto"/>
        <w:bidi w:val="0"/>
        <w:spacing w:before="0" w:after="160" w:line="274" w:lineRule="exact"/>
        <w:ind w:left="0" w:right="0" w:firstLine="440"/>
        <w:jc w:val="left"/>
        <w:rPr>
          <w:sz w:val="20"/>
          <w:szCs w:val="20"/>
        </w:rPr>
      </w:pPr>
      <w:r>
        <w:rPr>
          <w:color w:val="000000"/>
          <w:spacing w:val="0"/>
          <w:w w:val="100"/>
          <w:position w:val="0"/>
          <w:sz w:val="20"/>
          <w:szCs w:val="20"/>
        </w:rPr>
        <w:t>对于授予职工的股票期权，通过期权定价模型估计所授予的期权的公允价值。</w:t>
      </w:r>
    </w:p>
    <w:p>
      <w:pPr>
        <w:pStyle w:val="Style31"/>
        <w:keepNext w:val="0"/>
        <w:keepLines w:val="0"/>
        <w:widowControl w:val="0"/>
        <w:shd w:val="clear" w:color="auto" w:fill="auto"/>
        <w:tabs>
          <w:tab w:pos="818" w:val="left"/>
        </w:tabs>
        <w:bidi w:val="0"/>
        <w:spacing w:before="0" w:after="100" w:line="286" w:lineRule="auto"/>
        <w:ind w:left="0" w:right="0" w:firstLine="440"/>
        <w:jc w:val="both"/>
        <w:rPr>
          <w:sz w:val="20"/>
          <w:szCs w:val="20"/>
        </w:rPr>
      </w:pPr>
      <w:bookmarkStart w:id="750" w:name="bookmark750"/>
      <w:r>
        <w:rPr>
          <w:rFonts w:ascii="Times New Roman" w:eastAsia="Times New Roman" w:hAnsi="Times New Roman" w:cs="Times New Roman"/>
          <w:b/>
          <w:bCs/>
          <w:color w:val="000000"/>
          <w:spacing w:val="0"/>
          <w:w w:val="100"/>
          <w:position w:val="0"/>
          <w:sz w:val="20"/>
          <w:szCs w:val="20"/>
        </w:rPr>
        <w:t>3</w:t>
      </w:r>
      <w:bookmarkEnd w:id="750"/>
      <w:r>
        <w:rPr>
          <w:b/>
          <w:bCs/>
          <w:color w:val="000000"/>
          <w:spacing w:val="0"/>
          <w:w w:val="100"/>
          <w:position w:val="0"/>
          <w:sz w:val="20"/>
          <w:szCs w:val="20"/>
        </w:rPr>
        <w:t>、</w:t>
        <w:tab/>
        <w:t>确认可行权权益工具最佳估计的依据</w:t>
      </w:r>
    </w:p>
    <w:p>
      <w:pPr>
        <w:pStyle w:val="Style31"/>
        <w:keepNext w:val="0"/>
        <w:keepLines w:val="0"/>
        <w:widowControl w:val="0"/>
        <w:shd w:val="clear" w:color="auto" w:fill="auto"/>
        <w:bidi w:val="0"/>
        <w:spacing w:before="0" w:after="160" w:line="274" w:lineRule="exact"/>
        <w:ind w:left="0" w:right="0" w:firstLine="440"/>
        <w:jc w:val="both"/>
        <w:rPr>
          <w:sz w:val="20"/>
          <w:szCs w:val="20"/>
        </w:rPr>
      </w:pPr>
      <w:r>
        <w:rPr>
          <w:color w:val="000000"/>
          <w:spacing w:val="0"/>
          <w:w w:val="100"/>
          <w:position w:val="0"/>
          <w:sz w:val="20"/>
          <w:szCs w:val="20"/>
        </w:rPr>
        <w:t>在等待期内每个资产负债表日，根据最新取得的可行权职工人数变动等后续信息做出最佳估计，修正 预计可行权的权益工具数量。</w:t>
      </w:r>
    </w:p>
    <w:p>
      <w:pPr>
        <w:pStyle w:val="Style31"/>
        <w:keepNext w:val="0"/>
        <w:keepLines w:val="0"/>
        <w:widowControl w:val="0"/>
        <w:shd w:val="clear" w:color="auto" w:fill="auto"/>
        <w:tabs>
          <w:tab w:pos="818" w:val="left"/>
        </w:tabs>
        <w:bidi w:val="0"/>
        <w:spacing w:before="0" w:after="100" w:line="286" w:lineRule="auto"/>
        <w:ind w:left="0" w:right="0" w:firstLine="440"/>
        <w:jc w:val="both"/>
        <w:rPr>
          <w:sz w:val="20"/>
          <w:szCs w:val="20"/>
        </w:rPr>
      </w:pPr>
      <w:bookmarkStart w:id="751" w:name="bookmark751"/>
      <w:r>
        <w:rPr>
          <w:rFonts w:ascii="Times New Roman" w:eastAsia="Times New Roman" w:hAnsi="Times New Roman" w:cs="Times New Roman"/>
          <w:b/>
          <w:bCs/>
          <w:color w:val="000000"/>
          <w:spacing w:val="0"/>
          <w:w w:val="100"/>
          <w:position w:val="0"/>
          <w:sz w:val="20"/>
          <w:szCs w:val="20"/>
        </w:rPr>
        <w:t>4</w:t>
      </w:r>
      <w:bookmarkEnd w:id="751"/>
      <w:r>
        <w:rPr>
          <w:b/>
          <w:bCs/>
          <w:color w:val="000000"/>
          <w:spacing w:val="0"/>
          <w:w w:val="100"/>
          <w:position w:val="0"/>
          <w:sz w:val="20"/>
          <w:szCs w:val="20"/>
        </w:rPr>
        <w:t>、</w:t>
        <w:tab/>
        <w:t>修改和终止股份支付计划的处理</w:t>
      </w:r>
    </w:p>
    <w:p>
      <w:pPr>
        <w:pStyle w:val="Style31"/>
        <w:keepNext w:val="0"/>
        <w:keepLines w:val="0"/>
        <w:widowControl w:val="0"/>
        <w:shd w:val="clear" w:color="auto" w:fill="auto"/>
        <w:bidi w:val="0"/>
        <w:spacing w:before="0" w:after="100" w:line="278" w:lineRule="exact"/>
        <w:ind w:left="0" w:right="0" w:firstLine="440"/>
        <w:jc w:val="both"/>
        <w:rPr>
          <w:sz w:val="20"/>
          <w:szCs w:val="20"/>
        </w:rPr>
      </w:pPr>
      <w:r>
        <w:rPr>
          <w:color w:val="000000"/>
          <w:spacing w:val="0"/>
          <w:w w:val="100"/>
          <w:position w:val="0"/>
          <w:sz w:val="20"/>
          <w:szCs w:val="20"/>
        </w:rPr>
        <w:t>如果股份支付计划的修改增加了所授予的权益工具的公允价值，应按照权益工具公允价值的增加相应 地确认取得服务的增加。</w:t>
      </w:r>
    </w:p>
    <w:p>
      <w:pPr>
        <w:pStyle w:val="Style31"/>
        <w:keepNext w:val="0"/>
        <w:keepLines w:val="0"/>
        <w:widowControl w:val="0"/>
        <w:shd w:val="clear" w:color="auto" w:fill="auto"/>
        <w:bidi w:val="0"/>
        <w:spacing w:before="0" w:after="100" w:line="283" w:lineRule="exact"/>
        <w:ind w:left="0" w:right="0" w:firstLine="440"/>
        <w:jc w:val="both"/>
        <w:rPr>
          <w:sz w:val="20"/>
          <w:szCs w:val="20"/>
        </w:rPr>
      </w:pPr>
      <w:r>
        <w:rPr>
          <w:color w:val="000000"/>
          <w:spacing w:val="0"/>
          <w:w w:val="100"/>
          <w:position w:val="0"/>
          <w:sz w:val="20"/>
          <w:szCs w:val="20"/>
        </w:rPr>
        <w:t>如果股份支付计划的修改增加了所授予的权益工具的数量，应将增加的权益工具的公允价值相应地确 认为取得服务的增加。</w:t>
      </w:r>
    </w:p>
    <w:p>
      <w:pPr>
        <w:pStyle w:val="Style31"/>
        <w:keepNext w:val="0"/>
        <w:keepLines w:val="0"/>
        <w:widowControl w:val="0"/>
        <w:shd w:val="clear" w:color="auto" w:fill="auto"/>
        <w:bidi w:val="0"/>
        <w:spacing w:before="0" w:after="100" w:line="264" w:lineRule="exact"/>
        <w:ind w:left="0" w:right="0" w:firstLine="440"/>
        <w:jc w:val="both"/>
        <w:rPr>
          <w:sz w:val="20"/>
          <w:szCs w:val="20"/>
        </w:rPr>
      </w:pPr>
      <w:r>
        <w:rPr>
          <w:color w:val="000000"/>
          <w:spacing w:val="0"/>
          <w:w w:val="100"/>
          <w:position w:val="0"/>
          <w:sz w:val="20"/>
          <w:szCs w:val="20"/>
        </w:rPr>
        <w:t>如果按照有利于职工的方式修改可行权条件，如缩短等待期、变更或取消业绩条件（而非市场条件）， 公司在处理可行权条件时，考虑修改后的可行权条件。</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如果以减少股份支付公允价值总额的方式或其他不利于职工的方式修改条款和条件，仍应继续对取得 的服务进行会计处理，如同该变更从未发生，除非取消了部分或全部已授予的权益工具。</w:t>
      </w:r>
    </w:p>
    <w:p>
      <w:pPr>
        <w:pStyle w:val="Style31"/>
        <w:keepNext w:val="0"/>
        <w:keepLines w:val="0"/>
        <w:widowControl w:val="0"/>
        <w:shd w:val="clear" w:color="auto" w:fill="auto"/>
        <w:bidi w:val="0"/>
        <w:spacing w:before="0" w:after="100" w:line="276" w:lineRule="exact"/>
        <w:ind w:left="0" w:right="0" w:firstLine="440"/>
        <w:jc w:val="both"/>
        <w:rPr>
          <w:sz w:val="20"/>
          <w:szCs w:val="20"/>
        </w:rPr>
      </w:pPr>
      <w:r>
        <w:rPr>
          <w:color w:val="000000"/>
          <w:spacing w:val="0"/>
          <w:w w:val="100"/>
          <w:position w:val="0"/>
          <w:sz w:val="20"/>
          <w:szCs w:val="20"/>
        </w:rPr>
        <w:t>在等待期内如果取消了授予的权益工具，对取消所授予的权益性工具作为加速行权处理，剩余等待期 内应确认的金额立即计入当期损益，同时确认资本公积。职工或其他方能够选择满足非可行权条件但在等 待期内未满足的，将其作为授予权益工具的取消处理。</w:t>
      </w:r>
    </w:p>
    <w:p>
      <w:pPr>
        <w:pStyle w:val="Style28"/>
        <w:keepNext/>
        <w:keepLines/>
        <w:widowControl w:val="0"/>
        <w:shd w:val="clear" w:color="auto" w:fill="auto"/>
        <w:bidi w:val="0"/>
        <w:spacing w:before="0" w:after="100" w:line="274" w:lineRule="exact"/>
        <w:ind w:left="0" w:right="0" w:firstLine="0"/>
        <w:jc w:val="left"/>
      </w:pPr>
      <w:bookmarkStart w:id="752" w:name="bookmark752"/>
      <w:bookmarkStart w:id="753" w:name="bookmark753"/>
      <w:bookmarkStart w:id="754" w:name="bookmark754"/>
      <w:r>
        <w:rPr>
          <w:color w:val="000000"/>
          <w:spacing w:val="0"/>
          <w:w w:val="100"/>
          <w:position w:val="0"/>
        </w:rPr>
        <w:t>（二十五）优先股与永续债</w:t>
      </w:r>
      <w:bookmarkEnd w:id="752"/>
      <w:bookmarkEnd w:id="753"/>
      <w:bookmarkEnd w:id="754"/>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公司发行的优先股或永续债根据所发行金融工具的合同条款及其所反映的经济实质，结合金融负债和 权益工具的定义，在初始确认时将其分类为金融负债或权益工具。</w:t>
      </w:r>
    </w:p>
    <w:p>
      <w:pPr>
        <w:pStyle w:val="Style31"/>
        <w:keepNext w:val="0"/>
        <w:keepLines w:val="0"/>
        <w:widowControl w:val="0"/>
        <w:shd w:val="clear" w:color="auto" w:fill="auto"/>
        <w:bidi w:val="0"/>
        <w:spacing w:before="0" w:after="100" w:line="271" w:lineRule="exact"/>
        <w:ind w:left="0" w:right="0" w:firstLine="440"/>
        <w:jc w:val="both"/>
        <w:rPr>
          <w:sz w:val="20"/>
          <w:szCs w:val="20"/>
        </w:rPr>
      </w:pPr>
      <w:r>
        <w:rPr>
          <w:color w:val="000000"/>
          <w:spacing w:val="0"/>
          <w:w w:val="100"/>
          <w:position w:val="0"/>
          <w:sz w:val="20"/>
          <w:szCs w:val="20"/>
        </w:rPr>
        <w:t>优先股或永续债属于金融负债的，按其公允价值扣除交易费用后的金额进行初始计量，并采用实际利 率法按摊余成本进行后续计量。相关利息、股利（或股息）、利得或损失，以及赎回或再融资产生的利得 或损失等，计入当期损益。</w:t>
      </w:r>
    </w:p>
    <w:p>
      <w:pPr>
        <w:pStyle w:val="Style31"/>
        <w:keepNext w:val="0"/>
        <w:keepLines w:val="0"/>
        <w:widowControl w:val="0"/>
        <w:shd w:val="clear" w:color="auto" w:fill="auto"/>
        <w:bidi w:val="0"/>
        <w:spacing w:before="0" w:after="100" w:line="276" w:lineRule="exact"/>
        <w:ind w:left="0" w:right="0" w:firstLine="440"/>
        <w:jc w:val="both"/>
        <w:rPr>
          <w:sz w:val="20"/>
          <w:szCs w:val="20"/>
        </w:rPr>
      </w:pPr>
      <w:r>
        <w:rPr>
          <w:color w:val="000000"/>
          <w:spacing w:val="0"/>
          <w:w w:val="100"/>
          <w:position w:val="0"/>
          <w:sz w:val="20"/>
          <w:szCs w:val="20"/>
        </w:rPr>
        <w:t>优先股或永续债属于权益工具的，在发行时收到的对价扣除交易费用后增加权益，其发行（含再融资）、 回购、出售或注销时，作为权益的变动处理。对权益工具持有方的分配应作利润分配处理，发放的股票股 利不影响所有者权益总额。终止的未完成的权益性交易所发生的交易费用计入当期损益。</w:t>
      </w:r>
    </w:p>
    <w:p>
      <w:pPr>
        <w:pStyle w:val="Style28"/>
        <w:keepNext/>
        <w:keepLines/>
        <w:widowControl w:val="0"/>
        <w:shd w:val="clear" w:color="auto" w:fill="auto"/>
        <w:bidi w:val="0"/>
        <w:spacing w:before="0" w:after="160" w:line="274" w:lineRule="exact"/>
        <w:ind w:left="0" w:right="0" w:firstLine="0"/>
        <w:jc w:val="left"/>
      </w:pPr>
      <w:bookmarkStart w:id="755" w:name="bookmark755"/>
      <w:bookmarkStart w:id="756" w:name="bookmark756"/>
      <w:bookmarkStart w:id="757" w:name="bookmark757"/>
      <w:r>
        <w:rPr>
          <w:color w:val="000000"/>
          <w:spacing w:val="0"/>
          <w:w w:val="100"/>
          <w:position w:val="0"/>
        </w:rPr>
        <w:t>（二十六）收入</w:t>
      </w:r>
      <w:bookmarkEnd w:id="755"/>
      <w:bookmarkEnd w:id="756"/>
      <w:bookmarkEnd w:id="757"/>
    </w:p>
    <w:p>
      <w:pPr>
        <w:pStyle w:val="Style28"/>
        <w:keepNext/>
        <w:keepLines/>
        <w:widowControl w:val="0"/>
        <w:shd w:val="clear" w:color="auto" w:fill="auto"/>
        <w:tabs>
          <w:tab w:pos="808" w:val="left"/>
        </w:tabs>
        <w:bidi w:val="0"/>
        <w:spacing w:before="0" w:after="100" w:line="286" w:lineRule="auto"/>
        <w:ind w:left="0" w:right="0" w:firstLine="440"/>
        <w:jc w:val="both"/>
      </w:pPr>
      <w:bookmarkStart w:id="755" w:name="bookmark755"/>
      <w:bookmarkStart w:id="756" w:name="bookmark756"/>
      <w:bookmarkStart w:id="758" w:name="bookmark758"/>
      <w:r>
        <w:rPr>
          <w:rFonts w:ascii="Times New Roman" w:eastAsia="Times New Roman" w:hAnsi="Times New Roman" w:cs="Times New Roman"/>
          <w:color w:val="000000"/>
          <w:spacing w:val="0"/>
          <w:w w:val="100"/>
          <w:position w:val="0"/>
        </w:rPr>
        <w:t>1</w:t>
      </w:r>
      <w:bookmarkEnd w:id="758"/>
      <w:r>
        <w:rPr>
          <w:color w:val="000000"/>
          <w:spacing w:val="0"/>
          <w:w w:val="100"/>
          <w:position w:val="0"/>
        </w:rPr>
        <w:t>、</w:t>
        <w:tab/>
        <w:t>销售商品收入的确认</w:t>
      </w:r>
      <w:bookmarkEnd w:id="755"/>
      <w:bookmarkEnd w:id="756"/>
    </w:p>
    <w:p>
      <w:pPr>
        <w:pStyle w:val="Style31"/>
        <w:keepNext w:val="0"/>
        <w:keepLines w:val="0"/>
        <w:widowControl w:val="0"/>
        <w:shd w:val="clear" w:color="auto" w:fill="auto"/>
        <w:bidi w:val="0"/>
        <w:spacing w:before="0" w:after="100" w:line="274" w:lineRule="exact"/>
        <w:ind w:left="0" w:right="0" w:firstLine="440"/>
        <w:jc w:val="left"/>
        <w:rPr>
          <w:sz w:val="20"/>
          <w:szCs w:val="20"/>
        </w:rPr>
      </w:pPr>
      <w:r>
        <w:rPr>
          <w:color w:val="000000"/>
          <w:spacing w:val="0"/>
          <w:w w:val="100"/>
          <w:position w:val="0"/>
          <w:sz w:val="20"/>
          <w:szCs w:val="20"/>
        </w:rPr>
        <w:t>公司已将商品所有权上的主要风险和报酬转移给购买方；既没有保留与所有权相联系的继续管理权， 也没有对已售出的商品实施有效控制；收入的金额能够可靠地计量；相关的经济利益很可能流入企业；相 关的已发生或将发生的成本能够可靠地计量时，确认商品销售收入实现。</w:t>
      </w:r>
    </w:p>
    <w:p>
      <w:pPr>
        <w:pStyle w:val="Style31"/>
        <w:keepNext w:val="0"/>
        <w:keepLines w:val="0"/>
        <w:widowControl w:val="0"/>
        <w:shd w:val="clear" w:color="auto" w:fill="auto"/>
        <w:bidi w:val="0"/>
        <w:spacing w:before="0" w:after="160" w:line="283" w:lineRule="exact"/>
        <w:ind w:left="0" w:right="0" w:firstLine="440"/>
        <w:jc w:val="left"/>
        <w:rPr>
          <w:sz w:val="20"/>
          <w:szCs w:val="20"/>
        </w:rPr>
      </w:pPr>
      <w:r>
        <w:rPr>
          <w:color w:val="000000"/>
          <w:spacing w:val="0"/>
          <w:w w:val="100"/>
          <w:position w:val="0"/>
          <w:sz w:val="20"/>
          <w:szCs w:val="20"/>
        </w:rPr>
        <w:t>本公司按照上述收入确认原则结合公司生产模式、产品特点、客户等信息以产品发出并得到客户验收 确认作为收入实现条件。</w:t>
      </w:r>
    </w:p>
    <w:p>
      <w:pPr>
        <w:pStyle w:val="Style31"/>
        <w:keepNext w:val="0"/>
        <w:keepLines w:val="0"/>
        <w:widowControl w:val="0"/>
        <w:shd w:val="clear" w:color="auto" w:fill="auto"/>
        <w:tabs>
          <w:tab w:pos="818" w:val="left"/>
        </w:tabs>
        <w:bidi w:val="0"/>
        <w:spacing w:before="0" w:after="100" w:line="286" w:lineRule="auto"/>
        <w:ind w:left="0" w:right="0" w:firstLine="440"/>
        <w:jc w:val="left"/>
        <w:rPr>
          <w:sz w:val="20"/>
          <w:szCs w:val="20"/>
        </w:rPr>
      </w:pPr>
      <w:bookmarkStart w:id="759" w:name="bookmark759"/>
      <w:r>
        <w:rPr>
          <w:rFonts w:ascii="Times New Roman" w:eastAsia="Times New Roman" w:hAnsi="Times New Roman" w:cs="Times New Roman"/>
          <w:b/>
          <w:bCs/>
          <w:color w:val="000000"/>
          <w:spacing w:val="0"/>
          <w:w w:val="100"/>
          <w:position w:val="0"/>
          <w:sz w:val="20"/>
          <w:szCs w:val="20"/>
        </w:rPr>
        <w:t>2</w:t>
      </w:r>
      <w:bookmarkEnd w:id="759"/>
      <w:r>
        <w:rPr>
          <w:b/>
          <w:bCs/>
          <w:color w:val="000000"/>
          <w:spacing w:val="0"/>
          <w:w w:val="100"/>
          <w:position w:val="0"/>
          <w:sz w:val="20"/>
          <w:szCs w:val="20"/>
        </w:rPr>
        <w:t>、</w:t>
        <w:tab/>
        <w:t>提供劳务收入的确认</w:t>
      </w:r>
    </w:p>
    <w:p>
      <w:pPr>
        <w:pStyle w:val="Style31"/>
        <w:keepNext w:val="0"/>
        <w:keepLines w:val="0"/>
        <w:widowControl w:val="0"/>
        <w:shd w:val="clear" w:color="auto" w:fill="auto"/>
        <w:bidi w:val="0"/>
        <w:spacing w:before="0" w:after="100" w:line="274" w:lineRule="exact"/>
        <w:ind w:left="0" w:right="0" w:firstLine="440"/>
        <w:jc w:val="left"/>
        <w:rPr>
          <w:sz w:val="20"/>
          <w:szCs w:val="20"/>
        </w:rPr>
      </w:pPr>
      <w:r>
        <w:rPr>
          <w:color w:val="000000"/>
          <w:spacing w:val="0"/>
          <w:w w:val="100"/>
          <w:position w:val="0"/>
          <w:sz w:val="20"/>
          <w:szCs w:val="20"/>
        </w:rPr>
        <w:t>在资产负债表日提供劳务交易的结果能够可靠估计的，采用完工百分比法确认提供劳务收入。提供劳 务交易的完工进度，依据已经发生的成本占预计总成本的比例确定。</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在资产负债表日提供劳务交易结果不能够可靠估计的，分别下列情况处理：</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）已发生的劳务成本预计能够得到补偿，应按已经发生的劳务成本金额确认提供劳务收入，并按 </w:t>
      </w:r>
      <w:r>
        <w:rPr>
          <w:color w:val="000000"/>
          <w:spacing w:val="0"/>
          <w:w w:val="100"/>
          <w:position w:val="0"/>
          <w:sz w:val="20"/>
          <w:szCs w:val="20"/>
        </w:rPr>
        <w:t>相同金额结转劳务成本。</w:t>
      </w:r>
    </w:p>
    <w:p>
      <w:pPr>
        <w:pStyle w:val="Style31"/>
        <w:keepNext w:val="0"/>
        <w:keepLines w:val="0"/>
        <w:widowControl w:val="0"/>
        <w:shd w:val="clear" w:color="auto" w:fill="auto"/>
        <w:bidi w:val="0"/>
        <w:spacing w:before="0" w:after="100" w:line="288" w:lineRule="exact"/>
        <w:ind w:left="0" w:right="0" w:firstLine="44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）已经发生的劳务成本预计不能够得到补偿的，将已经发生的劳务成本计入当期损益，不确认提 供劳务收入。</w:t>
      </w:r>
    </w:p>
    <w:p>
      <w:pPr>
        <w:pStyle w:val="Style31"/>
        <w:keepNext w:val="0"/>
        <w:keepLines w:val="0"/>
        <w:widowControl w:val="0"/>
        <w:shd w:val="clear" w:color="auto" w:fill="auto"/>
        <w:bidi w:val="0"/>
        <w:spacing w:before="0" w:after="100" w:line="274" w:lineRule="exact"/>
        <w:ind w:left="0" w:right="0" w:firstLine="440"/>
        <w:jc w:val="both"/>
        <w:rPr>
          <w:sz w:val="20"/>
          <w:szCs w:val="20"/>
        </w:rPr>
      </w:pPr>
      <w:bookmarkStart w:id="760" w:name="bookmark760"/>
      <w:r>
        <w:rPr>
          <w:rFonts w:ascii="Times New Roman" w:eastAsia="Times New Roman" w:hAnsi="Times New Roman" w:cs="Times New Roman"/>
          <w:b/>
          <w:bCs/>
          <w:color w:val="000000"/>
          <w:spacing w:val="0"/>
          <w:w w:val="100"/>
          <w:position w:val="0"/>
          <w:sz w:val="20"/>
          <w:szCs w:val="20"/>
        </w:rPr>
        <w:t>3</w:t>
      </w:r>
      <w:bookmarkEnd w:id="760"/>
      <w:r>
        <w:rPr>
          <w:b/>
          <w:bCs/>
          <w:color w:val="000000"/>
          <w:spacing w:val="0"/>
          <w:w w:val="100"/>
          <w:position w:val="0"/>
          <w:sz w:val="20"/>
          <w:szCs w:val="20"/>
        </w:rPr>
        <w:t>、让渡资产使用权收入的确认</w:t>
      </w:r>
    </w:p>
    <w:p>
      <w:pPr>
        <w:pStyle w:val="Style31"/>
        <w:keepNext w:val="0"/>
        <w:keepLines w:val="0"/>
        <w:widowControl w:val="0"/>
        <w:shd w:val="clear" w:color="auto" w:fill="auto"/>
        <w:bidi w:val="0"/>
        <w:spacing w:before="0" w:after="100" w:line="278" w:lineRule="exact"/>
        <w:ind w:left="0" w:right="0" w:firstLine="440"/>
        <w:jc w:val="both"/>
        <w:rPr>
          <w:sz w:val="20"/>
          <w:szCs w:val="20"/>
        </w:rPr>
      </w:pPr>
      <w:r>
        <w:rPr>
          <w:color w:val="000000"/>
          <w:spacing w:val="0"/>
          <w:w w:val="100"/>
          <w:position w:val="0"/>
          <w:sz w:val="20"/>
          <w:szCs w:val="20"/>
        </w:rPr>
        <w:t>与交易相关的经济利益很可能流入企业，收入的金额能够可靠地计量时。分别下列情况确定让渡资产 使用权收入金额：</w:t>
      </w:r>
    </w:p>
    <w:p>
      <w:pPr>
        <w:pStyle w:val="Style31"/>
        <w:keepNext w:val="0"/>
        <w:keepLines w:val="0"/>
        <w:widowControl w:val="0"/>
        <w:shd w:val="clear" w:color="auto" w:fill="auto"/>
        <w:tabs>
          <w:tab w:pos="928" w:val="left"/>
        </w:tabs>
        <w:bidi w:val="0"/>
        <w:spacing w:before="0" w:after="100" w:line="274" w:lineRule="exact"/>
        <w:ind w:left="0" w:right="0" w:firstLine="440"/>
        <w:jc w:val="both"/>
        <w:rPr>
          <w:sz w:val="20"/>
          <w:szCs w:val="20"/>
        </w:rPr>
      </w:pPr>
      <w:bookmarkStart w:id="761" w:name="bookmark761"/>
      <w:r>
        <w:rPr>
          <w:color w:val="000000"/>
          <w:spacing w:val="0"/>
          <w:w w:val="100"/>
          <w:position w:val="0"/>
          <w:sz w:val="20"/>
          <w:szCs w:val="20"/>
        </w:rPr>
        <w:t>（</w:t>
      </w:r>
      <w:bookmarkEnd w:id="761"/>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利息收入金额，按照他人使用本企业货币资金的时间和实际利率计算确定。</w:t>
      </w:r>
    </w:p>
    <w:p>
      <w:pPr>
        <w:pStyle w:val="Style31"/>
        <w:keepNext w:val="0"/>
        <w:keepLines w:val="0"/>
        <w:widowControl w:val="0"/>
        <w:shd w:val="clear" w:color="auto" w:fill="auto"/>
        <w:tabs>
          <w:tab w:pos="928" w:val="left"/>
        </w:tabs>
        <w:bidi w:val="0"/>
        <w:spacing w:before="0" w:after="100" w:line="274" w:lineRule="exact"/>
        <w:ind w:left="0" w:right="0" w:firstLine="440"/>
        <w:jc w:val="left"/>
        <w:rPr>
          <w:sz w:val="20"/>
          <w:szCs w:val="20"/>
        </w:rPr>
      </w:pPr>
      <w:bookmarkStart w:id="762" w:name="bookmark762"/>
      <w:r>
        <w:rPr>
          <w:color w:val="000000"/>
          <w:spacing w:val="0"/>
          <w:w w:val="100"/>
          <w:position w:val="0"/>
          <w:sz w:val="20"/>
          <w:szCs w:val="20"/>
        </w:rPr>
        <w:t>（</w:t>
      </w:r>
      <w:bookmarkEnd w:id="762"/>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使用费收入金额，按照有关合同或协议约定的收费时间和方法计算确定。</w:t>
      </w:r>
    </w:p>
    <w:p>
      <w:pPr>
        <w:pStyle w:val="Style28"/>
        <w:keepNext/>
        <w:keepLines/>
        <w:widowControl w:val="0"/>
        <w:shd w:val="clear" w:color="auto" w:fill="auto"/>
        <w:bidi w:val="0"/>
        <w:spacing w:before="0" w:after="100" w:line="274" w:lineRule="exact"/>
        <w:ind w:left="0" w:right="0" w:firstLine="0"/>
        <w:jc w:val="both"/>
      </w:pPr>
      <w:bookmarkStart w:id="763" w:name="bookmark763"/>
      <w:bookmarkStart w:id="764" w:name="bookmark764"/>
      <w:bookmarkStart w:id="765" w:name="bookmark765"/>
      <w:r>
        <w:rPr>
          <w:color w:val="000000"/>
          <w:spacing w:val="0"/>
          <w:w w:val="100"/>
          <w:position w:val="0"/>
        </w:rPr>
        <w:t>（二十七）政府补助</w:t>
      </w:r>
      <w:bookmarkEnd w:id="763"/>
      <w:bookmarkEnd w:id="764"/>
      <w:bookmarkEnd w:id="765"/>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本公司对政府补助分为与资产相关的政府补助和与收益相关的政府补助。本公司从政府有关部门无偿 取得的货币性资产或非货币性资产，于本公司能够满足政府补助所附条件，且能够收到政府补助时予以确 认。</w:t>
      </w:r>
    </w:p>
    <w:p>
      <w:pPr>
        <w:pStyle w:val="Style31"/>
        <w:keepNext w:val="0"/>
        <w:keepLines w:val="0"/>
        <w:widowControl w:val="0"/>
        <w:shd w:val="clear" w:color="auto" w:fill="auto"/>
        <w:tabs>
          <w:tab w:pos="830" w:val="left"/>
        </w:tabs>
        <w:bidi w:val="0"/>
        <w:spacing w:before="0" w:after="100" w:line="274" w:lineRule="exact"/>
        <w:ind w:left="0" w:right="0" w:firstLine="440"/>
        <w:jc w:val="both"/>
        <w:rPr>
          <w:sz w:val="20"/>
          <w:szCs w:val="20"/>
        </w:rPr>
      </w:pPr>
      <w:bookmarkStart w:id="766" w:name="bookmark766"/>
      <w:r>
        <w:rPr>
          <w:rFonts w:ascii="Times New Roman" w:eastAsia="Times New Roman" w:hAnsi="Times New Roman" w:cs="Times New Roman"/>
          <w:b/>
          <w:bCs/>
          <w:color w:val="000000"/>
          <w:spacing w:val="0"/>
          <w:w w:val="100"/>
          <w:position w:val="0"/>
          <w:sz w:val="20"/>
          <w:szCs w:val="20"/>
        </w:rPr>
        <w:t>1</w:t>
      </w:r>
      <w:bookmarkEnd w:id="766"/>
      <w:r>
        <w:rPr>
          <w:b/>
          <w:bCs/>
          <w:color w:val="000000"/>
          <w:spacing w:val="0"/>
          <w:w w:val="100"/>
          <w:position w:val="0"/>
          <w:sz w:val="20"/>
          <w:szCs w:val="20"/>
        </w:rPr>
        <w:t>、</w:t>
        <w:tab/>
        <w:t>与资产相关的政府补助判断依据及会计处理方法</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公司取得的、用于购建或以其他方式形成长期资产的政府补助属于与资产相关的政府补助。</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与资产相关的政府补助，确认为递延收益，并在相关资产使用寿命内平均分配，计入当期损益。</w:t>
      </w:r>
    </w:p>
    <w:p>
      <w:pPr>
        <w:pStyle w:val="Style31"/>
        <w:keepNext w:val="0"/>
        <w:keepLines w:val="0"/>
        <w:widowControl w:val="0"/>
        <w:shd w:val="clear" w:color="auto" w:fill="auto"/>
        <w:tabs>
          <w:tab w:pos="830" w:val="left"/>
        </w:tabs>
        <w:bidi w:val="0"/>
        <w:spacing w:before="0" w:after="100" w:line="274" w:lineRule="exact"/>
        <w:ind w:left="0" w:right="0" w:firstLine="440"/>
        <w:jc w:val="both"/>
        <w:rPr>
          <w:sz w:val="20"/>
          <w:szCs w:val="20"/>
        </w:rPr>
      </w:pPr>
      <w:bookmarkStart w:id="767" w:name="bookmark767"/>
      <w:r>
        <w:rPr>
          <w:rFonts w:ascii="Times New Roman" w:eastAsia="Times New Roman" w:hAnsi="Times New Roman" w:cs="Times New Roman"/>
          <w:b/>
          <w:bCs/>
          <w:color w:val="000000"/>
          <w:spacing w:val="0"/>
          <w:w w:val="100"/>
          <w:position w:val="0"/>
          <w:sz w:val="20"/>
          <w:szCs w:val="20"/>
        </w:rPr>
        <w:t>2</w:t>
      </w:r>
      <w:bookmarkEnd w:id="767"/>
      <w:r>
        <w:rPr>
          <w:b/>
          <w:bCs/>
          <w:color w:val="000000"/>
          <w:spacing w:val="0"/>
          <w:w w:val="100"/>
          <w:position w:val="0"/>
          <w:sz w:val="20"/>
          <w:szCs w:val="20"/>
        </w:rPr>
        <w:t>、</w:t>
        <w:tab/>
        <w:t>与收益相关的政府补助判断依据及会计处理方法</w:t>
      </w:r>
    </w:p>
    <w:p>
      <w:pPr>
        <w:pStyle w:val="Style31"/>
        <w:keepNext w:val="0"/>
        <w:keepLines w:val="0"/>
        <w:widowControl w:val="0"/>
        <w:shd w:val="clear" w:color="auto" w:fill="auto"/>
        <w:bidi w:val="0"/>
        <w:spacing w:before="0" w:after="100" w:line="269" w:lineRule="exact"/>
        <w:ind w:left="0" w:right="0" w:firstLine="440"/>
        <w:jc w:val="both"/>
        <w:rPr>
          <w:sz w:val="20"/>
          <w:szCs w:val="20"/>
        </w:rPr>
      </w:pPr>
      <w:r>
        <w:rPr>
          <w:color w:val="000000"/>
          <w:spacing w:val="0"/>
          <w:w w:val="100"/>
          <w:position w:val="0"/>
          <w:sz w:val="20"/>
          <w:szCs w:val="20"/>
        </w:rPr>
        <w:t>除与资产相关的政府补助之外的政府补助为与收益相关的政府补助。与收益相关的政府补助，分别下 列情况处理：</w:t>
      </w:r>
    </w:p>
    <w:p>
      <w:pPr>
        <w:pStyle w:val="Style31"/>
        <w:keepNext w:val="0"/>
        <w:keepLines w:val="0"/>
        <w:widowControl w:val="0"/>
        <w:shd w:val="clear" w:color="auto" w:fill="auto"/>
        <w:tabs>
          <w:tab w:pos="1021" w:val="left"/>
        </w:tabs>
        <w:bidi w:val="0"/>
        <w:spacing w:before="0" w:after="100" w:line="278" w:lineRule="exact"/>
        <w:ind w:left="0" w:right="0" w:firstLine="440"/>
        <w:jc w:val="both"/>
        <w:rPr>
          <w:sz w:val="20"/>
          <w:szCs w:val="20"/>
        </w:rPr>
      </w:pPr>
      <w:bookmarkStart w:id="768" w:name="bookmark768"/>
      <w:r>
        <w:rPr>
          <w:color w:val="000000"/>
          <w:spacing w:val="0"/>
          <w:w w:val="100"/>
          <w:position w:val="0"/>
          <w:sz w:val="20"/>
          <w:szCs w:val="20"/>
        </w:rPr>
        <w:t>（</w:t>
      </w:r>
      <w:bookmarkEnd w:id="768"/>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用于补偿公司以后期间的相关费用或损失的，确认为递延收益，并在确认相关费用的期间，计 入当期损益。</w:t>
      </w:r>
    </w:p>
    <w:p>
      <w:pPr>
        <w:pStyle w:val="Style31"/>
        <w:keepNext w:val="0"/>
        <w:keepLines w:val="0"/>
        <w:widowControl w:val="0"/>
        <w:shd w:val="clear" w:color="auto" w:fill="auto"/>
        <w:tabs>
          <w:tab w:pos="928" w:val="left"/>
        </w:tabs>
        <w:bidi w:val="0"/>
        <w:spacing w:before="0" w:after="100" w:line="274" w:lineRule="exact"/>
        <w:ind w:left="0" w:right="0" w:firstLine="440"/>
        <w:jc w:val="both"/>
        <w:rPr>
          <w:sz w:val="20"/>
          <w:szCs w:val="20"/>
        </w:rPr>
      </w:pPr>
      <w:bookmarkStart w:id="769" w:name="bookmark769"/>
      <w:r>
        <w:rPr>
          <w:color w:val="000000"/>
          <w:spacing w:val="0"/>
          <w:w w:val="100"/>
          <w:position w:val="0"/>
          <w:sz w:val="20"/>
          <w:szCs w:val="20"/>
        </w:rPr>
        <w:t>（</w:t>
      </w:r>
      <w:bookmarkEnd w:id="769"/>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用于补偿公司已发生的相关费用或损失的，直接计入当期损益。</w:t>
      </w:r>
    </w:p>
    <w:p>
      <w:pPr>
        <w:pStyle w:val="Style28"/>
        <w:keepNext/>
        <w:keepLines/>
        <w:widowControl w:val="0"/>
        <w:shd w:val="clear" w:color="auto" w:fill="auto"/>
        <w:bidi w:val="0"/>
        <w:spacing w:before="0" w:after="100" w:line="274" w:lineRule="exact"/>
        <w:ind w:left="0" w:right="0" w:firstLine="0"/>
        <w:jc w:val="left"/>
      </w:pPr>
      <w:bookmarkStart w:id="770" w:name="bookmark770"/>
      <w:bookmarkStart w:id="771" w:name="bookmark771"/>
      <w:bookmarkStart w:id="772" w:name="bookmark772"/>
      <w:r>
        <w:rPr>
          <w:color w:val="000000"/>
          <w:spacing w:val="0"/>
          <w:w w:val="100"/>
          <w:position w:val="0"/>
        </w:rPr>
        <w:t>（二十八）递延所得税资产和递延所得税负债</w:t>
      </w:r>
      <w:bookmarkEnd w:id="770"/>
      <w:bookmarkEnd w:id="771"/>
      <w:bookmarkEnd w:id="772"/>
    </w:p>
    <w:p>
      <w:pPr>
        <w:pStyle w:val="Style31"/>
        <w:keepNext w:val="0"/>
        <w:keepLines w:val="0"/>
        <w:widowControl w:val="0"/>
        <w:shd w:val="clear" w:color="auto" w:fill="auto"/>
        <w:bidi w:val="0"/>
        <w:spacing w:before="0" w:after="100" w:line="278" w:lineRule="exact"/>
        <w:ind w:left="0" w:right="0" w:firstLine="440"/>
        <w:jc w:val="both"/>
        <w:rPr>
          <w:sz w:val="20"/>
          <w:szCs w:val="20"/>
        </w:rPr>
      </w:pPr>
      <w:r>
        <w:rPr>
          <w:color w:val="000000"/>
          <w:spacing w:val="0"/>
          <w:w w:val="100"/>
          <w:position w:val="0"/>
          <w:sz w:val="20"/>
          <w:szCs w:val="20"/>
        </w:rPr>
        <w:t>本公司对于某些资产、负债项目的账面价值与其计税基础之间的差额，以及未作为资产和负债确认但 按照税法规定可以确定其计税基础的项目的账面价值与计税基础之间的差额产生的暂时性差异，采用资产 负债表债务法确认递延所得税资产及递延所得税负债。</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一般情况下所有暂时性差异均确认相关的递延所得税。但对于可抵扣暂时性差异，以很可能取得用来 抵扣可抵扣暂时性差异的应纳税所得额为限，确认相关的递延所得税资产。此外，与商誉的初始确认相关 的，以及与既不是企业合并、发生时也不影响会计利润和应纳税所得额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或可抵扣亏损</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的交易中产生的资 产或负债的初始确认有关的暂时性差异，不予确认有关的递延所得税资产或负债。</w:t>
      </w:r>
    </w:p>
    <w:p>
      <w:pPr>
        <w:pStyle w:val="Style31"/>
        <w:keepNext w:val="0"/>
        <w:keepLines w:val="0"/>
        <w:widowControl w:val="0"/>
        <w:shd w:val="clear" w:color="auto" w:fill="auto"/>
        <w:bidi w:val="0"/>
        <w:spacing w:before="0" w:after="100" w:line="269" w:lineRule="exact"/>
        <w:ind w:left="0" w:right="0" w:firstLine="440"/>
        <w:jc w:val="both"/>
        <w:rPr>
          <w:sz w:val="20"/>
          <w:szCs w:val="20"/>
        </w:rPr>
      </w:pPr>
      <w:r>
        <w:rPr>
          <w:color w:val="000000"/>
          <w:spacing w:val="0"/>
          <w:w w:val="100"/>
          <w:position w:val="0"/>
          <w:sz w:val="20"/>
          <w:szCs w:val="20"/>
        </w:rPr>
        <w:t>对于能够结转以后年度的可抵扣亏损及税款抵减，以很可能获得用来抵扣可抵扣亏损和税款抵减的未 来应纳税所得额为限，确认相应的递延所得税资产。</w:t>
      </w:r>
    </w:p>
    <w:p>
      <w:pPr>
        <w:pStyle w:val="Style31"/>
        <w:keepNext w:val="0"/>
        <w:keepLines w:val="0"/>
        <w:widowControl w:val="0"/>
        <w:shd w:val="clear" w:color="auto" w:fill="auto"/>
        <w:bidi w:val="0"/>
        <w:spacing w:before="0" w:after="100" w:line="273" w:lineRule="exact"/>
        <w:ind w:left="0" w:right="0" w:firstLine="440"/>
        <w:jc w:val="both"/>
        <w:rPr>
          <w:sz w:val="20"/>
          <w:szCs w:val="20"/>
        </w:rPr>
      </w:pPr>
      <w:r>
        <w:rPr>
          <w:color w:val="000000"/>
          <w:spacing w:val="0"/>
          <w:w w:val="100"/>
          <w:position w:val="0"/>
          <w:sz w:val="20"/>
          <w:szCs w:val="20"/>
        </w:rPr>
        <w:t>确认与子公司、联营企业及合营企业投资相关的应纳税暂时性差异产生的递延所得税负债，除非本公 司能够控制暂时性差异转回的时间，而且该暂时性差异在可预见的未来很可能不会转回。对于与子公司、 联营企业及合营企业投资相关的可抵扣暂时性差异，只有当暂时性差异在可预见的未来很可能转回，且未 来很可能获得用来抵扣可抵扣暂时性差异的应纳税所得额时，才确认递延所得税资产。资产负债表日，对 于递延所得税资产和递延所得税负债，根据税法规定，按照预期收回相关资产或清偿相关负债期间的适用 税率计量。</w:t>
      </w:r>
    </w:p>
    <w:p>
      <w:pPr>
        <w:pStyle w:val="Style31"/>
        <w:keepNext w:val="0"/>
        <w:keepLines w:val="0"/>
        <w:widowControl w:val="0"/>
        <w:shd w:val="clear" w:color="auto" w:fill="auto"/>
        <w:bidi w:val="0"/>
        <w:spacing w:before="0" w:after="100" w:line="271" w:lineRule="exact"/>
        <w:ind w:left="0" w:right="0" w:firstLine="440"/>
        <w:jc w:val="both"/>
        <w:rPr>
          <w:sz w:val="20"/>
          <w:szCs w:val="20"/>
        </w:rPr>
      </w:pPr>
      <w:r>
        <w:rPr>
          <w:color w:val="000000"/>
          <w:spacing w:val="0"/>
          <w:w w:val="100"/>
          <w:position w:val="0"/>
          <w:sz w:val="20"/>
          <w:szCs w:val="20"/>
        </w:rPr>
        <w:t>除与直接计入其他综合收益或股东权益的交易和事项相关的当期所得税和递延所得税计入其他综合 收益或股东权益，以及企业合并产生的递延所得税调整商誉的账面价值外，其余当期所得税和递延所得税 费用或收益计入当期损益。</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 xml:space="preserve">资产负债表日，对递延所得税资产的账面价值进行复核，如果未来很可能无法获得足够的应纳税所得 </w:t>
      </w:r>
      <w:r>
        <w:rPr>
          <w:color w:val="000000"/>
          <w:spacing w:val="0"/>
          <w:w w:val="100"/>
          <w:position w:val="0"/>
          <w:sz w:val="20"/>
          <w:szCs w:val="20"/>
        </w:rPr>
        <w:t>额用以抵扣递延所得税资产的利益，则减记递延所得税资产的账面价值。在很可能获得足够的应纳税所得 额时，减记的金额予以转回。</w:t>
      </w:r>
    </w:p>
    <w:p>
      <w:pPr>
        <w:pStyle w:val="Style31"/>
        <w:keepNext w:val="0"/>
        <w:keepLines w:val="0"/>
        <w:widowControl w:val="0"/>
        <w:shd w:val="clear" w:color="auto" w:fill="auto"/>
        <w:bidi w:val="0"/>
        <w:spacing w:before="0" w:after="100" w:line="278" w:lineRule="exact"/>
        <w:ind w:left="0" w:right="0" w:firstLine="440"/>
        <w:jc w:val="both"/>
        <w:rPr>
          <w:sz w:val="20"/>
          <w:szCs w:val="20"/>
        </w:rPr>
      </w:pPr>
      <w:r>
        <w:rPr>
          <w:color w:val="000000"/>
          <w:spacing w:val="0"/>
          <w:w w:val="100"/>
          <w:position w:val="0"/>
          <w:sz w:val="20"/>
          <w:szCs w:val="20"/>
        </w:rPr>
        <w:t>当拥有以净额结算的法定权利，且意图以净额结算或取得资产、清偿负债同时进行时，本公司当期所 得税资产及当期所得税负债以抵销后的净额列报。</w:t>
      </w:r>
    </w:p>
    <w:p>
      <w:pPr>
        <w:pStyle w:val="Style31"/>
        <w:keepNext w:val="0"/>
        <w:keepLines w:val="0"/>
        <w:widowControl w:val="0"/>
        <w:shd w:val="clear" w:color="auto" w:fill="auto"/>
        <w:bidi w:val="0"/>
        <w:spacing w:before="0" w:after="100" w:line="272" w:lineRule="exact"/>
        <w:ind w:left="0" w:right="0" w:firstLine="440"/>
        <w:jc w:val="both"/>
        <w:rPr>
          <w:sz w:val="20"/>
          <w:szCs w:val="20"/>
        </w:rPr>
      </w:pPr>
      <w:r>
        <w:rPr>
          <w:color w:val="000000"/>
          <w:spacing w:val="0"/>
          <w:w w:val="100"/>
          <w:position w:val="0"/>
          <w:sz w:val="20"/>
          <w:szCs w:val="2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债或是同时取得资产、清偿负债时，递延所得税资产及递延所得税负债以抵销后的净额列报。</w:t>
      </w:r>
    </w:p>
    <w:p>
      <w:pPr>
        <w:pStyle w:val="Style28"/>
        <w:keepNext/>
        <w:keepLines/>
        <w:widowControl w:val="0"/>
        <w:shd w:val="clear" w:color="auto" w:fill="auto"/>
        <w:bidi w:val="0"/>
        <w:spacing w:before="0" w:after="160" w:line="274" w:lineRule="exact"/>
        <w:ind w:left="0" w:right="0" w:firstLine="0"/>
        <w:jc w:val="left"/>
      </w:pPr>
      <w:bookmarkStart w:id="773" w:name="bookmark773"/>
      <w:bookmarkStart w:id="774" w:name="bookmark774"/>
      <w:bookmarkStart w:id="775" w:name="bookmark775"/>
      <w:r>
        <w:rPr>
          <w:color w:val="000000"/>
          <w:spacing w:val="0"/>
          <w:w w:val="100"/>
          <w:position w:val="0"/>
        </w:rPr>
        <w:t>（二十九）租赁</w:t>
      </w:r>
      <w:bookmarkEnd w:id="773"/>
      <w:bookmarkEnd w:id="774"/>
      <w:bookmarkEnd w:id="775"/>
    </w:p>
    <w:p>
      <w:pPr>
        <w:pStyle w:val="Style28"/>
        <w:keepNext/>
        <w:keepLines/>
        <w:widowControl w:val="0"/>
        <w:shd w:val="clear" w:color="auto" w:fill="auto"/>
        <w:tabs>
          <w:tab w:pos="827" w:val="left"/>
        </w:tabs>
        <w:bidi w:val="0"/>
        <w:spacing w:before="0" w:after="100" w:line="286" w:lineRule="auto"/>
        <w:ind w:left="0" w:right="0" w:firstLine="440"/>
        <w:jc w:val="both"/>
      </w:pPr>
      <w:bookmarkStart w:id="773" w:name="bookmark773"/>
      <w:bookmarkStart w:id="774" w:name="bookmark774"/>
      <w:bookmarkStart w:id="776" w:name="bookmark776"/>
      <w:r>
        <w:rPr>
          <w:rFonts w:ascii="Times New Roman" w:eastAsia="Times New Roman" w:hAnsi="Times New Roman" w:cs="Times New Roman"/>
          <w:color w:val="000000"/>
          <w:spacing w:val="0"/>
          <w:w w:val="100"/>
          <w:position w:val="0"/>
        </w:rPr>
        <w:t>1</w:t>
      </w:r>
      <w:bookmarkEnd w:id="776"/>
      <w:r>
        <w:rPr>
          <w:color w:val="000000"/>
          <w:spacing w:val="0"/>
          <w:w w:val="100"/>
          <w:position w:val="0"/>
        </w:rPr>
        <w:t>、</w:t>
        <w:tab/>
        <w:t>经营租赁会计处理</w:t>
      </w:r>
      <w:bookmarkEnd w:id="773"/>
      <w:bookmarkEnd w:id="774"/>
    </w:p>
    <w:p>
      <w:pPr>
        <w:pStyle w:val="Style31"/>
        <w:keepNext w:val="0"/>
        <w:keepLines w:val="0"/>
        <w:widowControl w:val="0"/>
        <w:shd w:val="clear" w:color="auto" w:fill="auto"/>
        <w:tabs>
          <w:tab w:pos="1021" w:val="left"/>
        </w:tabs>
        <w:bidi w:val="0"/>
        <w:spacing w:before="0" w:after="100" w:line="274" w:lineRule="exact"/>
        <w:ind w:left="0" w:right="0" w:firstLine="440"/>
        <w:jc w:val="both"/>
        <w:rPr>
          <w:sz w:val="20"/>
          <w:szCs w:val="20"/>
        </w:rPr>
      </w:pPr>
      <w:bookmarkStart w:id="777" w:name="bookmark777"/>
      <w:r>
        <w:rPr>
          <w:color w:val="000000"/>
          <w:spacing w:val="0"/>
          <w:w w:val="100"/>
          <w:position w:val="0"/>
          <w:sz w:val="20"/>
          <w:szCs w:val="20"/>
        </w:rPr>
        <w:t>（</w:t>
      </w:r>
      <w:bookmarkEnd w:id="77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租入资产所支付的租赁费，在不扣除免租期的整个租赁期内，按直线法进行分摊，计入当期费 用。支付的与租赁交易相关的初始直接费用，计入当期费用。</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资产出租方承担了应由承租方承担的与租赁相关的费用时，将该部分费用从租金总额中扣除，按扣除 后的租金费用在租赁期内分摊，计入当期费用。</w:t>
      </w:r>
    </w:p>
    <w:p>
      <w:pPr>
        <w:pStyle w:val="Style31"/>
        <w:keepNext w:val="0"/>
        <w:keepLines w:val="0"/>
        <w:widowControl w:val="0"/>
        <w:shd w:val="clear" w:color="auto" w:fill="auto"/>
        <w:tabs>
          <w:tab w:pos="1021" w:val="left"/>
        </w:tabs>
        <w:bidi w:val="0"/>
        <w:spacing w:before="0" w:after="100" w:line="278" w:lineRule="exact"/>
        <w:ind w:left="0" w:right="0" w:firstLine="440"/>
        <w:jc w:val="both"/>
        <w:rPr>
          <w:sz w:val="20"/>
          <w:szCs w:val="20"/>
        </w:rPr>
      </w:pPr>
      <w:bookmarkStart w:id="778" w:name="bookmark778"/>
      <w:r>
        <w:rPr>
          <w:color w:val="000000"/>
          <w:spacing w:val="0"/>
          <w:w w:val="100"/>
          <w:position w:val="0"/>
          <w:sz w:val="20"/>
          <w:szCs w:val="20"/>
        </w:rPr>
        <w:t>（</w:t>
      </w:r>
      <w:bookmarkEnd w:id="77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出租资产所收取的租赁费，在不扣除免租期的整个租赁期内，按直线法进行分摊，确认为租赁 收入。支付的与租赁交易相关的初始直接费用，计入当期费用；如金额较大的，则予以资本化，在整个租 赁期间内按照与租赁收入确认相同的基础分期计入当期收益。</w:t>
      </w:r>
    </w:p>
    <w:p>
      <w:pPr>
        <w:pStyle w:val="Style31"/>
        <w:keepNext w:val="0"/>
        <w:keepLines w:val="0"/>
        <w:widowControl w:val="0"/>
        <w:shd w:val="clear" w:color="auto" w:fill="auto"/>
        <w:bidi w:val="0"/>
        <w:spacing w:before="0" w:after="160" w:line="274" w:lineRule="exact"/>
        <w:ind w:left="0" w:right="0" w:firstLine="440"/>
        <w:jc w:val="both"/>
        <w:rPr>
          <w:sz w:val="20"/>
          <w:szCs w:val="20"/>
        </w:rPr>
      </w:pPr>
      <w:r>
        <w:rPr>
          <w:color w:val="000000"/>
          <w:spacing w:val="0"/>
          <w:w w:val="100"/>
          <w:position w:val="0"/>
          <w:sz w:val="20"/>
          <w:szCs w:val="20"/>
        </w:rPr>
        <w:t>出租人承担了应由承租方承担的与租赁相关的费用时，将该部分费用从租金收入总额中扣除，按扣除 后的租金费用在租赁期内分配。</w:t>
      </w:r>
    </w:p>
    <w:p>
      <w:pPr>
        <w:pStyle w:val="Style31"/>
        <w:keepNext w:val="0"/>
        <w:keepLines w:val="0"/>
        <w:widowControl w:val="0"/>
        <w:shd w:val="clear" w:color="auto" w:fill="auto"/>
        <w:tabs>
          <w:tab w:pos="827" w:val="left"/>
        </w:tabs>
        <w:bidi w:val="0"/>
        <w:spacing w:before="0" w:after="100" w:line="286" w:lineRule="auto"/>
        <w:ind w:left="0" w:right="0" w:firstLine="440"/>
        <w:jc w:val="both"/>
        <w:rPr>
          <w:sz w:val="20"/>
          <w:szCs w:val="20"/>
        </w:rPr>
      </w:pPr>
      <w:bookmarkStart w:id="779" w:name="bookmark779"/>
      <w:r>
        <w:rPr>
          <w:rFonts w:ascii="Times New Roman" w:eastAsia="Times New Roman" w:hAnsi="Times New Roman" w:cs="Times New Roman"/>
          <w:b/>
          <w:bCs/>
          <w:color w:val="000000"/>
          <w:spacing w:val="0"/>
          <w:w w:val="100"/>
          <w:position w:val="0"/>
          <w:sz w:val="20"/>
          <w:szCs w:val="20"/>
        </w:rPr>
        <w:t>2</w:t>
      </w:r>
      <w:bookmarkEnd w:id="779"/>
      <w:r>
        <w:rPr>
          <w:b/>
          <w:bCs/>
          <w:color w:val="000000"/>
          <w:spacing w:val="0"/>
          <w:w w:val="100"/>
          <w:position w:val="0"/>
          <w:sz w:val="20"/>
          <w:szCs w:val="20"/>
        </w:rPr>
        <w:t>、</w:t>
        <w:tab/>
        <w:t>融资租赁会计处理</w:t>
      </w:r>
    </w:p>
    <w:p>
      <w:pPr>
        <w:pStyle w:val="Style31"/>
        <w:keepNext w:val="0"/>
        <w:keepLines w:val="0"/>
        <w:widowControl w:val="0"/>
        <w:shd w:val="clear" w:color="auto" w:fill="auto"/>
        <w:bidi w:val="0"/>
        <w:spacing w:before="0" w:after="100" w:line="278" w:lineRule="exact"/>
        <w:ind w:left="0" w:right="0" w:firstLine="440"/>
        <w:jc w:val="both"/>
        <w:rPr>
          <w:sz w:val="20"/>
          <w:szCs w:val="20"/>
        </w:rPr>
      </w:pPr>
      <w:bookmarkStart w:id="780" w:name="bookmark780"/>
      <w:r>
        <w:rPr>
          <w:color w:val="000000"/>
          <w:spacing w:val="0"/>
          <w:w w:val="100"/>
          <w:position w:val="0"/>
          <w:sz w:val="20"/>
          <w:szCs w:val="20"/>
        </w:rPr>
        <w:t>（</w:t>
      </w:r>
      <w:bookmarkEnd w:id="78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融资租入资产：公司在承租开始日，将租赁资产公允价值与最低租赁付款额现值两者中较低者 作为租入资产的入账价值，将最低租赁付款额作为长期应付款的入账价值，其差额作为未确认的融资费用。</w:t>
      </w:r>
    </w:p>
    <w:p>
      <w:pPr>
        <w:pStyle w:val="Style31"/>
        <w:keepNext w:val="0"/>
        <w:keepLines w:val="0"/>
        <w:widowControl w:val="0"/>
        <w:shd w:val="clear" w:color="auto" w:fill="auto"/>
        <w:bidi w:val="0"/>
        <w:spacing w:before="0" w:after="100" w:line="269" w:lineRule="exact"/>
        <w:ind w:left="0" w:right="0" w:firstLine="440"/>
        <w:jc w:val="both"/>
        <w:rPr>
          <w:sz w:val="20"/>
          <w:szCs w:val="20"/>
        </w:rPr>
      </w:pPr>
      <w:r>
        <w:rPr>
          <w:color w:val="000000"/>
          <w:spacing w:val="0"/>
          <w:w w:val="100"/>
          <w:position w:val="0"/>
          <w:sz w:val="20"/>
          <w:szCs w:val="20"/>
        </w:rPr>
        <w:t>采用实际利率法对未确认的融资费用，在资产租赁期间内摊销，计入财务费用。公司发生的初始直接 费用，计入租入资产价值。</w:t>
      </w:r>
    </w:p>
    <w:p>
      <w:pPr>
        <w:pStyle w:val="Style31"/>
        <w:keepNext w:val="0"/>
        <w:keepLines w:val="0"/>
        <w:widowControl w:val="0"/>
        <w:shd w:val="clear" w:color="auto" w:fill="auto"/>
        <w:bidi w:val="0"/>
        <w:spacing w:before="0" w:after="100" w:line="276" w:lineRule="exact"/>
        <w:ind w:left="0" w:right="0" w:firstLine="440"/>
        <w:jc w:val="both"/>
        <w:rPr>
          <w:sz w:val="20"/>
          <w:szCs w:val="20"/>
        </w:rPr>
      </w:pPr>
      <w:bookmarkStart w:id="781" w:name="bookmark781"/>
      <w:r>
        <w:rPr>
          <w:color w:val="000000"/>
          <w:spacing w:val="0"/>
          <w:w w:val="100"/>
          <w:position w:val="0"/>
          <w:sz w:val="20"/>
          <w:szCs w:val="20"/>
        </w:rPr>
        <w:t>（</w:t>
      </w:r>
      <w:bookmarkEnd w:id="78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融资租出资产：公司在租赁开始日，将应收融资租赁款，未担保余值之和与其现值的差额确认 为未实现融资收益，在将来收到租金的各期间内确认为租赁收入。公司发生的与出租交易相关的初始直接 费用，计入应收融资租赁款的初始计量中，并减少租赁期内确认的收益金额。</w:t>
      </w:r>
    </w:p>
    <w:p>
      <w:pPr>
        <w:pStyle w:val="Style28"/>
        <w:keepNext/>
        <w:keepLines/>
        <w:widowControl w:val="0"/>
        <w:shd w:val="clear" w:color="auto" w:fill="auto"/>
        <w:bidi w:val="0"/>
        <w:spacing w:before="0" w:after="100" w:line="274" w:lineRule="exact"/>
        <w:ind w:left="0" w:right="0" w:firstLine="0"/>
        <w:jc w:val="both"/>
      </w:pPr>
      <w:bookmarkStart w:id="782" w:name="bookmark782"/>
      <w:bookmarkStart w:id="783" w:name="bookmark783"/>
      <w:bookmarkStart w:id="784" w:name="bookmark784"/>
      <w:r>
        <w:rPr>
          <w:color w:val="000000"/>
          <w:spacing w:val="0"/>
          <w:w w:val="100"/>
          <w:position w:val="0"/>
        </w:rPr>
        <w:t>（三十）终止经营</w:t>
      </w:r>
      <w:bookmarkEnd w:id="782"/>
      <w:bookmarkEnd w:id="783"/>
      <w:bookmarkEnd w:id="784"/>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终止经营，是指满足下列条件之一的已被企业处置或被企业划归为持有待售的、在经营和编制财务报 表时能够单独区分的组成部分：</w:t>
      </w:r>
    </w:p>
    <w:p>
      <w:pPr>
        <w:pStyle w:val="Style31"/>
        <w:keepNext w:val="0"/>
        <w:keepLines w:val="0"/>
        <w:widowControl w:val="0"/>
        <w:shd w:val="clear" w:color="auto" w:fill="auto"/>
        <w:tabs>
          <w:tab w:pos="928" w:val="left"/>
        </w:tabs>
        <w:bidi w:val="0"/>
        <w:spacing w:before="0" w:after="100" w:line="274" w:lineRule="exact"/>
        <w:ind w:left="0" w:right="0" w:firstLine="440"/>
        <w:jc w:val="both"/>
        <w:rPr>
          <w:sz w:val="20"/>
          <w:szCs w:val="20"/>
        </w:rPr>
      </w:pPr>
      <w:bookmarkStart w:id="785" w:name="bookmark785"/>
      <w:r>
        <w:rPr>
          <w:color w:val="000000"/>
          <w:spacing w:val="0"/>
          <w:w w:val="100"/>
          <w:position w:val="0"/>
          <w:sz w:val="20"/>
          <w:szCs w:val="20"/>
        </w:rPr>
        <w:t>（</w:t>
      </w:r>
      <w:bookmarkEnd w:id="78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该组成部分代表一项独立的主要业务或一个主要经营地区；</w:t>
      </w:r>
    </w:p>
    <w:p>
      <w:pPr>
        <w:pStyle w:val="Style31"/>
        <w:keepNext w:val="0"/>
        <w:keepLines w:val="0"/>
        <w:widowControl w:val="0"/>
        <w:shd w:val="clear" w:color="auto" w:fill="auto"/>
        <w:tabs>
          <w:tab w:pos="928" w:val="left"/>
        </w:tabs>
        <w:bidi w:val="0"/>
        <w:spacing w:before="0" w:after="100" w:line="274" w:lineRule="exact"/>
        <w:ind w:left="0" w:right="0" w:firstLine="440"/>
        <w:jc w:val="both"/>
        <w:rPr>
          <w:sz w:val="20"/>
          <w:szCs w:val="20"/>
        </w:rPr>
      </w:pPr>
      <w:bookmarkStart w:id="786" w:name="bookmark786"/>
      <w:r>
        <w:rPr>
          <w:color w:val="000000"/>
          <w:spacing w:val="0"/>
          <w:w w:val="100"/>
          <w:position w:val="0"/>
          <w:sz w:val="20"/>
          <w:szCs w:val="20"/>
        </w:rPr>
        <w:t>（</w:t>
      </w:r>
      <w:bookmarkEnd w:id="78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该组成部分是拟对一项独立的主要业务或一个主要经营地区进行处置计划的一部分；</w:t>
      </w:r>
    </w:p>
    <w:p>
      <w:pPr>
        <w:pStyle w:val="Style31"/>
        <w:keepNext w:val="0"/>
        <w:keepLines w:val="0"/>
        <w:widowControl w:val="0"/>
        <w:shd w:val="clear" w:color="auto" w:fill="auto"/>
        <w:tabs>
          <w:tab w:pos="928" w:val="left"/>
        </w:tabs>
        <w:bidi w:val="0"/>
        <w:spacing w:before="0" w:after="100" w:line="274" w:lineRule="exact"/>
        <w:ind w:left="0" w:right="0" w:firstLine="440"/>
        <w:jc w:val="both"/>
        <w:rPr>
          <w:sz w:val="20"/>
          <w:szCs w:val="20"/>
        </w:rPr>
      </w:pPr>
      <w:bookmarkStart w:id="787" w:name="bookmark787"/>
      <w:r>
        <w:rPr>
          <w:color w:val="000000"/>
          <w:spacing w:val="0"/>
          <w:w w:val="100"/>
          <w:position w:val="0"/>
          <w:sz w:val="20"/>
          <w:szCs w:val="20"/>
        </w:rPr>
        <w:t>（</w:t>
      </w:r>
      <w:bookmarkEnd w:id="787"/>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该组成部分是仅仅为了再出售而取得的子公司。</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符合持有待售的资产的会计处理见本附注五（十三）“划分为持有待售资产的确认标准”。</w:t>
      </w:r>
    </w:p>
    <w:p>
      <w:pPr>
        <w:pStyle w:val="Style28"/>
        <w:keepNext/>
        <w:keepLines/>
        <w:widowControl w:val="0"/>
        <w:shd w:val="clear" w:color="auto" w:fill="auto"/>
        <w:bidi w:val="0"/>
        <w:spacing w:before="0" w:after="100" w:line="274" w:lineRule="exact"/>
        <w:ind w:left="0" w:right="0" w:firstLine="0"/>
        <w:jc w:val="both"/>
      </w:pPr>
      <w:bookmarkStart w:id="788" w:name="bookmark788"/>
      <w:bookmarkStart w:id="789" w:name="bookmark789"/>
      <w:bookmarkStart w:id="790" w:name="bookmark790"/>
      <w:r>
        <w:rPr>
          <w:color w:val="000000"/>
          <w:spacing w:val="0"/>
          <w:w w:val="100"/>
          <w:position w:val="0"/>
        </w:rPr>
        <w:t>（三十一）关联方</w:t>
      </w:r>
      <w:bookmarkEnd w:id="788"/>
      <w:bookmarkEnd w:id="789"/>
      <w:bookmarkEnd w:id="790"/>
    </w:p>
    <w:p>
      <w:pPr>
        <w:pStyle w:val="Style31"/>
        <w:keepNext w:val="0"/>
        <w:keepLines w:val="0"/>
        <w:widowControl w:val="0"/>
        <w:shd w:val="clear" w:color="auto" w:fill="auto"/>
        <w:bidi w:val="0"/>
        <w:spacing w:before="0" w:after="160" w:line="271" w:lineRule="exact"/>
        <w:ind w:left="0" w:right="0" w:firstLine="440"/>
        <w:jc w:val="both"/>
        <w:rPr>
          <w:sz w:val="20"/>
          <w:szCs w:val="20"/>
        </w:rPr>
      </w:pPr>
      <w:r>
        <w:rPr>
          <w:color w:val="000000"/>
          <w:spacing w:val="0"/>
          <w:w w:val="100"/>
          <w:position w:val="0"/>
          <w:sz w:val="20"/>
          <w:szCs w:val="20"/>
        </w:rPr>
        <w:t>一方控制、共同控制另一方或对另一方施加重大影响，以及两方或两方以上同受一方控制、共同控制 的，构成本公司的关联方。关联方可为个人或企业。仅仅同受国家控制而不存在其他关联方关系的企业， 不构成的关联方。</w:t>
      </w:r>
    </w:p>
    <w:p>
      <w:pPr>
        <w:pStyle w:val="Style31"/>
        <w:keepNext w:val="0"/>
        <w:keepLines w:val="0"/>
        <w:widowControl w:val="0"/>
        <w:shd w:val="clear" w:color="auto" w:fill="auto"/>
        <w:bidi w:val="0"/>
        <w:spacing w:before="0" w:after="160" w:line="240" w:lineRule="auto"/>
        <w:ind w:left="0" w:right="0" w:firstLine="440"/>
        <w:jc w:val="both"/>
        <w:rPr>
          <w:sz w:val="20"/>
          <w:szCs w:val="20"/>
        </w:rPr>
      </w:pPr>
      <w:r>
        <w:rPr>
          <w:color w:val="000000"/>
          <w:spacing w:val="0"/>
          <w:w w:val="100"/>
          <w:position w:val="0"/>
          <w:sz w:val="20"/>
          <w:szCs w:val="20"/>
        </w:rPr>
        <w:t>本公司关联方包括但不限于:</w:t>
      </w:r>
    </w:p>
    <w:p>
      <w:pPr>
        <w:pStyle w:val="Style31"/>
        <w:keepNext w:val="0"/>
        <w:keepLines w:val="0"/>
        <w:widowControl w:val="0"/>
        <w:shd w:val="clear" w:color="auto" w:fill="auto"/>
        <w:tabs>
          <w:tab w:pos="928" w:val="left"/>
        </w:tabs>
        <w:bidi w:val="0"/>
        <w:spacing w:before="0" w:after="160" w:line="240" w:lineRule="auto"/>
        <w:ind w:left="0" w:right="0" w:firstLine="440"/>
        <w:jc w:val="both"/>
        <w:rPr>
          <w:sz w:val="20"/>
          <w:szCs w:val="20"/>
        </w:rPr>
      </w:pPr>
      <w:bookmarkStart w:id="791" w:name="bookmark791"/>
      <w:r>
        <w:rPr>
          <w:color w:val="000000"/>
          <w:spacing w:val="0"/>
          <w:w w:val="100"/>
          <w:position w:val="0"/>
          <w:sz w:val="20"/>
          <w:szCs w:val="20"/>
        </w:rPr>
        <w:t>（</w:t>
      </w:r>
      <w:bookmarkEnd w:id="791"/>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母公司；</w:t>
      </w:r>
    </w:p>
    <w:p>
      <w:pPr>
        <w:pStyle w:val="Style31"/>
        <w:keepNext w:val="0"/>
        <w:keepLines w:val="0"/>
        <w:widowControl w:val="0"/>
        <w:shd w:val="clear" w:color="auto" w:fill="auto"/>
        <w:tabs>
          <w:tab w:pos="928" w:val="left"/>
        </w:tabs>
        <w:bidi w:val="0"/>
        <w:spacing w:before="0" w:after="100" w:line="240" w:lineRule="auto"/>
        <w:ind w:left="0" w:right="0" w:firstLine="440"/>
        <w:jc w:val="both"/>
        <w:rPr>
          <w:sz w:val="20"/>
          <w:szCs w:val="20"/>
        </w:rPr>
      </w:pPr>
      <w:bookmarkStart w:id="792" w:name="bookmark792"/>
      <w:r>
        <w:rPr>
          <w:color w:val="000000"/>
          <w:spacing w:val="0"/>
          <w:w w:val="100"/>
          <w:position w:val="0"/>
          <w:sz w:val="20"/>
          <w:szCs w:val="20"/>
        </w:rPr>
        <w:t>（</w:t>
      </w:r>
      <w:bookmarkEnd w:id="792"/>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子公司；</w:t>
      </w:r>
    </w:p>
    <w:p>
      <w:pPr>
        <w:pStyle w:val="Style31"/>
        <w:keepNext w:val="0"/>
        <w:keepLines w:val="0"/>
        <w:widowControl w:val="0"/>
        <w:shd w:val="clear" w:color="auto" w:fill="auto"/>
        <w:tabs>
          <w:tab w:pos="928" w:val="left"/>
        </w:tabs>
        <w:bidi w:val="0"/>
        <w:spacing w:before="0" w:after="0" w:line="403" w:lineRule="exact"/>
        <w:ind w:left="0" w:right="0" w:firstLine="440"/>
        <w:jc w:val="left"/>
        <w:rPr>
          <w:sz w:val="20"/>
          <w:szCs w:val="20"/>
        </w:rPr>
      </w:pPr>
      <w:bookmarkStart w:id="793" w:name="bookmark793"/>
      <w:r>
        <w:rPr>
          <w:color w:val="000000"/>
          <w:spacing w:val="0"/>
          <w:w w:val="100"/>
          <w:position w:val="0"/>
          <w:sz w:val="20"/>
          <w:szCs w:val="20"/>
        </w:rPr>
        <w:t>（</w:t>
      </w:r>
      <w:bookmarkEnd w:id="793"/>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受同一母公司控制的其他企业；</w:t>
      </w:r>
    </w:p>
    <w:p>
      <w:pPr>
        <w:pStyle w:val="Style31"/>
        <w:keepNext w:val="0"/>
        <w:keepLines w:val="0"/>
        <w:widowControl w:val="0"/>
        <w:shd w:val="clear" w:color="auto" w:fill="auto"/>
        <w:tabs>
          <w:tab w:pos="928" w:val="left"/>
        </w:tabs>
        <w:bidi w:val="0"/>
        <w:spacing w:before="0" w:after="0" w:line="403" w:lineRule="exact"/>
        <w:ind w:left="0" w:right="0" w:firstLine="440"/>
        <w:jc w:val="left"/>
        <w:rPr>
          <w:sz w:val="20"/>
          <w:szCs w:val="20"/>
        </w:rPr>
      </w:pPr>
      <w:bookmarkStart w:id="794" w:name="bookmark794"/>
      <w:r>
        <w:rPr>
          <w:color w:val="000000"/>
          <w:spacing w:val="0"/>
          <w:w w:val="100"/>
          <w:position w:val="0"/>
          <w:sz w:val="20"/>
          <w:szCs w:val="20"/>
        </w:rPr>
        <w:t>（</w:t>
      </w:r>
      <w:bookmarkEnd w:id="794"/>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实施共同控制的投资方；</w:t>
      </w:r>
    </w:p>
    <w:p>
      <w:pPr>
        <w:pStyle w:val="Style31"/>
        <w:keepNext w:val="0"/>
        <w:keepLines w:val="0"/>
        <w:widowControl w:val="0"/>
        <w:shd w:val="clear" w:color="auto" w:fill="auto"/>
        <w:tabs>
          <w:tab w:pos="928" w:val="left"/>
        </w:tabs>
        <w:bidi w:val="0"/>
        <w:spacing w:before="0" w:after="0" w:line="403" w:lineRule="exact"/>
        <w:ind w:left="0" w:right="0" w:firstLine="440"/>
        <w:jc w:val="left"/>
        <w:rPr>
          <w:sz w:val="20"/>
          <w:szCs w:val="20"/>
        </w:rPr>
      </w:pPr>
      <w:bookmarkStart w:id="795" w:name="bookmark795"/>
      <w:r>
        <w:rPr>
          <w:color w:val="000000"/>
          <w:spacing w:val="0"/>
          <w:w w:val="100"/>
          <w:position w:val="0"/>
          <w:sz w:val="20"/>
          <w:szCs w:val="20"/>
        </w:rPr>
        <w:t>（</w:t>
      </w:r>
      <w:bookmarkEnd w:id="795"/>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施加重大影响的投资方；</w:t>
      </w:r>
    </w:p>
    <w:p>
      <w:pPr>
        <w:pStyle w:val="Style31"/>
        <w:keepNext w:val="0"/>
        <w:keepLines w:val="0"/>
        <w:widowControl w:val="0"/>
        <w:shd w:val="clear" w:color="auto" w:fill="auto"/>
        <w:tabs>
          <w:tab w:pos="928" w:val="left"/>
        </w:tabs>
        <w:bidi w:val="0"/>
        <w:spacing w:before="0" w:after="0" w:line="403" w:lineRule="exact"/>
        <w:ind w:left="0" w:right="0" w:firstLine="440"/>
        <w:jc w:val="left"/>
        <w:rPr>
          <w:sz w:val="20"/>
          <w:szCs w:val="20"/>
        </w:rPr>
      </w:pPr>
      <w:bookmarkStart w:id="796" w:name="bookmark796"/>
      <w:r>
        <w:rPr>
          <w:color w:val="000000"/>
          <w:spacing w:val="0"/>
          <w:w w:val="100"/>
          <w:position w:val="0"/>
          <w:sz w:val="20"/>
          <w:szCs w:val="20"/>
        </w:rPr>
        <w:t>（</w:t>
      </w:r>
      <w:bookmarkEnd w:id="796"/>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合营企业，包括合营企业的子公司；</w:t>
      </w:r>
    </w:p>
    <w:p>
      <w:pPr>
        <w:pStyle w:val="Style31"/>
        <w:keepNext w:val="0"/>
        <w:keepLines w:val="0"/>
        <w:widowControl w:val="0"/>
        <w:shd w:val="clear" w:color="auto" w:fill="auto"/>
        <w:tabs>
          <w:tab w:pos="928" w:val="left"/>
        </w:tabs>
        <w:bidi w:val="0"/>
        <w:spacing w:before="0" w:after="0" w:line="403" w:lineRule="exact"/>
        <w:ind w:left="0" w:right="0" w:firstLine="440"/>
        <w:jc w:val="left"/>
        <w:rPr>
          <w:sz w:val="20"/>
          <w:szCs w:val="20"/>
        </w:rPr>
      </w:pPr>
      <w:bookmarkStart w:id="797" w:name="bookmark797"/>
      <w:r>
        <w:rPr>
          <w:color w:val="000000"/>
          <w:spacing w:val="0"/>
          <w:w w:val="100"/>
          <w:position w:val="0"/>
          <w:sz w:val="20"/>
          <w:szCs w:val="20"/>
        </w:rPr>
        <w:t>（</w:t>
      </w:r>
      <w:bookmarkEnd w:id="797"/>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tab/>
        <w:t>联营企业，包括联营企业的子公司；</w:t>
      </w:r>
    </w:p>
    <w:p>
      <w:pPr>
        <w:pStyle w:val="Style31"/>
        <w:keepNext w:val="0"/>
        <w:keepLines w:val="0"/>
        <w:widowControl w:val="0"/>
        <w:shd w:val="clear" w:color="auto" w:fill="auto"/>
        <w:tabs>
          <w:tab w:pos="928" w:val="left"/>
        </w:tabs>
        <w:bidi w:val="0"/>
        <w:spacing w:before="0" w:after="0" w:line="403" w:lineRule="exact"/>
        <w:ind w:left="0" w:right="0" w:firstLine="440"/>
        <w:jc w:val="left"/>
        <w:rPr>
          <w:sz w:val="20"/>
          <w:szCs w:val="20"/>
        </w:rPr>
      </w:pPr>
      <w:bookmarkStart w:id="798" w:name="bookmark798"/>
      <w:r>
        <w:rPr>
          <w:color w:val="000000"/>
          <w:spacing w:val="0"/>
          <w:w w:val="100"/>
          <w:position w:val="0"/>
          <w:sz w:val="20"/>
          <w:szCs w:val="20"/>
        </w:rPr>
        <w:t>（</w:t>
      </w:r>
      <w:bookmarkEnd w:id="798"/>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tab/>
        <w:t>主要投资者个人及与其关系密切的家庭成员；</w:t>
      </w:r>
    </w:p>
    <w:p>
      <w:pPr>
        <w:pStyle w:val="Style31"/>
        <w:keepNext w:val="0"/>
        <w:keepLines w:val="0"/>
        <w:widowControl w:val="0"/>
        <w:shd w:val="clear" w:color="auto" w:fill="auto"/>
        <w:tabs>
          <w:tab w:pos="928" w:val="left"/>
        </w:tabs>
        <w:bidi w:val="0"/>
        <w:spacing w:before="0" w:after="0" w:line="403" w:lineRule="exact"/>
        <w:ind w:left="0" w:right="0" w:firstLine="440"/>
        <w:jc w:val="left"/>
        <w:rPr>
          <w:sz w:val="20"/>
          <w:szCs w:val="20"/>
        </w:rPr>
      </w:pPr>
      <w:bookmarkStart w:id="799" w:name="bookmark799"/>
      <w:r>
        <w:rPr>
          <w:color w:val="000000"/>
          <w:spacing w:val="0"/>
          <w:w w:val="100"/>
          <w:position w:val="0"/>
          <w:sz w:val="20"/>
          <w:szCs w:val="20"/>
        </w:rPr>
        <w:t>（</w:t>
      </w:r>
      <w:bookmarkEnd w:id="799"/>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tab/>
        <w:t>本公司或其母公司的关键管理人员及与其关系密切的家庭成员；</w:t>
      </w:r>
    </w:p>
    <w:p>
      <w:pPr>
        <w:pStyle w:val="Style31"/>
        <w:keepNext w:val="0"/>
        <w:keepLines w:val="0"/>
        <w:widowControl w:val="0"/>
        <w:shd w:val="clear" w:color="auto" w:fill="auto"/>
        <w:tabs>
          <w:tab w:pos="1134" w:val="left"/>
        </w:tabs>
        <w:bidi w:val="0"/>
        <w:spacing w:before="0" w:after="40" w:line="403" w:lineRule="exact"/>
        <w:ind w:left="440" w:right="0" w:firstLine="0"/>
        <w:jc w:val="left"/>
        <w:rPr>
          <w:sz w:val="20"/>
          <w:szCs w:val="20"/>
        </w:rPr>
      </w:pPr>
      <w:bookmarkStart w:id="800" w:name="bookmark800"/>
      <w:r>
        <w:rPr>
          <w:color w:val="000000"/>
          <w:spacing w:val="0"/>
          <w:w w:val="100"/>
          <w:position w:val="0"/>
          <w:sz w:val="20"/>
          <w:szCs w:val="20"/>
        </w:rPr>
        <w:t>（</w:t>
      </w:r>
      <w:bookmarkEnd w:id="800"/>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tab/>
        <w:t>本公司主要投资者个人、关键管理人员或与其关系密切的家庭成员控制、共同控制的其他企业。 除上述按照企业会计准则的有关要求被确定为本公司的关联方以外，根据证监会颁布的《上市公司信</w:t>
      </w:r>
    </w:p>
    <w:p>
      <w:pPr>
        <w:pStyle w:val="Style3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息披露管理办法》的要求，以下企业或个人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包括但不限于</w:t>
      </w:r>
      <w:r>
        <w:rPr>
          <w:color w:val="000000"/>
          <w:spacing w:val="0"/>
          <w:w w:val="100"/>
          <w:position w:val="0"/>
          <w:sz w:val="20"/>
          <w:szCs w:val="20"/>
        </w:rPr>
        <w:t>）</w:t>
      </w:r>
      <w:r>
        <w:rPr>
          <w:color w:val="000000"/>
          <w:spacing w:val="0"/>
          <w:w w:val="100"/>
          <w:position w:val="0"/>
          <w:sz w:val="20"/>
          <w:szCs w:val="20"/>
        </w:rPr>
        <w:t>也属于本公司的关联方：</w:t>
      </w:r>
    </w:p>
    <w:p>
      <w:pPr>
        <w:pStyle w:val="Style31"/>
        <w:keepNext w:val="0"/>
        <w:keepLines w:val="0"/>
        <w:widowControl w:val="0"/>
        <w:shd w:val="clear" w:color="auto" w:fill="auto"/>
        <w:tabs>
          <w:tab w:pos="1034" w:val="left"/>
        </w:tabs>
        <w:bidi w:val="0"/>
        <w:spacing w:before="0" w:line="341" w:lineRule="exact"/>
        <w:ind w:left="0" w:right="0" w:firstLine="440"/>
        <w:jc w:val="left"/>
        <w:rPr>
          <w:sz w:val="20"/>
          <w:szCs w:val="20"/>
        </w:rPr>
      </w:pPr>
      <w:bookmarkStart w:id="801" w:name="bookmark801"/>
      <w:r>
        <w:rPr>
          <w:color w:val="000000"/>
          <w:spacing w:val="0"/>
          <w:w w:val="100"/>
          <w:position w:val="0"/>
          <w:sz w:val="20"/>
          <w:szCs w:val="20"/>
        </w:rPr>
        <w:t>（</w:t>
      </w:r>
      <w:bookmarkEnd w:id="801"/>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tab/>
        <w:t>持有本公司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以上股份的企业或者一致行动人；</w:t>
      </w:r>
    </w:p>
    <w:p>
      <w:pPr>
        <w:pStyle w:val="Style31"/>
        <w:keepNext w:val="0"/>
        <w:keepLines w:val="0"/>
        <w:widowControl w:val="0"/>
        <w:shd w:val="clear" w:color="auto" w:fill="auto"/>
        <w:tabs>
          <w:tab w:pos="1126" w:val="left"/>
        </w:tabs>
        <w:bidi w:val="0"/>
        <w:spacing w:before="0" w:line="269" w:lineRule="exact"/>
        <w:ind w:left="0" w:right="0" w:firstLine="440"/>
        <w:jc w:val="left"/>
        <w:rPr>
          <w:sz w:val="20"/>
          <w:szCs w:val="20"/>
        </w:rPr>
      </w:pPr>
      <w:bookmarkStart w:id="802" w:name="bookmark802"/>
      <w:r>
        <w:rPr>
          <w:color w:val="000000"/>
          <w:spacing w:val="0"/>
          <w:w w:val="100"/>
          <w:position w:val="0"/>
          <w:sz w:val="20"/>
          <w:szCs w:val="20"/>
        </w:rPr>
        <w:t>（</w:t>
      </w:r>
      <w:bookmarkEnd w:id="802"/>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w:t>
        <w:tab/>
        <w:t>直接或者间接持有本公司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以上股份的个人及与其关系密切的家庭成员，上市公司监事及与 其关系密切的家庭成员；</w:t>
      </w:r>
    </w:p>
    <w:p>
      <w:pPr>
        <w:pStyle w:val="Style31"/>
        <w:keepNext w:val="0"/>
        <w:keepLines w:val="0"/>
        <w:widowControl w:val="0"/>
        <w:shd w:val="clear" w:color="auto" w:fill="auto"/>
        <w:tabs>
          <w:tab w:pos="1122" w:val="left"/>
        </w:tabs>
        <w:bidi w:val="0"/>
        <w:spacing w:before="0" w:after="40" w:line="269" w:lineRule="exact"/>
        <w:ind w:left="0" w:right="0" w:firstLine="440"/>
        <w:jc w:val="left"/>
        <w:rPr>
          <w:sz w:val="20"/>
          <w:szCs w:val="20"/>
        </w:rPr>
      </w:pPr>
      <w:bookmarkStart w:id="803" w:name="bookmark803"/>
      <w:r>
        <w:rPr>
          <w:color w:val="000000"/>
          <w:spacing w:val="0"/>
          <w:w w:val="100"/>
          <w:position w:val="0"/>
          <w:sz w:val="20"/>
          <w:szCs w:val="20"/>
        </w:rPr>
        <w:t>（</w:t>
      </w:r>
      <w:bookmarkEnd w:id="803"/>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w:t>
        <w:tab/>
        <w:t>在过去</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个月内或者根据相关协议安排在未来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月内，存在上述第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和</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项情形之一的 企业；</w:t>
      </w:r>
    </w:p>
    <w:p>
      <w:pPr>
        <w:pStyle w:val="Style31"/>
        <w:keepNext w:val="0"/>
        <w:keepLines w:val="0"/>
        <w:widowControl w:val="0"/>
        <w:shd w:val="clear" w:color="auto" w:fill="auto"/>
        <w:tabs>
          <w:tab w:pos="1034" w:val="left"/>
        </w:tabs>
        <w:bidi w:val="0"/>
        <w:spacing w:before="0" w:line="341" w:lineRule="exact"/>
        <w:ind w:left="0" w:right="0" w:firstLine="440"/>
        <w:jc w:val="left"/>
        <w:rPr>
          <w:sz w:val="20"/>
          <w:szCs w:val="20"/>
        </w:rPr>
      </w:pPr>
      <w:bookmarkStart w:id="804" w:name="bookmark804"/>
      <w:r>
        <w:rPr>
          <w:color w:val="000000"/>
          <w:spacing w:val="0"/>
          <w:w w:val="100"/>
          <w:position w:val="0"/>
          <w:sz w:val="20"/>
          <w:szCs w:val="20"/>
        </w:rPr>
        <w:t>（</w:t>
      </w:r>
      <w:bookmarkEnd w:id="804"/>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w:t>
        <w:tab/>
        <w:t>在过去</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个月内或者根据相关协议安排在未来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月内，存在上述第</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项情形之一的个人；</w:t>
      </w:r>
    </w:p>
    <w:p>
      <w:pPr>
        <w:pStyle w:val="Style31"/>
        <w:keepNext w:val="0"/>
        <w:keepLines w:val="0"/>
        <w:widowControl w:val="0"/>
        <w:shd w:val="clear" w:color="auto" w:fill="auto"/>
        <w:tabs>
          <w:tab w:pos="1126" w:val="left"/>
        </w:tabs>
        <w:bidi w:val="0"/>
        <w:spacing w:before="0" w:after="40" w:line="278" w:lineRule="exact"/>
        <w:ind w:left="0" w:right="0" w:firstLine="440"/>
        <w:jc w:val="left"/>
        <w:rPr>
          <w:sz w:val="20"/>
          <w:szCs w:val="20"/>
        </w:rPr>
      </w:pPr>
      <w:bookmarkStart w:id="805" w:name="bookmark805"/>
      <w:r>
        <w:rPr>
          <w:color w:val="000000"/>
          <w:spacing w:val="0"/>
          <w:w w:val="100"/>
          <w:position w:val="0"/>
          <w:sz w:val="20"/>
          <w:szCs w:val="20"/>
        </w:rPr>
        <w:t>（</w:t>
      </w:r>
      <w:bookmarkEnd w:id="805"/>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tab/>
        <w:t>由上述第</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和</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项直接或者间接控制的、或者担任董事、高级管理人员的，除本公司及 其控股子公司以外的企业。</w:t>
      </w:r>
    </w:p>
    <w:p>
      <w:pPr>
        <w:pStyle w:val="Style28"/>
        <w:keepNext/>
        <w:keepLines/>
        <w:widowControl w:val="0"/>
        <w:shd w:val="clear" w:color="auto" w:fill="auto"/>
        <w:bidi w:val="0"/>
        <w:spacing w:before="0" w:after="120" w:line="341" w:lineRule="exact"/>
        <w:ind w:left="0" w:right="0" w:firstLine="0"/>
        <w:jc w:val="left"/>
      </w:pPr>
      <w:bookmarkStart w:id="806" w:name="bookmark806"/>
      <w:bookmarkStart w:id="807" w:name="bookmark807"/>
      <w:bookmarkStart w:id="808" w:name="bookmark808"/>
      <w:r>
        <w:rPr>
          <w:color w:val="000000"/>
          <w:spacing w:val="0"/>
          <w:w w:val="100"/>
          <w:position w:val="0"/>
        </w:rPr>
        <w:t>（三十二）分部报告</w:t>
      </w:r>
      <w:bookmarkEnd w:id="806"/>
      <w:bookmarkEnd w:id="807"/>
      <w:bookmarkEnd w:id="808"/>
    </w:p>
    <w:p>
      <w:pPr>
        <w:pStyle w:val="Style31"/>
        <w:keepNext w:val="0"/>
        <w:keepLines w:val="0"/>
        <w:widowControl w:val="0"/>
        <w:shd w:val="clear" w:color="auto" w:fill="auto"/>
        <w:bidi w:val="0"/>
        <w:spacing w:before="0" w:after="40" w:line="278" w:lineRule="exact"/>
        <w:ind w:left="0" w:right="0" w:firstLine="440"/>
        <w:jc w:val="left"/>
        <w:rPr>
          <w:sz w:val="20"/>
          <w:szCs w:val="20"/>
        </w:rPr>
      </w:pPr>
      <w:r>
        <w:rPr>
          <w:color w:val="000000"/>
          <w:spacing w:val="0"/>
          <w:w w:val="100"/>
          <w:position w:val="0"/>
          <w:sz w:val="20"/>
          <w:szCs w:val="20"/>
        </w:rPr>
        <w:t>本公司根据产品所属的细分行业，以内部组织结构、管理要求、内部报告制度为依据确定经营分部， 以经营分部为基础确定报告分部。经营分部，是指公司内同时满足下列条件的组成部分：</w:t>
      </w:r>
    </w:p>
    <w:p>
      <w:pPr>
        <w:pStyle w:val="Style31"/>
        <w:keepNext w:val="0"/>
        <w:keepLines w:val="0"/>
        <w:widowControl w:val="0"/>
        <w:shd w:val="clear" w:color="auto" w:fill="auto"/>
        <w:tabs>
          <w:tab w:pos="869" w:val="left"/>
        </w:tabs>
        <w:bidi w:val="0"/>
        <w:spacing w:before="0" w:after="40" w:line="341" w:lineRule="exact"/>
        <w:ind w:left="0" w:right="0" w:firstLine="440"/>
        <w:jc w:val="left"/>
        <w:rPr>
          <w:sz w:val="20"/>
          <w:szCs w:val="20"/>
        </w:rPr>
      </w:pPr>
      <w:bookmarkStart w:id="809" w:name="bookmark809"/>
      <w:r>
        <w:rPr>
          <w:rFonts w:ascii="Times New Roman" w:eastAsia="Times New Roman" w:hAnsi="Times New Roman" w:cs="Times New Roman"/>
          <w:color w:val="000000"/>
          <w:spacing w:val="0"/>
          <w:w w:val="100"/>
          <w:position w:val="0"/>
          <w:sz w:val="20"/>
          <w:szCs w:val="20"/>
        </w:rPr>
        <w:t>1</w:t>
      </w:r>
      <w:bookmarkEnd w:id="809"/>
      <w:r>
        <w:rPr>
          <w:color w:val="000000"/>
          <w:spacing w:val="0"/>
          <w:w w:val="100"/>
          <w:position w:val="0"/>
          <w:sz w:val="20"/>
          <w:szCs w:val="20"/>
        </w:rPr>
        <w:t>、</w:t>
        <w:tab/>
        <w:t>该组成部分能够在日常活动中产生收入、发生费用；</w:t>
      </w:r>
    </w:p>
    <w:p>
      <w:pPr>
        <w:pStyle w:val="Style31"/>
        <w:keepNext w:val="0"/>
        <w:keepLines w:val="0"/>
        <w:widowControl w:val="0"/>
        <w:shd w:val="clear" w:color="auto" w:fill="auto"/>
        <w:tabs>
          <w:tab w:pos="869" w:val="left"/>
        </w:tabs>
        <w:bidi w:val="0"/>
        <w:spacing w:before="0" w:after="40" w:line="341" w:lineRule="exact"/>
        <w:ind w:left="0" w:right="0" w:firstLine="440"/>
        <w:jc w:val="left"/>
        <w:rPr>
          <w:sz w:val="20"/>
          <w:szCs w:val="20"/>
        </w:rPr>
      </w:pPr>
      <w:bookmarkStart w:id="810" w:name="bookmark810"/>
      <w:r>
        <w:rPr>
          <w:rFonts w:ascii="Times New Roman" w:eastAsia="Times New Roman" w:hAnsi="Times New Roman" w:cs="Times New Roman"/>
          <w:color w:val="000000"/>
          <w:spacing w:val="0"/>
          <w:w w:val="100"/>
          <w:position w:val="0"/>
          <w:sz w:val="20"/>
          <w:szCs w:val="20"/>
        </w:rPr>
        <w:t>2</w:t>
      </w:r>
      <w:bookmarkEnd w:id="810"/>
      <w:r>
        <w:rPr>
          <w:color w:val="000000"/>
          <w:spacing w:val="0"/>
          <w:w w:val="100"/>
          <w:position w:val="0"/>
          <w:sz w:val="20"/>
          <w:szCs w:val="20"/>
        </w:rPr>
        <w:t>、</w:t>
        <w:tab/>
        <w:t>公司管理层能够定期评价该组成部分的经营成果，以决定向其配置资源、评价其业绩；</w:t>
      </w:r>
    </w:p>
    <w:p>
      <w:pPr>
        <w:pStyle w:val="Style31"/>
        <w:keepNext w:val="0"/>
        <w:keepLines w:val="0"/>
        <w:widowControl w:val="0"/>
        <w:shd w:val="clear" w:color="auto" w:fill="auto"/>
        <w:tabs>
          <w:tab w:pos="869" w:val="left"/>
        </w:tabs>
        <w:bidi w:val="0"/>
        <w:spacing w:before="0" w:line="341" w:lineRule="exact"/>
        <w:ind w:left="0" w:right="0" w:firstLine="440"/>
        <w:jc w:val="left"/>
        <w:rPr>
          <w:sz w:val="20"/>
          <w:szCs w:val="20"/>
        </w:rPr>
      </w:pPr>
      <w:bookmarkStart w:id="811" w:name="bookmark811"/>
      <w:r>
        <w:rPr>
          <w:rFonts w:ascii="Times New Roman" w:eastAsia="Times New Roman" w:hAnsi="Times New Roman" w:cs="Times New Roman"/>
          <w:color w:val="000000"/>
          <w:spacing w:val="0"/>
          <w:w w:val="100"/>
          <w:position w:val="0"/>
          <w:sz w:val="20"/>
          <w:szCs w:val="20"/>
        </w:rPr>
        <w:t>3</w:t>
      </w:r>
      <w:bookmarkEnd w:id="811"/>
      <w:r>
        <w:rPr>
          <w:color w:val="000000"/>
          <w:spacing w:val="0"/>
          <w:w w:val="100"/>
          <w:position w:val="0"/>
          <w:sz w:val="20"/>
          <w:szCs w:val="20"/>
        </w:rPr>
        <w:t>、</w:t>
        <w:tab/>
        <w:t>公司能够取得该组成部分的财务状况、经营成果和现金流量等有关会计信息。</w:t>
      </w:r>
    </w:p>
    <w:p>
      <w:pPr>
        <w:pStyle w:val="Style31"/>
        <w:keepNext w:val="0"/>
        <w:keepLines w:val="0"/>
        <w:widowControl w:val="0"/>
        <w:shd w:val="clear" w:color="auto" w:fill="auto"/>
        <w:bidi w:val="0"/>
        <w:spacing w:before="0" w:after="40" w:line="269" w:lineRule="exact"/>
        <w:ind w:left="0" w:right="0" w:firstLine="440"/>
        <w:jc w:val="left"/>
        <w:rPr>
          <w:sz w:val="20"/>
          <w:szCs w:val="20"/>
        </w:rPr>
      </w:pPr>
      <w:r>
        <w:rPr>
          <w:color w:val="000000"/>
          <w:spacing w:val="0"/>
          <w:w w:val="100"/>
          <w:position w:val="0"/>
          <w:sz w:val="20"/>
          <w:szCs w:val="20"/>
        </w:rPr>
        <w:t>如果两个或多个经营分部存在相似经济特征且同时在以下方面具有相同或相似性的，可以合并为一个 经营分部：</w:t>
      </w:r>
    </w:p>
    <w:p>
      <w:pPr>
        <w:pStyle w:val="Style31"/>
        <w:keepNext w:val="0"/>
        <w:keepLines w:val="0"/>
        <w:widowControl w:val="0"/>
        <w:shd w:val="clear" w:color="auto" w:fill="auto"/>
        <w:tabs>
          <w:tab w:pos="928" w:val="left"/>
        </w:tabs>
        <w:bidi w:val="0"/>
        <w:spacing w:before="0" w:after="40" w:line="341" w:lineRule="exact"/>
        <w:ind w:left="0" w:right="0" w:firstLine="440"/>
        <w:jc w:val="left"/>
        <w:rPr>
          <w:sz w:val="20"/>
          <w:szCs w:val="20"/>
        </w:rPr>
      </w:pPr>
      <w:bookmarkStart w:id="812" w:name="bookmark812"/>
      <w:r>
        <w:rPr>
          <w:color w:val="000000"/>
          <w:spacing w:val="0"/>
          <w:w w:val="100"/>
          <w:position w:val="0"/>
          <w:sz w:val="20"/>
          <w:szCs w:val="20"/>
        </w:rPr>
        <w:t>（</w:t>
      </w:r>
      <w:bookmarkEnd w:id="81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各单项产品或劳务的性质；</w:t>
      </w:r>
    </w:p>
    <w:p>
      <w:pPr>
        <w:pStyle w:val="Style31"/>
        <w:keepNext w:val="0"/>
        <w:keepLines w:val="0"/>
        <w:widowControl w:val="0"/>
        <w:shd w:val="clear" w:color="auto" w:fill="auto"/>
        <w:tabs>
          <w:tab w:pos="928" w:val="left"/>
        </w:tabs>
        <w:bidi w:val="0"/>
        <w:spacing w:before="0" w:after="40" w:line="341" w:lineRule="exact"/>
        <w:ind w:left="0" w:right="0" w:firstLine="440"/>
        <w:jc w:val="left"/>
        <w:rPr>
          <w:sz w:val="20"/>
          <w:szCs w:val="20"/>
        </w:rPr>
      </w:pPr>
      <w:bookmarkStart w:id="813" w:name="bookmark813"/>
      <w:r>
        <w:rPr>
          <w:color w:val="000000"/>
          <w:spacing w:val="0"/>
          <w:w w:val="100"/>
          <w:position w:val="0"/>
          <w:sz w:val="20"/>
          <w:szCs w:val="20"/>
        </w:rPr>
        <w:t>（</w:t>
      </w:r>
      <w:bookmarkEnd w:id="813"/>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生产过程的性质；</w:t>
      </w:r>
    </w:p>
    <w:p>
      <w:pPr>
        <w:pStyle w:val="Style31"/>
        <w:keepNext w:val="0"/>
        <w:keepLines w:val="0"/>
        <w:widowControl w:val="0"/>
        <w:shd w:val="clear" w:color="auto" w:fill="auto"/>
        <w:tabs>
          <w:tab w:pos="928" w:val="left"/>
        </w:tabs>
        <w:bidi w:val="0"/>
        <w:spacing w:before="0" w:after="40" w:line="341" w:lineRule="exact"/>
        <w:ind w:left="0" w:right="0" w:firstLine="440"/>
        <w:jc w:val="left"/>
        <w:rPr>
          <w:sz w:val="20"/>
          <w:szCs w:val="20"/>
        </w:rPr>
      </w:pPr>
      <w:bookmarkStart w:id="814" w:name="bookmark814"/>
      <w:r>
        <w:rPr>
          <w:color w:val="000000"/>
          <w:spacing w:val="0"/>
          <w:w w:val="100"/>
          <w:position w:val="0"/>
          <w:sz w:val="20"/>
          <w:szCs w:val="20"/>
        </w:rPr>
        <w:t>（</w:t>
      </w:r>
      <w:bookmarkEnd w:id="814"/>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产品或劳务的客户类型；</w:t>
      </w:r>
    </w:p>
    <w:p>
      <w:pPr>
        <w:pStyle w:val="Style31"/>
        <w:keepNext w:val="0"/>
        <w:keepLines w:val="0"/>
        <w:widowControl w:val="0"/>
        <w:shd w:val="clear" w:color="auto" w:fill="auto"/>
        <w:tabs>
          <w:tab w:pos="928" w:val="left"/>
        </w:tabs>
        <w:bidi w:val="0"/>
        <w:spacing w:before="0" w:after="40" w:line="341" w:lineRule="exact"/>
        <w:ind w:left="0" w:right="0" w:firstLine="440"/>
        <w:jc w:val="left"/>
        <w:rPr>
          <w:sz w:val="20"/>
          <w:szCs w:val="20"/>
        </w:rPr>
      </w:pPr>
      <w:bookmarkStart w:id="815" w:name="bookmark815"/>
      <w:r>
        <w:rPr>
          <w:color w:val="000000"/>
          <w:spacing w:val="0"/>
          <w:w w:val="100"/>
          <w:position w:val="0"/>
          <w:sz w:val="20"/>
          <w:szCs w:val="20"/>
        </w:rPr>
        <w:t>（</w:t>
      </w:r>
      <w:bookmarkEnd w:id="815"/>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销售产品或提供劳务的方式；</w:t>
      </w:r>
    </w:p>
    <w:p>
      <w:pPr>
        <w:pStyle w:val="Style31"/>
        <w:keepNext w:val="0"/>
        <w:keepLines w:val="0"/>
        <w:widowControl w:val="0"/>
        <w:shd w:val="clear" w:color="auto" w:fill="auto"/>
        <w:tabs>
          <w:tab w:pos="928" w:val="left"/>
        </w:tabs>
        <w:bidi w:val="0"/>
        <w:spacing w:before="0" w:after="40" w:line="341" w:lineRule="exact"/>
        <w:ind w:left="0" w:right="0" w:firstLine="440"/>
        <w:jc w:val="left"/>
        <w:rPr>
          <w:sz w:val="20"/>
          <w:szCs w:val="20"/>
        </w:rPr>
      </w:pPr>
      <w:bookmarkStart w:id="816" w:name="bookmark816"/>
      <w:r>
        <w:rPr>
          <w:color w:val="000000"/>
          <w:spacing w:val="0"/>
          <w:w w:val="100"/>
          <w:position w:val="0"/>
          <w:sz w:val="20"/>
          <w:szCs w:val="20"/>
        </w:rPr>
        <w:t>（</w:t>
      </w:r>
      <w:bookmarkEnd w:id="816"/>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生产产品及提供劳务受法律、行政法规的影响。</w:t>
      </w:r>
    </w:p>
    <w:p>
      <w:pPr>
        <w:pStyle w:val="Style28"/>
        <w:keepNext/>
        <w:keepLines/>
        <w:widowControl w:val="0"/>
        <w:shd w:val="clear" w:color="auto" w:fill="auto"/>
        <w:bidi w:val="0"/>
        <w:spacing w:before="0" w:after="40" w:line="341" w:lineRule="exact"/>
        <w:ind w:left="0" w:right="0" w:firstLine="0"/>
        <w:jc w:val="left"/>
      </w:pPr>
      <w:bookmarkStart w:id="817" w:name="bookmark817"/>
      <w:bookmarkStart w:id="818" w:name="bookmark818"/>
      <w:bookmarkStart w:id="819" w:name="bookmark819"/>
      <w:r>
        <w:rPr>
          <w:color w:val="000000"/>
          <w:spacing w:val="0"/>
          <w:w w:val="100"/>
          <w:position w:val="0"/>
        </w:rPr>
        <w:t>（三十三）重要会计政策、会计估计的变更</w:t>
      </w:r>
      <w:bookmarkEnd w:id="817"/>
      <w:bookmarkEnd w:id="818"/>
      <w:bookmarkEnd w:id="819"/>
    </w:p>
    <w:p>
      <w:pPr>
        <w:pStyle w:val="Style28"/>
        <w:keepNext/>
        <w:keepLines/>
        <w:widowControl w:val="0"/>
        <w:shd w:val="clear" w:color="auto" w:fill="auto"/>
        <w:tabs>
          <w:tab w:pos="869" w:val="left"/>
        </w:tabs>
        <w:bidi w:val="0"/>
        <w:spacing w:before="0" w:after="40" w:line="341" w:lineRule="exact"/>
        <w:ind w:left="0" w:right="0" w:firstLine="440"/>
        <w:jc w:val="left"/>
      </w:pPr>
      <w:bookmarkStart w:id="817" w:name="bookmark817"/>
      <w:bookmarkStart w:id="818" w:name="bookmark818"/>
      <w:bookmarkStart w:id="820" w:name="bookmark820"/>
      <w:r>
        <w:rPr>
          <w:rFonts w:ascii="Times New Roman" w:eastAsia="Times New Roman" w:hAnsi="Times New Roman" w:cs="Times New Roman"/>
          <w:color w:val="000000"/>
          <w:spacing w:val="0"/>
          <w:w w:val="100"/>
          <w:position w:val="0"/>
        </w:rPr>
        <w:t>1</w:t>
      </w:r>
      <w:bookmarkEnd w:id="820"/>
      <w:r>
        <w:rPr>
          <w:color w:val="000000"/>
          <w:spacing w:val="0"/>
          <w:w w:val="100"/>
          <w:position w:val="0"/>
        </w:rPr>
        <w:t>、</w:t>
        <w:tab/>
        <w:t>重要会计政策变更</w:t>
      </w:r>
      <w:bookmarkEnd w:id="817"/>
      <w:bookmarkEnd w:id="818"/>
    </w:p>
    <w:p>
      <w:pPr>
        <w:pStyle w:val="Style31"/>
        <w:keepNext w:val="0"/>
        <w:keepLines w:val="0"/>
        <w:widowControl w:val="0"/>
        <w:shd w:val="clear" w:color="auto" w:fill="auto"/>
        <w:bidi w:val="0"/>
        <w:spacing w:before="0" w:after="40" w:line="341" w:lineRule="exact"/>
        <w:ind w:left="0" w:right="0" w:firstLine="440"/>
        <w:jc w:val="left"/>
        <w:rPr>
          <w:sz w:val="20"/>
          <w:szCs w:val="20"/>
        </w:rPr>
      </w:pPr>
      <w:r>
        <w:rPr>
          <w:color w:val="000000"/>
          <w:spacing w:val="0"/>
          <w:w w:val="100"/>
          <w:position w:val="0"/>
          <w:sz w:val="20"/>
          <w:szCs w:val="20"/>
        </w:rPr>
        <w:t>无。</w:t>
      </w:r>
    </w:p>
    <w:p>
      <w:pPr>
        <w:pStyle w:val="Style31"/>
        <w:keepNext w:val="0"/>
        <w:keepLines w:val="0"/>
        <w:widowControl w:val="0"/>
        <w:shd w:val="clear" w:color="auto" w:fill="auto"/>
        <w:tabs>
          <w:tab w:pos="869" w:val="left"/>
        </w:tabs>
        <w:bidi w:val="0"/>
        <w:spacing w:before="0" w:after="40" w:line="341" w:lineRule="exact"/>
        <w:ind w:left="0" w:right="0" w:firstLine="440"/>
        <w:jc w:val="left"/>
        <w:rPr>
          <w:sz w:val="20"/>
          <w:szCs w:val="20"/>
        </w:rPr>
      </w:pPr>
      <w:bookmarkStart w:id="821" w:name="bookmark821"/>
      <w:r>
        <w:rPr>
          <w:rFonts w:ascii="Times New Roman" w:eastAsia="Times New Roman" w:hAnsi="Times New Roman" w:cs="Times New Roman"/>
          <w:b/>
          <w:bCs/>
          <w:color w:val="000000"/>
          <w:spacing w:val="0"/>
          <w:w w:val="100"/>
          <w:position w:val="0"/>
          <w:sz w:val="20"/>
          <w:szCs w:val="20"/>
        </w:rPr>
        <w:t>2</w:t>
      </w:r>
      <w:bookmarkEnd w:id="821"/>
      <w:r>
        <w:rPr>
          <w:b/>
          <w:bCs/>
          <w:color w:val="000000"/>
          <w:spacing w:val="0"/>
          <w:w w:val="100"/>
          <w:position w:val="0"/>
          <w:sz w:val="20"/>
          <w:szCs w:val="20"/>
        </w:rPr>
        <w:t>、</w:t>
        <w:tab/>
        <w:t>重要会计估计变更</w:t>
      </w:r>
    </w:p>
    <w:p>
      <w:pPr>
        <w:pStyle w:val="Style31"/>
        <w:keepNext w:val="0"/>
        <w:keepLines w:val="0"/>
        <w:widowControl w:val="0"/>
        <w:shd w:val="clear" w:color="auto" w:fill="auto"/>
        <w:bidi w:val="0"/>
        <w:spacing w:before="0" w:after="40" w:line="341" w:lineRule="exact"/>
        <w:ind w:left="0" w:right="0" w:firstLine="440"/>
        <w:jc w:val="left"/>
        <w:rPr>
          <w:sz w:val="20"/>
          <w:szCs w:val="20"/>
        </w:rPr>
      </w:pPr>
      <w:r>
        <w:rPr>
          <w:color w:val="000000"/>
          <w:spacing w:val="0"/>
          <w:w w:val="100"/>
          <w:position w:val="0"/>
          <w:sz w:val="20"/>
          <w:szCs w:val="20"/>
        </w:rPr>
        <w:t>无。</w:t>
      </w:r>
    </w:p>
    <w:p>
      <w:pPr>
        <w:pStyle w:val="Style23"/>
        <w:keepNext/>
        <w:keepLines/>
        <w:widowControl w:val="0"/>
        <w:shd w:val="clear" w:color="auto" w:fill="auto"/>
        <w:bidi w:val="0"/>
        <w:spacing w:before="0" w:after="280" w:line="240" w:lineRule="auto"/>
        <w:ind w:left="0" w:right="0" w:firstLine="0"/>
        <w:jc w:val="left"/>
      </w:pPr>
      <w:bookmarkStart w:id="822" w:name="bookmark822"/>
      <w:bookmarkStart w:id="823" w:name="bookmark823"/>
      <w:bookmarkStart w:id="824" w:name="bookmark824"/>
      <w:bookmarkStart w:id="825" w:name="bookmark825"/>
      <w:r>
        <w:rPr>
          <w:color w:val="000000"/>
          <w:spacing w:val="0"/>
          <w:w w:val="100"/>
          <w:position w:val="0"/>
        </w:rPr>
        <w:t>六</w:t>
      </w:r>
      <w:bookmarkEnd w:id="824"/>
      <w:r>
        <w:rPr>
          <w:color w:val="000000"/>
          <w:spacing w:val="0"/>
          <w:w w:val="100"/>
          <w:position w:val="0"/>
        </w:rPr>
        <w:t>、税项</w:t>
      </w:r>
      <w:bookmarkEnd w:id="822"/>
      <w:bookmarkEnd w:id="823"/>
      <w:bookmarkEnd w:id="825"/>
    </w:p>
    <w:p>
      <w:pPr>
        <w:pStyle w:val="Style28"/>
        <w:keepNext/>
        <w:keepLines/>
        <w:widowControl w:val="0"/>
        <w:shd w:val="clear" w:color="auto" w:fill="auto"/>
        <w:bidi w:val="0"/>
        <w:spacing w:before="0" w:after="100" w:line="240" w:lineRule="auto"/>
        <w:ind w:left="0" w:right="0" w:firstLine="0"/>
        <w:jc w:val="left"/>
      </w:pPr>
      <w:bookmarkStart w:id="826" w:name="bookmark826"/>
      <w:bookmarkStart w:id="827" w:name="bookmark827"/>
      <w:bookmarkStart w:id="828" w:name="bookmark828"/>
      <w:bookmarkStart w:id="829" w:name="bookmark829"/>
      <w:r>
        <w:rPr>
          <w:color w:val="000000"/>
          <w:spacing w:val="0"/>
          <w:w w:val="100"/>
          <w:position w:val="0"/>
        </w:rPr>
        <w:t>（</w:t>
      </w:r>
      <w:bookmarkEnd w:id="828"/>
      <w:r>
        <w:rPr>
          <w:color w:val="000000"/>
          <w:spacing w:val="0"/>
          <w:w w:val="100"/>
          <w:position w:val="0"/>
        </w:rPr>
        <w:t>一）主要税种及税率</w:t>
      </w:r>
      <w:bookmarkEnd w:id="826"/>
      <w:bookmarkEnd w:id="827"/>
      <w:bookmarkEnd w:id="829"/>
    </w:p>
    <w:p>
      <w:pPr>
        <w:pStyle w:val="Style33"/>
        <w:keepNext w:val="0"/>
        <w:keepLines w:val="0"/>
        <w:widowControl w:val="0"/>
        <w:shd w:val="clear" w:color="auto" w:fill="auto"/>
        <w:bidi w:val="0"/>
        <w:spacing w:before="0" w:after="0" w:line="240" w:lineRule="auto"/>
        <w:ind w:left="422" w:right="0" w:firstLine="0"/>
        <w:jc w:val="left"/>
        <w:rPr>
          <w:sz w:val="20"/>
          <w:szCs w:val="20"/>
        </w:rPr>
      </w:pPr>
      <w:r>
        <w:rPr>
          <w:color w:val="000000"/>
          <w:spacing w:val="0"/>
          <w:w w:val="100"/>
          <w:position w:val="0"/>
          <w:sz w:val="20"/>
          <w:szCs w:val="20"/>
        </w:rPr>
        <w:t>本公司本年度适用的主要税种及其税率列示如下:</w:t>
      </w:r>
    </w:p>
    <w:tbl>
      <w:tblPr>
        <w:tblOverlap w:val="never"/>
        <w:jc w:val="center"/>
        <w:tblLayout w:type="fixed"/>
      </w:tblPr>
      <w:tblGrid>
        <w:gridCol w:w="2232"/>
        <w:gridCol w:w="4325"/>
        <w:gridCol w:w="2995"/>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税种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税率</w:t>
            </w:r>
          </w:p>
        </w:tc>
      </w:tr>
      <w:tr>
        <w:trPr>
          <w:trHeight w:val="9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按税法规定计算的销售货物和应税劳务收入 为基础计算销项税额，在扣除当期允许抵扣的 进项税额后，差额部分为应交增值税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应纳税营业额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实缴增值税、消费税、营业税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房产原值的</w:t>
            </w:r>
            <w:r>
              <w:rPr>
                <w:rFonts w:ascii="Times New Roman" w:eastAsia="Times New Roman" w:hAnsi="Times New Roman" w:cs="Times New Roman"/>
                <w:color w:val="000000"/>
                <w:spacing w:val="0"/>
                <w:w w:val="100"/>
                <w:position w:val="0"/>
                <w:sz w:val="20"/>
                <w:szCs w:val="20"/>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16.5%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25%</w:t>
            </w:r>
          </w:p>
        </w:tc>
      </w:tr>
      <w:tr>
        <w:trPr>
          <w:trHeight w:val="30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w:t>
            </w:r>
          </w:p>
        </w:tc>
        <w:tc>
          <w:tcPr>
            <w:gridSpan w:val="2"/>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税率纳税主体的，披露情况说明</w:t>
            </w:r>
            <w:r>
              <w:rPr>
                <w:color w:val="000000"/>
                <w:spacing w:val="0"/>
                <w:w w:val="100"/>
                <w:position w:val="0"/>
                <w:sz w:val="20"/>
                <w:szCs w:val="20"/>
              </w:rPr>
              <w:t>：</w:t>
            </w:r>
          </w:p>
        </w:tc>
      </w:tr>
    </w:tbl>
    <w:p>
      <w:pPr>
        <w:pStyle w:val="Style33"/>
        <w:keepNext w:val="0"/>
        <w:keepLines w:val="0"/>
        <w:widowControl w:val="0"/>
        <w:shd w:val="clear" w:color="auto" w:fill="auto"/>
        <w:tabs>
          <w:tab w:pos="5026" w:val="left"/>
        </w:tabs>
        <w:bidi w:val="0"/>
        <w:spacing w:before="0" w:after="0" w:line="240" w:lineRule="auto"/>
        <w:ind w:left="0" w:right="0" w:firstLine="0"/>
        <w:jc w:val="center"/>
        <w:rPr>
          <w:sz w:val="20"/>
          <w:szCs w:val="20"/>
        </w:rPr>
      </w:pPr>
      <w:r>
        <w:rPr>
          <w:color w:val="000000"/>
          <w:spacing w:val="0"/>
          <w:w w:val="100"/>
          <w:position w:val="0"/>
          <w:sz w:val="20"/>
          <w:szCs w:val="20"/>
        </w:rPr>
        <w:t>纳税主体名称</w:t>
        <w:tab/>
        <w:t>所得税税率</w:t>
      </w:r>
    </w:p>
    <w:p>
      <w:pPr>
        <w:widowControl w:val="0"/>
        <w:spacing w:after="99" w:line="1" w:lineRule="exact"/>
      </w:pPr>
    </w:p>
    <w:p>
      <w:pPr>
        <w:pStyle w:val="Style31"/>
        <w:keepNext w:val="0"/>
        <w:keepLines w:val="0"/>
        <w:widowControl w:val="0"/>
        <w:shd w:val="clear" w:color="auto" w:fill="auto"/>
        <w:tabs>
          <w:tab w:pos="7090" w:val="left"/>
        </w:tabs>
        <w:bidi w:val="0"/>
        <w:spacing w:before="0" w:after="100" w:line="240" w:lineRule="auto"/>
        <w:ind w:left="0" w:right="0" w:firstLine="0"/>
        <w:jc w:val="left"/>
        <w:rPr>
          <w:sz w:val="20"/>
          <w:szCs w:val="20"/>
        </w:rPr>
      </w:pPr>
      <w:r>
        <w:rPr>
          <w:color w:val="000000"/>
          <w:spacing w:val="0"/>
          <w:w w:val="100"/>
          <w:position w:val="0"/>
          <w:sz w:val="20"/>
          <w:szCs w:val="20"/>
        </w:rPr>
        <w:t>北京同方微电子有限公司</w:t>
        <w:tab/>
      </w:r>
      <w:r>
        <w:rPr>
          <w:rFonts w:ascii="Times New Roman" w:eastAsia="Times New Roman" w:hAnsi="Times New Roman" w:cs="Times New Roman"/>
          <w:color w:val="000000"/>
          <w:spacing w:val="0"/>
          <w:w w:val="100"/>
          <w:position w:val="0"/>
          <w:sz w:val="20"/>
          <w:szCs w:val="20"/>
        </w:rPr>
        <w:t>10%</w:t>
      </w:r>
    </w:p>
    <w:p>
      <w:pPr>
        <w:pStyle w:val="Style31"/>
        <w:keepNext w:val="0"/>
        <w:keepLines w:val="0"/>
        <w:widowControl w:val="0"/>
        <w:shd w:val="clear" w:color="auto" w:fill="auto"/>
        <w:tabs>
          <w:tab w:pos="7090" w:val="left"/>
        </w:tabs>
        <w:bidi w:val="0"/>
        <w:spacing w:before="0" w:after="40" w:line="240" w:lineRule="auto"/>
        <w:ind w:left="0" w:right="0" w:firstLine="0"/>
        <w:jc w:val="left"/>
        <w:rPr>
          <w:sz w:val="20"/>
          <w:szCs w:val="20"/>
        </w:rPr>
      </w:pPr>
      <w:r>
        <w:rPr>
          <w:color w:val="000000"/>
          <w:spacing w:val="0"/>
          <w:w w:val="100"/>
          <w:position w:val="0"/>
          <w:sz w:val="20"/>
          <w:szCs w:val="20"/>
        </w:rPr>
        <w:t>深圳市国微电子有限公司</w:t>
        <w:tab/>
      </w:r>
      <w:r>
        <w:rPr>
          <w:rFonts w:ascii="Times New Roman" w:eastAsia="Times New Roman" w:hAnsi="Times New Roman" w:cs="Times New Roman"/>
          <w:color w:val="000000"/>
          <w:spacing w:val="0"/>
          <w:w w:val="100"/>
          <w:position w:val="0"/>
          <w:sz w:val="20"/>
          <w:szCs w:val="20"/>
        </w:rPr>
        <w:t>10%.</w:t>
      </w:r>
    </w:p>
    <w:p>
      <w:pPr>
        <w:pStyle w:val="Style31"/>
        <w:keepNext w:val="0"/>
        <w:keepLines w:val="0"/>
        <w:widowControl w:val="0"/>
        <w:shd w:val="clear" w:color="auto" w:fill="auto"/>
        <w:tabs>
          <w:tab w:leader="dot" w:pos="4872" w:val="right"/>
          <w:tab w:leader="dot" w:pos="7589" w:val="right"/>
        </w:tabs>
        <w:bidi w:val="0"/>
        <w:spacing w:before="0" w:after="40" w:line="240" w:lineRule="auto"/>
        <w:ind w:left="0" w:right="0" w:firstLine="0"/>
        <w:jc w:val="left"/>
        <w:rPr>
          <w:sz w:val="20"/>
          <w:szCs w:val="20"/>
        </w:rPr>
      </w:pPr>
      <w:r>
        <w:rPr>
          <w:color w:val="000000"/>
          <w:spacing w:val="0"/>
          <w:w w:val="100"/>
          <w:position w:val="0"/>
          <w:sz w:val="20"/>
          <w:szCs w:val="20"/>
        </w:rPr>
        <w:t>'西安紫光国芯半导体有限公'司</w:t>
      </w:r>
      <w:r>
        <w:rPr>
          <w:color w:val="000000"/>
          <w:spacing w:val="0"/>
          <w:w w:val="100"/>
          <w:position w:val="0"/>
          <w:sz w:val="20"/>
          <w:szCs w:val="20"/>
        </w:rPr>
        <w:tab/>
      </w:r>
      <w:r>
        <w:rPr>
          <w:color w:val="000000"/>
          <w:spacing w:val="0"/>
          <w:w w:val="100"/>
          <w:position w:val="0"/>
          <w:sz w:val="20"/>
          <w:szCs w:val="20"/>
        </w:rPr>
        <w:t>|</w:t>
      </w:r>
      <w:r>
        <w:rPr>
          <w:color w:val="000000"/>
          <w:spacing w:val="0"/>
          <w:w w:val="100"/>
          <w:position w:val="0"/>
          <w:sz w:val="20"/>
          <w:szCs w:val="20"/>
        </w:rPr>
        <w:tab/>
      </w:r>
      <w:r>
        <w:rPr>
          <w:rFonts w:ascii="Times New Roman" w:eastAsia="Times New Roman" w:hAnsi="Times New Roman" w:cs="Times New Roman"/>
          <w:color w:val="000000"/>
          <w:spacing w:val="0"/>
          <w:w w:val="100"/>
          <w:position w:val="0"/>
          <w:sz w:val="20"/>
          <w:szCs w:val="20"/>
        </w:rPr>
        <w:t>10%,~</w:t>
      </w:r>
    </w:p>
    <w:p>
      <w:pPr>
        <w:pStyle w:val="Style31"/>
        <w:keepNext w:val="0"/>
        <w:keepLines w:val="0"/>
        <w:widowControl w:val="0"/>
        <w:shd w:val="clear" w:color="auto" w:fill="auto"/>
        <w:tabs>
          <w:tab w:leader="dot" w:pos="4872" w:val="right"/>
          <w:tab w:leader="dot" w:pos="7589" w:val="right"/>
        </w:tabs>
        <w:bidi w:val="0"/>
        <w:spacing w:before="0" w:after="40" w:line="240" w:lineRule="auto"/>
        <w:ind w:left="0" w:right="0" w:firstLine="0"/>
        <w:jc w:val="left"/>
        <w:rPr>
          <w:sz w:val="20"/>
          <w:szCs w:val="20"/>
        </w:rPr>
      </w:pPr>
      <w:r>
        <w:rPr>
          <w:color w:val="000000"/>
          <w:spacing w:val="0"/>
          <w:w w:val="100"/>
          <w:position w:val="0"/>
          <w:sz w:val="20"/>
          <w:szCs w:val="20"/>
        </w:rPr>
        <w:t>'香港同芯投资有'限公'司</w:t>
      </w:r>
      <w:r>
        <w:rPr>
          <w:color w:val="000000"/>
          <w:spacing w:val="0"/>
          <w:w w:val="100"/>
          <w:position w:val="0"/>
          <w:sz w:val="20"/>
          <w:szCs w:val="20"/>
        </w:rPr>
        <w:tab/>
      </w:r>
      <w:r>
        <w:rPr>
          <w:color w:val="000000"/>
          <w:spacing w:val="0"/>
          <w:w w:val="100"/>
          <w:position w:val="0"/>
          <w:sz w:val="20"/>
          <w:szCs w:val="20"/>
        </w:rPr>
        <w:t>|</w:t>
      </w:r>
      <w:r>
        <w:rPr>
          <w:color w:val="000000"/>
          <w:spacing w:val="0"/>
          <w:w w:val="100"/>
          <w:position w:val="0"/>
          <w:sz w:val="20"/>
          <w:szCs w:val="20"/>
        </w:rPr>
        <w:tab/>
      </w:r>
      <w:r>
        <w:rPr>
          <w:rFonts w:ascii="Times New Roman" w:eastAsia="Times New Roman" w:hAnsi="Times New Roman" w:cs="Times New Roman"/>
          <w:color w:val="000000"/>
          <w:spacing w:val="0"/>
          <w:w w:val="100"/>
          <w:position w:val="0"/>
          <w:sz w:val="20"/>
          <w:szCs w:val="20"/>
        </w:rPr>
        <w:t>16.5%</w:t>
      </w:r>
    </w:p>
    <w:p>
      <w:pPr>
        <w:pStyle w:val="Style31"/>
        <w:keepNext w:val="0"/>
        <w:keepLines w:val="0"/>
        <w:widowControl w:val="0"/>
        <w:shd w:val="clear" w:color="auto" w:fill="auto"/>
        <w:tabs>
          <w:tab w:leader="dot" w:pos="4872" w:val="right"/>
          <w:tab w:leader="dot" w:pos="7589" w:val="right"/>
        </w:tabs>
        <w:bidi w:val="0"/>
        <w:spacing w:before="0" w:after="0" w:line="240" w:lineRule="auto"/>
        <w:ind w:left="0" w:right="0" w:firstLine="0"/>
        <w:jc w:val="left"/>
        <w:rPr>
          <w:sz w:val="20"/>
          <w:szCs w:val="20"/>
        </w:rPr>
      </w:pPr>
      <w:r>
        <w:rPr>
          <w:color w:val="000000"/>
          <w:spacing w:val="0"/>
          <w:w w:val="100"/>
          <w:position w:val="0"/>
          <w:sz w:val="20"/>
          <w:szCs w:val="20"/>
        </w:rPr>
        <w:t>紫光国芯先进集成电路技术有限公司</w:t>
      </w:r>
      <w:r>
        <w:rPr>
          <w:color w:val="000000"/>
          <w:spacing w:val="0"/>
          <w:w w:val="100"/>
          <w:position w:val="0"/>
          <w:sz w:val="20"/>
          <w:szCs w:val="20"/>
        </w:rPr>
        <w:tab/>
      </w:r>
      <w:r>
        <w:rPr>
          <w:color w:val="000000"/>
          <w:spacing w:val="0"/>
          <w:w w:val="100"/>
          <w:position w:val="0"/>
          <w:sz w:val="20"/>
          <w:szCs w:val="20"/>
        </w:rPr>
        <w:t>|</w:t>
      </w:r>
      <w:r>
        <w:rPr>
          <w:color w:val="000000"/>
          <w:spacing w:val="0"/>
          <w:w w:val="100"/>
          <w:position w:val="0"/>
          <w:sz w:val="20"/>
          <w:szCs w:val="20"/>
        </w:rPr>
        <w:tab/>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p>
    <w:p>
      <w:pPr>
        <w:pStyle w:val="Style31"/>
        <w:keepNext w:val="0"/>
        <w:keepLines w:val="0"/>
        <w:widowControl w:val="0"/>
        <w:shd w:val="clear" w:color="auto" w:fill="auto"/>
        <w:tabs>
          <w:tab w:leader="dot" w:pos="4872" w:val="right"/>
          <w:tab w:leader="dot" w:pos="7589" w:val="right"/>
        </w:tabs>
        <w:bidi w:val="0"/>
        <w:spacing w:before="0" w:after="40" w:line="240" w:lineRule="auto"/>
        <w:ind w:left="0" w:right="0" w:firstLine="0"/>
        <w:jc w:val="left"/>
        <w:rPr>
          <w:sz w:val="20"/>
          <w:szCs w:val="20"/>
        </w:rPr>
      </w:pPr>
      <w:r>
        <w:rPr>
          <w:color w:val="000000"/>
          <w:spacing w:val="0"/>
          <w:w w:val="100"/>
          <w:position w:val="0"/>
          <w:sz w:val="20"/>
          <w:szCs w:val="20"/>
        </w:rPr>
        <w:t>紫光国芯股份有限公*司</w:t>
      </w:r>
      <w:r>
        <w:rPr>
          <w:color w:val="000000"/>
          <w:spacing w:val="0"/>
          <w:w w:val="100"/>
          <w:position w:val="0"/>
          <w:sz w:val="20"/>
          <w:szCs w:val="20"/>
        </w:rPr>
        <w:tab/>
      </w:r>
      <w:r>
        <w:rPr>
          <w:rFonts w:ascii="Arial" w:eastAsia="Arial" w:hAnsi="Arial" w:cs="Arial"/>
          <w:color w:val="000000"/>
          <w:spacing w:val="0"/>
          <w:w w:val="100"/>
          <w:position w:val="0"/>
          <w:sz w:val="38"/>
          <w:szCs w:val="38"/>
        </w:rPr>
        <w:t>1</w:t>
      </w:r>
      <w:r>
        <w:rPr>
          <w:rFonts w:ascii="Arial" w:eastAsia="Arial" w:hAnsi="Arial" w:cs="Arial"/>
          <w:color w:val="000000"/>
          <w:spacing w:val="0"/>
          <w:w w:val="100"/>
          <w:position w:val="0"/>
          <w:sz w:val="38"/>
          <w:szCs w:val="38"/>
        </w:rPr>
        <w:tab/>
      </w:r>
      <w:r>
        <w:rPr>
          <w:rFonts w:ascii="Times New Roman" w:eastAsia="Times New Roman" w:hAnsi="Times New Roman" w:cs="Times New Roman"/>
          <w:color w:val="000000"/>
          <w:spacing w:val="0"/>
          <w:w w:val="100"/>
          <w:position w:val="0"/>
          <w:sz w:val="20"/>
          <w:szCs w:val="20"/>
        </w:rPr>
        <w:t>15%~</w:t>
      </w:r>
    </w:p>
    <w:p>
      <w:pPr>
        <w:pStyle w:val="Style31"/>
        <w:keepNext w:val="0"/>
        <w:keepLines w:val="0"/>
        <w:widowControl w:val="0"/>
        <w:shd w:val="clear" w:color="auto" w:fill="auto"/>
        <w:tabs>
          <w:tab w:pos="6125" w:val="left"/>
        </w:tabs>
        <w:bidi w:val="0"/>
        <w:spacing w:before="0" w:after="540" w:line="240" w:lineRule="auto"/>
        <w:ind w:left="0" w:right="0" w:firstLine="0"/>
        <w:jc w:val="left"/>
        <w:rPr>
          <w:sz w:val="20"/>
          <w:szCs w:val="20"/>
        </w:rPr>
      </w:pPr>
      <w:r>
        <w:rPr>
          <w:color w:val="000000"/>
          <w:spacing w:val="0"/>
          <w:w w:val="100"/>
          <w:position w:val="0"/>
          <w:sz w:val="20"/>
          <w:szCs w:val="20"/>
        </w:rPr>
        <w:t>盘古设计系统有限公司</w:t>
        <w:tab/>
        <w:t>执行美国加州的税收政策</w:t>
      </w:r>
    </w:p>
    <w:p>
      <w:pPr>
        <w:pStyle w:val="Style28"/>
        <w:keepNext/>
        <w:keepLines/>
        <w:widowControl w:val="0"/>
        <w:shd w:val="clear" w:color="auto" w:fill="auto"/>
        <w:tabs>
          <w:tab w:pos="598" w:val="left"/>
        </w:tabs>
        <w:bidi w:val="0"/>
        <w:spacing w:before="0" w:after="100" w:line="271" w:lineRule="exact"/>
        <w:ind w:left="0" w:right="0" w:firstLine="0"/>
        <w:jc w:val="left"/>
      </w:pPr>
      <w:bookmarkStart w:id="830" w:name="bookmark830"/>
      <w:bookmarkStart w:id="831" w:name="bookmark831"/>
      <w:bookmarkStart w:id="832" w:name="bookmark832"/>
      <w:bookmarkStart w:id="833" w:name="bookmark833"/>
      <w:r>
        <w:rPr>
          <w:color w:val="000000"/>
          <w:spacing w:val="0"/>
          <w:w w:val="100"/>
          <w:position w:val="0"/>
        </w:rPr>
        <w:t>（</w:t>
      </w:r>
      <w:bookmarkEnd w:id="832"/>
      <w:r>
        <w:rPr>
          <w:color w:val="000000"/>
          <w:spacing w:val="0"/>
          <w:w w:val="100"/>
          <w:position w:val="0"/>
        </w:rPr>
        <w:t>二）</w:t>
        <w:tab/>
        <w:t>税收优惠及批文</w:t>
      </w:r>
      <w:bookmarkEnd w:id="830"/>
      <w:bookmarkEnd w:id="831"/>
      <w:bookmarkEnd w:id="833"/>
    </w:p>
    <w:p>
      <w:pPr>
        <w:pStyle w:val="Style31"/>
        <w:keepNext w:val="0"/>
        <w:keepLines w:val="0"/>
        <w:widowControl w:val="0"/>
        <w:shd w:val="clear" w:color="auto" w:fill="auto"/>
        <w:tabs>
          <w:tab w:pos="928" w:val="left"/>
        </w:tabs>
        <w:bidi w:val="0"/>
        <w:spacing w:before="0" w:after="100" w:line="271" w:lineRule="exact"/>
        <w:ind w:left="0" w:right="0" w:firstLine="440"/>
        <w:jc w:val="both"/>
        <w:rPr>
          <w:sz w:val="20"/>
          <w:szCs w:val="20"/>
        </w:rPr>
      </w:pPr>
      <w:bookmarkStart w:id="834" w:name="bookmark834"/>
      <w:r>
        <w:rPr>
          <w:color w:val="000000"/>
          <w:spacing w:val="0"/>
          <w:w w:val="100"/>
          <w:position w:val="0"/>
          <w:sz w:val="20"/>
          <w:szCs w:val="20"/>
        </w:rPr>
        <w:t>（</w:t>
      </w:r>
      <w:bookmarkEnd w:id="83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企业所得税税收优惠</w:t>
      </w:r>
    </w:p>
    <w:p>
      <w:pPr>
        <w:pStyle w:val="Style31"/>
        <w:keepNext w:val="0"/>
        <w:keepLines w:val="0"/>
        <w:widowControl w:val="0"/>
        <w:shd w:val="clear" w:color="auto" w:fill="auto"/>
        <w:bidi w:val="0"/>
        <w:spacing w:before="0" w:after="100" w:line="271" w:lineRule="exact"/>
        <w:ind w:left="0" w:right="0" w:firstLine="440"/>
        <w:jc w:val="both"/>
        <w:rPr>
          <w:sz w:val="20"/>
          <w:szCs w:val="20"/>
        </w:rPr>
      </w:pPr>
      <w:r>
        <w:rPr>
          <w:color w:val="000000"/>
          <w:spacing w:val="0"/>
          <w:w w:val="100"/>
          <w:position w:val="0"/>
          <w:sz w:val="20"/>
          <w:szCs w:val="20"/>
        </w:rPr>
        <w:t>本公司及子公司北京同方微电子有限公司（以下简称"同方微电子”）、深圳市国微电子有限公司（以 下简称</w:t>
      </w:r>
      <w:r>
        <w:rPr>
          <w:color w:val="000000"/>
          <w:spacing w:val="0"/>
          <w:w w:val="100"/>
          <w:position w:val="0"/>
          <w:sz w:val="20"/>
          <w:szCs w:val="20"/>
        </w:rPr>
        <w:t>"</w:t>
      </w:r>
      <w:r>
        <w:rPr>
          <w:color w:val="000000"/>
          <w:spacing w:val="0"/>
          <w:w w:val="100"/>
          <w:position w:val="0"/>
          <w:sz w:val="20"/>
          <w:szCs w:val="20"/>
        </w:rPr>
        <w:t>国微电子”）、西安紫光国芯半导体有限公司（以下简称“西安紫光国芯”）、深圳市紫光同创电子 有限公司（以下简称“紫光同创”）为高新技术企业，执行</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的企业所得税优惠税率。同时，同方微电 子、国微电子、西安紫光国芯符合国家规划布局内的集成电路设计企业资质，根据财税【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49</w:t>
      </w:r>
      <w:r>
        <w:rPr>
          <w:color w:val="000000"/>
          <w:spacing w:val="0"/>
          <w:w w:val="100"/>
          <w:position w:val="0"/>
          <w:sz w:val="20"/>
          <w:szCs w:val="20"/>
        </w:rPr>
        <w:t>号《关 于软件和集成电路产业企业所得税优惠政策有关问题的通知》文件及财税【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号《关于进一步鼓励 软件产业和集成电路产业发展企业所得税政策的通知》文件的规定，减按</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征收企业所得税。</w:t>
      </w:r>
    </w:p>
    <w:p>
      <w:pPr>
        <w:pStyle w:val="Style31"/>
        <w:keepNext w:val="0"/>
        <w:keepLines w:val="0"/>
        <w:widowControl w:val="0"/>
        <w:shd w:val="clear" w:color="auto" w:fill="auto"/>
        <w:tabs>
          <w:tab w:pos="928" w:val="left"/>
        </w:tabs>
        <w:bidi w:val="0"/>
        <w:spacing w:before="0" w:after="100" w:line="271" w:lineRule="exact"/>
        <w:ind w:left="0" w:right="0" w:firstLine="440"/>
        <w:jc w:val="both"/>
        <w:rPr>
          <w:sz w:val="20"/>
          <w:szCs w:val="20"/>
        </w:rPr>
      </w:pPr>
      <w:bookmarkStart w:id="835" w:name="bookmark835"/>
      <w:r>
        <w:rPr>
          <w:color w:val="000000"/>
          <w:spacing w:val="0"/>
          <w:w w:val="100"/>
          <w:position w:val="0"/>
          <w:sz w:val="20"/>
          <w:szCs w:val="20"/>
        </w:rPr>
        <w:t>（</w:t>
      </w:r>
      <w:bookmarkEnd w:id="83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增值税税收优惠</w:t>
      </w:r>
    </w:p>
    <w:p>
      <w:pPr>
        <w:pStyle w:val="Style31"/>
        <w:keepNext w:val="0"/>
        <w:keepLines w:val="0"/>
        <w:widowControl w:val="0"/>
        <w:shd w:val="clear" w:color="auto" w:fill="auto"/>
        <w:bidi w:val="0"/>
        <w:spacing w:before="0" w:after="100" w:line="278" w:lineRule="exact"/>
        <w:ind w:left="0" w:right="0" w:firstLine="440"/>
        <w:jc w:val="both"/>
        <w:rPr>
          <w:sz w:val="20"/>
          <w:szCs w:val="20"/>
        </w:rPr>
      </w:pPr>
      <w:r>
        <w:rPr>
          <w:color w:val="000000"/>
          <w:spacing w:val="0"/>
          <w:w w:val="100"/>
          <w:position w:val="0"/>
          <w:sz w:val="20"/>
          <w:szCs w:val="20"/>
        </w:rPr>
        <w:t>根据财政部、国家税务总局《关于全面推开营业税改征增值税试点的通知》（财税【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号）文 件规定，本公司之子公司国微电子的委托科研项目，经深圳市科技主管部门进行认定、深圳主管税务部门 备案，其委托开发收入免征增值税。</w:t>
      </w:r>
    </w:p>
    <w:p>
      <w:pPr>
        <w:pStyle w:val="Style31"/>
        <w:keepNext w:val="0"/>
        <w:keepLines w:val="0"/>
        <w:widowControl w:val="0"/>
        <w:shd w:val="clear" w:color="auto" w:fill="auto"/>
        <w:bidi w:val="0"/>
        <w:spacing w:before="0" w:after="100" w:line="269" w:lineRule="exact"/>
        <w:ind w:left="0" w:right="0" w:firstLine="440"/>
        <w:jc w:val="both"/>
        <w:rPr>
          <w:sz w:val="20"/>
          <w:szCs w:val="20"/>
        </w:rPr>
      </w:pPr>
      <w:r>
        <w:rPr>
          <w:color w:val="000000"/>
          <w:spacing w:val="0"/>
          <w:w w:val="100"/>
          <w:position w:val="0"/>
          <w:sz w:val="20"/>
          <w:szCs w:val="20"/>
        </w:rPr>
        <w:t>根据《财政部、国家税务总局关于软件产品增值税政策的通知》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财税</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2011</w:t>
      </w:r>
      <w:r>
        <w:rPr>
          <w:rFonts w:ascii="Times New Roman" w:eastAsia="Times New Roman" w:hAnsi="Times New Roman" w:cs="Times New Roman"/>
          <w:b/>
          <w:bCs/>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以及海国税批【</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411072</w:t>
      </w:r>
      <w:r>
        <w:rPr>
          <w:color w:val="000000"/>
          <w:spacing w:val="0"/>
          <w:w w:val="100"/>
          <w:position w:val="0"/>
          <w:sz w:val="20"/>
          <w:szCs w:val="20"/>
        </w:rPr>
        <w:t>号，本公司之子公司同方微电子的“智能卡操作系统”和“智能卡启动下载器软件”产品自</w:t>
      </w:r>
      <w:r>
        <w:rPr>
          <w:rFonts w:ascii="Times New Roman" w:eastAsia="Times New Roman" w:hAnsi="Times New Roman" w:cs="Times New Roman"/>
          <w:color w:val="000000"/>
          <w:spacing w:val="0"/>
          <w:w w:val="100"/>
          <w:position w:val="0"/>
          <w:sz w:val="20"/>
          <w:szCs w:val="20"/>
        </w:rPr>
        <w:t xml:space="preserve">2014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日起享受增值税实际税负超过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的部分即征即退政策。</w:t>
      </w:r>
    </w:p>
    <w:p>
      <w:pPr>
        <w:pStyle w:val="Style28"/>
        <w:keepNext/>
        <w:keepLines/>
        <w:widowControl w:val="0"/>
        <w:shd w:val="clear" w:color="auto" w:fill="auto"/>
        <w:tabs>
          <w:tab w:pos="598" w:val="left"/>
        </w:tabs>
        <w:bidi w:val="0"/>
        <w:spacing w:before="0" w:after="100" w:line="271" w:lineRule="exact"/>
        <w:ind w:left="0" w:right="0" w:firstLine="0"/>
        <w:jc w:val="both"/>
      </w:pPr>
      <w:bookmarkStart w:id="836" w:name="bookmark836"/>
      <w:bookmarkStart w:id="837" w:name="bookmark837"/>
      <w:bookmarkStart w:id="838" w:name="bookmark838"/>
      <w:bookmarkStart w:id="839" w:name="bookmark839"/>
      <w:r>
        <w:rPr>
          <w:color w:val="000000"/>
          <w:spacing w:val="0"/>
          <w:w w:val="100"/>
          <w:position w:val="0"/>
        </w:rPr>
        <w:t>（</w:t>
      </w:r>
      <w:bookmarkEnd w:id="838"/>
      <w:r>
        <w:rPr>
          <w:color w:val="000000"/>
          <w:spacing w:val="0"/>
          <w:w w:val="100"/>
          <w:position w:val="0"/>
        </w:rPr>
        <w:t>三）</w:t>
        <w:tab/>
        <w:t>其他</w:t>
      </w:r>
      <w:bookmarkEnd w:id="836"/>
      <w:bookmarkEnd w:id="837"/>
      <w:bookmarkEnd w:id="839"/>
    </w:p>
    <w:p>
      <w:pPr>
        <w:pStyle w:val="Style31"/>
        <w:keepNext w:val="0"/>
        <w:keepLines w:val="0"/>
        <w:widowControl w:val="0"/>
        <w:shd w:val="clear" w:color="auto" w:fill="auto"/>
        <w:bidi w:val="0"/>
        <w:spacing w:before="0" w:after="100" w:line="264" w:lineRule="exact"/>
        <w:ind w:left="0" w:right="0" w:firstLine="440"/>
        <w:jc w:val="left"/>
        <w:rPr>
          <w:sz w:val="20"/>
          <w:szCs w:val="20"/>
        </w:rPr>
      </w:pPr>
      <w:r>
        <w:rPr>
          <w:color w:val="000000"/>
          <w:spacing w:val="0"/>
          <w:w w:val="100"/>
          <w:position w:val="0"/>
          <w:sz w:val="20"/>
          <w:szCs w:val="20"/>
        </w:rPr>
        <w:t>本公司出口货物增值税采用免、抵、退的计算办法，其中，石英晶体出口货物退税率为</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，蓝宝石 衬底退税率为</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,配套材料退税率为</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，集成电路产品退税率为</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w:t>
      </w:r>
    </w:p>
    <w:p>
      <w:pPr>
        <w:pStyle w:val="Style31"/>
        <w:keepNext w:val="0"/>
        <w:keepLines w:val="0"/>
        <w:widowControl w:val="0"/>
        <w:shd w:val="clear" w:color="auto" w:fill="auto"/>
        <w:bidi w:val="0"/>
        <w:spacing w:before="0" w:line="277" w:lineRule="exact"/>
        <w:ind w:left="0" w:right="0" w:firstLine="560"/>
        <w:jc w:val="left"/>
        <w:rPr>
          <w:sz w:val="20"/>
          <w:szCs w:val="20"/>
        </w:rPr>
      </w:pPr>
      <w:r>
        <w:rPr>
          <w:color w:val="000000"/>
          <w:spacing w:val="0"/>
          <w:w w:val="100"/>
          <w:position w:val="0"/>
          <w:sz w:val="20"/>
          <w:szCs w:val="20"/>
        </w:rPr>
        <w:t>本公司的其他税项按照国家有关规定计算缴纳。</w:t>
      </w:r>
    </w:p>
    <w:p>
      <w:pPr>
        <w:pStyle w:val="Style31"/>
        <w:keepNext w:val="0"/>
        <w:keepLines w:val="0"/>
        <w:widowControl w:val="0"/>
        <w:shd w:val="clear" w:color="auto" w:fill="auto"/>
        <w:bidi w:val="0"/>
        <w:spacing w:before="0" w:after="280" w:line="277" w:lineRule="exact"/>
        <w:ind w:left="140" w:right="0" w:firstLine="420"/>
        <w:jc w:val="both"/>
        <w:rPr>
          <w:sz w:val="20"/>
          <w:szCs w:val="20"/>
        </w:rPr>
      </w:pPr>
      <w:r>
        <w:rPr>
          <w:color w:val="000000"/>
          <w:spacing w:val="0"/>
          <w:w w:val="100"/>
          <w:position w:val="0"/>
          <w:sz w:val="20"/>
          <w:szCs w:val="20"/>
        </w:rPr>
        <w:t>根据财税〔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号《关于全面推开营业税改征增值税试点的通知》，自</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日起，在全 国范围内全面推开营业税改征增值税试点，建筑业、房地产业、金融业、生活服务业等全部营业税纳税人， 纳入试点范围，由缴纳营业税改为缴纳增值税。自</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日起，本公司原计缴营业税的主要业务 改为计缴增值税。</w:t>
      </w:r>
    </w:p>
    <w:p>
      <w:pPr>
        <w:pStyle w:val="Style23"/>
        <w:keepNext/>
        <w:keepLines/>
        <w:widowControl w:val="0"/>
        <w:shd w:val="clear" w:color="auto" w:fill="auto"/>
        <w:bidi w:val="0"/>
        <w:spacing w:before="0" w:after="180" w:line="240" w:lineRule="auto"/>
        <w:ind w:left="0" w:right="0" w:firstLine="140"/>
        <w:jc w:val="both"/>
      </w:pPr>
      <w:bookmarkStart w:id="840" w:name="bookmark840"/>
      <w:bookmarkStart w:id="841" w:name="bookmark841"/>
      <w:bookmarkStart w:id="842" w:name="bookmark842"/>
      <w:bookmarkStart w:id="843" w:name="bookmark843"/>
      <w:r>
        <w:rPr>
          <w:color w:val="000000"/>
          <w:spacing w:val="0"/>
          <w:w w:val="100"/>
          <w:position w:val="0"/>
        </w:rPr>
        <w:t>七</w:t>
      </w:r>
      <w:bookmarkEnd w:id="842"/>
      <w:r>
        <w:rPr>
          <w:color w:val="000000"/>
          <w:spacing w:val="0"/>
          <w:w w:val="100"/>
          <w:position w:val="0"/>
        </w:rPr>
        <w:t>、合并财务报表主要项目注释</w:t>
      </w:r>
      <w:bookmarkEnd w:id="840"/>
      <w:bookmarkEnd w:id="841"/>
      <w:bookmarkEnd w:id="843"/>
    </w:p>
    <w:p>
      <w:pPr>
        <w:pStyle w:val="Style31"/>
        <w:keepNext w:val="0"/>
        <w:keepLines w:val="0"/>
        <w:widowControl w:val="0"/>
        <w:shd w:val="clear" w:color="auto" w:fill="auto"/>
        <w:bidi w:val="0"/>
        <w:spacing w:before="0" w:after="180" w:line="341" w:lineRule="exact"/>
        <w:ind w:left="140" w:right="0" w:firstLine="0"/>
        <w:jc w:val="both"/>
        <w:rPr>
          <w:sz w:val="20"/>
          <w:szCs w:val="20"/>
        </w:rPr>
      </w:pPr>
      <w:r>
        <w:rPr>
          <w:color w:val="000000"/>
          <w:spacing w:val="0"/>
          <w:w w:val="100"/>
          <w:position w:val="0"/>
          <w:sz w:val="20"/>
          <w:szCs w:val="20"/>
        </w:rPr>
        <w:t>（如无特别说明，以下货币单位均为人民币元，期末余额指</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日账面余额，期初余额指</w:t>
      </w: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日账面余额，本期指</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年度，上期指</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年度，凡未注明期初余额的均为期末余额。）</w:t>
      </w:r>
    </w:p>
    <w:p>
      <w:pPr>
        <w:pStyle w:val="Style28"/>
        <w:keepNext/>
        <w:keepLines/>
        <w:widowControl w:val="0"/>
        <w:shd w:val="clear" w:color="auto" w:fill="auto"/>
        <w:bidi w:val="0"/>
        <w:spacing w:before="0" w:after="120" w:line="277" w:lineRule="exact"/>
        <w:ind w:left="140" w:right="0" w:firstLine="0"/>
        <w:jc w:val="both"/>
      </w:pPr>
      <w:bookmarkStart w:id="844" w:name="bookmark844"/>
      <w:bookmarkStart w:id="845" w:name="bookmark845"/>
      <w:bookmarkStart w:id="846" w:name="bookmark846"/>
      <w:bookmarkStart w:id="847" w:name="bookmark847"/>
      <w:r>
        <w:rPr>
          <w:color w:val="000000"/>
          <w:spacing w:val="0"/>
          <w:w w:val="100"/>
          <w:position w:val="0"/>
        </w:rPr>
        <w:t>（</w:t>
      </w:r>
      <w:bookmarkEnd w:id="846"/>
      <w:r>
        <w:rPr>
          <w:color w:val="000000"/>
          <w:spacing w:val="0"/>
          <w:w w:val="100"/>
          <w:position w:val="0"/>
        </w:rPr>
        <w:t>一）货币资金</w:t>
      </w:r>
      <w:bookmarkEnd w:id="844"/>
      <w:bookmarkEnd w:id="845"/>
      <w:bookmarkEnd w:id="847"/>
    </w:p>
    <w:tbl>
      <w:tblPr>
        <w:tblOverlap w:val="never"/>
        <w:jc w:val="center"/>
        <w:tblLayout w:type="fixed"/>
      </w:tblPr>
      <w:tblGrid>
        <w:gridCol w:w="3283"/>
        <w:gridCol w:w="3355"/>
        <w:gridCol w:w="3293"/>
      </w:tblGrid>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197,036.21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169,493.51</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715,194,049.05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731,538,395.65</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5,690,520.80</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715,391,085.26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737,398,409.96</w:t>
            </w:r>
          </w:p>
        </w:tc>
      </w:tr>
      <w:tr>
        <w:trPr>
          <w:trHeight w:val="41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6,842,982.15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4,293,010.55</w:t>
            </w:r>
          </w:p>
        </w:tc>
      </w:tr>
    </w:tbl>
    <w:p>
      <w:pPr>
        <w:pStyle w:val="Style33"/>
        <w:keepNext w:val="0"/>
        <w:keepLines w:val="0"/>
        <w:widowControl w:val="0"/>
        <w:shd w:val="clear" w:color="auto" w:fill="auto"/>
        <w:bidi w:val="0"/>
        <w:spacing w:before="0" w:after="0" w:line="240" w:lineRule="auto"/>
        <w:ind w:left="557" w:right="0" w:firstLine="0"/>
        <w:jc w:val="left"/>
        <w:rPr>
          <w:sz w:val="20"/>
          <w:szCs w:val="20"/>
        </w:rPr>
      </w:pPr>
      <w:r>
        <w:rPr>
          <w:color w:val="000000"/>
          <w:spacing w:val="0"/>
          <w:w w:val="100"/>
          <w:position w:val="0"/>
          <w:sz w:val="20"/>
          <w:szCs w:val="20"/>
        </w:rPr>
        <w:t>其中，受限制的货币资金明细如下:</w:t>
      </w:r>
    </w:p>
    <w:p>
      <w:pPr>
        <w:widowControl w:val="0"/>
        <w:spacing w:after="119" w:line="1" w:lineRule="exact"/>
      </w:pPr>
    </w:p>
    <w:p>
      <w:pPr>
        <w:widowControl w:val="0"/>
        <w:spacing w:line="1" w:lineRule="exact"/>
      </w:pPr>
    </w:p>
    <w:tbl>
      <w:tblPr>
        <w:tblOverlap w:val="never"/>
        <w:jc w:val="center"/>
        <w:tblLayout w:type="fixed"/>
      </w:tblPr>
      <w:tblGrid>
        <w:gridCol w:w="3216"/>
        <w:gridCol w:w="3346"/>
        <w:gridCol w:w="3370"/>
      </w:tblGrid>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信用证保证金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11,955.18</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应付票据保证金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5,678,565.62</w:t>
            </w: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5,690,520.80</w:t>
            </w:r>
          </w:p>
        </w:tc>
      </w:tr>
    </w:tbl>
    <w:p>
      <w:pPr>
        <w:widowControl w:val="0"/>
        <w:spacing w:after="119" w:line="1" w:lineRule="exact"/>
      </w:pPr>
    </w:p>
    <w:p>
      <w:pPr>
        <w:pStyle w:val="Style28"/>
        <w:keepNext/>
        <w:keepLines/>
        <w:widowControl w:val="0"/>
        <w:shd w:val="clear" w:color="auto" w:fill="auto"/>
        <w:bidi w:val="0"/>
        <w:spacing w:before="0" w:after="120" w:line="240" w:lineRule="auto"/>
        <w:ind w:left="0" w:right="0" w:firstLine="260"/>
        <w:jc w:val="both"/>
      </w:pPr>
      <w:bookmarkStart w:id="848" w:name="bookmark848"/>
      <w:bookmarkStart w:id="849" w:name="bookmark849"/>
      <w:bookmarkStart w:id="850" w:name="bookmark850"/>
      <w:bookmarkStart w:id="851" w:name="bookmark851"/>
      <w:r>
        <w:rPr>
          <w:color w:val="000000"/>
          <w:spacing w:val="0"/>
          <w:w w:val="100"/>
          <w:position w:val="0"/>
        </w:rPr>
        <w:t>（</w:t>
      </w:r>
      <w:bookmarkEnd w:id="850"/>
      <w:r>
        <w:rPr>
          <w:color w:val="000000"/>
          <w:spacing w:val="0"/>
          <w:w w:val="100"/>
          <w:position w:val="0"/>
        </w:rPr>
        <w:t>二）应收票据</w:t>
      </w:r>
      <w:bookmarkEnd w:id="848"/>
      <w:bookmarkEnd w:id="849"/>
      <w:bookmarkEnd w:id="851"/>
    </w:p>
    <w:p>
      <w:pPr>
        <w:pStyle w:val="Style28"/>
        <w:keepNext/>
        <w:keepLines/>
        <w:widowControl w:val="0"/>
        <w:shd w:val="clear" w:color="auto" w:fill="auto"/>
        <w:bidi w:val="0"/>
        <w:spacing w:before="0" w:after="120" w:line="240" w:lineRule="auto"/>
        <w:ind w:left="0" w:right="0" w:firstLine="460"/>
        <w:jc w:val="both"/>
      </w:pPr>
      <w:bookmarkStart w:id="848" w:name="bookmark848"/>
      <w:bookmarkStart w:id="849" w:name="bookmark849"/>
      <w:bookmarkStart w:id="852" w:name="bookmark852"/>
      <w:r>
        <w:rPr>
          <w:rFonts w:ascii="Times New Roman" w:eastAsia="Times New Roman" w:hAnsi="Times New Roman" w:cs="Times New Roman"/>
          <w:color w:val="000000"/>
          <w:spacing w:val="0"/>
          <w:w w:val="100"/>
          <w:position w:val="0"/>
        </w:rPr>
        <w:t>1</w:t>
      </w:r>
      <w:bookmarkEnd w:id="852"/>
      <w:r>
        <w:rPr>
          <w:color w:val="000000"/>
          <w:spacing w:val="0"/>
          <w:w w:val="100"/>
          <w:position w:val="0"/>
        </w:rPr>
        <w:t>、应收票据分类</w:t>
      </w:r>
      <w:bookmarkEnd w:id="848"/>
      <w:bookmarkEnd w:id="849"/>
    </w:p>
    <w:tbl>
      <w:tblPr>
        <w:tblOverlap w:val="never"/>
        <w:jc w:val="center"/>
        <w:tblLayout w:type="fixed"/>
      </w:tblPr>
      <w:tblGrid>
        <w:gridCol w:w="3274"/>
        <w:gridCol w:w="3269"/>
        <w:gridCol w:w="3389"/>
      </w:tblGrid>
      <w:tr>
        <w:trPr>
          <w:trHeight w:val="48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61,773,857.28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31,151,458.78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240,710,742.00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126,727,296.62</w:t>
            </w:r>
          </w:p>
        </w:tc>
      </w:tr>
      <w:tr>
        <w:trPr>
          <w:trHeight w:val="49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b/>
                <w:bCs/>
                <w:color w:val="000000"/>
                <w:spacing w:val="0"/>
                <w:w w:val="100"/>
                <w:position w:val="0"/>
                <w:sz w:val="18"/>
                <w:szCs w:val="18"/>
              </w:rPr>
              <w:t>302,484,599.28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157,878,755.40</w:t>
            </w:r>
          </w:p>
        </w:tc>
      </w:tr>
    </w:tbl>
    <w:p>
      <w:pPr>
        <w:pStyle w:val="Style33"/>
        <w:keepNext w:val="0"/>
        <w:keepLines w:val="0"/>
        <w:widowControl w:val="0"/>
        <w:shd w:val="clear" w:color="auto" w:fill="auto"/>
        <w:bidi w:val="0"/>
        <w:spacing w:before="0" w:after="0" w:line="240" w:lineRule="auto"/>
        <w:ind w:left="446"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、期末已质押的应收票据:</w:t>
      </w:r>
    </w:p>
    <w:p>
      <w:pPr>
        <w:widowControl w:val="0"/>
        <w:spacing w:after="119" w:line="1" w:lineRule="exact"/>
      </w:pPr>
    </w:p>
    <w:p>
      <w:pPr>
        <w:widowControl w:val="0"/>
        <w:spacing w:line="1" w:lineRule="exact"/>
      </w:pPr>
    </w:p>
    <w:tbl>
      <w:tblPr>
        <w:tblOverlap w:val="never"/>
        <w:jc w:val="center"/>
        <w:tblLayout w:type="fixed"/>
      </w:tblPr>
      <w:tblGrid>
        <w:gridCol w:w="4762"/>
        <w:gridCol w:w="5170"/>
      </w:tblGrid>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期末已质押金额</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80" w:right="0" w:firstLine="0"/>
              <w:jc w:val="left"/>
              <w:rPr>
                <w:sz w:val="18"/>
                <w:szCs w:val="18"/>
              </w:rPr>
            </w:pPr>
            <w:r>
              <w:rPr>
                <w:rFonts w:ascii="Times New Roman" w:eastAsia="Times New Roman" w:hAnsi="Times New Roman" w:cs="Times New Roman"/>
                <w:color w:val="000000"/>
                <w:spacing w:val="0"/>
                <w:w w:val="100"/>
                <w:position w:val="0"/>
                <w:sz w:val="18"/>
                <w:szCs w:val="18"/>
              </w:rPr>
              <w:t>1,338,511.64</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80" w:right="0" w:firstLine="0"/>
              <w:jc w:val="left"/>
              <w:rPr>
                <w:sz w:val="18"/>
                <w:szCs w:val="18"/>
              </w:rPr>
            </w:pPr>
            <w:r>
              <w:rPr>
                <w:rFonts w:ascii="Times New Roman" w:eastAsia="Times New Roman" w:hAnsi="Times New Roman" w:cs="Times New Roman"/>
                <w:b/>
                <w:bCs/>
                <w:color w:val="000000"/>
                <w:spacing w:val="0"/>
                <w:w w:val="100"/>
                <w:position w:val="0"/>
                <w:sz w:val="18"/>
                <w:szCs w:val="18"/>
              </w:rPr>
              <w:t>1,338,511.64</w:t>
            </w:r>
          </w:p>
        </w:tc>
      </w:tr>
    </w:tbl>
    <w:p>
      <w:pPr>
        <w:widowControl w:val="0"/>
        <w:spacing w:after="119" w:line="1" w:lineRule="exact"/>
      </w:pPr>
    </w:p>
    <w:p>
      <w:pPr>
        <w:pStyle w:val="Style31"/>
        <w:keepNext w:val="0"/>
        <w:keepLines w:val="0"/>
        <w:widowControl w:val="0"/>
        <w:shd w:val="clear" w:color="auto" w:fill="auto"/>
        <w:bidi w:val="0"/>
        <w:spacing w:before="0" w:line="283" w:lineRule="exact"/>
        <w:ind w:left="140" w:right="0" w:firstLine="420"/>
        <w:jc w:val="both"/>
        <w:rPr>
          <w:sz w:val="20"/>
          <w:szCs w:val="20"/>
        </w:rPr>
      </w:pPr>
      <w:bookmarkStart w:id="853" w:name="bookmark853"/>
      <w:r>
        <w:rPr>
          <w:color w:val="000000"/>
          <w:spacing w:val="0"/>
          <w:w w:val="100"/>
          <w:position w:val="0"/>
          <w:sz w:val="20"/>
          <w:szCs w:val="20"/>
        </w:rPr>
        <w:t>注</w:t>
      </w:r>
      <w:bookmarkEnd w:id="853"/>
      <w:r>
        <w:rPr>
          <w:color w:val="000000"/>
          <w:spacing w:val="0"/>
          <w:w w:val="100"/>
          <w:position w:val="0"/>
          <w:sz w:val="20"/>
          <w:szCs w:val="20"/>
        </w:rPr>
        <w:t>：期末已质押的应收票据为本公司之子公司无锡同方微电子有限公司（以下简称“无锡微电子”） 为开具银行承兑汇票向银行质押形成。</w:t>
      </w:r>
    </w:p>
    <w:p>
      <w:pPr>
        <w:pStyle w:val="Style31"/>
        <w:keepNext w:val="0"/>
        <w:keepLines w:val="0"/>
        <w:widowControl w:val="0"/>
        <w:shd w:val="clear" w:color="auto" w:fill="auto"/>
        <w:bidi w:val="0"/>
        <w:spacing w:before="0" w:line="240" w:lineRule="auto"/>
        <w:ind w:left="0" w:right="0" w:firstLine="460"/>
        <w:jc w:val="both"/>
        <w:rPr>
          <w:sz w:val="20"/>
          <w:szCs w:val="20"/>
        </w:rPr>
      </w:pPr>
      <w:bookmarkStart w:id="854" w:name="bookmark854"/>
      <w:r>
        <w:rPr>
          <w:rFonts w:ascii="Times New Roman" w:eastAsia="Times New Roman" w:hAnsi="Times New Roman" w:cs="Times New Roman"/>
          <w:b/>
          <w:bCs/>
          <w:color w:val="000000"/>
          <w:spacing w:val="0"/>
          <w:w w:val="100"/>
          <w:position w:val="0"/>
          <w:sz w:val="20"/>
          <w:szCs w:val="20"/>
        </w:rPr>
        <w:t>3</w:t>
      </w:r>
      <w:bookmarkEnd w:id="854"/>
      <w:r>
        <w:rPr>
          <w:b/>
          <w:bCs/>
          <w:color w:val="000000"/>
          <w:spacing w:val="0"/>
          <w:w w:val="100"/>
          <w:position w:val="0"/>
          <w:sz w:val="20"/>
          <w:szCs w:val="20"/>
        </w:rPr>
        <w:t>、期末公司已背书或贴现且在资产负债表日尚未到期的应收票据:</w:t>
      </w:r>
      <w:r>
        <w:br w:type="page"/>
      </w:r>
    </w:p>
    <w:tbl>
      <w:tblPr>
        <w:tblOverlap w:val="never"/>
        <w:jc w:val="center"/>
        <w:tblLayout w:type="fixed"/>
      </w:tblPr>
      <w:tblGrid>
        <w:gridCol w:w="3149"/>
        <w:gridCol w:w="3379"/>
        <w:gridCol w:w="3403"/>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期末终止确认金额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期末未终止确认金额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12,483,253.67</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13,367,030.00</w:t>
            </w: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b/>
                <w:bCs/>
                <w:color w:val="000000"/>
                <w:spacing w:val="0"/>
                <w:w w:val="100"/>
                <w:position w:val="0"/>
                <w:sz w:val="18"/>
                <w:szCs w:val="18"/>
              </w:rPr>
              <w:t>25,850,283.67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after="260" w:line="240" w:lineRule="auto"/>
        <w:ind w:left="0" w:right="0" w:firstLine="460"/>
        <w:jc w:val="left"/>
        <w:rPr>
          <w:sz w:val="20"/>
          <w:szCs w:val="20"/>
        </w:rPr>
      </w:pPr>
      <w:bookmarkStart w:id="855" w:name="bookmark855"/>
      <w:r>
        <w:rPr>
          <w:rFonts w:ascii="Times New Roman" w:eastAsia="Times New Roman" w:hAnsi="Times New Roman" w:cs="Times New Roman"/>
          <w:b/>
          <w:bCs/>
          <w:color w:val="000000"/>
          <w:spacing w:val="0"/>
          <w:w w:val="100"/>
          <w:position w:val="0"/>
          <w:sz w:val="20"/>
          <w:szCs w:val="20"/>
        </w:rPr>
        <w:t>4</w:t>
      </w:r>
      <w:bookmarkEnd w:id="855"/>
      <w:r>
        <w:rPr>
          <w:b/>
          <w:bCs/>
          <w:color w:val="000000"/>
          <w:spacing w:val="0"/>
          <w:w w:val="100"/>
          <w:position w:val="0"/>
          <w:sz w:val="20"/>
          <w:szCs w:val="20"/>
        </w:rPr>
        <w:t>、期末公司无因出票人未履约而将其转应收账款的票据。</w:t>
      </w:r>
    </w:p>
    <w:p>
      <w:pPr>
        <w:pStyle w:val="Style28"/>
        <w:keepNext/>
        <w:keepLines/>
        <w:widowControl w:val="0"/>
        <w:shd w:val="clear" w:color="auto" w:fill="auto"/>
        <w:bidi w:val="0"/>
        <w:spacing w:before="0" w:after="260" w:line="240" w:lineRule="auto"/>
        <w:ind w:left="0" w:right="0" w:firstLine="260"/>
        <w:jc w:val="both"/>
      </w:pPr>
      <w:bookmarkStart w:id="856" w:name="bookmark856"/>
      <w:bookmarkStart w:id="857" w:name="bookmark857"/>
      <w:bookmarkStart w:id="858" w:name="bookmark858"/>
      <w:bookmarkStart w:id="859" w:name="bookmark859"/>
      <w:r>
        <w:rPr>
          <w:color w:val="000000"/>
          <w:spacing w:val="0"/>
          <w:w w:val="100"/>
          <w:position w:val="0"/>
        </w:rPr>
        <w:t>（</w:t>
      </w:r>
      <w:bookmarkEnd w:id="858"/>
      <w:r>
        <w:rPr>
          <w:color w:val="000000"/>
          <w:spacing w:val="0"/>
          <w:w w:val="100"/>
          <w:position w:val="0"/>
        </w:rPr>
        <w:t>三）应收账款</w:t>
      </w:r>
      <w:bookmarkEnd w:id="856"/>
      <w:bookmarkEnd w:id="857"/>
      <w:bookmarkEnd w:id="859"/>
    </w:p>
    <w:p>
      <w:pPr>
        <w:pStyle w:val="Style28"/>
        <w:keepNext/>
        <w:keepLines/>
        <w:widowControl w:val="0"/>
        <w:shd w:val="clear" w:color="auto" w:fill="auto"/>
        <w:bidi w:val="0"/>
        <w:spacing w:before="0" w:after="120" w:line="240" w:lineRule="auto"/>
        <w:ind w:left="0" w:right="0" w:firstLine="460"/>
        <w:jc w:val="left"/>
      </w:pPr>
      <w:bookmarkStart w:id="856" w:name="bookmark856"/>
      <w:bookmarkStart w:id="857" w:name="bookmark857"/>
      <w:bookmarkStart w:id="860" w:name="bookmark860"/>
      <w:r>
        <w:rPr>
          <w:rFonts w:ascii="Times New Roman" w:eastAsia="Times New Roman" w:hAnsi="Times New Roman" w:cs="Times New Roman"/>
          <w:color w:val="000000"/>
          <w:spacing w:val="0"/>
          <w:w w:val="100"/>
          <w:position w:val="0"/>
        </w:rPr>
        <w:t>1</w:t>
      </w:r>
      <w:bookmarkEnd w:id="860"/>
      <w:r>
        <w:rPr>
          <w:color w:val="000000"/>
          <w:spacing w:val="0"/>
          <w:w w:val="100"/>
          <w:position w:val="0"/>
        </w:rPr>
        <w:t>、应收账款分类及披露</w:t>
      </w:r>
      <w:bookmarkEnd w:id="856"/>
      <w:bookmarkEnd w:id="857"/>
    </w:p>
    <w:tbl>
      <w:tblPr>
        <w:tblOverlap w:val="never"/>
        <w:jc w:val="center"/>
        <w:tblLayout w:type="fixed"/>
      </w:tblPr>
      <w:tblGrid>
        <w:gridCol w:w="2342"/>
        <w:gridCol w:w="1560"/>
        <w:gridCol w:w="1421"/>
        <w:gridCol w:w="1416"/>
        <w:gridCol w:w="1421"/>
        <w:gridCol w:w="1618"/>
      </w:tblGrid>
      <w:tr>
        <w:trP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b/>
                <w:bCs/>
                <w:color w:val="000000"/>
                <w:spacing w:val="0"/>
                <w:w w:val="100"/>
                <w:position w:val="0"/>
                <w:sz w:val="16"/>
                <w:szCs w:val="16"/>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账面价值</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计提比例（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单项金额重大并单独计提坏 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1,041,368.36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1,041,368.36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按信用风险特征组合计提坏 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656,065,610.40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12,363,843.11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643,701,767.29</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单项金额不重大但单独计提</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657,106,978.76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13,405,211.47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643,701,767.29</w:t>
            </w:r>
          </w:p>
        </w:tc>
      </w:tr>
    </w:tbl>
    <w:p>
      <w:pPr>
        <w:widowControl w:val="0"/>
        <w:spacing w:after="259" w:line="1" w:lineRule="exact"/>
      </w:pPr>
    </w:p>
    <w:p>
      <w:pPr>
        <w:pStyle w:val="Style31"/>
        <w:keepNext w:val="0"/>
        <w:keepLines w:val="0"/>
        <w:widowControl w:val="0"/>
        <w:shd w:val="clear" w:color="auto" w:fill="auto"/>
        <w:bidi w:val="0"/>
        <w:spacing w:before="0" w:line="240" w:lineRule="auto"/>
        <w:ind w:left="0" w:right="0" w:firstLine="680"/>
        <w:jc w:val="left"/>
        <w:rPr>
          <w:sz w:val="20"/>
          <w:szCs w:val="20"/>
        </w:rPr>
      </w:pPr>
      <w:r>
        <w:rPr>
          <w:color w:val="000000"/>
          <w:spacing w:val="0"/>
          <w:w w:val="100"/>
          <w:position w:val="0"/>
          <w:sz w:val="20"/>
          <w:szCs w:val="20"/>
        </w:rPr>
        <w:t>（续）</w:t>
      </w:r>
    </w:p>
    <w:tbl>
      <w:tblPr>
        <w:tblOverlap w:val="never"/>
        <w:jc w:val="center"/>
        <w:tblLayout w:type="fixed"/>
      </w:tblPr>
      <w:tblGrid>
        <w:gridCol w:w="2342"/>
        <w:gridCol w:w="1560"/>
        <w:gridCol w:w="1421"/>
        <w:gridCol w:w="1416"/>
        <w:gridCol w:w="1416"/>
        <w:gridCol w:w="1622"/>
      </w:tblGrid>
      <w:tr>
        <w:trP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b/>
                <w:bCs/>
                <w:color w:val="000000"/>
                <w:spacing w:val="0"/>
                <w:w w:val="100"/>
                <w:position w:val="0"/>
                <w:sz w:val="16"/>
                <w:szCs w:val="16"/>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账面价值</w:t>
            </w:r>
          </w:p>
        </w:tc>
      </w:tr>
      <w:tr>
        <w:trPr>
          <w:trHeight w:val="350" w:hRule="exact"/>
        </w:trPr>
        <w:tc>
          <w:tcPr>
            <w:vMerge/>
            <w:tcBorders/>
            <w:shd w:val="clear" w:color="auto" w:fill="FFFFFF"/>
            <w:vAlign w:val="center"/>
          </w:tcPr>
          <w:p>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比例（</w:t>
            </w:r>
            <w:r>
              <w:rPr>
                <w:b/>
                <w:bCs/>
                <w:color w:val="000000"/>
                <w:spacing w:val="0"/>
                <w:w w:val="100"/>
                <w:position w:val="0"/>
                <w:sz w:val="19"/>
                <w:szCs w:val="19"/>
              </w:rPr>
              <w:t>％</w:t>
            </w:r>
            <w:r>
              <w:rPr>
                <w:b/>
                <w:bCs/>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计提比例（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w:t>
            </w:r>
          </w:p>
        </w:tc>
        <w:tc>
          <w:tcPr>
            <w:vMerge/>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单项金额重大并单独计提坏 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按信用风险特征组合计提坏 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638,578,609.40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9,011,933.65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629,566,675.75</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单项金额不重大但单独计提</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坏账准备的应收账款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974,806.05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974,806.05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639,553,415.45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b/>
                <w:bCs/>
                <w:color w:val="000000"/>
                <w:spacing w:val="0"/>
                <w:w w:val="100"/>
                <w:position w:val="0"/>
                <w:sz w:val="18"/>
                <w:szCs w:val="18"/>
              </w:rPr>
              <w:t>9,986,739.70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629,566,675.75</w:t>
            </w:r>
          </w:p>
        </w:tc>
      </w:tr>
    </w:tbl>
    <w:p>
      <w:pPr>
        <w:widowControl w:val="0"/>
        <w:spacing w:after="119" w:line="1" w:lineRule="exact"/>
      </w:pPr>
    </w:p>
    <w:p>
      <w:pPr>
        <w:pStyle w:val="Style31"/>
        <w:keepNext w:val="0"/>
        <w:keepLines w:val="0"/>
        <w:widowControl w:val="0"/>
        <w:shd w:val="clear" w:color="auto" w:fill="auto"/>
        <w:bidi w:val="0"/>
        <w:spacing w:before="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）期末单项金额重大并单项计提坏账准备的应收账款:</w:t>
      </w:r>
    </w:p>
    <w:tbl>
      <w:tblPr>
        <w:tblOverlap w:val="never"/>
        <w:jc w:val="center"/>
        <w:tblLayout w:type="fixed"/>
      </w:tblPr>
      <w:tblGrid>
        <w:gridCol w:w="2707"/>
        <w:gridCol w:w="1810"/>
        <w:gridCol w:w="1714"/>
        <w:gridCol w:w="1440"/>
        <w:gridCol w:w="2016"/>
      </w:tblGrid>
      <w:tr>
        <w:trP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应收账款</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计提比例（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计提理由</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NuTune Singapore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1,041,368.36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1,041,368.36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该企业已破产清算</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b/>
                <w:bCs/>
                <w:color w:val="000000"/>
                <w:spacing w:val="0"/>
                <w:w w:val="100"/>
                <w:position w:val="0"/>
                <w:sz w:val="18"/>
                <w:szCs w:val="18"/>
              </w:rPr>
              <w:t>1,041,368.36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b/>
                <w:bCs/>
                <w:color w:val="000000"/>
                <w:spacing w:val="0"/>
                <w:w w:val="100"/>
                <w:position w:val="0"/>
                <w:sz w:val="18"/>
                <w:szCs w:val="18"/>
              </w:rPr>
              <w:t>1,041,368.36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tabs>
          <w:tab w:pos="1168" w:val="left"/>
        </w:tabs>
        <w:bidi w:val="0"/>
        <w:spacing w:before="0" w:line="240" w:lineRule="auto"/>
        <w:ind w:left="0" w:right="0" w:firstLine="680"/>
        <w:jc w:val="left"/>
        <w:rPr>
          <w:sz w:val="20"/>
          <w:szCs w:val="20"/>
        </w:rPr>
      </w:pPr>
      <w:bookmarkStart w:id="861" w:name="bookmark861"/>
      <w:r>
        <w:rPr>
          <w:rFonts w:ascii="Times New Roman" w:eastAsia="Times New Roman" w:hAnsi="Times New Roman" w:cs="Times New Roman"/>
          <w:color w:val="000000"/>
          <w:spacing w:val="0"/>
          <w:w w:val="100"/>
          <w:position w:val="0"/>
          <w:sz w:val="20"/>
          <w:szCs w:val="20"/>
        </w:rPr>
        <w:t>（</w:t>
      </w:r>
      <w:bookmarkEnd w:id="86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期末无单项金额不重大但单独计提坏账准备的应收账款。</w:t>
      </w:r>
    </w:p>
    <w:p>
      <w:pPr>
        <w:pStyle w:val="Style31"/>
        <w:keepNext w:val="0"/>
        <w:keepLines w:val="0"/>
        <w:widowControl w:val="0"/>
        <w:shd w:val="clear" w:color="auto" w:fill="auto"/>
        <w:tabs>
          <w:tab w:pos="1168" w:val="left"/>
        </w:tabs>
        <w:bidi w:val="0"/>
        <w:spacing w:before="0" w:line="240" w:lineRule="auto"/>
        <w:ind w:left="0" w:right="0" w:firstLine="680"/>
        <w:jc w:val="left"/>
        <w:rPr>
          <w:sz w:val="20"/>
          <w:szCs w:val="20"/>
        </w:rPr>
      </w:pPr>
      <w:bookmarkStart w:id="862" w:name="bookmark862"/>
      <w:r>
        <w:rPr>
          <w:rFonts w:ascii="Times New Roman" w:eastAsia="Times New Roman" w:hAnsi="Times New Roman" w:cs="Times New Roman"/>
          <w:color w:val="000000"/>
          <w:spacing w:val="0"/>
          <w:w w:val="100"/>
          <w:position w:val="0"/>
          <w:sz w:val="20"/>
          <w:szCs w:val="20"/>
        </w:rPr>
        <w:t>（</w:t>
      </w:r>
      <w:bookmarkEnd w:id="862"/>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组合中，按账龄分析法计提坏账准备的应收账款情况如下:</w:t>
      </w:r>
    </w:p>
    <w:p>
      <w:pPr>
        <w:widowControl w:val="0"/>
        <w:spacing w:line="1" w:lineRule="exact"/>
      </w:pPr>
      <w:r>
        <mc:AlternateContent>
          <mc:Choice Requires="wps">
            <w:drawing>
              <wp:anchor distT="176530" distB="115570" distL="0" distR="0" simplePos="0" relativeHeight="125829398" behindDoc="0" locked="0" layoutInCell="1" allowOverlap="1">
                <wp:simplePos x="0" y="0"/>
                <wp:positionH relativeFrom="page">
                  <wp:posOffset>1502410</wp:posOffset>
                </wp:positionH>
                <wp:positionV relativeFrom="paragraph">
                  <wp:posOffset>176530</wp:posOffset>
                </wp:positionV>
                <wp:extent cx="252730" cy="152400"/>
                <wp:wrapTopAndBottom/>
                <wp:docPr id="56" name="Shape 56"/>
                <a:graphic xmlns:a="http://schemas.openxmlformats.org/drawingml/2006/main">
                  <a:graphicData uri="http://schemas.microsoft.com/office/word/2010/wordprocessingShape">
                    <wps:wsp>
                      <wps:cNvSpPr txBox="1"/>
                      <wps:spPr>
                        <a:xfrm>
                          <a:ext cx="252730" cy="15240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82" type="#_x0000_t202" style="position:absolute;margin-left:118.3pt;margin-top:13.9pt;width:19.900000000000002pt;height:12.pt;z-index:-125829355;mso-wrap-distance-left:0;mso-wrap-distance-top:13.9pt;mso-wrap-distance-right:0;mso-wrap-distance-bottom:9.0999999999999996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285750" distB="6350" distL="0" distR="0" simplePos="0" relativeHeight="125829400" behindDoc="0" locked="0" layoutInCell="1" allowOverlap="1">
                <wp:simplePos x="0" y="0"/>
                <wp:positionH relativeFrom="page">
                  <wp:posOffset>2870835</wp:posOffset>
                </wp:positionH>
                <wp:positionV relativeFrom="paragraph">
                  <wp:posOffset>285750</wp:posOffset>
                </wp:positionV>
                <wp:extent cx="490855" cy="152400"/>
                <wp:wrapTopAndBottom/>
                <wp:docPr id="58" name="Shape 58"/>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xbxContent>
                      </wps:txbx>
                      <wps:bodyPr wrap="none" lIns="0" tIns="0" rIns="0" bIns="0">
                        <a:noAutoFit/>
                      </wps:bodyPr>
                    </wps:wsp>
                  </a:graphicData>
                </a:graphic>
              </wp:anchor>
            </w:drawing>
          </mc:Choice>
          <mc:Fallback>
            <w:pict>
              <v:shape id="_x0000_s1084" type="#_x0000_t202" style="position:absolute;margin-left:226.05000000000001pt;margin-top:22.5pt;width:38.649999999999999pt;height:12.pt;z-index:-125829353;mso-wrap-distance-left:0;mso-wrap-distance-top:22.5pt;mso-wrap-distance-right:0;mso-wrap-distance-bottom:0.5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xbxContent>
                </v:textbox>
                <w10:wrap type="topAndBottom" anchorx="page"/>
              </v:shape>
            </w:pict>
          </mc:Fallback>
        </mc:AlternateContent>
      </w:r>
      <w:r>
        <mc:AlternateContent>
          <mc:Choice Requires="wps">
            <w:drawing>
              <wp:anchor distT="63500" distB="225425" distL="0" distR="0" simplePos="0" relativeHeight="125829402" behindDoc="0" locked="0" layoutInCell="1" allowOverlap="1">
                <wp:simplePos x="0" y="0"/>
                <wp:positionH relativeFrom="page">
                  <wp:posOffset>4175760</wp:posOffset>
                </wp:positionH>
                <wp:positionV relativeFrom="paragraph">
                  <wp:posOffset>63500</wp:posOffset>
                </wp:positionV>
                <wp:extent cx="490855" cy="155575"/>
                <wp:wrapTopAndBottom/>
                <wp:docPr id="60" name="Shape 60"/>
                <a:graphic xmlns:a="http://schemas.openxmlformats.org/drawingml/2006/main">
                  <a:graphicData uri="http://schemas.microsoft.com/office/word/2010/wordprocessingShape">
                    <wps:wsp>
                      <wps:cNvSpPr txBox="1"/>
                      <wps:spPr>
                        <a:xfrm>
                          <a:ext cx="490855" cy="1555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086" type="#_x0000_t202" style="position:absolute;margin-left:328.80000000000001pt;margin-top:5.pt;width:38.649999999999999pt;height:12.25pt;z-index:-125829351;mso-wrap-distance-left:0;mso-wrap-distance-top:5.pt;mso-wrap-distance-right:0;mso-wrap-distance-bottom:17.75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285750" distB="6350" distL="0" distR="0" simplePos="0" relativeHeight="125829404" behindDoc="0" locked="0" layoutInCell="1" allowOverlap="1">
                <wp:simplePos x="0" y="0"/>
                <wp:positionH relativeFrom="page">
                  <wp:posOffset>4309745</wp:posOffset>
                </wp:positionH>
                <wp:positionV relativeFrom="paragraph">
                  <wp:posOffset>285750</wp:posOffset>
                </wp:positionV>
                <wp:extent cx="490855" cy="152400"/>
                <wp:wrapTopAndBottom/>
                <wp:docPr id="62" name="Shape 62"/>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xbxContent>
                      </wps:txbx>
                      <wps:bodyPr wrap="none" lIns="0" tIns="0" rIns="0" bIns="0">
                        <a:noAutoFit/>
                      </wps:bodyPr>
                    </wps:wsp>
                  </a:graphicData>
                </a:graphic>
              </wp:anchor>
            </w:drawing>
          </mc:Choice>
          <mc:Fallback>
            <w:pict>
              <v:shape id="_x0000_s1088" type="#_x0000_t202" style="position:absolute;margin-left:339.35000000000002pt;margin-top:22.5pt;width:38.649999999999999pt;height:12.pt;z-index:-125829349;mso-wrap-distance-left:0;mso-wrap-distance-top:22.5pt;mso-wrap-distance-right:0;mso-wrap-distance-bottom:0.5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xbxContent>
                </v:textbox>
                <w10:wrap type="topAndBottom" anchorx="page"/>
              </v:shape>
            </w:pict>
          </mc:Fallback>
        </mc:AlternateContent>
      </w:r>
      <w:r>
        <mc:AlternateContent>
          <mc:Choice Requires="wps">
            <w:drawing>
              <wp:anchor distT="285750" distB="0" distL="0" distR="0" simplePos="0" relativeHeight="125829406" behindDoc="0" locked="0" layoutInCell="1" allowOverlap="1">
                <wp:simplePos x="0" y="0"/>
                <wp:positionH relativeFrom="page">
                  <wp:posOffset>5443220</wp:posOffset>
                </wp:positionH>
                <wp:positionV relativeFrom="paragraph">
                  <wp:posOffset>285750</wp:posOffset>
                </wp:positionV>
                <wp:extent cx="829310" cy="158750"/>
                <wp:wrapTopAndBottom/>
                <wp:docPr id="64" name="Shape 64"/>
                <a:graphic xmlns:a="http://schemas.openxmlformats.org/drawingml/2006/main">
                  <a:graphicData uri="http://schemas.microsoft.com/office/word/2010/wordprocessingShape">
                    <wps:wsp>
                      <wps:cNvSpPr txBox="1"/>
                      <wps:spPr>
                        <a:xfrm>
                          <a:ext cx="829310" cy="1587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xbxContent>
                      </wps:txbx>
                      <wps:bodyPr wrap="none" lIns="0" tIns="0" rIns="0" bIns="0">
                        <a:noAutoFit/>
                      </wps:bodyPr>
                    </wps:wsp>
                  </a:graphicData>
                </a:graphic>
              </wp:anchor>
            </w:drawing>
          </mc:Choice>
          <mc:Fallback>
            <w:pict>
              <v:shape id="_x0000_s1090" type="#_x0000_t202" style="position:absolute;margin-left:428.60000000000002pt;margin-top:22.5pt;width:65.299999999999997pt;height:12.5pt;z-index:-125829347;mso-wrap-distance-left:0;mso-wrap-distance-top:22.5pt;mso-wrap-distance-right:0;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xbxContent>
                </v:textbox>
                <w10:wrap type="topAndBottom" anchorx="page"/>
              </v:shape>
            </w:pict>
          </mc:Fallback>
        </mc:AlternateContent>
      </w:r>
      <w:r>
        <w:br w:type="page"/>
      </w:r>
    </w:p>
    <w:tbl>
      <w:tblPr>
        <w:tblOverlap w:val="never"/>
        <w:jc w:val="center"/>
        <w:tblLayout w:type="fixed"/>
      </w:tblPr>
      <w:tblGrid>
        <w:gridCol w:w="2314"/>
        <w:gridCol w:w="2410"/>
        <w:gridCol w:w="2126"/>
        <w:gridCol w:w="2016"/>
      </w:tblGrid>
      <w:tr>
        <w:trPr>
          <w:trHeight w:val="37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6"/>
                <w:szCs w:val="16"/>
              </w:rPr>
            </w:pPr>
            <w:r>
              <w:rPr>
                <w:b/>
                <w:bCs/>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b/>
                <w:bCs/>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计提比例（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577,529,065.35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5,775,290.67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67,529,243.79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3,376,462.19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3,171,200.34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475,680.05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7,227,643.79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2,168,293.14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80,680.15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40,340.08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527,776.98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527,776.98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b/>
                <w:bCs/>
                <w:color w:val="000000"/>
                <w:spacing w:val="0"/>
                <w:w w:val="100"/>
                <w:position w:val="0"/>
                <w:sz w:val="18"/>
                <w:szCs w:val="18"/>
              </w:rPr>
              <w:t>656,065,610.40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12,363,843.11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1.88</w:t>
            </w:r>
          </w:p>
        </w:tc>
      </w:tr>
    </w:tbl>
    <w:p>
      <w:pPr>
        <w:widowControl w:val="0"/>
        <w:spacing w:after="119" w:line="1" w:lineRule="exact"/>
      </w:pPr>
    </w:p>
    <w:p>
      <w:pPr>
        <w:pStyle w:val="Style31"/>
        <w:keepNext w:val="0"/>
        <w:keepLines w:val="0"/>
        <w:widowControl w:val="0"/>
        <w:shd w:val="clear" w:color="auto" w:fill="auto"/>
        <w:bidi w:val="0"/>
        <w:spacing w:before="0" w:line="240" w:lineRule="auto"/>
        <w:ind w:left="0" w:right="0" w:firstLine="680"/>
        <w:jc w:val="left"/>
        <w:rPr>
          <w:sz w:val="20"/>
          <w:szCs w:val="20"/>
        </w:rPr>
      </w:pPr>
      <w:r>
        <w:rPr>
          <w:color w:val="000000"/>
          <w:spacing w:val="0"/>
          <w:w w:val="100"/>
          <w:position w:val="0"/>
          <w:sz w:val="20"/>
          <w:szCs w:val="20"/>
        </w:rPr>
        <w:t>（续）</w:t>
      </w:r>
    </w:p>
    <w:tbl>
      <w:tblPr>
        <w:tblOverlap w:val="never"/>
        <w:jc w:val="center"/>
        <w:tblLayout w:type="fixed"/>
      </w:tblPr>
      <w:tblGrid>
        <w:gridCol w:w="2314"/>
        <w:gridCol w:w="2410"/>
        <w:gridCol w:w="2126"/>
        <w:gridCol w:w="2016"/>
      </w:tblGrid>
      <w:tr>
        <w:trP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6"/>
                <w:szCs w:val="16"/>
              </w:rPr>
            </w:pPr>
            <w:r>
              <w:rPr>
                <w:b/>
                <w:bCs/>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计提比例（%）</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601,821,395.76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6,018,213.96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28,149,522.53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1,407,476.13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7,956,051.02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1,193,407.65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123,863.11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344,200.00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172,100.00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183,576.98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183,576.98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b/>
                <w:bCs/>
                <w:color w:val="000000"/>
                <w:spacing w:val="0"/>
                <w:w w:val="100"/>
                <w:position w:val="0"/>
                <w:sz w:val="18"/>
                <w:szCs w:val="18"/>
              </w:rPr>
              <w:t>638,578,609.40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b/>
                <w:bCs/>
                <w:color w:val="000000"/>
                <w:spacing w:val="0"/>
                <w:w w:val="100"/>
                <w:position w:val="0"/>
                <w:sz w:val="18"/>
                <w:szCs w:val="18"/>
              </w:rPr>
              <w:t>9,011,933.65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1.41</w:t>
            </w:r>
          </w:p>
        </w:tc>
      </w:tr>
    </w:tbl>
    <w:p>
      <w:pPr>
        <w:widowControl w:val="0"/>
        <w:spacing w:after="119" w:line="1" w:lineRule="exact"/>
      </w:pPr>
    </w:p>
    <w:p>
      <w:pPr>
        <w:pStyle w:val="Style31"/>
        <w:keepNext w:val="0"/>
        <w:keepLines w:val="0"/>
        <w:widowControl w:val="0"/>
        <w:shd w:val="clear" w:color="auto" w:fill="auto"/>
        <w:tabs>
          <w:tab w:pos="818" w:val="left"/>
        </w:tabs>
        <w:bidi w:val="0"/>
        <w:spacing w:before="0" w:line="264" w:lineRule="exact"/>
        <w:ind w:left="0" w:right="0" w:firstLine="440"/>
        <w:jc w:val="left"/>
        <w:rPr>
          <w:sz w:val="20"/>
          <w:szCs w:val="20"/>
        </w:rPr>
      </w:pPr>
      <w:bookmarkStart w:id="863" w:name="bookmark863"/>
      <w:r>
        <w:rPr>
          <w:rFonts w:ascii="Times New Roman" w:eastAsia="Times New Roman" w:hAnsi="Times New Roman" w:cs="Times New Roman"/>
          <w:b/>
          <w:bCs/>
          <w:color w:val="000000"/>
          <w:spacing w:val="0"/>
          <w:w w:val="100"/>
          <w:position w:val="0"/>
          <w:sz w:val="20"/>
          <w:szCs w:val="20"/>
        </w:rPr>
        <w:t>2</w:t>
      </w:r>
      <w:bookmarkEnd w:id="863"/>
      <w:r>
        <w:rPr>
          <w:b/>
          <w:bCs/>
          <w:color w:val="000000"/>
          <w:spacing w:val="0"/>
          <w:w w:val="100"/>
          <w:position w:val="0"/>
          <w:sz w:val="20"/>
          <w:szCs w:val="20"/>
        </w:rPr>
        <w:t>、</w:t>
        <w:tab/>
        <w:t>本期计提、收回或转回的坏账准备情况：</w:t>
      </w:r>
    </w:p>
    <w:p>
      <w:pPr>
        <w:pStyle w:val="Style31"/>
        <w:keepNext w:val="0"/>
        <w:keepLines w:val="0"/>
        <w:widowControl w:val="0"/>
        <w:shd w:val="clear" w:color="auto" w:fill="auto"/>
        <w:bidi w:val="0"/>
        <w:spacing w:before="0" w:line="264" w:lineRule="exact"/>
        <w:ind w:left="0" w:right="0" w:firstLine="560"/>
        <w:jc w:val="left"/>
        <w:rPr>
          <w:sz w:val="20"/>
          <w:szCs w:val="20"/>
        </w:rPr>
      </w:pPr>
      <w:r>
        <w:rPr>
          <w:color w:val="000000"/>
          <w:spacing w:val="0"/>
          <w:w w:val="100"/>
          <w:position w:val="0"/>
          <w:sz w:val="20"/>
          <w:szCs w:val="20"/>
        </w:rPr>
        <w:t>本期计提坏账准备金额</w:t>
      </w:r>
      <w:r>
        <w:rPr>
          <w:rFonts w:ascii="Times New Roman" w:eastAsia="Times New Roman" w:hAnsi="Times New Roman" w:cs="Times New Roman"/>
          <w:color w:val="000000"/>
          <w:spacing w:val="0"/>
          <w:w w:val="100"/>
          <w:position w:val="0"/>
          <w:sz w:val="20"/>
          <w:szCs w:val="20"/>
        </w:rPr>
        <w:t>3,439,871.08</w:t>
      </w:r>
      <w:r>
        <w:rPr>
          <w:color w:val="000000"/>
          <w:spacing w:val="0"/>
          <w:w w:val="100"/>
          <w:position w:val="0"/>
          <w:sz w:val="20"/>
          <w:szCs w:val="20"/>
        </w:rPr>
        <w:t>元；本期收回或转回坏账准备金额</w:t>
      </w:r>
      <w:r>
        <w:rPr>
          <w:rFonts w:ascii="Times New Roman" w:eastAsia="Times New Roman" w:hAnsi="Times New Roman" w:cs="Times New Roman"/>
          <w:color w:val="000000"/>
          <w:spacing w:val="0"/>
          <w:w w:val="100"/>
          <w:position w:val="0"/>
          <w:sz w:val="20"/>
          <w:szCs w:val="20"/>
        </w:rPr>
        <w:t>21,399.31</w:t>
      </w:r>
      <w:r>
        <w:rPr>
          <w:color w:val="000000"/>
          <w:spacing w:val="0"/>
          <w:w w:val="100"/>
          <w:position w:val="0"/>
          <w:sz w:val="20"/>
          <w:szCs w:val="20"/>
        </w:rPr>
        <w:t>元。</w:t>
      </w:r>
    </w:p>
    <w:p>
      <w:pPr>
        <w:pStyle w:val="Style31"/>
        <w:keepNext w:val="0"/>
        <w:keepLines w:val="0"/>
        <w:widowControl w:val="0"/>
        <w:shd w:val="clear" w:color="auto" w:fill="auto"/>
        <w:tabs>
          <w:tab w:pos="818" w:val="left"/>
        </w:tabs>
        <w:bidi w:val="0"/>
        <w:spacing w:before="0" w:line="264" w:lineRule="exact"/>
        <w:ind w:left="0" w:right="0" w:firstLine="440"/>
        <w:jc w:val="left"/>
        <w:rPr>
          <w:sz w:val="20"/>
          <w:szCs w:val="20"/>
        </w:rPr>
      </w:pPr>
      <w:bookmarkStart w:id="864" w:name="bookmark864"/>
      <w:r>
        <w:rPr>
          <w:rFonts w:ascii="Times New Roman" w:eastAsia="Times New Roman" w:hAnsi="Times New Roman" w:cs="Times New Roman"/>
          <w:b/>
          <w:bCs/>
          <w:color w:val="000000"/>
          <w:spacing w:val="0"/>
          <w:w w:val="100"/>
          <w:position w:val="0"/>
          <w:sz w:val="20"/>
          <w:szCs w:val="20"/>
        </w:rPr>
        <w:t>3</w:t>
      </w:r>
      <w:bookmarkEnd w:id="864"/>
      <w:r>
        <w:rPr>
          <w:b/>
          <w:bCs/>
          <w:color w:val="000000"/>
          <w:spacing w:val="0"/>
          <w:w w:val="100"/>
          <w:position w:val="0"/>
          <w:sz w:val="20"/>
          <w:szCs w:val="20"/>
        </w:rPr>
        <w:t>、</w:t>
        <w:tab/>
        <w:t>本报告期无实际核销的应收账款情况。</w:t>
      </w:r>
    </w:p>
    <w:p>
      <w:pPr>
        <w:pStyle w:val="Style31"/>
        <w:keepNext w:val="0"/>
        <w:keepLines w:val="0"/>
        <w:widowControl w:val="0"/>
        <w:shd w:val="clear" w:color="auto" w:fill="auto"/>
        <w:tabs>
          <w:tab w:pos="818" w:val="left"/>
        </w:tabs>
        <w:bidi w:val="0"/>
        <w:spacing w:before="0" w:line="264" w:lineRule="exact"/>
        <w:ind w:left="0" w:right="0" w:firstLine="440"/>
        <w:jc w:val="left"/>
        <w:rPr>
          <w:sz w:val="20"/>
          <w:szCs w:val="20"/>
        </w:rPr>
      </w:pPr>
      <w:bookmarkStart w:id="865" w:name="bookmark865"/>
      <w:r>
        <w:rPr>
          <w:rFonts w:ascii="Times New Roman" w:eastAsia="Times New Roman" w:hAnsi="Times New Roman" w:cs="Times New Roman"/>
          <w:b/>
          <w:bCs/>
          <w:color w:val="000000"/>
          <w:spacing w:val="0"/>
          <w:w w:val="100"/>
          <w:position w:val="0"/>
          <w:sz w:val="20"/>
          <w:szCs w:val="20"/>
        </w:rPr>
        <w:t>4</w:t>
      </w:r>
      <w:bookmarkEnd w:id="865"/>
      <w:r>
        <w:rPr>
          <w:b/>
          <w:bCs/>
          <w:color w:val="000000"/>
          <w:spacing w:val="0"/>
          <w:w w:val="100"/>
          <w:position w:val="0"/>
          <w:sz w:val="20"/>
          <w:szCs w:val="20"/>
        </w:rPr>
        <w:t>、</w:t>
        <w:tab/>
        <w:t>按欠款方归集的期末余额前五名的应收账款情况：</w:t>
      </w:r>
    </w:p>
    <w:p>
      <w:pPr>
        <w:pStyle w:val="Style31"/>
        <w:keepNext w:val="0"/>
        <w:keepLines w:val="0"/>
        <w:widowControl w:val="0"/>
        <w:shd w:val="clear" w:color="auto" w:fill="auto"/>
        <w:bidi w:val="0"/>
        <w:spacing w:before="0" w:line="264" w:lineRule="exact"/>
        <w:ind w:left="0" w:right="0" w:firstLine="560"/>
        <w:jc w:val="both"/>
        <w:rPr>
          <w:sz w:val="20"/>
          <w:szCs w:val="20"/>
        </w:rPr>
      </w:pPr>
      <w:r>
        <w:rPr>
          <w:color w:val="000000"/>
          <w:spacing w:val="0"/>
          <w:w w:val="100"/>
          <w:position w:val="0"/>
          <w:sz w:val="20"/>
          <w:szCs w:val="20"/>
        </w:rPr>
        <w:t>本报告期按欠款方归集的期末余额前五名应收账款汇总金额</w:t>
      </w:r>
      <w:r>
        <w:rPr>
          <w:rFonts w:ascii="Times New Roman" w:eastAsia="Times New Roman" w:hAnsi="Times New Roman" w:cs="Times New Roman"/>
          <w:color w:val="000000"/>
          <w:spacing w:val="0"/>
          <w:w w:val="100"/>
          <w:position w:val="0"/>
          <w:sz w:val="20"/>
          <w:szCs w:val="20"/>
        </w:rPr>
        <w:t>241,494,650.08</w:t>
      </w:r>
      <w:r>
        <w:rPr>
          <w:color w:val="000000"/>
          <w:spacing w:val="0"/>
          <w:w w:val="100"/>
          <w:position w:val="0"/>
          <w:sz w:val="20"/>
          <w:szCs w:val="20"/>
        </w:rPr>
        <w:t>元，占应收账款期末余额合 计数的比例</w:t>
      </w:r>
      <w:r>
        <w:rPr>
          <w:rFonts w:ascii="Times New Roman" w:eastAsia="Times New Roman" w:hAnsi="Times New Roman" w:cs="Times New Roman"/>
          <w:color w:val="000000"/>
          <w:spacing w:val="0"/>
          <w:w w:val="100"/>
          <w:position w:val="0"/>
          <w:sz w:val="20"/>
          <w:szCs w:val="20"/>
        </w:rPr>
        <w:t xml:space="preserve">36.75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，相应计提的坏账准备期末余额</w:t>
      </w:r>
      <w:r>
        <w:rPr>
          <w:rFonts w:ascii="Times New Roman" w:eastAsia="Times New Roman" w:hAnsi="Times New Roman" w:cs="Times New Roman"/>
          <w:color w:val="000000"/>
          <w:spacing w:val="0"/>
          <w:w w:val="100"/>
          <w:position w:val="0"/>
          <w:sz w:val="20"/>
          <w:szCs w:val="20"/>
        </w:rPr>
        <w:t>4,646,419.15</w:t>
      </w:r>
      <w:r>
        <w:rPr>
          <w:color w:val="000000"/>
          <w:spacing w:val="0"/>
          <w:w w:val="100"/>
          <w:position w:val="0"/>
          <w:sz w:val="20"/>
          <w:szCs w:val="20"/>
        </w:rPr>
        <w:t>元。</w:t>
      </w:r>
    </w:p>
    <w:p>
      <w:pPr>
        <w:pStyle w:val="Style28"/>
        <w:keepNext/>
        <w:keepLines/>
        <w:widowControl w:val="0"/>
        <w:shd w:val="clear" w:color="auto" w:fill="auto"/>
        <w:bidi w:val="0"/>
        <w:spacing w:before="0" w:after="120" w:line="240" w:lineRule="auto"/>
        <w:ind w:left="0" w:right="0" w:firstLine="240"/>
        <w:jc w:val="both"/>
      </w:pPr>
      <w:bookmarkStart w:id="866" w:name="bookmark866"/>
      <w:bookmarkStart w:id="867" w:name="bookmark867"/>
      <w:bookmarkStart w:id="868" w:name="bookmark868"/>
      <w:bookmarkStart w:id="869" w:name="bookmark869"/>
      <w:r>
        <w:rPr>
          <w:color w:val="000000"/>
          <w:spacing w:val="0"/>
          <w:w w:val="100"/>
          <w:position w:val="0"/>
        </w:rPr>
        <w:t>（</w:t>
      </w:r>
      <w:bookmarkEnd w:id="868"/>
      <w:r>
        <w:rPr>
          <w:color w:val="000000"/>
          <w:spacing w:val="0"/>
          <w:w w:val="100"/>
          <w:position w:val="0"/>
        </w:rPr>
        <w:t>四）预付款项</w:t>
      </w:r>
      <w:bookmarkEnd w:id="866"/>
      <w:bookmarkEnd w:id="867"/>
      <w:bookmarkEnd w:id="869"/>
    </w:p>
    <w:p>
      <w:pPr>
        <w:pStyle w:val="Style28"/>
        <w:keepNext/>
        <w:keepLines/>
        <w:widowControl w:val="0"/>
        <w:shd w:val="clear" w:color="auto" w:fill="auto"/>
        <w:bidi w:val="0"/>
        <w:spacing w:before="0" w:after="120" w:line="240" w:lineRule="auto"/>
        <w:ind w:left="0" w:right="0" w:firstLine="560"/>
        <w:jc w:val="left"/>
      </w:pPr>
      <w:bookmarkStart w:id="866" w:name="bookmark866"/>
      <w:bookmarkStart w:id="867" w:name="bookmark867"/>
      <w:bookmarkStart w:id="870" w:name="bookmark870"/>
      <w:r>
        <w:rPr>
          <w:rFonts w:ascii="Times New Roman" w:eastAsia="Times New Roman" w:hAnsi="Times New Roman" w:cs="Times New Roman"/>
          <w:color w:val="000000"/>
          <w:spacing w:val="0"/>
          <w:w w:val="100"/>
          <w:position w:val="0"/>
        </w:rPr>
        <w:t>1</w:t>
      </w:r>
      <w:bookmarkEnd w:id="870"/>
      <w:r>
        <w:rPr>
          <w:color w:val="000000"/>
          <w:spacing w:val="0"/>
          <w:w w:val="100"/>
          <w:position w:val="0"/>
        </w:rPr>
        <w:t>、预付账款按账龄列示</w:t>
      </w:r>
      <w:bookmarkEnd w:id="866"/>
      <w:bookmarkEnd w:id="867"/>
    </w:p>
    <w:tbl>
      <w:tblPr>
        <w:tblOverlap w:val="never"/>
        <w:jc w:val="center"/>
        <w:tblLayout w:type="fixed"/>
      </w:tblPr>
      <w:tblGrid>
        <w:gridCol w:w="1786"/>
        <w:gridCol w:w="2059"/>
        <w:gridCol w:w="1982"/>
        <w:gridCol w:w="2002"/>
        <w:gridCol w:w="1997"/>
      </w:tblGrid>
      <w:tr>
        <w:trP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b/>
                <w:bCs/>
                <w:color w:val="000000"/>
                <w:spacing w:val="0"/>
                <w:w w:val="100"/>
                <w:position w:val="0"/>
                <w:sz w:val="16"/>
                <w:szCs w:val="16"/>
              </w:rPr>
              <w:t>账龄</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占总额比例（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占总额比例（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23,909,987.81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29,404,463.77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89.37</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494,820.96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3,132,897.43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9.52</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229,066.09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0.70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356,756.09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0.41</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b/>
                <w:bCs/>
                <w:color w:val="000000"/>
                <w:spacing w:val="0"/>
                <w:w w:val="100"/>
                <w:position w:val="0"/>
                <w:sz w:val="18"/>
                <w:szCs w:val="18"/>
              </w:rPr>
              <w:t>24,779,636.86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32,900,607.29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r>
    </w:tbl>
    <w:p>
      <w:pPr>
        <w:widowControl w:val="0"/>
        <w:spacing w:after="119" w:line="1" w:lineRule="exact"/>
      </w:pPr>
    </w:p>
    <w:p>
      <w:pPr>
        <w:pStyle w:val="Style31"/>
        <w:keepNext w:val="0"/>
        <w:keepLines w:val="0"/>
        <w:widowControl w:val="0"/>
        <w:shd w:val="clear" w:color="auto" w:fill="auto"/>
        <w:bidi w:val="0"/>
        <w:spacing w:before="0" w:line="240" w:lineRule="auto"/>
        <w:ind w:left="0" w:right="0" w:firstLine="560"/>
        <w:jc w:val="left"/>
        <w:rPr>
          <w:sz w:val="20"/>
          <w:szCs w:val="20"/>
        </w:rPr>
      </w:pPr>
      <w:r>
        <w:rPr>
          <w:color w:val="000000"/>
          <w:spacing w:val="0"/>
          <w:w w:val="100"/>
          <w:position w:val="0"/>
          <w:sz w:val="20"/>
          <w:szCs w:val="20"/>
        </w:rPr>
        <w:t>期末账龄超过</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年且金额重要的预付款项:</w:t>
      </w:r>
    </w:p>
    <w:tbl>
      <w:tblPr>
        <w:tblOverlap w:val="never"/>
        <w:jc w:val="center"/>
        <w:tblLayout w:type="fixed"/>
      </w:tblPr>
      <w:tblGrid>
        <w:gridCol w:w="3134"/>
        <w:gridCol w:w="3384"/>
        <w:gridCol w:w="3398"/>
      </w:tblGrid>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债务人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未及时结算的原因</w:t>
            </w:r>
          </w:p>
        </w:tc>
      </w:tr>
      <w:tr>
        <w:trPr>
          <w:trHeight w:val="40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供应商一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464,622.37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预付材料费，尚未结算</w:t>
            </w:r>
          </w:p>
        </w:tc>
      </w:tr>
    </w:tbl>
    <w:p>
      <w:pPr>
        <w:widowControl w:val="0"/>
        <w:spacing w:line="1" w:lineRule="exact"/>
      </w:pPr>
      <w:r>
        <w:br w:type="page"/>
      </w:r>
    </w:p>
    <w:tbl>
      <w:tblPr>
        <w:tblOverlap w:val="never"/>
        <w:jc w:val="center"/>
        <w:tblLayout w:type="fixed"/>
      </w:tblPr>
      <w:tblGrid>
        <w:gridCol w:w="3149"/>
        <w:gridCol w:w="3384"/>
        <w:gridCol w:w="3398"/>
      </w:tblGrid>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债务人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未及时结算的原因</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464,622.37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line="259" w:lineRule="exact"/>
        <w:ind w:left="0" w:right="0" w:firstLine="560"/>
        <w:jc w:val="left"/>
        <w:rPr>
          <w:sz w:val="20"/>
          <w:szCs w:val="20"/>
        </w:rPr>
      </w:pPr>
      <w:bookmarkStart w:id="871" w:name="bookmark871"/>
      <w:r>
        <w:rPr>
          <w:rFonts w:ascii="Times New Roman" w:eastAsia="Times New Roman" w:hAnsi="Times New Roman" w:cs="Times New Roman"/>
          <w:b/>
          <w:bCs/>
          <w:color w:val="000000"/>
          <w:spacing w:val="0"/>
          <w:w w:val="100"/>
          <w:position w:val="0"/>
          <w:sz w:val="20"/>
          <w:szCs w:val="20"/>
        </w:rPr>
        <w:t>2</w:t>
      </w:r>
      <w:bookmarkEnd w:id="871"/>
      <w:r>
        <w:rPr>
          <w:b/>
          <w:bCs/>
          <w:color w:val="000000"/>
          <w:spacing w:val="0"/>
          <w:w w:val="100"/>
          <w:position w:val="0"/>
          <w:sz w:val="20"/>
          <w:szCs w:val="20"/>
        </w:rPr>
        <w:t>、按预付对象归集的期末余额前五名的预付款情况：</w:t>
      </w:r>
    </w:p>
    <w:p>
      <w:pPr>
        <w:pStyle w:val="Style31"/>
        <w:keepNext w:val="0"/>
        <w:keepLines w:val="0"/>
        <w:widowControl w:val="0"/>
        <w:shd w:val="clear" w:color="auto" w:fill="auto"/>
        <w:bidi w:val="0"/>
        <w:spacing w:before="0" w:after="180" w:line="259" w:lineRule="exact"/>
        <w:ind w:left="0" w:right="0" w:firstLine="580"/>
        <w:jc w:val="left"/>
        <w:rPr>
          <w:sz w:val="20"/>
          <w:szCs w:val="20"/>
        </w:rPr>
      </w:pPr>
      <w:r>
        <w:rPr>
          <w:color w:val="000000"/>
          <w:spacing w:val="0"/>
          <w:w w:val="100"/>
          <w:position w:val="0"/>
          <w:sz w:val="20"/>
          <w:szCs w:val="20"/>
        </w:rPr>
        <w:t>本报告期按预付款归集的期末余额前五名预付账款汇总金额</w:t>
      </w:r>
      <w:r>
        <w:rPr>
          <w:rFonts w:ascii="Times New Roman" w:eastAsia="Times New Roman" w:hAnsi="Times New Roman" w:cs="Times New Roman"/>
          <w:color w:val="000000"/>
          <w:spacing w:val="0"/>
          <w:w w:val="100"/>
          <w:position w:val="0"/>
          <w:sz w:val="20"/>
          <w:szCs w:val="20"/>
        </w:rPr>
        <w:t>10,573,046.40</w:t>
      </w:r>
      <w:r>
        <w:rPr>
          <w:color w:val="000000"/>
          <w:spacing w:val="0"/>
          <w:w w:val="100"/>
          <w:position w:val="0"/>
          <w:sz w:val="20"/>
          <w:szCs w:val="20"/>
        </w:rPr>
        <w:t>元，占预付账款期末余额合 计数的比例</w:t>
      </w:r>
      <w:r>
        <w:rPr>
          <w:rFonts w:ascii="Times New Roman" w:eastAsia="Times New Roman" w:hAnsi="Times New Roman" w:cs="Times New Roman"/>
          <w:color w:val="000000"/>
          <w:spacing w:val="0"/>
          <w:w w:val="100"/>
          <w:position w:val="0"/>
          <w:sz w:val="20"/>
          <w:szCs w:val="20"/>
        </w:rPr>
        <w:t xml:space="preserve">42.67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28"/>
        <w:keepNext/>
        <w:keepLines/>
        <w:widowControl w:val="0"/>
        <w:shd w:val="clear" w:color="auto" w:fill="auto"/>
        <w:bidi w:val="0"/>
        <w:spacing w:before="0" w:after="180" w:line="240" w:lineRule="auto"/>
        <w:ind w:left="0" w:right="0" w:firstLine="260"/>
        <w:jc w:val="both"/>
      </w:pPr>
      <w:bookmarkStart w:id="872" w:name="bookmark872"/>
      <w:bookmarkStart w:id="873" w:name="bookmark873"/>
      <w:bookmarkStart w:id="874" w:name="bookmark874"/>
      <w:bookmarkStart w:id="875" w:name="bookmark875"/>
      <w:r>
        <w:rPr>
          <w:color w:val="000000"/>
          <w:spacing w:val="0"/>
          <w:w w:val="100"/>
          <w:position w:val="0"/>
        </w:rPr>
        <w:t>（</w:t>
      </w:r>
      <w:bookmarkEnd w:id="874"/>
      <w:r>
        <w:rPr>
          <w:color w:val="000000"/>
          <w:spacing w:val="0"/>
          <w:w w:val="100"/>
          <w:position w:val="0"/>
        </w:rPr>
        <w:t>五）其他应收款</w:t>
      </w:r>
      <w:bookmarkEnd w:id="872"/>
      <w:bookmarkEnd w:id="873"/>
      <w:bookmarkEnd w:id="875"/>
    </w:p>
    <w:p>
      <w:pPr>
        <w:pStyle w:val="Style28"/>
        <w:keepNext/>
        <w:keepLines/>
        <w:widowControl w:val="0"/>
        <w:shd w:val="clear" w:color="auto" w:fill="auto"/>
        <w:bidi w:val="0"/>
        <w:spacing w:before="0" w:after="120" w:line="240" w:lineRule="auto"/>
        <w:ind w:left="0" w:right="0" w:firstLine="560"/>
        <w:jc w:val="left"/>
      </w:pPr>
      <w:bookmarkStart w:id="872" w:name="bookmark872"/>
      <w:bookmarkStart w:id="873" w:name="bookmark873"/>
      <w:bookmarkStart w:id="876" w:name="bookmark876"/>
      <w:r>
        <w:rPr>
          <w:rFonts w:ascii="Times New Roman" w:eastAsia="Times New Roman" w:hAnsi="Times New Roman" w:cs="Times New Roman"/>
          <w:color w:val="000000"/>
          <w:spacing w:val="0"/>
          <w:w w:val="100"/>
          <w:position w:val="0"/>
        </w:rPr>
        <w:t>1</w:t>
      </w:r>
      <w:bookmarkEnd w:id="876"/>
      <w:r>
        <w:rPr>
          <w:color w:val="000000"/>
          <w:spacing w:val="0"/>
          <w:w w:val="100"/>
          <w:position w:val="0"/>
        </w:rPr>
        <w:t>、其他应收款分类披露</w:t>
      </w:r>
      <w:bookmarkEnd w:id="872"/>
      <w:bookmarkEnd w:id="873"/>
    </w:p>
    <w:tbl>
      <w:tblPr>
        <w:tblOverlap w:val="never"/>
        <w:jc w:val="center"/>
        <w:tblLayout w:type="fixed"/>
      </w:tblPr>
      <w:tblGrid>
        <w:gridCol w:w="2563"/>
        <w:gridCol w:w="1560"/>
        <w:gridCol w:w="1277"/>
        <w:gridCol w:w="1421"/>
        <w:gridCol w:w="1411"/>
        <w:gridCol w:w="1450"/>
      </w:tblGrid>
      <w:tr>
        <w:trPr>
          <w:trHeight w:val="26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类别</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r>
      <w:tr>
        <w:trPr>
          <w:trHeight w:val="245"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账面价值</w:t>
            </w:r>
          </w:p>
        </w:tc>
      </w:tr>
      <w:tr>
        <w:trPr>
          <w:trHeight w:val="245"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6"/>
                <w:szCs w:val="16"/>
              </w:rPr>
            </w:pPr>
            <w:r>
              <w:rPr>
                <w:b/>
                <w:bCs/>
                <w:color w:val="000000"/>
                <w:spacing w:val="0"/>
                <w:w w:val="100"/>
                <w:position w:val="0"/>
                <w:sz w:val="16"/>
                <w:szCs w:val="16"/>
              </w:rPr>
              <w:t>金额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计提比例（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40" w:right="0" w:firstLine="0"/>
              <w:jc w:val="left"/>
              <w:rPr>
                <w:sz w:val="16"/>
                <w:szCs w:val="16"/>
              </w:rPr>
            </w:pPr>
            <w:r>
              <w:rPr>
                <w:color w:val="000000"/>
                <w:spacing w:val="0"/>
                <w:w w:val="100"/>
                <w:position w:val="0"/>
                <w:sz w:val="16"/>
                <w:szCs w:val="16"/>
              </w:rPr>
              <w:t>单项金额重大并单独计提坏 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0" w:lineRule="exact"/>
              <w:ind w:left="140" w:right="0" w:firstLine="0"/>
              <w:jc w:val="left"/>
              <w:rPr>
                <w:sz w:val="16"/>
                <w:szCs w:val="16"/>
              </w:rPr>
            </w:pPr>
            <w:r>
              <w:rPr>
                <w:color w:val="000000"/>
                <w:spacing w:val="0"/>
                <w:w w:val="100"/>
                <w:position w:val="0"/>
                <w:sz w:val="16"/>
                <w:szCs w:val="16"/>
              </w:rPr>
              <w:t>按信用风险特征组合计提坏 账准备的其他应收款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14,024,135.96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1,216,526.00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12,807,609.96</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0" w:lineRule="exact"/>
              <w:ind w:left="140" w:right="0" w:firstLine="0"/>
              <w:jc w:val="left"/>
              <w:rPr>
                <w:sz w:val="16"/>
                <w:szCs w:val="16"/>
              </w:rPr>
            </w:pPr>
            <w:r>
              <w:rPr>
                <w:color w:val="000000"/>
                <w:spacing w:val="0"/>
                <w:w w:val="100"/>
                <w:position w:val="0"/>
                <w:sz w:val="16"/>
                <w:szCs w:val="16"/>
              </w:rPr>
              <w:t>单项金额不重大但单独计提 坏账准备的其他应收款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14,200,135.96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1,392,526.00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12,807,609.96</w:t>
            </w:r>
          </w:p>
        </w:tc>
      </w:tr>
    </w:tbl>
    <w:p>
      <w:pPr>
        <w:widowControl w:val="0"/>
        <w:spacing w:after="119" w:line="1" w:lineRule="exact"/>
      </w:pPr>
    </w:p>
    <w:p>
      <w:pPr>
        <w:pStyle w:val="Style31"/>
        <w:keepNext w:val="0"/>
        <w:keepLines w:val="0"/>
        <w:widowControl w:val="0"/>
        <w:shd w:val="clear" w:color="auto" w:fill="auto"/>
        <w:bidi w:val="0"/>
        <w:spacing w:before="0" w:line="240" w:lineRule="auto"/>
        <w:ind w:left="0" w:right="0" w:firstLine="680"/>
        <w:jc w:val="left"/>
        <w:rPr>
          <w:sz w:val="20"/>
          <w:szCs w:val="20"/>
        </w:rPr>
      </w:pPr>
      <w:r>
        <w:rPr>
          <w:color w:val="000000"/>
          <w:spacing w:val="0"/>
          <w:w w:val="100"/>
          <w:position w:val="0"/>
          <w:sz w:val="20"/>
          <w:szCs w:val="20"/>
        </w:rPr>
        <w:t>（续）</w:t>
      </w:r>
    </w:p>
    <w:tbl>
      <w:tblPr>
        <w:tblOverlap w:val="never"/>
        <w:jc w:val="center"/>
        <w:tblLayout w:type="fixed"/>
      </w:tblPr>
      <w:tblGrid>
        <w:gridCol w:w="2621"/>
        <w:gridCol w:w="1498"/>
        <w:gridCol w:w="1282"/>
        <w:gridCol w:w="1416"/>
        <w:gridCol w:w="1421"/>
        <w:gridCol w:w="1522"/>
      </w:tblGrid>
      <w:tr>
        <w:trPr>
          <w:trHeight w:val="26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6"/>
                <w:szCs w:val="16"/>
              </w:rPr>
            </w:pPr>
            <w:r>
              <w:rPr>
                <w:b/>
                <w:bCs/>
                <w:color w:val="000000"/>
                <w:spacing w:val="0"/>
                <w:w w:val="100"/>
                <w:position w:val="0"/>
                <w:sz w:val="16"/>
                <w:szCs w:val="16"/>
              </w:rPr>
              <w:t>类别</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259"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00" w:firstLine="0"/>
              <w:jc w:val="right"/>
              <w:rPr>
                <w:sz w:val="16"/>
                <w:szCs w:val="16"/>
              </w:rPr>
            </w:pPr>
            <w:r>
              <w:rPr>
                <w:b/>
                <w:bCs/>
                <w:color w:val="000000"/>
                <w:spacing w:val="0"/>
                <w:w w:val="100"/>
                <w:position w:val="0"/>
                <w:sz w:val="16"/>
                <w:szCs w:val="16"/>
              </w:rPr>
              <w:t>账面价值</w:t>
            </w:r>
          </w:p>
        </w:tc>
      </w:tr>
      <w:tr>
        <w:trPr>
          <w:trHeight w:val="269"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计提比例（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w:t>
            </w:r>
          </w:p>
        </w:tc>
        <w:tc>
          <w:tcPr>
            <w:vMerge/>
            <w:tcBorders>
              <w:left w:val="single" w:sz="4"/>
            </w:tcBorders>
            <w:shd w:val="clear" w:color="auto" w:fill="FFFFFF"/>
            <w:vAlign w:val="center"/>
          </w:tcPr>
          <w:p>
            <w:pPr/>
          </w:p>
        </w:tc>
      </w:tr>
      <w:tr>
        <w:trPr>
          <w:trHeight w:val="69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140" w:right="0" w:firstLine="0"/>
              <w:jc w:val="left"/>
              <w:rPr>
                <w:sz w:val="16"/>
                <w:szCs w:val="16"/>
              </w:rPr>
            </w:pPr>
            <w:r>
              <w:rPr>
                <w:color w:val="000000"/>
                <w:spacing w:val="0"/>
                <w:w w:val="100"/>
                <w:position w:val="0"/>
                <w:sz w:val="16"/>
                <w:szCs w:val="16"/>
              </w:rPr>
              <w:t>单项金额重大并单独计提坏账 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40" w:right="0" w:firstLine="0"/>
              <w:jc w:val="left"/>
              <w:rPr>
                <w:sz w:val="16"/>
                <w:szCs w:val="16"/>
              </w:rPr>
            </w:pPr>
            <w:r>
              <w:rPr>
                <w:color w:val="000000"/>
                <w:spacing w:val="0"/>
                <w:w w:val="100"/>
                <w:position w:val="0"/>
                <w:sz w:val="16"/>
                <w:szCs w:val="16"/>
              </w:rPr>
              <w:t>按信用风险特征组合计提坏账 准备的其他应收款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13,430,240.47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458,072.52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12,972,167.95</w:t>
            </w: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140" w:right="0" w:firstLine="0"/>
              <w:jc w:val="left"/>
              <w:rPr>
                <w:sz w:val="16"/>
                <w:szCs w:val="16"/>
              </w:rPr>
            </w:pPr>
            <w:r>
              <w:rPr>
                <w:color w:val="000000"/>
                <w:spacing w:val="0"/>
                <w:w w:val="100"/>
                <w:position w:val="0"/>
                <w:sz w:val="16"/>
                <w:szCs w:val="16"/>
              </w:rPr>
              <w:t>单项金额不重大但单独计提坏</w:t>
            </w:r>
          </w:p>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账准备的其他应收款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589,514.05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457,514.05</w:t>
            </w:r>
          </w:p>
        </w:tc>
      </w:tr>
      <w:tr>
        <w:trPr>
          <w:trHeight w:val="41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14,019,754.52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590,072.52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13,429,682.00</w:t>
            </w:r>
          </w:p>
        </w:tc>
      </w:tr>
    </w:tbl>
    <w:p>
      <w:pPr>
        <w:widowControl w:val="0"/>
        <w:spacing w:after="179" w:line="1" w:lineRule="exact"/>
      </w:pPr>
    </w:p>
    <w:p>
      <w:pPr>
        <w:pStyle w:val="Style31"/>
        <w:keepNext w:val="0"/>
        <w:keepLines w:val="0"/>
        <w:widowControl w:val="0"/>
        <w:shd w:val="clear" w:color="auto" w:fill="auto"/>
        <w:bidi w:val="0"/>
        <w:spacing w:before="0" w:after="240" w:line="240" w:lineRule="auto"/>
        <w:ind w:left="0" w:right="0" w:firstLine="68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）期末无单项金额重大并单项计提坏账准备的其他应收款。</w:t>
      </w:r>
    </w:p>
    <w:p>
      <w:pPr>
        <w:pStyle w:val="Style31"/>
        <w:keepNext w:val="0"/>
        <w:keepLines w:val="0"/>
        <w:widowControl w:val="0"/>
        <w:shd w:val="clear" w:color="auto" w:fill="auto"/>
        <w:bidi w:val="0"/>
        <w:spacing w:before="0" w:after="4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）期末单项金额不重大但单独计提坏账准备的其他应收款:</w:t>
      </w:r>
    </w:p>
    <w:tbl>
      <w:tblPr>
        <w:tblOverlap w:val="never"/>
        <w:jc w:val="center"/>
        <w:tblLayout w:type="fixed"/>
      </w:tblPr>
      <w:tblGrid>
        <w:gridCol w:w="2846"/>
        <w:gridCol w:w="1675"/>
        <w:gridCol w:w="1714"/>
        <w:gridCol w:w="1435"/>
        <w:gridCol w:w="2155"/>
      </w:tblGrid>
      <w:tr>
        <w:trPr>
          <w:trHeight w:val="34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其他应收款</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计提比例（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计提理由</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成都电业局高新供电局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预计收回可能性小</w:t>
            </w:r>
          </w:p>
        </w:tc>
      </w:tr>
      <w:tr>
        <w:trPr>
          <w:trHeight w:val="50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b/>
                <w:bCs/>
                <w:color w:val="000000"/>
                <w:spacing w:val="0"/>
                <w:w w:val="100"/>
                <w:position w:val="0"/>
                <w:sz w:val="18"/>
                <w:szCs w:val="18"/>
              </w:rPr>
              <w:t>176,000.00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b/>
                <w:bCs/>
                <w:color w:val="000000"/>
                <w:spacing w:val="0"/>
                <w:w w:val="100"/>
                <w:position w:val="0"/>
                <w:sz w:val="18"/>
                <w:szCs w:val="18"/>
              </w:rPr>
              <w:t>176,000.00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pStyle w:val="Style31"/>
        <w:keepNext w:val="0"/>
        <w:keepLines w:val="0"/>
        <w:widowControl w:val="0"/>
        <w:shd w:val="clear" w:color="auto" w:fill="auto"/>
        <w:bidi w:val="0"/>
        <w:spacing w:before="0" w:after="40" w:line="240" w:lineRule="auto"/>
        <w:ind w:left="0" w:right="0" w:firstLine="680"/>
        <w:jc w:val="left"/>
        <w:rPr>
          <w:sz w:val="20"/>
          <w:szCs w:val="20"/>
        </w:rPr>
      </w:pPr>
      <w:bookmarkStart w:id="877" w:name="bookmark877"/>
      <w:r>
        <w:rPr>
          <w:rFonts w:ascii="Times New Roman" w:eastAsia="Times New Roman" w:hAnsi="Times New Roman" w:cs="Times New Roman"/>
          <w:color w:val="000000"/>
          <w:spacing w:val="0"/>
          <w:w w:val="100"/>
          <w:position w:val="0"/>
          <w:sz w:val="20"/>
          <w:szCs w:val="20"/>
        </w:rPr>
        <w:t>（</w:t>
      </w:r>
      <w:bookmarkEnd w:id="877"/>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）组合中，按账龄分析法计提坏账准备的其他应收款:</w:t>
      </w:r>
    </w:p>
    <w:tbl>
      <w:tblPr>
        <w:tblOverlap w:val="never"/>
        <w:jc w:val="center"/>
        <w:tblLayout w:type="fixed"/>
      </w:tblPr>
      <w:tblGrid>
        <w:gridCol w:w="2179"/>
        <w:gridCol w:w="2515"/>
        <w:gridCol w:w="2520"/>
        <w:gridCol w:w="2347"/>
      </w:tblGrid>
      <w:tr>
        <w:trPr>
          <w:trHeight w:val="26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账龄</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r>
      <w:tr>
        <w:trPr>
          <w:trHeight w:val="245"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其他应收款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计提比例（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w:t>
            </w:r>
          </w:p>
        </w:tc>
      </w:tr>
      <w:tr>
        <w:trPr>
          <w:trHeight w:val="41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1,127,564.86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line="1" w:lineRule="exact"/>
      </w:pPr>
      <w:r>
        <w:br w:type="page"/>
      </w:r>
    </w:p>
    <w:tbl>
      <w:tblPr>
        <w:tblOverlap w:val="never"/>
        <w:jc w:val="center"/>
        <w:tblLayout w:type="fixed"/>
      </w:tblPr>
      <w:tblGrid>
        <w:gridCol w:w="2194"/>
        <w:gridCol w:w="2515"/>
        <w:gridCol w:w="2520"/>
        <w:gridCol w:w="2347"/>
      </w:tblGrid>
      <w:tr>
        <w:trPr>
          <w:trHeight w:val="26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b/>
                <w:bCs/>
                <w:color w:val="000000"/>
                <w:spacing w:val="0"/>
                <w:w w:val="100"/>
                <w:position w:val="0"/>
                <w:sz w:val="16"/>
                <w:szCs w:val="16"/>
              </w:rPr>
              <w:t>账龄</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r>
      <w:tr>
        <w:trPr>
          <w:trHeight w:val="24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其他应收款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计提比例（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10,268,314.20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513,415.71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1,320,649.56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198,097.44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821,832.48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246,549.74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477,174.86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238,587.43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b/>
                <w:bCs/>
                <w:color w:val="000000"/>
                <w:spacing w:val="0"/>
                <w:w w:val="100"/>
                <w:position w:val="0"/>
                <w:sz w:val="18"/>
                <w:szCs w:val="18"/>
              </w:rPr>
              <w:t>14,024,135.96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1,216,526.00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8.67</w:t>
            </w:r>
          </w:p>
        </w:tc>
      </w:tr>
    </w:tbl>
    <w:p>
      <w:pPr>
        <w:widowControl w:val="0"/>
        <w:spacing w:after="239" w:line="1" w:lineRule="exact"/>
      </w:pPr>
    </w:p>
    <w:p>
      <w:pPr>
        <w:pStyle w:val="Style31"/>
        <w:keepNext w:val="0"/>
        <w:keepLines w:val="0"/>
        <w:widowControl w:val="0"/>
        <w:shd w:val="clear" w:color="auto" w:fill="auto"/>
        <w:bidi w:val="0"/>
        <w:spacing w:before="0" w:line="240" w:lineRule="auto"/>
        <w:ind w:left="0" w:right="0" w:firstLine="680"/>
        <w:jc w:val="left"/>
        <w:rPr>
          <w:sz w:val="20"/>
          <w:szCs w:val="20"/>
        </w:rPr>
      </w:pPr>
      <w:r>
        <w:rPr>
          <w:color w:val="000000"/>
          <w:spacing w:val="0"/>
          <w:w w:val="100"/>
          <w:position w:val="0"/>
          <w:sz w:val="20"/>
          <w:szCs w:val="20"/>
        </w:rPr>
        <w:t>（续）</w:t>
      </w:r>
    </w:p>
    <w:tbl>
      <w:tblPr>
        <w:tblOverlap w:val="never"/>
        <w:jc w:val="center"/>
        <w:tblLayout w:type="fixed"/>
      </w:tblPr>
      <w:tblGrid>
        <w:gridCol w:w="2174"/>
        <w:gridCol w:w="2554"/>
        <w:gridCol w:w="2549"/>
        <w:gridCol w:w="2299"/>
      </w:tblGrid>
      <w:tr>
        <w:trPr>
          <w:trHeight w:val="26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6"/>
                <w:szCs w:val="16"/>
              </w:rPr>
            </w:pPr>
            <w:r>
              <w:rPr>
                <w:b/>
                <w:bCs/>
                <w:color w:val="000000"/>
                <w:spacing w:val="0"/>
                <w:w w:val="100"/>
                <w:position w:val="0"/>
                <w:sz w:val="16"/>
                <w:szCs w:val="16"/>
              </w:rPr>
              <w:t>账龄</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245"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其他应收款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计提比例（%）</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10,718,936.52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107,189.36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1,344,186.61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67,209.33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874,542.48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131,181.37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483,974.86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145,192.46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b/>
                <w:bCs/>
                <w:color w:val="000000"/>
                <w:spacing w:val="0"/>
                <w:w w:val="100"/>
                <w:position w:val="0"/>
                <w:sz w:val="18"/>
                <w:szCs w:val="18"/>
              </w:rPr>
              <w:t>13,430,240.47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b/>
                <w:bCs/>
                <w:color w:val="000000"/>
                <w:spacing w:val="0"/>
                <w:w w:val="100"/>
                <w:position w:val="0"/>
                <w:sz w:val="18"/>
                <w:szCs w:val="18"/>
              </w:rPr>
              <w:t>458,072.52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3.41</w:t>
            </w:r>
          </w:p>
        </w:tc>
      </w:tr>
    </w:tbl>
    <w:p>
      <w:pPr>
        <w:widowControl w:val="0"/>
        <w:spacing w:after="119" w:line="1" w:lineRule="exact"/>
      </w:pPr>
    </w:p>
    <w:p>
      <w:pPr>
        <w:pStyle w:val="Style31"/>
        <w:keepNext w:val="0"/>
        <w:keepLines w:val="0"/>
        <w:widowControl w:val="0"/>
        <w:shd w:val="clear" w:color="auto" w:fill="auto"/>
        <w:tabs>
          <w:tab w:pos="938" w:val="left"/>
        </w:tabs>
        <w:bidi w:val="0"/>
        <w:spacing w:before="0" w:line="240" w:lineRule="auto"/>
        <w:ind w:left="0" w:right="0" w:firstLine="560"/>
        <w:jc w:val="left"/>
        <w:rPr>
          <w:sz w:val="20"/>
          <w:szCs w:val="20"/>
        </w:rPr>
      </w:pPr>
      <w:bookmarkStart w:id="878" w:name="bookmark878"/>
      <w:r>
        <w:rPr>
          <w:rFonts w:ascii="Times New Roman" w:eastAsia="Times New Roman" w:hAnsi="Times New Roman" w:cs="Times New Roman"/>
          <w:b/>
          <w:bCs/>
          <w:color w:val="000000"/>
          <w:spacing w:val="0"/>
          <w:w w:val="100"/>
          <w:position w:val="0"/>
          <w:sz w:val="20"/>
          <w:szCs w:val="20"/>
        </w:rPr>
        <w:t>2</w:t>
      </w:r>
      <w:bookmarkEnd w:id="878"/>
      <w:r>
        <w:rPr>
          <w:b/>
          <w:bCs/>
          <w:color w:val="000000"/>
          <w:spacing w:val="0"/>
          <w:w w:val="100"/>
          <w:position w:val="0"/>
          <w:sz w:val="20"/>
          <w:szCs w:val="20"/>
        </w:rPr>
        <w:t>、</w:t>
        <w:tab/>
        <w:t>本期计提、收回或转回的坏账准备情况：</w:t>
      </w:r>
    </w:p>
    <w:p>
      <w:pPr>
        <w:pStyle w:val="Style31"/>
        <w:keepNext w:val="0"/>
        <w:keepLines w:val="0"/>
        <w:widowControl w:val="0"/>
        <w:shd w:val="clear" w:color="auto" w:fill="auto"/>
        <w:bidi w:val="0"/>
        <w:spacing w:before="0" w:after="160" w:line="240" w:lineRule="auto"/>
        <w:ind w:left="0" w:right="0" w:firstLine="560"/>
        <w:jc w:val="left"/>
        <w:rPr>
          <w:sz w:val="20"/>
          <w:szCs w:val="20"/>
        </w:rPr>
      </w:pPr>
      <w:r>
        <w:rPr>
          <w:color w:val="000000"/>
          <w:spacing w:val="0"/>
          <w:w w:val="100"/>
          <w:position w:val="0"/>
          <w:sz w:val="20"/>
          <w:szCs w:val="20"/>
        </w:rPr>
        <w:t>本期计提坏账准备金额</w:t>
      </w:r>
      <w:r>
        <w:rPr>
          <w:rFonts w:ascii="Times New Roman" w:eastAsia="Times New Roman" w:hAnsi="Times New Roman" w:cs="Times New Roman"/>
          <w:color w:val="000000"/>
          <w:spacing w:val="0"/>
          <w:w w:val="100"/>
          <w:position w:val="0"/>
          <w:sz w:val="20"/>
          <w:szCs w:val="20"/>
        </w:rPr>
        <w:t>804,919.23</w:t>
      </w:r>
      <w:r>
        <w:rPr>
          <w:color w:val="000000"/>
          <w:spacing w:val="0"/>
          <w:w w:val="100"/>
          <w:position w:val="0"/>
          <w:sz w:val="20"/>
          <w:szCs w:val="20"/>
        </w:rPr>
        <w:t>元；本期收回或转回坏账准备金额</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,465.75</w:t>
      </w:r>
      <w:r>
        <w:rPr>
          <w:color w:val="000000"/>
          <w:spacing w:val="0"/>
          <w:w w:val="100"/>
          <w:position w:val="0"/>
          <w:sz w:val="20"/>
          <w:szCs w:val="20"/>
        </w:rPr>
        <w:t>元。</w:t>
      </w:r>
    </w:p>
    <w:p>
      <w:pPr>
        <w:pStyle w:val="Style31"/>
        <w:keepNext w:val="0"/>
        <w:keepLines w:val="0"/>
        <w:widowControl w:val="0"/>
        <w:shd w:val="clear" w:color="auto" w:fill="auto"/>
        <w:tabs>
          <w:tab w:pos="938" w:val="left"/>
        </w:tabs>
        <w:bidi w:val="0"/>
        <w:spacing w:before="0" w:line="240" w:lineRule="auto"/>
        <w:ind w:left="0" w:right="0" w:firstLine="560"/>
        <w:jc w:val="left"/>
        <w:rPr>
          <w:sz w:val="20"/>
          <w:szCs w:val="20"/>
        </w:rPr>
      </w:pPr>
      <w:bookmarkStart w:id="879" w:name="bookmark879"/>
      <w:r>
        <w:rPr>
          <w:rFonts w:ascii="Times New Roman" w:eastAsia="Times New Roman" w:hAnsi="Times New Roman" w:cs="Times New Roman"/>
          <w:b/>
          <w:bCs/>
          <w:color w:val="000000"/>
          <w:spacing w:val="0"/>
          <w:w w:val="100"/>
          <w:position w:val="0"/>
          <w:sz w:val="20"/>
          <w:szCs w:val="20"/>
        </w:rPr>
        <w:t>3</w:t>
      </w:r>
      <w:bookmarkEnd w:id="879"/>
      <w:r>
        <w:rPr>
          <w:b/>
          <w:bCs/>
          <w:color w:val="000000"/>
          <w:spacing w:val="0"/>
          <w:w w:val="100"/>
          <w:position w:val="0"/>
          <w:sz w:val="20"/>
          <w:szCs w:val="20"/>
        </w:rPr>
        <w:t>、</w:t>
        <w:tab/>
        <w:t>本期无实际核销的其他应收款情况。</w:t>
      </w:r>
    </w:p>
    <w:p>
      <w:pPr>
        <w:pStyle w:val="Style31"/>
        <w:keepNext w:val="0"/>
        <w:keepLines w:val="0"/>
        <w:widowControl w:val="0"/>
        <w:shd w:val="clear" w:color="auto" w:fill="auto"/>
        <w:tabs>
          <w:tab w:pos="938" w:val="left"/>
        </w:tabs>
        <w:bidi w:val="0"/>
        <w:spacing w:before="0" w:line="240" w:lineRule="auto"/>
        <w:ind w:left="0" w:right="0" w:firstLine="560"/>
        <w:jc w:val="left"/>
        <w:rPr>
          <w:sz w:val="20"/>
          <w:szCs w:val="20"/>
        </w:rPr>
      </w:pPr>
      <w:bookmarkStart w:id="880" w:name="bookmark880"/>
      <w:r>
        <w:rPr>
          <w:rFonts w:ascii="Times New Roman" w:eastAsia="Times New Roman" w:hAnsi="Times New Roman" w:cs="Times New Roman"/>
          <w:b/>
          <w:bCs/>
          <w:color w:val="000000"/>
          <w:spacing w:val="0"/>
          <w:w w:val="100"/>
          <w:position w:val="0"/>
          <w:sz w:val="20"/>
          <w:szCs w:val="20"/>
        </w:rPr>
        <w:t>4</w:t>
      </w:r>
      <w:bookmarkEnd w:id="880"/>
      <w:r>
        <w:rPr>
          <w:b/>
          <w:bCs/>
          <w:color w:val="000000"/>
          <w:spacing w:val="0"/>
          <w:w w:val="100"/>
          <w:position w:val="0"/>
          <w:sz w:val="20"/>
          <w:szCs w:val="20"/>
        </w:rPr>
        <w:t>、</w:t>
        <w:tab/>
        <w:t>其他应收款按款项性质分类情况：</w:t>
      </w:r>
    </w:p>
    <w:tbl>
      <w:tblPr>
        <w:tblOverlap w:val="never"/>
        <w:jc w:val="center"/>
        <w:tblLayout w:type="fixed"/>
      </w:tblPr>
      <w:tblGrid>
        <w:gridCol w:w="3350"/>
        <w:gridCol w:w="3317"/>
        <w:gridCol w:w="3264"/>
      </w:tblGrid>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期初账面余额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197,502.28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出口退税款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413,514.05</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押金、保证金及其他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14,002,633.68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13,606,240.47</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14,200,135.96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14,019,754.52</w:t>
            </w:r>
          </w:p>
        </w:tc>
      </w:tr>
    </w:tbl>
    <w:p>
      <w:pPr>
        <w:widowControl w:val="0"/>
        <w:spacing w:after="119" w:line="1" w:lineRule="exact"/>
      </w:pPr>
    </w:p>
    <w:p>
      <w:pPr>
        <w:pStyle w:val="Style31"/>
        <w:keepNext w:val="0"/>
        <w:keepLines w:val="0"/>
        <w:widowControl w:val="0"/>
        <w:shd w:val="clear" w:color="auto" w:fill="auto"/>
        <w:bidi w:val="0"/>
        <w:spacing w:before="0" w:line="264" w:lineRule="exact"/>
        <w:ind w:left="0" w:right="0" w:firstLine="560"/>
        <w:jc w:val="left"/>
        <w:rPr>
          <w:sz w:val="20"/>
          <w:szCs w:val="20"/>
        </w:rPr>
      </w:pPr>
      <w:bookmarkStart w:id="881" w:name="bookmark881"/>
      <w:r>
        <w:rPr>
          <w:rFonts w:ascii="Times New Roman" w:eastAsia="Times New Roman" w:hAnsi="Times New Roman" w:cs="Times New Roman"/>
          <w:b/>
          <w:bCs/>
          <w:color w:val="000000"/>
          <w:spacing w:val="0"/>
          <w:w w:val="100"/>
          <w:position w:val="0"/>
          <w:sz w:val="20"/>
          <w:szCs w:val="20"/>
        </w:rPr>
        <w:t>5</w:t>
      </w:r>
      <w:bookmarkEnd w:id="881"/>
      <w:r>
        <w:rPr>
          <w:b/>
          <w:bCs/>
          <w:color w:val="000000"/>
          <w:spacing w:val="0"/>
          <w:w w:val="100"/>
          <w:position w:val="0"/>
          <w:sz w:val="20"/>
          <w:szCs w:val="20"/>
        </w:rPr>
        <w:t>、按欠款方归集的期末余额前五名的其他应收款情况：</w:t>
      </w:r>
    </w:p>
    <w:p>
      <w:pPr>
        <w:pStyle w:val="Style31"/>
        <w:keepNext w:val="0"/>
        <w:keepLines w:val="0"/>
        <w:widowControl w:val="0"/>
        <w:shd w:val="clear" w:color="auto" w:fill="auto"/>
        <w:bidi w:val="0"/>
        <w:spacing w:before="0" w:after="160" w:line="264" w:lineRule="exact"/>
        <w:ind w:left="140" w:right="0" w:firstLine="460"/>
        <w:jc w:val="left"/>
        <w:rPr>
          <w:sz w:val="20"/>
          <w:szCs w:val="20"/>
        </w:rPr>
      </w:pPr>
      <w:r>
        <w:rPr>
          <w:color w:val="000000"/>
          <w:spacing w:val="0"/>
          <w:w w:val="100"/>
          <w:position w:val="0"/>
          <w:sz w:val="20"/>
          <w:szCs w:val="20"/>
        </w:rPr>
        <w:t>本报告期按欠款方归集的期末余额前五名其他应收款汇总金额</w:t>
      </w:r>
      <w:r>
        <w:rPr>
          <w:rFonts w:ascii="Times New Roman" w:eastAsia="Times New Roman" w:hAnsi="Times New Roman" w:cs="Times New Roman"/>
          <w:color w:val="000000"/>
          <w:spacing w:val="0"/>
          <w:w w:val="100"/>
          <w:position w:val="0"/>
          <w:sz w:val="20"/>
          <w:szCs w:val="20"/>
        </w:rPr>
        <w:t>12,165,385.67</w:t>
      </w:r>
      <w:r>
        <w:rPr>
          <w:color w:val="000000"/>
          <w:spacing w:val="0"/>
          <w:w w:val="100"/>
          <w:position w:val="0"/>
          <w:sz w:val="20"/>
          <w:szCs w:val="20"/>
        </w:rPr>
        <w:t>元，占其他应收款期末余 额合计数的比例</w:t>
      </w:r>
      <w:r>
        <w:rPr>
          <w:rFonts w:ascii="Times New Roman" w:eastAsia="Times New Roman" w:hAnsi="Times New Roman" w:cs="Times New Roman"/>
          <w:color w:val="000000"/>
          <w:spacing w:val="0"/>
          <w:w w:val="100"/>
          <w:position w:val="0"/>
          <w:sz w:val="20"/>
          <w:szCs w:val="20"/>
        </w:rPr>
        <w:t>85.67%</w:t>
      </w:r>
      <w:r>
        <w:rPr>
          <w:color w:val="000000"/>
          <w:spacing w:val="0"/>
          <w:w w:val="100"/>
          <w:position w:val="0"/>
          <w:sz w:val="20"/>
          <w:szCs w:val="20"/>
        </w:rPr>
        <w:t>，相应计提的坏账准备期末余额</w:t>
      </w:r>
      <w:r>
        <w:rPr>
          <w:rFonts w:ascii="Times New Roman" w:eastAsia="Times New Roman" w:hAnsi="Times New Roman" w:cs="Times New Roman"/>
          <w:color w:val="000000"/>
          <w:spacing w:val="0"/>
          <w:w w:val="100"/>
          <w:position w:val="0"/>
          <w:sz w:val="20"/>
          <w:szCs w:val="20"/>
        </w:rPr>
        <w:t>895,611.51</w:t>
      </w:r>
      <w:r>
        <w:rPr>
          <w:color w:val="000000"/>
          <w:spacing w:val="0"/>
          <w:w w:val="100"/>
          <w:position w:val="0"/>
          <w:sz w:val="20"/>
          <w:szCs w:val="20"/>
        </w:rPr>
        <w:t>元。</w:t>
      </w:r>
    </w:p>
    <w:p>
      <w:pPr>
        <w:pStyle w:val="Style28"/>
        <w:keepNext/>
        <w:keepLines/>
        <w:widowControl w:val="0"/>
        <w:shd w:val="clear" w:color="auto" w:fill="auto"/>
        <w:bidi w:val="0"/>
        <w:spacing w:before="0" w:after="160" w:line="240" w:lineRule="auto"/>
        <w:ind w:left="0" w:right="0" w:firstLine="240"/>
        <w:jc w:val="left"/>
      </w:pPr>
      <w:bookmarkStart w:id="882" w:name="bookmark882"/>
      <w:bookmarkStart w:id="883" w:name="bookmark883"/>
      <w:bookmarkStart w:id="884" w:name="bookmark884"/>
      <w:bookmarkStart w:id="885" w:name="bookmark885"/>
      <w:r>
        <w:rPr>
          <w:color w:val="000000"/>
          <w:spacing w:val="0"/>
          <w:w w:val="100"/>
          <w:position w:val="0"/>
        </w:rPr>
        <w:t>（</w:t>
      </w:r>
      <w:bookmarkEnd w:id="884"/>
      <w:r>
        <w:rPr>
          <w:color w:val="000000"/>
          <w:spacing w:val="0"/>
          <w:w w:val="100"/>
          <w:position w:val="0"/>
        </w:rPr>
        <w:t>六）存货</w:t>
      </w:r>
      <w:bookmarkEnd w:id="882"/>
      <w:bookmarkEnd w:id="883"/>
      <w:bookmarkEnd w:id="885"/>
    </w:p>
    <w:p>
      <w:pPr>
        <w:pStyle w:val="Style28"/>
        <w:keepNext/>
        <w:keepLines/>
        <w:widowControl w:val="0"/>
        <w:shd w:val="clear" w:color="auto" w:fill="auto"/>
        <w:bidi w:val="0"/>
        <w:spacing w:before="0" w:after="120" w:line="240" w:lineRule="auto"/>
        <w:ind w:left="0" w:right="0" w:firstLine="560"/>
        <w:jc w:val="left"/>
      </w:pPr>
      <w:bookmarkStart w:id="882" w:name="bookmark882"/>
      <w:bookmarkStart w:id="883" w:name="bookmark88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882"/>
      <w:bookmarkEnd w:id="883"/>
    </w:p>
    <w:tbl>
      <w:tblPr>
        <w:tblOverlap w:val="never"/>
        <w:jc w:val="center"/>
        <w:tblLayout w:type="fixed"/>
      </w:tblPr>
      <w:tblGrid>
        <w:gridCol w:w="1714"/>
        <w:gridCol w:w="1416"/>
        <w:gridCol w:w="1046"/>
        <w:gridCol w:w="1368"/>
        <w:gridCol w:w="1560"/>
        <w:gridCol w:w="989"/>
        <w:gridCol w:w="1469"/>
      </w:tblGrid>
      <w:tr>
        <w:trPr>
          <w:trHeight w:val="42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b/>
                <w:bCs/>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账面价值</w:t>
            </w: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原材料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172,478,030.91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172,478,030.91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172,157,276.31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172,157,276.31</w:t>
            </w:r>
          </w:p>
        </w:tc>
      </w:tr>
    </w:tbl>
    <w:p>
      <w:pPr>
        <w:widowControl w:val="0"/>
        <w:spacing w:line="1" w:lineRule="exact"/>
      </w:pPr>
      <w:r>
        <w:br w:type="page"/>
      </w:r>
    </w:p>
    <w:tbl>
      <w:tblPr>
        <w:tblOverlap w:val="never"/>
        <w:jc w:val="center"/>
        <w:tblLayout w:type="fixed"/>
      </w:tblPr>
      <w:tblGrid>
        <w:gridCol w:w="1714"/>
        <w:gridCol w:w="1416"/>
        <w:gridCol w:w="1042"/>
        <w:gridCol w:w="1368"/>
        <w:gridCol w:w="1565"/>
        <w:gridCol w:w="989"/>
        <w:gridCol w:w="1469"/>
      </w:tblGrid>
      <w:tr>
        <w:trPr>
          <w:trHeight w:val="4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b/>
                <w:bCs/>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跌价准备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11,350,577.32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11,350,577.32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2,821,273.58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2,821,273.58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32,157,482.34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32,157,482.34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37,235,217.43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37,235,217.43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118,577,020.09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118,577,020.09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114,514,304.60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114,514,304.60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产成品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127,640,630.08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127,640,630.08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128,521,930.23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128,521,930.23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63,515,936.06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63,515,936.06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46,250,693.73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46,250,693.73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开发成本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5,591,598.81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5,591,598.81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1,071,225.76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1,071,225.76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2,274,241.92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2.274.241.92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b/>
                <w:bCs/>
                <w:color w:val="000000"/>
                <w:spacing w:val="0"/>
                <w:w w:val="100"/>
                <w:position w:val="0"/>
                <w:sz w:val="16"/>
                <w:szCs w:val="16"/>
              </w:rPr>
              <w:t>⑵由顶）」."</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533,585,517.53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533,585,517.53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504,949,426.61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504,949,426.61</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560"/>
        <w:jc w:val="left"/>
        <w:rPr>
          <w:sz w:val="20"/>
          <w:szCs w:val="20"/>
        </w:rPr>
      </w:pPr>
      <w:bookmarkStart w:id="886" w:name="bookmark886"/>
      <w:r>
        <w:rPr>
          <w:rFonts w:ascii="Times New Roman" w:eastAsia="Times New Roman" w:hAnsi="Times New Roman" w:cs="Times New Roman"/>
          <w:b/>
          <w:bCs/>
          <w:color w:val="000000"/>
          <w:spacing w:val="0"/>
          <w:w w:val="100"/>
          <w:position w:val="0"/>
          <w:sz w:val="20"/>
          <w:szCs w:val="20"/>
        </w:rPr>
        <w:t>2</w:t>
      </w:r>
      <w:bookmarkEnd w:id="886"/>
      <w:r>
        <w:rPr>
          <w:b/>
          <w:bCs/>
          <w:color w:val="000000"/>
          <w:spacing w:val="0"/>
          <w:w w:val="100"/>
          <w:position w:val="0"/>
          <w:sz w:val="20"/>
          <w:szCs w:val="20"/>
        </w:rPr>
        <w:t>、存货跌价准备计提依据及本年转回或转销原因：</w:t>
      </w:r>
    </w:p>
    <w:p>
      <w:pPr>
        <w:pStyle w:val="Style31"/>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本公司期末存货不存在减值的情况；本期不存在存货跌价准备转回或转销的情况。</w:t>
      </w:r>
    </w:p>
    <w:p>
      <w:pPr>
        <w:pStyle w:val="Style28"/>
        <w:keepNext/>
        <w:keepLines/>
        <w:widowControl w:val="0"/>
        <w:shd w:val="clear" w:color="auto" w:fill="auto"/>
        <w:bidi w:val="0"/>
        <w:spacing w:before="0" w:after="140" w:line="240" w:lineRule="auto"/>
        <w:ind w:left="0" w:right="0" w:firstLine="260"/>
        <w:jc w:val="left"/>
      </w:pPr>
      <w:bookmarkStart w:id="887" w:name="bookmark887"/>
      <w:bookmarkStart w:id="888" w:name="bookmark888"/>
      <w:bookmarkStart w:id="889" w:name="bookmark889"/>
      <w:bookmarkStart w:id="890" w:name="bookmark890"/>
      <w:r>
        <w:rPr>
          <w:color w:val="000000"/>
          <w:spacing w:val="0"/>
          <w:w w:val="100"/>
          <w:position w:val="0"/>
        </w:rPr>
        <w:t>（</w:t>
      </w:r>
      <w:bookmarkEnd w:id="889"/>
      <w:r>
        <w:rPr>
          <w:color w:val="000000"/>
          <w:spacing w:val="0"/>
          <w:w w:val="100"/>
          <w:position w:val="0"/>
        </w:rPr>
        <w:t>七）其他流动资产</w:t>
      </w:r>
      <w:bookmarkEnd w:id="887"/>
      <w:bookmarkEnd w:id="888"/>
      <w:bookmarkEnd w:id="890"/>
    </w:p>
    <w:tbl>
      <w:tblPr>
        <w:tblOverlap w:val="never"/>
        <w:jc w:val="center"/>
        <w:tblLayout w:type="fixed"/>
      </w:tblPr>
      <w:tblGrid>
        <w:gridCol w:w="3250"/>
        <w:gridCol w:w="3326"/>
        <w:gridCol w:w="3355"/>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5,189,751.85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2,938,582.52</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应退所得税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541,014.35</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5,730,766.20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2,938,582.52</w:t>
            </w:r>
          </w:p>
        </w:tc>
      </w:tr>
    </w:tbl>
    <w:p>
      <w:pPr>
        <w:widowControl w:val="0"/>
        <w:spacing w:after="139" w:line="1" w:lineRule="exact"/>
      </w:pPr>
    </w:p>
    <w:p>
      <w:pPr>
        <w:pStyle w:val="Style28"/>
        <w:keepNext/>
        <w:keepLines/>
        <w:widowControl w:val="0"/>
        <w:shd w:val="clear" w:color="auto" w:fill="auto"/>
        <w:bidi w:val="0"/>
        <w:spacing w:before="0" w:after="140" w:line="240" w:lineRule="auto"/>
        <w:ind w:left="0" w:right="0" w:firstLine="260"/>
        <w:jc w:val="left"/>
      </w:pPr>
      <w:bookmarkStart w:id="891" w:name="bookmark891"/>
      <w:bookmarkStart w:id="892" w:name="bookmark892"/>
      <w:bookmarkStart w:id="893" w:name="bookmark893"/>
      <w:bookmarkStart w:id="894" w:name="bookmark894"/>
      <w:r>
        <w:rPr>
          <w:color w:val="000000"/>
          <w:spacing w:val="0"/>
          <w:w w:val="100"/>
          <w:position w:val="0"/>
        </w:rPr>
        <w:t>（</w:t>
      </w:r>
      <w:bookmarkEnd w:id="893"/>
      <w:r>
        <w:rPr>
          <w:color w:val="000000"/>
          <w:spacing w:val="0"/>
          <w:w w:val="100"/>
          <w:position w:val="0"/>
        </w:rPr>
        <w:t>八）可供出售金融资产</w:t>
      </w:r>
      <w:bookmarkEnd w:id="891"/>
      <w:bookmarkEnd w:id="892"/>
      <w:bookmarkEnd w:id="894"/>
    </w:p>
    <w:p>
      <w:pPr>
        <w:pStyle w:val="Style28"/>
        <w:keepNext/>
        <w:keepLines/>
        <w:widowControl w:val="0"/>
        <w:shd w:val="clear" w:color="auto" w:fill="auto"/>
        <w:bidi w:val="0"/>
        <w:spacing w:before="0" w:after="140" w:line="240" w:lineRule="auto"/>
        <w:ind w:left="0" w:right="0" w:firstLine="560"/>
        <w:jc w:val="left"/>
      </w:pPr>
      <w:bookmarkStart w:id="891" w:name="bookmark891"/>
      <w:bookmarkStart w:id="892" w:name="bookmark892"/>
      <w:r>
        <w:rPr>
          <w:rFonts w:ascii="Times New Roman" w:eastAsia="Times New Roman" w:hAnsi="Times New Roman" w:cs="Times New Roman"/>
          <w:color w:val="000000"/>
          <w:spacing w:val="0"/>
          <w:w w:val="100"/>
          <w:position w:val="0"/>
        </w:rPr>
        <w:t>1</w:t>
      </w:r>
      <w:r>
        <w:rPr>
          <w:color w:val="000000"/>
          <w:spacing w:val="0"/>
          <w:w w:val="100"/>
          <w:position w:val="0"/>
        </w:rPr>
        <w:t>、可供出售金融资产的情况</w:t>
      </w:r>
      <w:bookmarkEnd w:id="891"/>
      <w:bookmarkEnd w:id="892"/>
    </w:p>
    <w:tbl>
      <w:tblPr>
        <w:tblOverlap w:val="never"/>
        <w:jc w:val="center"/>
        <w:tblLayout w:type="fixed"/>
      </w:tblPr>
      <w:tblGrid>
        <w:gridCol w:w="2026"/>
        <w:gridCol w:w="1411"/>
        <w:gridCol w:w="1080"/>
        <w:gridCol w:w="1387"/>
        <w:gridCol w:w="1406"/>
        <w:gridCol w:w="1186"/>
        <w:gridCol w:w="1435"/>
      </w:tblGrid>
      <w:tr>
        <w:trPr>
          <w:trHeight w:val="34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账面价值</w:t>
            </w:r>
          </w:p>
        </w:tc>
      </w:tr>
      <w:tr>
        <w:trPr>
          <w:trHeight w:val="32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可供出售债务工具：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83,044,136.05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83,044,136.05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68,185,558.97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68,185,558.97</w:t>
            </w:r>
          </w:p>
        </w:tc>
      </w:tr>
      <w:tr>
        <w:trPr>
          <w:trHeight w:val="3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按公允价值计量的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80,044,136.05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80,044,136.05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65,185,558.97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65,185,558.97</w:t>
            </w:r>
          </w:p>
        </w:tc>
      </w:tr>
      <w:tr>
        <w:trPr>
          <w:trHeight w:val="32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5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83,044,136.05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83,044,136.05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68,185,558.97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68,185,558.97</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560"/>
        <w:jc w:val="left"/>
        <w:rPr>
          <w:sz w:val="20"/>
          <w:szCs w:val="20"/>
        </w:rPr>
      </w:pPr>
      <w:bookmarkStart w:id="895" w:name="bookmark895"/>
      <w:r>
        <w:rPr>
          <w:rFonts w:ascii="Times New Roman" w:eastAsia="Times New Roman" w:hAnsi="Times New Roman" w:cs="Times New Roman"/>
          <w:b/>
          <w:bCs/>
          <w:color w:val="000000"/>
          <w:spacing w:val="0"/>
          <w:w w:val="100"/>
          <w:position w:val="0"/>
          <w:sz w:val="20"/>
          <w:szCs w:val="20"/>
        </w:rPr>
        <w:t>2</w:t>
      </w:r>
      <w:bookmarkEnd w:id="895"/>
      <w:r>
        <w:rPr>
          <w:b/>
          <w:bCs/>
          <w:color w:val="000000"/>
          <w:spacing w:val="0"/>
          <w:w w:val="100"/>
          <w:position w:val="0"/>
          <w:sz w:val="20"/>
          <w:szCs w:val="20"/>
        </w:rPr>
        <w:t>、期末按公允价值计量的可供出售金融资产</w:t>
      </w:r>
    </w:p>
    <w:tbl>
      <w:tblPr>
        <w:tblOverlap w:val="never"/>
        <w:jc w:val="center"/>
        <w:tblLayout w:type="fixed"/>
      </w:tblPr>
      <w:tblGrid>
        <w:gridCol w:w="4363"/>
        <w:gridCol w:w="2957"/>
        <w:gridCol w:w="2611"/>
      </w:tblGrid>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可供出售金融资产分类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r>
      <w:tr>
        <w:trPr>
          <w:trHeight w:val="43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权益工具的成本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债务工具的摊余成本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92,936,356.66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92,936,356.66</w:t>
            </w:r>
          </w:p>
        </w:tc>
      </w:tr>
      <w:tr>
        <w:trPr>
          <w:trHeight w:val="43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80,044,136.05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80,044,136.05</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外币报表折算差额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8,803,773.12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8,803,773.12</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累计计入其他综合收益的公允价值变动金额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-21,695,993.73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-21,695,993.73</w:t>
            </w:r>
          </w:p>
        </w:tc>
      </w:tr>
      <w:tr>
        <w:trPr>
          <w:trHeight w:val="4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已计提减值金额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1"/>
        <w:keepNext w:val="0"/>
        <w:keepLines w:val="0"/>
        <w:widowControl w:val="0"/>
        <w:shd w:val="clear" w:color="auto" w:fill="auto"/>
        <w:bidi w:val="0"/>
        <w:spacing w:before="0" w:after="180" w:line="254" w:lineRule="exact"/>
        <w:ind w:left="320" w:right="0" w:firstLine="440"/>
        <w:jc w:val="both"/>
        <w:rPr>
          <w:sz w:val="20"/>
          <w:szCs w:val="20"/>
        </w:rPr>
      </w:pPr>
      <w:r>
        <w:rPr>
          <w:color w:val="000000"/>
          <w:spacing w:val="0"/>
          <w:w w:val="100"/>
          <w:position w:val="0"/>
          <w:sz w:val="20"/>
          <w:szCs w:val="20"/>
        </w:rPr>
        <w:t>按公允价值计量的可供出售权益工具为本公司作为战略投资者以自有资金投资认购的华虹半导体有 限公司的股份，华虹半导体有限公司于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日在香港联交所上市，股票代码为</w:t>
      </w:r>
      <w:r>
        <w:rPr>
          <w:rFonts w:ascii="Times New Roman" w:eastAsia="Times New Roman" w:hAnsi="Times New Roman" w:cs="Times New Roman"/>
          <w:color w:val="000000"/>
          <w:spacing w:val="0"/>
          <w:w w:val="100"/>
          <w:position w:val="0"/>
          <w:sz w:val="20"/>
          <w:szCs w:val="20"/>
        </w:rPr>
        <w:t>HK1347</w:t>
      </w:r>
      <w:r>
        <w:rPr>
          <w:color w:val="000000"/>
          <w:spacing w:val="0"/>
          <w:w w:val="100"/>
          <w:position w:val="0"/>
          <w:sz w:val="20"/>
          <w:szCs w:val="20"/>
        </w:rPr>
        <w:t>。</w:t>
      </w:r>
    </w:p>
    <w:p>
      <w:pPr>
        <w:pStyle w:val="Style31"/>
        <w:keepNext w:val="0"/>
        <w:keepLines w:val="0"/>
        <w:widowControl w:val="0"/>
        <w:shd w:val="clear" w:color="auto" w:fill="auto"/>
        <w:bidi w:val="0"/>
        <w:spacing w:before="0" w:line="266" w:lineRule="auto"/>
        <w:ind w:left="0" w:right="0" w:firstLine="740"/>
        <w:jc w:val="left"/>
        <w:rPr>
          <w:sz w:val="20"/>
          <w:szCs w:val="20"/>
        </w:rPr>
      </w:pPr>
      <w:bookmarkStart w:id="896" w:name="bookmark896"/>
      <w:r>
        <w:rPr>
          <w:rFonts w:ascii="Times New Roman" w:eastAsia="Times New Roman" w:hAnsi="Times New Roman" w:cs="Times New Roman"/>
          <w:b/>
          <w:bCs/>
          <w:color w:val="000000"/>
          <w:spacing w:val="0"/>
          <w:w w:val="100"/>
          <w:position w:val="0"/>
          <w:sz w:val="20"/>
          <w:szCs w:val="20"/>
        </w:rPr>
        <w:t>3</w:t>
      </w:r>
      <w:bookmarkEnd w:id="896"/>
      <w:r>
        <w:rPr>
          <w:b/>
          <w:bCs/>
          <w:color w:val="000000"/>
          <w:spacing w:val="0"/>
          <w:w w:val="100"/>
          <w:position w:val="0"/>
          <w:sz w:val="20"/>
          <w:szCs w:val="20"/>
        </w:rPr>
        <w:t>、期末按成本计量的可供出售金融资产</w:t>
      </w:r>
    </w:p>
    <w:tbl>
      <w:tblPr>
        <w:tblOverlap w:val="never"/>
        <w:jc w:val="center"/>
        <w:tblLayout w:type="fixed"/>
      </w:tblPr>
      <w:tblGrid>
        <w:gridCol w:w="1411"/>
        <w:gridCol w:w="1402"/>
        <w:gridCol w:w="778"/>
        <w:gridCol w:w="778"/>
        <w:gridCol w:w="1402"/>
        <w:gridCol w:w="466"/>
        <w:gridCol w:w="778"/>
        <w:gridCol w:w="778"/>
        <w:gridCol w:w="466"/>
        <w:gridCol w:w="974"/>
        <w:gridCol w:w="701"/>
      </w:tblGrid>
      <w:tr>
        <w:trPr>
          <w:trHeight w:val="34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被投资单位</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减值准备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6"/>
                <w:szCs w:val="16"/>
              </w:rPr>
              <w:t>在被投资 单位持股 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40" w:right="0" w:firstLine="0"/>
              <w:jc w:val="left"/>
              <w:rPr>
                <w:sz w:val="16"/>
                <w:szCs w:val="16"/>
              </w:rPr>
            </w:pPr>
            <w:r>
              <w:rPr>
                <w:b/>
                <w:bCs/>
                <w:color w:val="000000"/>
                <w:spacing w:val="0"/>
                <w:w w:val="100"/>
                <w:position w:val="0"/>
                <w:sz w:val="16"/>
                <w:szCs w:val="16"/>
              </w:rPr>
              <w:t>本期 现金 红利</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b/>
                <w:bCs/>
                <w:color w:val="000000"/>
                <w:spacing w:val="0"/>
                <w:w w:val="100"/>
                <w:position w:val="0"/>
                <w:sz w:val="16"/>
                <w:szCs w:val="16"/>
              </w:rPr>
              <w:t>本期增 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b/>
                <w:bCs/>
                <w:color w:val="000000"/>
                <w:spacing w:val="0"/>
                <w:w w:val="100"/>
                <w:position w:val="0"/>
                <w:sz w:val="16"/>
                <w:szCs w:val="16"/>
              </w:rPr>
              <w:t>本期减 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w:t>
            </w:r>
          </w:p>
        </w:tc>
        <w:tc>
          <w:tcPr>
            <w:tcBorders>
              <w:top w:val="single" w:sz="4"/>
              <w:left w:val="single" w:sz="4"/>
            </w:tcBorders>
            <w:shd w:val="clear" w:color="auto" w:fill="FFFFFF"/>
            <w:textDirection w:val="tbRlV"/>
            <w:vAlign w:val="bottom"/>
          </w:tcPr>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b/>
                <w:bCs/>
                <w:color w:val="000000"/>
                <w:spacing w:val="0"/>
                <w:w w:val="100"/>
                <w:position w:val="0"/>
                <w:sz w:val="16"/>
                <w:szCs w:val="16"/>
              </w:rPr>
              <w:t>本期增 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本期减</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少</w:t>
            </w:r>
          </w:p>
        </w:tc>
        <w:tc>
          <w:tcPr>
            <w:tcBorders>
              <w:top w:val="single" w:sz="4"/>
              <w:left w:val="single" w:sz="4"/>
            </w:tcBorders>
            <w:shd w:val="clear" w:color="auto" w:fill="FFFFFF"/>
            <w:textDirection w:val="tbRlV"/>
            <w:vAlign w:val="top"/>
          </w:tcPr>
          <w:p>
            <w:pPr>
              <w:pStyle w:val="Style88"/>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期末</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易程科技股份</w:t>
            </w:r>
          </w:p>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tcBorders>
            <w:shd w:val="clear" w:color="auto" w:fill="FFFFFF"/>
            <w:vAlign w:val="top"/>
          </w:tcPr>
          <w:p>
            <w:pPr>
              <w:widowControl w:val="0"/>
              <w:rPr>
                <w:sz w:val="10"/>
                <w:szCs w:val="10"/>
              </w:rPr>
            </w:pPr>
          </w:p>
        </w:tc>
      </w:tr>
      <w:tr>
        <w:trPr>
          <w:trHeight w:val="52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28"/>
        <w:keepNext/>
        <w:keepLines/>
        <w:widowControl w:val="0"/>
        <w:shd w:val="clear" w:color="auto" w:fill="auto"/>
        <w:bidi w:val="0"/>
        <w:spacing w:before="0" w:after="120" w:line="240" w:lineRule="auto"/>
        <w:ind w:left="0" w:right="0" w:firstLine="440"/>
        <w:jc w:val="both"/>
      </w:pPr>
      <w:bookmarkStart w:id="897" w:name="bookmark897"/>
      <w:bookmarkStart w:id="898" w:name="bookmark898"/>
      <w:bookmarkStart w:id="899" w:name="bookmark899"/>
      <w:bookmarkStart w:id="900" w:name="bookmark900"/>
      <w:r>
        <w:rPr>
          <w:color w:val="000000"/>
          <w:spacing w:val="0"/>
          <w:w w:val="100"/>
          <w:position w:val="0"/>
        </w:rPr>
        <w:t>（</w:t>
      </w:r>
      <w:bookmarkEnd w:id="899"/>
      <w:r>
        <w:rPr>
          <w:color w:val="000000"/>
          <w:spacing w:val="0"/>
          <w:w w:val="100"/>
          <w:position w:val="0"/>
        </w:rPr>
        <w:t>九）长期股权投资</w:t>
      </w:r>
      <w:bookmarkEnd w:id="897"/>
      <w:bookmarkEnd w:id="898"/>
      <w:bookmarkEnd w:id="900"/>
    </w:p>
    <w:tbl>
      <w:tblPr>
        <w:tblOverlap w:val="never"/>
        <w:jc w:val="center"/>
        <w:tblLayout w:type="fixed"/>
      </w:tblPr>
      <w:tblGrid>
        <w:gridCol w:w="2222"/>
        <w:gridCol w:w="1517"/>
        <w:gridCol w:w="1267"/>
        <w:gridCol w:w="1090"/>
        <w:gridCol w:w="1550"/>
        <w:gridCol w:w="1306"/>
        <w:gridCol w:w="1176"/>
      </w:tblGrid>
      <w:tr>
        <w:trPr>
          <w:trHeight w:val="35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账面价值</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对联营企业投资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1,473,934.90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1,473,934.90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1,473,934.90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1,473,934.90</w:t>
            </w: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b/>
                <w:bCs/>
                <w:color w:val="000000"/>
                <w:spacing w:val="0"/>
                <w:w w:val="100"/>
                <w:position w:val="0"/>
                <w:sz w:val="18"/>
                <w:szCs w:val="18"/>
              </w:rPr>
              <w:t>1,473,934.90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1,473,934.90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1,473,934.90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1,473,934.90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line="240" w:lineRule="auto"/>
        <w:ind w:left="0" w:right="0" w:firstLine="740"/>
        <w:jc w:val="both"/>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、长期股权投资明细情况</w:t>
      </w:r>
    </w:p>
    <w:tbl>
      <w:tblPr>
        <w:tblOverlap w:val="never"/>
        <w:jc w:val="center"/>
        <w:tblLayout w:type="fixed"/>
      </w:tblPr>
      <w:tblGrid>
        <w:gridCol w:w="3898"/>
        <w:gridCol w:w="2645"/>
        <w:gridCol w:w="3389"/>
      </w:tblGrid>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被投资单位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初始投资成本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43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九江佳华压电晶体材料有限公司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1,473,934.90</w:t>
            </w:r>
          </w:p>
        </w:tc>
      </w:tr>
      <w:tr>
        <w:trPr>
          <w:trHeight w:val="4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2,550,000.00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1,473,934.90</w:t>
            </w:r>
          </w:p>
        </w:tc>
      </w:tr>
    </w:tbl>
    <w:p>
      <w:pPr>
        <w:widowControl w:val="0"/>
        <w:spacing w:after="239" w:line="1" w:lineRule="exact"/>
      </w:pPr>
    </w:p>
    <w:p>
      <w:pPr>
        <w:pStyle w:val="Style31"/>
        <w:keepNext w:val="0"/>
        <w:keepLines w:val="0"/>
        <w:widowControl w:val="0"/>
        <w:shd w:val="clear" w:color="auto" w:fill="auto"/>
        <w:bidi w:val="0"/>
        <w:spacing w:before="0" w:line="240" w:lineRule="auto"/>
        <w:ind w:left="0" w:right="0" w:firstLine="860"/>
        <w:jc w:val="both"/>
        <w:rPr>
          <w:sz w:val="20"/>
          <w:szCs w:val="20"/>
        </w:rPr>
      </w:pPr>
      <w:r>
        <w:rPr>
          <w:color w:val="000000"/>
          <w:spacing w:val="0"/>
          <w:w w:val="100"/>
          <w:position w:val="0"/>
          <w:sz w:val="20"/>
          <w:szCs w:val="20"/>
        </w:rPr>
        <w:t>（续表一）</w:t>
      </w:r>
    </w:p>
    <w:tbl>
      <w:tblPr>
        <w:tblOverlap w:val="never"/>
        <w:jc w:val="center"/>
        <w:tblLayout w:type="fixed"/>
      </w:tblPr>
      <w:tblGrid>
        <w:gridCol w:w="1954"/>
        <w:gridCol w:w="1114"/>
        <w:gridCol w:w="1589"/>
        <w:gridCol w:w="1272"/>
        <w:gridCol w:w="1430"/>
        <w:gridCol w:w="1589"/>
        <w:gridCol w:w="984"/>
      </w:tblGrid>
      <w:tr>
        <w:trPr>
          <w:trHeight w:val="34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被投资单位</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本期减少</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减少投资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6"/>
                <w:szCs w:val="16"/>
              </w:rPr>
            </w:pPr>
            <w:r>
              <w:rPr>
                <w:b/>
                <w:bCs/>
                <w:color w:val="000000"/>
                <w:spacing w:val="0"/>
                <w:w w:val="100"/>
                <w:position w:val="0"/>
                <w:sz w:val="16"/>
                <w:szCs w:val="16"/>
              </w:rPr>
              <w:t>权益法下确认的 投资损失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6"/>
                <w:szCs w:val="16"/>
              </w:rPr>
            </w:pPr>
            <w:r>
              <w:rPr>
                <w:b/>
                <w:bCs/>
                <w:color w:val="000000"/>
                <w:spacing w:val="0"/>
                <w:w w:val="100"/>
                <w:position w:val="0"/>
                <w:sz w:val="16"/>
                <w:szCs w:val="16"/>
              </w:rPr>
              <w:t>其他综合收 益调整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其他权益变动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b/>
                <w:bCs/>
                <w:color w:val="000000"/>
                <w:spacing w:val="0"/>
                <w:w w:val="100"/>
                <w:position w:val="0"/>
                <w:sz w:val="16"/>
                <w:szCs w:val="16"/>
              </w:rPr>
              <w:t>宣告发放现金股 利或利润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其他</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140" w:right="0" w:firstLine="0"/>
              <w:jc w:val="left"/>
              <w:rPr>
                <w:sz w:val="16"/>
                <w:szCs w:val="16"/>
              </w:rPr>
            </w:pPr>
            <w:r>
              <w:rPr>
                <w:color w:val="000000"/>
                <w:spacing w:val="0"/>
                <w:w w:val="100"/>
                <w:position w:val="0"/>
                <w:sz w:val="16"/>
                <w:szCs w:val="16"/>
              </w:rPr>
              <w:t>九江佳华压电晶体 材料有限公司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31"/>
        <w:keepNext w:val="0"/>
        <w:keepLines w:val="0"/>
        <w:widowControl w:val="0"/>
        <w:shd w:val="clear" w:color="auto" w:fill="auto"/>
        <w:bidi w:val="0"/>
        <w:spacing w:before="0" w:line="240" w:lineRule="auto"/>
        <w:ind w:left="0" w:right="0" w:firstLine="860"/>
        <w:jc w:val="both"/>
        <w:rPr>
          <w:sz w:val="20"/>
          <w:szCs w:val="20"/>
        </w:rPr>
      </w:pPr>
      <w:r>
        <w:rPr>
          <w:color w:val="000000"/>
          <w:spacing w:val="0"/>
          <w:w w:val="100"/>
          <w:position w:val="0"/>
          <w:sz w:val="20"/>
          <w:szCs w:val="20"/>
        </w:rPr>
        <w:t>（续表二）</w:t>
      </w:r>
    </w:p>
    <w:tbl>
      <w:tblPr>
        <w:tblOverlap w:val="never"/>
        <w:jc w:val="center"/>
        <w:tblLayout w:type="fixed"/>
      </w:tblPr>
      <w:tblGrid>
        <w:gridCol w:w="3274"/>
        <w:gridCol w:w="2491"/>
        <w:gridCol w:w="2179"/>
        <w:gridCol w:w="1987"/>
      </w:tblGrid>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被投资单位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本期计提减值准备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减值准备期末余额</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九江佳华压电晶体材料有限公司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1,473,934.90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1,473,934.90</w:t>
            </w:r>
          </w:p>
        </w:tc>
      </w:tr>
      <w:tr>
        <w:trPr>
          <w:trHeight w:val="45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b/>
                <w:bCs/>
                <w:color w:val="000000"/>
                <w:spacing w:val="0"/>
                <w:w w:val="100"/>
                <w:position w:val="0"/>
                <w:sz w:val="18"/>
                <w:szCs w:val="18"/>
              </w:rPr>
              <w:t>1,473,934.90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b/>
                <w:bCs/>
                <w:color w:val="000000"/>
                <w:spacing w:val="0"/>
                <w:w w:val="100"/>
                <w:position w:val="0"/>
                <w:sz w:val="18"/>
                <w:szCs w:val="18"/>
              </w:rPr>
              <w:t>1,473,934.90</w:t>
            </w:r>
          </w:p>
        </w:tc>
      </w:tr>
    </w:tbl>
    <w:p>
      <w:pPr>
        <w:widowControl w:val="0"/>
        <w:spacing w:after="119" w:line="1" w:lineRule="exact"/>
      </w:pPr>
    </w:p>
    <w:p>
      <w:pPr>
        <w:pStyle w:val="Style31"/>
        <w:keepNext w:val="0"/>
        <w:keepLines w:val="0"/>
        <w:widowControl w:val="0"/>
        <w:shd w:val="clear" w:color="auto" w:fill="auto"/>
        <w:bidi w:val="0"/>
        <w:spacing w:before="0" w:after="180" w:line="240" w:lineRule="auto"/>
        <w:ind w:left="0" w:right="0" w:firstLine="740"/>
        <w:jc w:val="both"/>
        <w:rPr>
          <w:sz w:val="20"/>
          <w:szCs w:val="20"/>
        </w:rPr>
      </w:pPr>
      <w:r>
        <w:rPr>
          <w:color w:val="000000"/>
          <w:spacing w:val="0"/>
          <w:w w:val="100"/>
          <w:position w:val="0"/>
          <w:sz w:val="20"/>
          <w:szCs w:val="20"/>
        </w:rPr>
        <w:t>注：本公司的联营企业九江佳华压电晶体材料有限公司从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月停产至今。</w:t>
      </w:r>
    </w:p>
    <w:p>
      <w:pPr>
        <w:pStyle w:val="Style28"/>
        <w:keepNext/>
        <w:keepLines/>
        <w:widowControl w:val="0"/>
        <w:shd w:val="clear" w:color="auto" w:fill="auto"/>
        <w:bidi w:val="0"/>
        <w:spacing w:before="0" w:after="180" w:line="240" w:lineRule="auto"/>
        <w:ind w:left="0" w:right="0" w:firstLine="440"/>
        <w:jc w:val="both"/>
      </w:pPr>
      <w:bookmarkStart w:id="901" w:name="bookmark901"/>
      <w:bookmarkStart w:id="902" w:name="bookmark902"/>
      <w:bookmarkStart w:id="903" w:name="bookmark903"/>
      <w:r>
        <w:rPr>
          <w:color w:val="000000"/>
          <w:spacing w:val="0"/>
          <w:w w:val="100"/>
          <w:position w:val="0"/>
        </w:rPr>
        <w:t>（十）固定资产</w:t>
      </w:r>
      <w:bookmarkEnd w:id="901"/>
      <w:bookmarkEnd w:id="902"/>
      <w:bookmarkEnd w:id="903"/>
    </w:p>
    <w:p>
      <w:pPr>
        <w:pStyle w:val="Style28"/>
        <w:keepNext/>
        <w:keepLines/>
        <w:widowControl w:val="0"/>
        <w:shd w:val="clear" w:color="auto" w:fill="auto"/>
        <w:bidi w:val="0"/>
        <w:spacing w:before="0" w:after="120" w:line="240" w:lineRule="auto"/>
        <w:ind w:left="0" w:right="0" w:firstLine="740"/>
        <w:jc w:val="both"/>
      </w:pPr>
      <w:bookmarkStart w:id="901" w:name="bookmark901"/>
      <w:bookmarkStart w:id="902" w:name="bookmark902"/>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901"/>
      <w:bookmarkEnd w:id="902"/>
    </w:p>
    <w:tbl>
      <w:tblPr>
        <w:tblOverlap w:val="never"/>
        <w:jc w:val="center"/>
        <w:tblLayout w:type="fixed"/>
      </w:tblPr>
      <w:tblGrid>
        <w:gridCol w:w="1877"/>
        <w:gridCol w:w="1435"/>
        <w:gridCol w:w="1402"/>
        <w:gridCol w:w="1498"/>
        <w:gridCol w:w="1560"/>
        <w:gridCol w:w="1507"/>
      </w:tblGrid>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电子设备及其他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r>
      <w:tr>
        <w:trPr>
          <w:trHeight w:val="39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91"/>
        <w:gridCol w:w="1435"/>
        <w:gridCol w:w="1402"/>
        <w:gridCol w:w="1498"/>
        <w:gridCol w:w="1560"/>
        <w:gridCol w:w="1507"/>
      </w:tblGrid>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期初余额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119,851,246.39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486,354,912.60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10,496,183.05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190,481,290.74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807,183,632.78</w:t>
            </w: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11,208,226.37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35,874.36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28,521,148.48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39,765,249.21</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10,000,814.41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35,874.36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25,363,865.98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35,400,554.75</w:t>
            </w: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1,207,411.96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3,157,282.50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4,364,694.46</w:t>
            </w: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1,752,199.17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282,005.00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8,700,903.53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10,735,107.70</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1,141,088.07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282,005.00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2,567,664.63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3,990,757.70</w:t>
            </w: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611,111.10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6,133,238.90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6,744,350.00</w:t>
            </w: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119,851,246.39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495,810,939.80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10,250,052.41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210,301,535.69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836,213,774.29</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30,323,619.20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279,368,950.80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4,998,703.85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142,591,474.82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457,282,748.67</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3,913,590.63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41,707,450.60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1,087,390.61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13,790,936.33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60,499,368.17</w:t>
            </w: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3,913,590.63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41,707,450.60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1,087,390.61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13,790,936.33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60,499,368.17</w:t>
            </w: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506,357.10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263,439.72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2,429,537.53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3,199,334.35</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506,357.10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263,439.72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2,429,537.53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3,199,334.35</w:t>
            </w: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34,237,209.83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320,570,044.30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5,822,654.74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153,952,873.62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514,582,782.49</w:t>
            </w: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85,923.00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586,831.20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482,868.58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1,155,622.78</w:t>
            </w: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85,923.00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586,831.20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482,868.58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1,155,622.78</w:t>
            </w: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85,528,113.56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174,654,064.30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4,427,397.67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55,865,793.49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320,475,369.02</w:t>
            </w:r>
          </w:p>
        </w:tc>
      </w:tr>
      <w:tr>
        <w:trPr>
          <w:trHeight w:val="41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89,441,704.19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206,399,130.60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5,497,479.20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47,406,947.34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348,745,261.33</w:t>
            </w:r>
          </w:p>
        </w:tc>
      </w:tr>
    </w:tbl>
    <w:p>
      <w:pPr>
        <w:widowControl w:val="0"/>
        <w:spacing w:after="99" w:line="1" w:lineRule="exact"/>
      </w:pPr>
    </w:p>
    <w:p>
      <w:pPr>
        <w:pStyle w:val="Style31"/>
        <w:keepNext w:val="0"/>
        <w:keepLines w:val="0"/>
        <w:widowControl w:val="0"/>
        <w:shd w:val="clear" w:color="auto" w:fill="auto"/>
        <w:bidi w:val="0"/>
        <w:spacing w:before="0" w:after="140" w:line="278" w:lineRule="exact"/>
        <w:ind w:left="140" w:right="0" w:firstLine="440"/>
        <w:jc w:val="left"/>
        <w:rPr>
          <w:sz w:val="20"/>
          <w:szCs w:val="20"/>
        </w:rPr>
      </w:pPr>
      <w:r>
        <w:rPr>
          <w:color w:val="000000"/>
          <w:spacing w:val="0"/>
          <w:w w:val="100"/>
          <w:position w:val="0"/>
          <w:sz w:val="20"/>
          <w:szCs w:val="20"/>
        </w:rPr>
        <w:t>注：本期固定资产其他减少</w:t>
      </w:r>
      <w:r>
        <w:rPr>
          <w:rFonts w:ascii="Times New Roman" w:eastAsia="Times New Roman" w:hAnsi="Times New Roman" w:cs="Times New Roman"/>
          <w:color w:val="000000"/>
          <w:spacing w:val="0"/>
          <w:w w:val="100"/>
          <w:position w:val="0"/>
          <w:sz w:val="20"/>
          <w:szCs w:val="20"/>
        </w:rPr>
        <w:t>6,744,350.00</w:t>
      </w:r>
      <w:r>
        <w:rPr>
          <w:color w:val="000000"/>
          <w:spacing w:val="0"/>
          <w:w w:val="100"/>
          <w:position w:val="0"/>
          <w:sz w:val="20"/>
          <w:szCs w:val="20"/>
        </w:rPr>
        <w:t>元，为本公司全资子公司国微电子和控股子公司紫光同创根 据重大研发项目的核算要求转出的设备费。</w:t>
      </w:r>
    </w:p>
    <w:p>
      <w:pPr>
        <w:pStyle w:val="Style31"/>
        <w:keepNext w:val="0"/>
        <w:keepLines w:val="0"/>
        <w:widowControl w:val="0"/>
        <w:shd w:val="clear" w:color="auto" w:fill="auto"/>
        <w:tabs>
          <w:tab w:pos="938" w:val="left"/>
        </w:tabs>
        <w:bidi w:val="0"/>
        <w:spacing w:before="0" w:after="140" w:line="240" w:lineRule="auto"/>
        <w:ind w:left="0" w:right="0" w:firstLine="560"/>
        <w:jc w:val="left"/>
        <w:rPr>
          <w:sz w:val="20"/>
          <w:szCs w:val="20"/>
        </w:rPr>
      </w:pPr>
      <w:bookmarkStart w:id="904" w:name="bookmark904"/>
      <w:r>
        <w:rPr>
          <w:rFonts w:ascii="Times New Roman" w:eastAsia="Times New Roman" w:hAnsi="Times New Roman" w:cs="Times New Roman"/>
          <w:b/>
          <w:bCs/>
          <w:color w:val="000000"/>
          <w:spacing w:val="0"/>
          <w:w w:val="100"/>
          <w:position w:val="0"/>
          <w:sz w:val="20"/>
          <w:szCs w:val="20"/>
        </w:rPr>
        <w:t>2</w:t>
      </w:r>
      <w:bookmarkEnd w:id="904"/>
      <w:r>
        <w:rPr>
          <w:b/>
          <w:bCs/>
          <w:color w:val="000000"/>
          <w:spacing w:val="0"/>
          <w:w w:val="100"/>
          <w:position w:val="0"/>
          <w:sz w:val="20"/>
          <w:szCs w:val="20"/>
        </w:rPr>
        <w:t>、</w:t>
        <w:tab/>
        <w:t>通过融资租赁租入的固定资产情况:</w:t>
      </w:r>
    </w:p>
    <w:p>
      <w:pPr>
        <w:pStyle w:val="Style31"/>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无。</w:t>
      </w:r>
    </w:p>
    <w:p>
      <w:pPr>
        <w:pStyle w:val="Style31"/>
        <w:keepNext w:val="0"/>
        <w:keepLines w:val="0"/>
        <w:widowControl w:val="0"/>
        <w:shd w:val="clear" w:color="auto" w:fill="auto"/>
        <w:tabs>
          <w:tab w:pos="938" w:val="left"/>
        </w:tabs>
        <w:bidi w:val="0"/>
        <w:spacing w:before="0" w:after="340" w:line="240" w:lineRule="auto"/>
        <w:ind w:left="0" w:right="0" w:firstLine="560"/>
        <w:jc w:val="left"/>
        <w:rPr>
          <w:sz w:val="20"/>
          <w:szCs w:val="20"/>
        </w:rPr>
      </w:pPr>
      <w:bookmarkStart w:id="905" w:name="bookmark905"/>
      <w:r>
        <w:rPr>
          <w:rFonts w:ascii="Times New Roman" w:eastAsia="Times New Roman" w:hAnsi="Times New Roman" w:cs="Times New Roman"/>
          <w:b/>
          <w:bCs/>
          <w:color w:val="000000"/>
          <w:spacing w:val="0"/>
          <w:w w:val="100"/>
          <w:position w:val="0"/>
          <w:sz w:val="20"/>
          <w:szCs w:val="20"/>
        </w:rPr>
        <w:t>3</w:t>
      </w:r>
      <w:bookmarkEnd w:id="905"/>
      <w:r>
        <w:rPr>
          <w:b/>
          <w:bCs/>
          <w:color w:val="000000"/>
          <w:spacing w:val="0"/>
          <w:w w:val="100"/>
          <w:position w:val="0"/>
          <w:sz w:val="20"/>
          <w:szCs w:val="20"/>
        </w:rPr>
        <w:t>、</w:t>
        <w:tab/>
        <w:t>通过经营租赁租出的固定资产</w:t>
      </w:r>
    </w:p>
    <w:tbl>
      <w:tblPr>
        <w:tblOverlap w:val="never"/>
        <w:jc w:val="center"/>
        <w:tblLayout w:type="fixed"/>
      </w:tblPr>
      <w:tblGrid>
        <w:gridCol w:w="3859"/>
        <w:gridCol w:w="6072"/>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期末账面价值</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11,255,737.26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bookmarkStart w:id="906" w:name="bookmark906"/>
            <w:r>
              <w:rPr>
                <w:b/>
                <w:bCs/>
                <w:color w:val="000000"/>
                <w:spacing w:val="0"/>
                <w:w w:val="100"/>
                <w:position w:val="0"/>
                <w:sz w:val="20"/>
                <w:szCs w:val="20"/>
              </w:rPr>
              <w:t>（十一）在建工程</w:t>
            </w:r>
            <w:bookmarkEnd w:id="906"/>
          </w:p>
        </w:tc>
        <w:tc>
          <w:tcPr>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、在建工程情况</w:t>
            </w:r>
          </w:p>
        </w:tc>
        <w:tc>
          <w:tcPr>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97"/>
        <w:gridCol w:w="1526"/>
        <w:gridCol w:w="1027"/>
        <w:gridCol w:w="1402"/>
        <w:gridCol w:w="1574"/>
        <w:gridCol w:w="994"/>
        <w:gridCol w:w="1411"/>
      </w:tblGrid>
      <w:tr>
        <w:trPr>
          <w:trHeight w:val="34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33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账面净值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账面净值</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待安装设备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3,157,439.01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3,157,439.01</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成都国微研发中心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1,440,418.39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1,440,418.39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1,331,912.43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1,331,912.43</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b/>
                <w:bCs/>
                <w:color w:val="000000"/>
                <w:spacing w:val="0"/>
                <w:w w:val="100"/>
                <w:position w:val="0"/>
                <w:sz w:val="18"/>
                <w:szCs w:val="18"/>
              </w:rPr>
              <w:t>1,440,418.39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1,440,418.39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b/>
                <w:bCs/>
                <w:color w:val="000000"/>
                <w:spacing w:val="0"/>
                <w:w w:val="100"/>
                <w:position w:val="0"/>
                <w:sz w:val="18"/>
                <w:szCs w:val="18"/>
              </w:rPr>
              <w:t>4,489,351.44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4,489,351.44</w:t>
            </w:r>
          </w:p>
        </w:tc>
      </w:tr>
    </w:tbl>
    <w:p>
      <w:pPr>
        <w:widowControl w:val="0"/>
        <w:spacing w:after="119" w:line="1" w:lineRule="exact"/>
      </w:pPr>
    </w:p>
    <w:p>
      <w:pPr>
        <w:pStyle w:val="Style31"/>
        <w:keepNext w:val="0"/>
        <w:keepLines w:val="0"/>
        <w:widowControl w:val="0"/>
        <w:shd w:val="clear" w:color="auto" w:fill="auto"/>
        <w:bidi w:val="0"/>
        <w:spacing w:before="0" w:line="240" w:lineRule="auto"/>
        <w:ind w:left="0" w:right="0" w:firstLine="60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、重要在建工程项目本期变动情况</w:t>
      </w:r>
    </w:p>
    <w:tbl>
      <w:tblPr>
        <w:tblOverlap w:val="never"/>
        <w:jc w:val="center"/>
        <w:tblLayout w:type="fixed"/>
      </w:tblPr>
      <w:tblGrid>
        <w:gridCol w:w="2035"/>
        <w:gridCol w:w="1349"/>
        <w:gridCol w:w="1344"/>
        <w:gridCol w:w="1498"/>
        <w:gridCol w:w="1344"/>
        <w:gridCol w:w="1046"/>
        <w:gridCol w:w="1315"/>
      </w:tblGrid>
      <w:tr>
        <w:trPr>
          <w:trHeight w:val="70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b/>
                <w:bCs/>
                <w:color w:val="000000"/>
                <w:spacing w:val="0"/>
                <w:w w:val="100"/>
                <w:position w:val="0"/>
                <w:sz w:val="16"/>
                <w:szCs w:val="16"/>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预算数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本期转入固定</w:t>
            </w:r>
          </w:p>
          <w:p>
            <w:pPr>
              <w:pStyle w:val="Style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资产金额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本期其他</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待安装设备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4,364,694.46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3,157,439.01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1,207,255.45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4,364,694.46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成都国微研发中心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1,331,912.43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108,505.96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1,440,418.39</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4,364,694.46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4,489,351.44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b/>
                <w:bCs/>
                <w:color w:val="000000"/>
                <w:spacing w:val="0"/>
                <w:w w:val="100"/>
                <w:position w:val="0"/>
                <w:sz w:val="18"/>
                <w:szCs w:val="18"/>
              </w:rPr>
              <w:t>1,315,761.41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4,364,694.46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1,440,418.39</w:t>
            </w:r>
          </w:p>
        </w:tc>
      </w:tr>
    </w:tbl>
    <w:p>
      <w:pPr>
        <w:widowControl w:val="0"/>
        <w:spacing w:after="259" w:line="1" w:lineRule="exact"/>
      </w:pPr>
    </w:p>
    <w:p>
      <w:pPr>
        <w:pStyle w:val="Style31"/>
        <w:keepNext w:val="0"/>
        <w:keepLines w:val="0"/>
        <w:widowControl w:val="0"/>
        <w:shd w:val="clear" w:color="auto" w:fill="auto"/>
        <w:bidi w:val="0"/>
        <w:spacing w:before="0" w:line="240" w:lineRule="auto"/>
        <w:ind w:left="0" w:right="0" w:firstLine="680"/>
        <w:jc w:val="left"/>
        <w:rPr>
          <w:sz w:val="20"/>
          <w:szCs w:val="20"/>
        </w:rPr>
      </w:pPr>
      <w:r>
        <w:rPr>
          <w:color w:val="000000"/>
          <w:spacing w:val="0"/>
          <w:w w:val="100"/>
          <w:position w:val="0"/>
          <w:sz w:val="20"/>
          <w:szCs w:val="20"/>
        </w:rPr>
        <w:t>(续)</w:t>
      </w:r>
    </w:p>
    <w:tbl>
      <w:tblPr>
        <w:tblOverlap w:val="never"/>
        <w:jc w:val="left"/>
        <w:tblLayout w:type="fixed"/>
      </w:tblPr>
      <w:tblGrid>
        <w:gridCol w:w="2242"/>
        <w:gridCol w:w="1085"/>
        <w:gridCol w:w="1402"/>
        <w:gridCol w:w="1555"/>
        <w:gridCol w:w="1382"/>
        <w:gridCol w:w="1310"/>
      </w:tblGrid>
      <w:tr>
        <w:trPr>
          <w:trHeight w:val="70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b/>
                <w:bCs/>
                <w:color w:val="000000"/>
                <w:spacing w:val="0"/>
                <w:w w:val="100"/>
                <w:position w:val="0"/>
                <w:sz w:val="16"/>
                <w:szCs w:val="16"/>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180"/>
              <w:jc w:val="left"/>
              <w:rPr>
                <w:sz w:val="16"/>
                <w:szCs w:val="16"/>
              </w:rPr>
            </w:pPr>
            <w:r>
              <w:rPr>
                <w:b/>
                <w:bCs/>
                <w:color w:val="000000"/>
                <w:spacing w:val="0"/>
                <w:w w:val="100"/>
                <w:position w:val="0"/>
                <w:sz w:val="16"/>
                <w:szCs w:val="16"/>
              </w:rPr>
              <w:t>工程进度</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b/>
                <w:bCs/>
                <w:color w:val="000000"/>
                <w:spacing w:val="0"/>
                <w:w w:val="100"/>
                <w:position w:val="0"/>
                <w:sz w:val="16"/>
                <w:szCs w:val="16"/>
              </w:rPr>
              <w:t>利息资本化累 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6"/>
                <w:szCs w:val="16"/>
              </w:rPr>
            </w:pPr>
            <w:r>
              <w:rPr>
                <w:b/>
                <w:bCs/>
                <w:color w:val="000000"/>
                <w:spacing w:val="0"/>
                <w:w w:val="100"/>
                <w:position w:val="0"/>
                <w:sz w:val="16"/>
                <w:szCs w:val="16"/>
              </w:rPr>
              <w:t>其中：本期利息 资本化金额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rPr>
                <w:sz w:val="16"/>
                <w:szCs w:val="16"/>
              </w:rPr>
            </w:pPr>
            <w:r>
              <w:rPr>
                <w:b/>
                <w:bCs/>
                <w:color w:val="000000"/>
                <w:spacing w:val="0"/>
                <w:w w:val="100"/>
                <w:position w:val="0"/>
                <w:sz w:val="16"/>
                <w:szCs w:val="16"/>
              </w:rPr>
              <w:t>本期利息资本 化率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资金来源</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待安装设备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自筹</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成都国微研发中心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自筹</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after="180" w:line="240" w:lineRule="auto"/>
        <w:ind w:left="0" w:right="0" w:firstLine="220"/>
        <w:jc w:val="left"/>
        <w:rPr>
          <w:sz w:val="20"/>
          <w:szCs w:val="20"/>
        </w:rPr>
      </w:pPr>
      <w:bookmarkStart w:id="907" w:name="bookmark907"/>
      <w:r>
        <w:rPr>
          <w:b/>
          <w:bCs/>
          <w:color w:val="000000"/>
          <w:spacing w:val="0"/>
          <w:w w:val="100"/>
          <w:position w:val="0"/>
          <w:sz w:val="20"/>
          <w:szCs w:val="20"/>
        </w:rPr>
        <w:t>(十二)无形资产</w:t>
      </w:r>
      <w:bookmarkEnd w:id="907"/>
    </w:p>
    <w:p>
      <w:pPr>
        <w:pStyle w:val="Style31"/>
        <w:keepNext w:val="0"/>
        <w:keepLines w:val="0"/>
        <w:widowControl w:val="0"/>
        <w:shd w:val="clear" w:color="auto" w:fill="auto"/>
        <w:bidi w:val="0"/>
        <w:spacing w:before="0" w:line="240" w:lineRule="auto"/>
        <w:ind w:left="0" w:right="0" w:firstLine="60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、无形资产情况</w:t>
      </w:r>
    </w:p>
    <w:tbl>
      <w:tblPr>
        <w:tblOverlap w:val="never"/>
        <w:jc w:val="center"/>
        <w:tblLayout w:type="fixed"/>
      </w:tblPr>
      <w:tblGrid>
        <w:gridCol w:w="1272"/>
        <w:gridCol w:w="998"/>
        <w:gridCol w:w="994"/>
        <w:gridCol w:w="994"/>
        <w:gridCol w:w="1075"/>
        <w:gridCol w:w="1080"/>
        <w:gridCol w:w="1157"/>
        <w:gridCol w:w="864"/>
        <w:gridCol w:w="1056"/>
      </w:tblGrid>
      <w:tr>
        <w:trPr>
          <w:trHeight w:val="31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4"/>
                <w:szCs w:val="14"/>
              </w:rPr>
            </w:pPr>
            <w:r>
              <w:rPr>
                <w:b/>
                <w:bCs/>
                <w:color w:val="000000"/>
                <w:spacing w:val="0"/>
                <w:w w:val="100"/>
                <w:position w:val="0"/>
                <w:sz w:val="14"/>
                <w:szCs w:val="14"/>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rPr>
              <w:t>土地使用权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软件</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商标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专利技术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4"/>
                <w:szCs w:val="14"/>
              </w:rPr>
            </w:pPr>
            <w:r>
              <w:rPr>
                <w:b/>
                <w:bCs/>
                <w:color w:val="000000"/>
                <w:spacing w:val="0"/>
                <w:w w:val="100"/>
                <w:position w:val="0"/>
                <w:sz w:val="14"/>
                <w:szCs w:val="14"/>
              </w:rPr>
              <w:t>非专利技术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rPr>
                <w:sz w:val="14"/>
                <w:szCs w:val="14"/>
              </w:rPr>
            </w:pPr>
            <w:r>
              <w:rPr>
                <w:b/>
                <w:bCs/>
                <w:color w:val="000000"/>
                <w:spacing w:val="0"/>
                <w:w w:val="100"/>
                <w:position w:val="0"/>
                <w:sz w:val="14"/>
                <w:szCs w:val="14"/>
              </w:rPr>
              <w:t>专有技术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rPr>
              <w:t>专用使用权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80" w:firstLine="0"/>
              <w:jc w:val="right"/>
              <w:rPr>
                <w:sz w:val="14"/>
                <w:szCs w:val="14"/>
              </w:rPr>
            </w:pPr>
            <w:r>
              <w:rPr>
                <w:b/>
                <w:bCs/>
                <w:color w:val="000000"/>
                <w:spacing w:val="0"/>
                <w:w w:val="100"/>
                <w:position w:val="0"/>
                <w:sz w:val="14"/>
                <w:szCs w:val="14"/>
              </w:rPr>
              <w:t>合计</w:t>
            </w:r>
          </w:p>
        </w:tc>
      </w:tr>
      <w:tr>
        <w:trPr>
          <w:trHeight w:val="28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•、账向原值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」期初会领！</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101,659,867.71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26,830,842.36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3,800,000.00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18,264,182.00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2,993,114.07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377,008,437.05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1,160,000.00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531,716,443.19</w:t>
            </w:r>
          </w:p>
        </w:tc>
      </w:tr>
      <w:tr>
        <w:trPr>
          <w:trHeight w:val="28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本期增加金领!</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418,773.93</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10,605,413.51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11,024,187.44</w:t>
            </w:r>
          </w:p>
        </w:tc>
      </w:tr>
      <w:tr>
        <w:trPr>
          <w:trHeight w:val="28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418,773.93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418,773.93</w:t>
            </w:r>
          </w:p>
        </w:tc>
      </w:tr>
      <w:tr>
        <w:trPr>
          <w:trHeight w:val="28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内部研发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10,605,413.51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10,605,413.51</w:t>
            </w:r>
          </w:p>
        </w:tc>
      </w:tr>
      <w:tr>
        <w:trPr>
          <w:trHeight w:val="28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本期减少金额</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1,600,000.00</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1,600,000.00</w:t>
            </w:r>
          </w:p>
        </w:tc>
      </w:tr>
      <w:tr>
        <w:trPr>
          <w:trHeight w:val="28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处置</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1,600,000.00</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1,600,000.00</w:t>
            </w:r>
          </w:p>
        </w:tc>
      </w:tr>
      <w:tr>
        <w:trPr>
          <w:trHeight w:val="28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101,659,867.71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27,249,616.29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18,264,182.00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11,998,527.58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377,008,437.05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541,140,630.63</w:t>
            </w:r>
          </w:p>
        </w:tc>
      </w:tr>
      <w:tr>
        <w:trPr>
          <w:trHeight w:val="28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tabs>
                <w:tab w:leader="dot" w:pos="1032" w:val="left"/>
              </w:tabs>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ab/>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期初余额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5,529,495.66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7,411,259.83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2,808,366.04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2,993,114.07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44,608,641.33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367,333.31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64,003,210.24</w:t>
            </w:r>
          </w:p>
        </w:tc>
      </w:tr>
      <w:tr>
        <w:trPr>
          <w:trHeight w:val="28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本期增加金额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2,118,693.36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3,535,514.87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380,000.04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3,635,088.36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530,270.67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38,853,015.48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232,000.00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49,284,582.78</w:t>
            </w:r>
          </w:p>
        </w:tc>
      </w:tr>
      <w:tr>
        <w:trPr>
          <w:trHeight w:val="28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计提</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2,118,693.36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3,535,514.87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380,000.04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3,635,088.36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530,270.67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38,853,015.48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232,000.00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49,284,582.78</w:t>
            </w:r>
          </w:p>
        </w:tc>
      </w:tr>
      <w:tr>
        <w:trPr>
          <w:trHeight w:val="28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本期减少金额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1,600,000.00</w:t>
            </w: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1,600,000.00</w:t>
            </w:r>
          </w:p>
        </w:tc>
      </w:tr>
      <w:tr>
        <w:trPr>
          <w:trHeight w:val="28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1,600,000.00</w:t>
            </w:r>
          </w:p>
        </w:tc>
      </w:tr>
      <w:tr>
        <w:trPr>
          <w:trHeight w:val="28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7,648,189.02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10,946,774.70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665,000.04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6,443,454.40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1,923,384.74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83,461,656.81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599,333.31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111,687,793.02</w:t>
            </w:r>
          </w:p>
        </w:tc>
      </w:tr>
      <w:tr>
        <w:trPr>
          <w:trHeight w:val="28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本期增加金额</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560,666.69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560,666.69</w:t>
            </w:r>
          </w:p>
        </w:tc>
      </w:tr>
    </w:tbl>
    <w:p>
      <w:pPr>
        <w:widowControl w:val="0"/>
        <w:spacing w:line="1" w:lineRule="exact"/>
      </w:pPr>
      <w:r>
        <w:br w:type="page"/>
      </w:r>
    </w:p>
    <w:tbl>
      <w:tblPr>
        <w:tblOverlap w:val="never"/>
        <w:jc w:val="center"/>
        <w:tblLayout w:type="fixed"/>
      </w:tblPr>
      <w:tblGrid>
        <w:gridCol w:w="1286"/>
        <w:gridCol w:w="998"/>
        <w:gridCol w:w="994"/>
        <w:gridCol w:w="994"/>
        <w:gridCol w:w="1080"/>
        <w:gridCol w:w="1075"/>
        <w:gridCol w:w="1157"/>
        <w:gridCol w:w="864"/>
        <w:gridCol w:w="1056"/>
      </w:tblGrid>
      <w:tr>
        <w:trPr>
          <w:trHeight w:val="30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4"/>
                <w:szCs w:val="14"/>
              </w:rPr>
            </w:pPr>
            <w:r>
              <w:rPr>
                <w:b/>
                <w:bCs/>
                <w:color w:val="000000"/>
                <w:spacing w:val="0"/>
                <w:w w:val="100"/>
                <w:position w:val="0"/>
                <w:sz w:val="14"/>
                <w:szCs w:val="14"/>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土地使用权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软件</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商标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专利技术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非专利技术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专有技术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rPr>
              <w:t>专用使用权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80" w:firstLine="0"/>
              <w:jc w:val="right"/>
              <w:rPr>
                <w:sz w:val="14"/>
                <w:szCs w:val="14"/>
              </w:rPr>
            </w:pPr>
            <w:r>
              <w:rPr>
                <w:b/>
                <w:bCs/>
                <w:color w:val="000000"/>
                <w:spacing w:val="0"/>
                <w:w w:val="100"/>
                <w:position w:val="0"/>
                <w:sz w:val="14"/>
                <w:szCs w:val="14"/>
              </w:rPr>
              <w:t>合计</w:t>
            </w:r>
          </w:p>
        </w:tc>
      </w:tr>
      <w:tr>
        <w:trPr>
          <w:trHeight w:val="28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计提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560,666.69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560,666.69</w:t>
            </w:r>
          </w:p>
        </w:tc>
      </w:tr>
      <w:tr>
        <w:trPr>
          <w:trHeight w:val="28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本期减少金额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560,666.69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560,666.69</w:t>
            </w:r>
          </w:p>
        </w:tc>
      </w:tr>
      <w:tr>
        <w:trPr>
          <w:trHeight w:val="28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四、账面价值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期末账面价值</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94,011,678.69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16,302,841.59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3,134,999.96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11,820,727.60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10,075,142.84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293,546,780.24</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428,892,170.92</w:t>
            </w:r>
          </w:p>
        </w:tc>
      </w:tr>
      <w:tr>
        <w:trPr>
          <w:trHeight w:val="312"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期初账面价值</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96,130,372.05</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19,419,582.53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3,515,000.00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15,455,815.96</w:t>
            </w: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332,399,795.72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792,666.69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467,713,232.95</w:t>
            </w:r>
          </w:p>
        </w:tc>
      </w:tr>
    </w:tbl>
    <w:p>
      <w:pPr>
        <w:widowControl w:val="0"/>
        <w:spacing w:after="119" w:line="1" w:lineRule="exact"/>
      </w:pPr>
    </w:p>
    <w:p>
      <w:pPr>
        <w:pStyle w:val="Style31"/>
        <w:keepNext w:val="0"/>
        <w:keepLines w:val="0"/>
        <w:widowControl w:val="0"/>
        <w:shd w:val="clear" w:color="auto" w:fill="auto"/>
        <w:bidi w:val="0"/>
        <w:spacing w:before="0" w:line="240" w:lineRule="auto"/>
        <w:ind w:left="0" w:right="0" w:firstLine="480"/>
        <w:jc w:val="left"/>
        <w:rPr>
          <w:sz w:val="20"/>
          <w:szCs w:val="20"/>
        </w:rPr>
      </w:pPr>
      <w:r>
        <w:rPr>
          <w:color w:val="000000"/>
          <w:spacing w:val="0"/>
          <w:w w:val="100"/>
          <w:position w:val="0"/>
          <w:sz w:val="20"/>
          <w:szCs w:val="20"/>
        </w:rPr>
        <w:t>本期末通过公司内部研发形成的无形资产占无形资产余额的比例为</w:t>
      </w:r>
      <w:r>
        <w:rPr>
          <w:rFonts w:ascii="Times New Roman" w:eastAsia="Times New Roman" w:hAnsi="Times New Roman" w:cs="Times New Roman"/>
          <w:color w:val="000000"/>
          <w:spacing w:val="0"/>
          <w:w w:val="100"/>
          <w:position w:val="0"/>
          <w:sz w:val="20"/>
          <w:szCs w:val="20"/>
        </w:rPr>
        <w:t xml:space="preserve">66.32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31"/>
        <w:keepNext w:val="0"/>
        <w:keepLines w:val="0"/>
        <w:widowControl w:val="0"/>
        <w:shd w:val="clear" w:color="auto" w:fill="auto"/>
        <w:bidi w:val="0"/>
        <w:spacing w:before="0" w:line="240" w:lineRule="auto"/>
        <w:ind w:left="0" w:right="0" w:firstLine="48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、未办妥产权证书的土地使用权情况：</w:t>
      </w:r>
    </w:p>
    <w:p>
      <w:pPr>
        <w:pStyle w:val="Style31"/>
        <w:keepNext w:val="0"/>
        <w:keepLines w:val="0"/>
        <w:widowControl w:val="0"/>
        <w:shd w:val="clear" w:color="auto" w:fill="auto"/>
        <w:bidi w:val="0"/>
        <w:spacing w:before="0" w:line="240" w:lineRule="auto"/>
        <w:ind w:left="0" w:right="0" w:firstLine="480"/>
        <w:jc w:val="left"/>
        <w:rPr>
          <w:sz w:val="20"/>
          <w:szCs w:val="20"/>
        </w:rPr>
      </w:pPr>
      <w:r>
        <w:rPr>
          <w:color w:val="000000"/>
          <w:spacing w:val="0"/>
          <w:w w:val="100"/>
          <w:position w:val="0"/>
          <w:sz w:val="20"/>
          <w:szCs w:val="20"/>
        </w:rPr>
        <w:t>无。</w:t>
      </w:r>
    </w:p>
    <w:p>
      <w:pPr>
        <w:pStyle w:val="Style31"/>
        <w:keepNext w:val="0"/>
        <w:keepLines w:val="0"/>
        <w:widowControl w:val="0"/>
        <w:shd w:val="clear" w:color="auto" w:fill="auto"/>
        <w:bidi w:val="0"/>
        <w:spacing w:before="0" w:line="240" w:lineRule="auto"/>
        <w:ind w:left="0" w:right="0" w:firstLine="0"/>
        <w:jc w:val="left"/>
        <w:rPr>
          <w:sz w:val="20"/>
          <w:szCs w:val="20"/>
        </w:rPr>
      </w:pPr>
      <w:bookmarkStart w:id="908" w:name="bookmark908"/>
      <w:r>
        <w:rPr>
          <w:b/>
          <w:bCs/>
          <w:color w:val="000000"/>
          <w:spacing w:val="0"/>
          <w:w w:val="100"/>
          <w:position w:val="0"/>
          <w:sz w:val="20"/>
          <w:szCs w:val="20"/>
        </w:rPr>
        <w:t>(十三)开发支出</w:t>
      </w:r>
      <w:bookmarkEnd w:id="908"/>
    </w:p>
    <w:tbl>
      <w:tblPr>
        <w:tblOverlap w:val="never"/>
        <w:jc w:val="center"/>
        <w:tblLayout w:type="fixed"/>
      </w:tblPr>
      <w:tblGrid>
        <w:gridCol w:w="1464"/>
        <w:gridCol w:w="1181"/>
        <w:gridCol w:w="1181"/>
        <w:gridCol w:w="998"/>
        <w:gridCol w:w="1176"/>
        <w:gridCol w:w="1277"/>
        <w:gridCol w:w="998"/>
        <w:gridCol w:w="1301"/>
      </w:tblGrid>
      <w:tr>
        <w:trP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本期增加金额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本期减少金额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r>
      <w:tr>
        <w:trPr>
          <w:trHeight w:val="58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内部开发支出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其他增加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6"/>
                <w:szCs w:val="16"/>
              </w:rPr>
            </w:pPr>
            <w:r>
              <w:rPr>
                <w:b/>
                <w:bCs/>
                <w:color w:val="000000"/>
                <w:spacing w:val="0"/>
                <w:w w:val="100"/>
                <w:position w:val="0"/>
                <w:sz w:val="16"/>
                <w:szCs w:val="16"/>
              </w:rPr>
              <w:t>确认为无形资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转入当期损益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其他减少</w:t>
            </w:r>
          </w:p>
        </w:tc>
        <w:tc>
          <w:tcPr>
            <w:vMerge/>
            <w:tcBorders>
              <w:left w:val="single" w:sz="4"/>
            </w:tcBorders>
            <w:shd w:val="clear" w:color="auto" w:fill="FFFFFF"/>
            <w:vAlign w:val="center"/>
          </w:tcPr>
          <w:p>
            <w:pPr/>
          </w:p>
        </w:tc>
      </w:tr>
      <w:tr>
        <w:trPr>
          <w:trHeight w:val="64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动态可重构可编 程逻辑器件技术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2,358,490.57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4,245,283.03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6,603,773.60</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特种集成电路研</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179,194,062.38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165,939,574.34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75,655,837.98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4,520,373.05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265,672,425.69</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可编程系统芯片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115.032.203.77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90,457,478.22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6,133,238.90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8,211,513.99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203,411,406.90</w:t>
            </w:r>
          </w:p>
        </w:tc>
      </w:tr>
      <w:tr>
        <w:trPr>
          <w:trHeight w:val="5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存储器芯片研发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5.566.108.32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63,281,268.23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10,605,413.51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40,392,599.80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17,849,363.24</w:t>
            </w:r>
          </w:p>
        </w:tc>
      </w:tr>
      <w:tr>
        <w:trPr>
          <w:trHeight w:val="8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高端智能芯片研</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17,296,079.43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100,896,651.91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43,850,006.24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74,342,725.10</w:t>
            </w:r>
          </w:p>
        </w:tc>
      </w:tr>
      <w:tr>
        <w:trPr>
          <w:trHeight w:val="8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半导体功率器件 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7,108,195.53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7,108,195.53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电子元器件及其 他研发项目</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r>
      <w:tr>
        <w:trPr>
          <w:trHeight w:val="485" w:hRule="exact"/>
        </w:trPr>
        <w:tc>
          <w:tcPr>
            <w:vMerge/>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11,939,104.00</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11,939,104.00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45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319,446,944.47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443,867,555.26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6,848,238.90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10,605,413.51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187,157,257.54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4,520,373.05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567,879,694.53</w:t>
            </w:r>
          </w:p>
        </w:tc>
      </w:tr>
    </w:tbl>
    <w:p>
      <w:pPr>
        <w:widowControl w:val="0"/>
        <w:spacing w:after="119" w:line="1" w:lineRule="exact"/>
      </w:pPr>
    </w:p>
    <w:p>
      <w:pPr>
        <w:pStyle w:val="Style31"/>
        <w:keepNext w:val="0"/>
        <w:keepLines w:val="0"/>
        <w:widowControl w:val="0"/>
        <w:shd w:val="clear" w:color="auto" w:fill="auto"/>
        <w:bidi w:val="0"/>
        <w:spacing w:before="0" w:line="274" w:lineRule="exact"/>
        <w:ind w:left="0" w:right="0" w:firstLine="480"/>
        <w:jc w:val="left"/>
        <w:rPr>
          <w:sz w:val="20"/>
          <w:szCs w:val="20"/>
        </w:rPr>
      </w:pPr>
      <w:r>
        <w:rPr>
          <w:color w:val="000000"/>
          <w:spacing w:val="0"/>
          <w:w w:val="100"/>
          <w:position w:val="0"/>
          <w:sz w:val="20"/>
          <w:szCs w:val="20"/>
        </w:rPr>
        <w:t>注：特种集成电路研发项目本期增加金额中的其他项和本期减少金额中的其他项主要是本公司根据核 算要求归集和转出的设备费、开发成本。</w:t>
      </w:r>
    </w:p>
    <w:p>
      <w:pPr>
        <w:pStyle w:val="Style31"/>
        <w:keepNext w:val="0"/>
        <w:keepLines w:val="0"/>
        <w:widowControl w:val="0"/>
        <w:shd w:val="clear" w:color="auto" w:fill="auto"/>
        <w:bidi w:val="0"/>
        <w:spacing w:before="0" w:line="274" w:lineRule="exact"/>
        <w:ind w:left="0" w:right="0" w:firstLine="0"/>
        <w:jc w:val="left"/>
        <w:rPr>
          <w:sz w:val="20"/>
          <w:szCs w:val="20"/>
        </w:rPr>
      </w:pPr>
      <w:bookmarkStart w:id="909" w:name="bookmark909"/>
      <w:r>
        <w:rPr>
          <w:b/>
          <w:bCs/>
          <w:color w:val="000000"/>
          <w:spacing w:val="0"/>
          <w:w w:val="100"/>
          <w:position w:val="0"/>
          <w:sz w:val="20"/>
          <w:szCs w:val="20"/>
        </w:rPr>
        <w:t>(十四)商誉</w:t>
      </w:r>
      <w:bookmarkEnd w:id="909"/>
    </w:p>
    <w:tbl>
      <w:tblPr>
        <w:tblOverlap w:val="never"/>
        <w:jc w:val="left"/>
        <w:tblLayout w:type="fixed"/>
      </w:tblPr>
      <w:tblGrid>
        <w:gridCol w:w="2616"/>
        <w:gridCol w:w="1699"/>
        <w:gridCol w:w="1416"/>
        <w:gridCol w:w="1594"/>
        <w:gridCol w:w="1560"/>
      </w:tblGrid>
      <w:tr>
        <w:trPr>
          <w:trHeight w:val="6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center"/>
              <w:rPr>
                <w:sz w:val="16"/>
                <w:szCs w:val="16"/>
              </w:rPr>
            </w:pPr>
            <w:r>
              <w:rPr>
                <w:b/>
                <w:bCs/>
                <w:color w:val="000000"/>
                <w:spacing w:val="0"/>
                <w:w w:val="100"/>
                <w:position w:val="0"/>
                <w:sz w:val="16"/>
                <w:szCs w:val="16"/>
              </w:rPr>
              <w:t>被投资单位名称 或形成商誉的事项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r>
      <w:tr>
        <w:trPr>
          <w:trHeight w:val="3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深圳市国微电子有限公司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685,676,016.95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685,676,016.95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西安紫光国芯半导体有限公司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121,006,265.19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121,006,265.19</w:t>
            </w:r>
          </w:p>
        </w:tc>
      </w:tr>
      <w:tr>
        <w:trPr>
          <w:trHeight w:val="35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b/>
                <w:bCs/>
                <w:color w:val="000000"/>
                <w:spacing w:val="0"/>
                <w:w w:val="100"/>
                <w:position w:val="0"/>
                <w:sz w:val="18"/>
                <w:szCs w:val="18"/>
              </w:rPr>
              <w:t>806,682,282.14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806,682,282.14</w:t>
            </w:r>
          </w:p>
        </w:tc>
      </w:tr>
    </w:tbl>
    <w:p>
      <w:pPr>
        <w:widowControl w:val="0"/>
        <w:spacing w:after="119" w:line="1" w:lineRule="exact"/>
      </w:pPr>
    </w:p>
    <w:p>
      <w:pPr>
        <w:pStyle w:val="Style31"/>
        <w:keepNext w:val="0"/>
        <w:keepLines w:val="0"/>
        <w:widowControl w:val="0"/>
        <w:shd w:val="clear" w:color="auto" w:fill="auto"/>
        <w:bidi w:val="0"/>
        <w:spacing w:before="0" w:line="240" w:lineRule="auto"/>
        <w:ind w:left="0" w:right="0" w:firstLine="480"/>
        <w:jc w:val="left"/>
        <w:rPr>
          <w:sz w:val="20"/>
          <w:szCs w:val="20"/>
        </w:rPr>
      </w:pPr>
      <w:r>
        <w:rPr>
          <w:color w:val="000000"/>
          <w:spacing w:val="0"/>
          <w:w w:val="100"/>
          <w:position w:val="0"/>
          <w:sz w:val="20"/>
          <w:szCs w:val="20"/>
        </w:rPr>
        <w:t>注：本公司期末将商誉分配至相应的资产组中进行减值测试，经测试，商誉不存在减值。</w:t>
      </w:r>
      <w:r>
        <w:br w:type="page"/>
      </w:r>
    </w:p>
    <w:p>
      <w:pPr>
        <w:pStyle w:val="Style28"/>
        <w:keepNext/>
        <w:keepLines/>
        <w:widowControl w:val="0"/>
        <w:shd w:val="clear" w:color="auto" w:fill="auto"/>
        <w:bidi w:val="0"/>
        <w:spacing w:before="0" w:after="120" w:line="240" w:lineRule="auto"/>
        <w:ind w:left="0" w:right="0" w:firstLine="260"/>
        <w:jc w:val="left"/>
      </w:pPr>
      <w:bookmarkStart w:id="910" w:name="bookmark910"/>
      <w:bookmarkStart w:id="911" w:name="bookmark911"/>
      <w:bookmarkStart w:id="912" w:name="bookmark912"/>
      <w:r>
        <w:rPr>
          <w:color w:val="000000"/>
          <w:spacing w:val="0"/>
          <w:w w:val="100"/>
          <w:position w:val="0"/>
        </w:rPr>
        <w:t>（十五）长期待摊费用</w:t>
      </w:r>
      <w:bookmarkEnd w:id="910"/>
      <w:bookmarkEnd w:id="911"/>
      <w:bookmarkEnd w:id="912"/>
    </w:p>
    <w:tbl>
      <w:tblPr>
        <w:tblOverlap w:val="never"/>
        <w:jc w:val="left"/>
        <w:tblLayout w:type="fixed"/>
      </w:tblPr>
      <w:tblGrid>
        <w:gridCol w:w="1411"/>
        <w:gridCol w:w="1488"/>
        <w:gridCol w:w="1474"/>
        <w:gridCol w:w="1469"/>
        <w:gridCol w:w="1474"/>
        <w:gridCol w:w="1416"/>
      </w:tblGrid>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本期摊销金额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其他减少金额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r>
      <w:tr>
        <w:trPr>
          <w:trHeight w:val="3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10,997,801.28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1,722,008.53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2,436,416.14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10,283,393.67</w:t>
            </w:r>
          </w:p>
        </w:tc>
      </w:tr>
      <w:tr>
        <w:trPr>
          <w:trHeight w:val="32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网络改造费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119,140.26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127,926.21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78,704.75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168,361.72</w:t>
            </w:r>
          </w:p>
        </w:tc>
      </w:tr>
      <w:tr>
        <w:trPr>
          <w:trHeight w:val="35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11,116,941.54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1,849,934.74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2,515,120.89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10,451,755.39</w:t>
            </w:r>
          </w:p>
        </w:tc>
      </w:tr>
    </w:tbl>
    <w:p>
      <w:pPr>
        <w:widowControl w:val="0"/>
        <w:spacing w:after="119" w:line="1" w:lineRule="exact"/>
      </w:pPr>
    </w:p>
    <w:p>
      <w:pPr>
        <w:pStyle w:val="Style28"/>
        <w:keepNext/>
        <w:keepLines/>
        <w:widowControl w:val="0"/>
        <w:shd w:val="clear" w:color="auto" w:fill="auto"/>
        <w:bidi w:val="0"/>
        <w:spacing w:before="0" w:after="120" w:line="240" w:lineRule="auto"/>
        <w:ind w:left="0" w:right="0" w:firstLine="260"/>
        <w:jc w:val="left"/>
      </w:pPr>
      <w:bookmarkStart w:id="913" w:name="bookmark913"/>
      <w:bookmarkStart w:id="914" w:name="bookmark914"/>
      <w:bookmarkStart w:id="915" w:name="bookmark915"/>
      <w:r>
        <w:rPr>
          <w:color w:val="000000"/>
          <w:spacing w:val="0"/>
          <w:w w:val="100"/>
          <w:position w:val="0"/>
        </w:rPr>
        <w:t>（十六）递延所得税资产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13"/>
      <w:bookmarkEnd w:id="914"/>
      <w:bookmarkEnd w:id="915"/>
    </w:p>
    <w:p>
      <w:pPr>
        <w:pStyle w:val="Style28"/>
        <w:keepNext/>
        <w:keepLines/>
        <w:widowControl w:val="0"/>
        <w:shd w:val="clear" w:color="auto" w:fill="auto"/>
        <w:bidi w:val="0"/>
        <w:spacing w:before="0" w:after="120" w:line="240" w:lineRule="auto"/>
        <w:ind w:left="0" w:right="0" w:firstLine="480"/>
        <w:jc w:val="left"/>
      </w:pPr>
      <w:bookmarkStart w:id="913" w:name="bookmark913"/>
      <w:bookmarkStart w:id="914" w:name="bookmark914"/>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913"/>
      <w:bookmarkEnd w:id="914"/>
    </w:p>
    <w:tbl>
      <w:tblPr>
        <w:tblOverlap w:val="never"/>
        <w:jc w:val="center"/>
        <w:tblLayout w:type="fixed"/>
      </w:tblPr>
      <w:tblGrid>
        <w:gridCol w:w="2438"/>
        <w:gridCol w:w="1915"/>
        <w:gridCol w:w="1752"/>
        <w:gridCol w:w="1992"/>
        <w:gridCol w:w="1834"/>
      </w:tblGrid>
      <w:tr>
        <w:trPr>
          <w:trHeight w:val="39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6"/>
                <w:szCs w:val="16"/>
              </w:rPr>
            </w:pPr>
            <w:r>
              <w:rPr>
                <w:b/>
                <w:bCs/>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36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递延所得税资产</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14,869,514.71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2,230,427.21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10,441,245.55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1,569,878.35</w:t>
            </w:r>
          </w:p>
        </w:tc>
      </w:tr>
      <w:tr>
        <w:trPr>
          <w:trHeight w:val="36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已计提未发放应付职工薪酬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5,417,058.96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812,558.84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4,632,046.50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694,806.98</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拨付的专项应付款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1,459,992.00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218,998.80</w:t>
            </w:r>
          </w:p>
        </w:tc>
      </w:tr>
      <w:tr>
        <w:trPr>
          <w:trHeight w:val="36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递延收益项目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31,314,181.80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4,697,127.27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41,883,146.33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6,282,471.95</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受让资产评估增值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9,438,006.67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1,415,701.00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9,917,891.73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1,487,683.76</w:t>
            </w:r>
          </w:p>
        </w:tc>
      </w:tr>
      <w:tr>
        <w:trPr>
          <w:trHeight w:val="39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b/>
                <w:bCs/>
                <w:color w:val="000000"/>
                <w:spacing w:val="0"/>
                <w:w w:val="100"/>
                <w:position w:val="0"/>
                <w:sz w:val="18"/>
                <w:szCs w:val="18"/>
              </w:rPr>
              <w:t>61,768,762.14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b/>
                <w:bCs/>
                <w:color w:val="000000"/>
                <w:spacing w:val="0"/>
                <w:w w:val="100"/>
                <w:position w:val="0"/>
                <w:sz w:val="18"/>
                <w:szCs w:val="18"/>
              </w:rPr>
              <w:t>9,265,314.32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b/>
                <w:bCs/>
                <w:color w:val="000000"/>
                <w:spacing w:val="0"/>
                <w:w w:val="100"/>
                <w:position w:val="0"/>
                <w:sz w:val="18"/>
                <w:szCs w:val="18"/>
              </w:rPr>
              <w:t>68,334,322.11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10,253,839.84</w:t>
            </w:r>
          </w:p>
        </w:tc>
      </w:tr>
    </w:tbl>
    <w:p>
      <w:pPr>
        <w:widowControl w:val="0"/>
        <w:spacing w:after="119" w:line="1" w:lineRule="exact"/>
      </w:pPr>
    </w:p>
    <w:p>
      <w:pPr>
        <w:pStyle w:val="Style31"/>
        <w:keepNext w:val="0"/>
        <w:keepLines w:val="0"/>
        <w:widowControl w:val="0"/>
        <w:shd w:val="clear" w:color="auto" w:fill="auto"/>
        <w:bidi w:val="0"/>
        <w:spacing w:before="0" w:line="240" w:lineRule="auto"/>
        <w:ind w:left="0" w:right="0" w:firstLine="48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、未经抵销的递延所得税负债</w:t>
      </w:r>
    </w:p>
    <w:tbl>
      <w:tblPr>
        <w:tblOverlap w:val="never"/>
        <w:jc w:val="center"/>
        <w:tblLayout w:type="fixed"/>
      </w:tblPr>
      <w:tblGrid>
        <w:gridCol w:w="2438"/>
        <w:gridCol w:w="1910"/>
        <w:gridCol w:w="1915"/>
        <w:gridCol w:w="1910"/>
        <w:gridCol w:w="1757"/>
      </w:tblGrid>
      <w:tr>
        <w:trPr>
          <w:trHeight w:val="413"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6"/>
                <w:szCs w:val="16"/>
              </w:rPr>
            </w:pPr>
            <w:r>
              <w:rPr>
                <w:b/>
                <w:bCs/>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应纳税暂时性差异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应纳税暂时性差异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递延所得税负债</w:t>
            </w:r>
          </w:p>
        </w:tc>
      </w:tr>
      <w:tr>
        <w:trPr>
          <w:trHeight w:val="6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40" w:right="0" w:firstLine="0"/>
              <w:jc w:val="left"/>
              <w:rPr>
                <w:sz w:val="16"/>
                <w:szCs w:val="16"/>
              </w:rPr>
            </w:pPr>
            <w:r>
              <w:rPr>
                <w:color w:val="000000"/>
                <w:spacing w:val="0"/>
                <w:w w:val="100"/>
                <w:position w:val="0"/>
                <w:sz w:val="16"/>
                <w:szCs w:val="16"/>
              </w:rPr>
              <w:t>非同一控制企业合并资产评 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84,726,331.99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19,688,547.51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91,715,173.44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19,824,076.96</w:t>
            </w:r>
          </w:p>
        </w:tc>
      </w:tr>
      <w:tr>
        <w:trPr>
          <w:trHeight w:val="42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b/>
                <w:bCs/>
                <w:color w:val="000000"/>
                <w:spacing w:val="0"/>
                <w:w w:val="100"/>
                <w:position w:val="0"/>
                <w:sz w:val="18"/>
                <w:szCs w:val="18"/>
              </w:rPr>
              <w:t>84,726,331.99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b/>
                <w:bCs/>
                <w:color w:val="000000"/>
                <w:spacing w:val="0"/>
                <w:w w:val="100"/>
                <w:position w:val="0"/>
                <w:sz w:val="18"/>
                <w:szCs w:val="18"/>
              </w:rPr>
              <w:t>19,688,547.51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b/>
                <w:bCs/>
                <w:color w:val="000000"/>
                <w:spacing w:val="0"/>
                <w:w w:val="100"/>
                <w:position w:val="0"/>
                <w:sz w:val="18"/>
                <w:szCs w:val="18"/>
              </w:rPr>
              <w:t>91,715,173.44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b/>
                <w:bCs/>
                <w:color w:val="000000"/>
                <w:spacing w:val="0"/>
                <w:w w:val="100"/>
                <w:position w:val="0"/>
                <w:sz w:val="18"/>
                <w:szCs w:val="18"/>
              </w:rPr>
              <w:t>19,824,076.96</w:t>
            </w:r>
          </w:p>
        </w:tc>
      </w:tr>
    </w:tbl>
    <w:p>
      <w:pPr>
        <w:widowControl w:val="0"/>
        <w:spacing w:after="119" w:line="1" w:lineRule="exact"/>
      </w:pPr>
    </w:p>
    <w:p>
      <w:pPr>
        <w:pStyle w:val="Style31"/>
        <w:keepNext w:val="0"/>
        <w:keepLines w:val="0"/>
        <w:widowControl w:val="0"/>
        <w:shd w:val="clear" w:color="auto" w:fill="auto"/>
        <w:bidi w:val="0"/>
        <w:spacing w:before="0" w:line="240" w:lineRule="auto"/>
        <w:ind w:left="0" w:right="0" w:firstLine="480"/>
        <w:jc w:val="left"/>
        <w:rPr>
          <w:sz w:val="20"/>
          <w:szCs w:val="20"/>
        </w:rPr>
      </w:pPr>
      <w:bookmarkStart w:id="916" w:name="bookmark916"/>
      <w:r>
        <w:rPr>
          <w:rFonts w:ascii="Times New Roman" w:eastAsia="Times New Roman" w:hAnsi="Times New Roman" w:cs="Times New Roman"/>
          <w:b/>
          <w:bCs/>
          <w:color w:val="000000"/>
          <w:spacing w:val="0"/>
          <w:w w:val="100"/>
          <w:position w:val="0"/>
          <w:sz w:val="20"/>
          <w:szCs w:val="20"/>
        </w:rPr>
        <w:t>3</w:t>
      </w:r>
      <w:bookmarkEnd w:id="916"/>
      <w:r>
        <w:rPr>
          <w:b/>
          <w:bCs/>
          <w:color w:val="000000"/>
          <w:spacing w:val="0"/>
          <w:w w:val="100"/>
          <w:position w:val="0"/>
          <w:sz w:val="20"/>
          <w:szCs w:val="20"/>
        </w:rPr>
        <w:t>、未确认递延所得税资产明细</w:t>
      </w:r>
    </w:p>
    <w:tbl>
      <w:tblPr>
        <w:tblOverlap w:val="never"/>
        <w:jc w:val="center"/>
        <w:tblLayout w:type="fixed"/>
      </w:tblPr>
      <w:tblGrid>
        <w:gridCol w:w="4882"/>
        <w:gridCol w:w="5050"/>
      </w:tblGrid>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r>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24,814,440.86</w:t>
            </w:r>
          </w:p>
        </w:tc>
      </w:tr>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78,758,604.16</w:t>
            </w:r>
          </w:p>
        </w:tc>
      </w:tr>
      <w:tr>
        <w:trPr>
          <w:trHeight w:val="45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103,573,045.02</w:t>
            </w:r>
          </w:p>
        </w:tc>
      </w:tr>
    </w:tbl>
    <w:p>
      <w:pPr>
        <w:widowControl w:val="0"/>
        <w:spacing w:after="119" w:line="1" w:lineRule="exact"/>
      </w:pPr>
    </w:p>
    <w:p>
      <w:pPr>
        <w:pStyle w:val="Style31"/>
        <w:keepNext w:val="0"/>
        <w:keepLines w:val="0"/>
        <w:widowControl w:val="0"/>
        <w:shd w:val="clear" w:color="auto" w:fill="auto"/>
        <w:bidi w:val="0"/>
        <w:spacing w:before="0" w:line="269" w:lineRule="exact"/>
        <w:ind w:left="0" w:right="0" w:firstLine="560"/>
        <w:jc w:val="left"/>
        <w:rPr>
          <w:sz w:val="20"/>
          <w:szCs w:val="20"/>
        </w:rPr>
      </w:pPr>
      <w:r>
        <w:rPr>
          <w:color w:val="000000"/>
          <w:spacing w:val="0"/>
          <w:w w:val="100"/>
          <w:position w:val="0"/>
          <w:sz w:val="20"/>
          <w:szCs w:val="20"/>
        </w:rPr>
        <w:t>注：未确认递延所得税资产的原因为未来能否获得足够的应纳税所得额具有不确定性或转回时间无法 确定。</w:t>
      </w:r>
    </w:p>
    <w:p>
      <w:pPr>
        <w:pStyle w:val="Style31"/>
        <w:keepNext w:val="0"/>
        <w:keepLines w:val="0"/>
        <w:widowControl w:val="0"/>
        <w:shd w:val="clear" w:color="auto" w:fill="auto"/>
        <w:bidi w:val="0"/>
        <w:spacing w:before="0" w:line="276" w:lineRule="auto"/>
        <w:ind w:left="0" w:right="0" w:firstLine="480"/>
        <w:jc w:val="left"/>
        <w:rPr>
          <w:sz w:val="20"/>
          <w:szCs w:val="20"/>
        </w:rPr>
      </w:pPr>
      <w:bookmarkStart w:id="917" w:name="bookmark917"/>
      <w:r>
        <w:rPr>
          <w:rFonts w:ascii="Times New Roman" w:eastAsia="Times New Roman" w:hAnsi="Times New Roman" w:cs="Times New Roman"/>
          <w:b/>
          <w:bCs/>
          <w:color w:val="000000"/>
          <w:spacing w:val="0"/>
          <w:w w:val="100"/>
          <w:position w:val="0"/>
          <w:sz w:val="20"/>
          <w:szCs w:val="20"/>
        </w:rPr>
        <w:t>4</w:t>
      </w:r>
      <w:bookmarkEnd w:id="917"/>
      <w:r>
        <w:rPr>
          <w:b/>
          <w:bCs/>
          <w:color w:val="000000"/>
          <w:spacing w:val="0"/>
          <w:w w:val="100"/>
          <w:position w:val="0"/>
          <w:sz w:val="20"/>
          <w:szCs w:val="20"/>
        </w:rPr>
        <w:t>、未确认递延所得税资产的可抵扣亏损将于以下年度到期</w:t>
      </w:r>
    </w:p>
    <w:tbl>
      <w:tblPr>
        <w:tblOverlap w:val="never"/>
        <w:jc w:val="center"/>
        <w:tblLayout w:type="fixed"/>
      </w:tblPr>
      <w:tblGrid>
        <w:gridCol w:w="4882"/>
        <w:gridCol w:w="5050"/>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6"/>
                <w:szCs w:val="16"/>
              </w:rPr>
            </w:pPr>
            <w:r>
              <w:rPr>
                <w:b/>
                <w:bCs/>
                <w:color w:val="000000"/>
                <w:spacing w:val="0"/>
                <w:w w:val="100"/>
                <w:position w:val="0"/>
                <w:sz w:val="16"/>
                <w:szCs w:val="16"/>
              </w:rPr>
              <w:t>年份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151,720.31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2,333,929.74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34,214,325.42</w:t>
            </w:r>
          </w:p>
        </w:tc>
      </w:tr>
      <w:tr>
        <w:trPr>
          <w:trHeight w:val="49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18,654,315.60</w:t>
            </w:r>
          </w:p>
        </w:tc>
      </w:tr>
    </w:tbl>
    <w:p>
      <w:pPr>
        <w:widowControl w:val="0"/>
        <w:spacing w:line="1" w:lineRule="exact"/>
      </w:pPr>
      <w:r>
        <w:br w:type="page"/>
      </w:r>
    </w:p>
    <w:tbl>
      <w:tblPr>
        <w:tblOverlap w:val="never"/>
        <w:jc w:val="center"/>
        <w:tblLayout w:type="fixed"/>
      </w:tblPr>
      <w:tblGrid>
        <w:gridCol w:w="4882"/>
        <w:gridCol w:w="5050"/>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年份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23,404,313.09</w:t>
            </w:r>
          </w:p>
        </w:tc>
      </w:tr>
      <w:tr>
        <w:trPr>
          <w:trHeight w:val="49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78,758,604.16</w:t>
            </w:r>
          </w:p>
        </w:tc>
      </w:tr>
    </w:tbl>
    <w:p>
      <w:pPr>
        <w:widowControl w:val="0"/>
        <w:spacing w:after="139" w:line="1" w:lineRule="exact"/>
      </w:pPr>
    </w:p>
    <w:p>
      <w:pPr>
        <w:pStyle w:val="Style28"/>
        <w:keepNext/>
        <w:keepLines/>
        <w:widowControl w:val="0"/>
        <w:shd w:val="clear" w:color="auto" w:fill="auto"/>
        <w:bidi w:val="0"/>
        <w:spacing w:before="0" w:after="140" w:line="240" w:lineRule="auto"/>
        <w:ind w:left="0" w:right="0" w:firstLine="260"/>
        <w:jc w:val="left"/>
      </w:pPr>
      <w:bookmarkStart w:id="918" w:name="bookmark918"/>
      <w:bookmarkStart w:id="919" w:name="bookmark919"/>
      <w:bookmarkStart w:id="920" w:name="bookmark920"/>
      <w:r>
        <w:rPr>
          <w:color w:val="000000"/>
          <w:spacing w:val="0"/>
          <w:w w:val="100"/>
          <w:position w:val="0"/>
        </w:rPr>
        <w:t>（十七）其他非流动资产</w:t>
      </w:r>
      <w:bookmarkEnd w:id="918"/>
      <w:bookmarkEnd w:id="919"/>
      <w:bookmarkEnd w:id="920"/>
    </w:p>
    <w:tbl>
      <w:tblPr>
        <w:tblOverlap w:val="never"/>
        <w:jc w:val="center"/>
        <w:tblLayout w:type="fixed"/>
      </w:tblPr>
      <w:tblGrid>
        <w:gridCol w:w="3283"/>
        <w:gridCol w:w="3355"/>
        <w:gridCol w:w="3293"/>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基金合伙企业权益投资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13,750,000.00</w:t>
            </w:r>
          </w:p>
        </w:tc>
      </w:tr>
      <w:tr>
        <w:trPr>
          <w:trHeight w:val="49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b/>
                <w:bCs/>
                <w:color w:val="000000"/>
                <w:spacing w:val="0"/>
                <w:w w:val="100"/>
                <w:position w:val="0"/>
                <w:sz w:val="18"/>
                <w:szCs w:val="18"/>
              </w:rPr>
              <w:t>13,750,000.00</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注：基金合伙企业权益投资期末余额为零，详见本附注十二（五）</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）“资产转让”的说明。</w:t>
      </w:r>
    </w:p>
    <w:p>
      <w:pPr>
        <w:pStyle w:val="Style28"/>
        <w:keepNext/>
        <w:keepLines/>
        <w:widowControl w:val="0"/>
        <w:shd w:val="clear" w:color="auto" w:fill="auto"/>
        <w:bidi w:val="0"/>
        <w:spacing w:before="0" w:after="140" w:line="240" w:lineRule="auto"/>
        <w:ind w:left="0" w:right="0" w:firstLine="260"/>
        <w:jc w:val="both"/>
      </w:pPr>
      <w:bookmarkStart w:id="921" w:name="bookmark921"/>
      <w:bookmarkStart w:id="922" w:name="bookmark922"/>
      <w:bookmarkStart w:id="923" w:name="bookmark923"/>
      <w:r>
        <w:rPr>
          <w:color w:val="000000"/>
          <w:spacing w:val="0"/>
          <w:w w:val="100"/>
          <w:position w:val="0"/>
        </w:rPr>
        <w:t>（十八）短期借款</w:t>
      </w:r>
      <w:bookmarkEnd w:id="921"/>
      <w:bookmarkEnd w:id="922"/>
      <w:bookmarkEnd w:id="923"/>
    </w:p>
    <w:tbl>
      <w:tblPr>
        <w:tblOverlap w:val="never"/>
        <w:jc w:val="center"/>
        <w:tblLayout w:type="fixed"/>
      </w:tblPr>
      <w:tblGrid>
        <w:gridCol w:w="3278"/>
        <w:gridCol w:w="3312"/>
        <w:gridCol w:w="3341"/>
      </w:tblGrid>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222222"/>
                <w:spacing w:val="0"/>
                <w:w w:val="100"/>
                <w:position w:val="0"/>
                <w:sz w:val="18"/>
                <w:szCs w:val="18"/>
              </w:rPr>
              <w:t>130,000,000.00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222222"/>
                <w:spacing w:val="0"/>
                <w:w w:val="100"/>
                <w:position w:val="0"/>
                <w:sz w:val="18"/>
                <w:szCs w:val="18"/>
              </w:rPr>
              <w:t>30,000,000.00</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b/>
                <w:bCs/>
                <w:color w:val="222222"/>
                <w:spacing w:val="0"/>
                <w:w w:val="100"/>
                <w:position w:val="0"/>
                <w:sz w:val="18"/>
                <w:szCs w:val="18"/>
              </w:rPr>
              <w:t>130,000,000.00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222222"/>
                <w:spacing w:val="0"/>
                <w:w w:val="100"/>
                <w:position w:val="0"/>
                <w:sz w:val="18"/>
                <w:szCs w:val="18"/>
              </w:rPr>
              <w:t>30,000,000.00</w:t>
            </w:r>
          </w:p>
        </w:tc>
      </w:tr>
    </w:tbl>
    <w:p>
      <w:pPr>
        <w:widowControl w:val="0"/>
        <w:spacing w:after="139" w:line="1" w:lineRule="exact"/>
      </w:pPr>
    </w:p>
    <w:p>
      <w:pPr>
        <w:pStyle w:val="Style31"/>
        <w:keepNext w:val="0"/>
        <w:keepLines w:val="0"/>
        <w:widowControl w:val="0"/>
        <w:shd w:val="clear" w:color="auto" w:fill="auto"/>
        <w:bidi w:val="0"/>
        <w:spacing w:before="0" w:after="360" w:line="240" w:lineRule="auto"/>
        <w:ind w:left="0" w:right="0" w:firstLine="560"/>
        <w:jc w:val="left"/>
        <w:rPr>
          <w:sz w:val="20"/>
          <w:szCs w:val="20"/>
        </w:rPr>
      </w:pPr>
      <w:r>
        <w:rPr>
          <w:color w:val="000000"/>
          <w:spacing w:val="0"/>
          <w:w w:val="100"/>
          <w:position w:val="0"/>
          <w:sz w:val="20"/>
          <w:szCs w:val="20"/>
        </w:rPr>
        <w:t>注：本公司期末不存在已经逾期但尚未偿还的短期借款。</w:t>
      </w:r>
    </w:p>
    <w:p>
      <w:pPr>
        <w:pStyle w:val="Style33"/>
        <w:keepNext w:val="0"/>
        <w:keepLines w:val="0"/>
        <w:widowControl w:val="0"/>
        <w:shd w:val="clear" w:color="auto" w:fill="auto"/>
        <w:bidi w:val="0"/>
        <w:spacing w:before="0" w:after="0" w:line="240" w:lineRule="auto"/>
        <w:ind w:left="130" w:right="0" w:firstLine="0"/>
        <w:jc w:val="left"/>
      </w:pPr>
      <w:r>
        <w:rPr>
          <w:b/>
          <w:bCs/>
          <w:color w:val="000000"/>
          <w:spacing w:val="0"/>
          <w:w w:val="100"/>
          <w:position w:val="0"/>
        </w:rPr>
        <w:t>信用借款明细表:</w:t>
      </w:r>
    </w:p>
    <w:tbl>
      <w:tblPr>
        <w:tblOverlap w:val="never"/>
        <w:jc w:val="center"/>
        <w:tblLayout w:type="fixed"/>
      </w:tblPr>
      <w:tblGrid>
        <w:gridCol w:w="2717"/>
        <w:gridCol w:w="1810"/>
        <w:gridCol w:w="854"/>
        <w:gridCol w:w="1320"/>
        <w:gridCol w:w="1478"/>
        <w:gridCol w:w="1752"/>
      </w:tblGrid>
      <w:tr>
        <w:trPr>
          <w:trHeight w:val="34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贷款银行</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贷款金额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贷款利</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6"/>
                <w:szCs w:val="16"/>
              </w:rPr>
              <w:t>率</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贷款期限</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授信额度</w:t>
            </w:r>
          </w:p>
        </w:tc>
      </w:tr>
      <w:tr>
        <w:trPr>
          <w:trHeight w:val="32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起始日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终止日</w:t>
            </w:r>
          </w:p>
        </w:tc>
        <w:tc>
          <w:tcPr>
            <w:vMerge/>
            <w:tcBorders>
              <w:left w:val="single" w:sz="4"/>
            </w:tcBorders>
            <w:shd w:val="clear" w:color="auto" w:fill="FFFFFF"/>
            <w:vAlign w:val="center"/>
          </w:tcPr>
          <w:p>
            <w:pPr/>
          </w:p>
        </w:tc>
      </w:tr>
      <w:tr>
        <w:trPr>
          <w:trHeight w:val="3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平安银行深圳罗湖支行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2016-10-20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2017-10-20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亿元</w:t>
            </w:r>
          </w:p>
        </w:tc>
      </w:tr>
      <w:tr>
        <w:trPr>
          <w:trHeight w:val="3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平安银行深圳罗湖支行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2017-4-14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亿元</w:t>
            </w: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招商银行深圳泰然支行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2016-11-22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2017-11-22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亿元</w:t>
            </w:r>
          </w:p>
        </w:tc>
      </w:tr>
      <w:tr>
        <w:trPr>
          <w:trHeight w:val="3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清华控股集团财务有限公司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2017-9-27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亿元</w:t>
            </w:r>
          </w:p>
        </w:tc>
      </w:tr>
      <w:tr>
        <w:trPr>
          <w:trHeight w:val="42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b/>
                <w:bCs/>
                <w:color w:val="000000"/>
                <w:spacing w:val="0"/>
                <w:w w:val="100"/>
                <w:position w:val="0"/>
                <w:sz w:val="18"/>
                <w:szCs w:val="18"/>
              </w:rPr>
              <w:t>130,000,000.00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28"/>
        <w:keepNext/>
        <w:keepLines/>
        <w:widowControl w:val="0"/>
        <w:shd w:val="clear" w:color="auto" w:fill="auto"/>
        <w:bidi w:val="0"/>
        <w:spacing w:before="0" w:after="140" w:line="240" w:lineRule="auto"/>
        <w:ind w:left="0" w:right="0" w:firstLine="260"/>
        <w:jc w:val="both"/>
      </w:pPr>
      <w:bookmarkStart w:id="924" w:name="bookmark924"/>
      <w:bookmarkStart w:id="925" w:name="bookmark925"/>
      <w:bookmarkStart w:id="926" w:name="bookmark926"/>
      <w:r>
        <w:rPr>
          <w:color w:val="000000"/>
          <w:spacing w:val="0"/>
          <w:w w:val="100"/>
          <w:position w:val="0"/>
        </w:rPr>
        <w:t>（十九）应付票据</w:t>
      </w:r>
      <w:bookmarkEnd w:id="924"/>
      <w:bookmarkEnd w:id="925"/>
      <w:bookmarkEnd w:id="926"/>
    </w:p>
    <w:tbl>
      <w:tblPr>
        <w:tblOverlap w:val="never"/>
        <w:jc w:val="center"/>
        <w:tblLayout w:type="fixed"/>
      </w:tblPr>
      <w:tblGrid>
        <w:gridCol w:w="3283"/>
        <w:gridCol w:w="3355"/>
        <w:gridCol w:w="3293"/>
      </w:tblGrid>
      <w:tr>
        <w:trPr>
          <w:trHeight w:val="43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148,201,971.23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283,454,542.29</w:t>
            </w:r>
          </w:p>
        </w:tc>
      </w:tr>
      <w:tr>
        <w:trPr>
          <w:trHeight w:val="44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b/>
                <w:bCs/>
                <w:color w:val="000000"/>
                <w:spacing w:val="0"/>
                <w:w w:val="100"/>
                <w:position w:val="0"/>
                <w:sz w:val="18"/>
                <w:szCs w:val="18"/>
              </w:rPr>
              <w:t>148,201,971.23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b/>
                <w:bCs/>
                <w:color w:val="000000"/>
                <w:spacing w:val="0"/>
                <w:w w:val="100"/>
                <w:position w:val="0"/>
                <w:sz w:val="18"/>
                <w:szCs w:val="18"/>
              </w:rPr>
              <w:t>283,454,542.29</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注：本期末无已到期未支付的应付票据。</w:t>
      </w:r>
    </w:p>
    <w:p>
      <w:pPr>
        <w:pStyle w:val="Style28"/>
        <w:keepNext/>
        <w:keepLines/>
        <w:widowControl w:val="0"/>
        <w:shd w:val="clear" w:color="auto" w:fill="auto"/>
        <w:bidi w:val="0"/>
        <w:spacing w:before="0" w:after="140" w:line="240" w:lineRule="auto"/>
        <w:ind w:left="0" w:right="0" w:firstLine="260"/>
        <w:jc w:val="both"/>
      </w:pPr>
      <w:bookmarkStart w:id="927" w:name="bookmark927"/>
      <w:bookmarkStart w:id="928" w:name="bookmark928"/>
      <w:bookmarkStart w:id="929" w:name="bookmark929"/>
      <w:r>
        <w:rPr>
          <w:color w:val="000000"/>
          <w:spacing w:val="0"/>
          <w:w w:val="100"/>
          <w:position w:val="0"/>
        </w:rPr>
        <w:t>（二十）应付账款</w:t>
      </w:r>
      <w:bookmarkEnd w:id="927"/>
      <w:bookmarkEnd w:id="928"/>
      <w:bookmarkEnd w:id="929"/>
    </w:p>
    <w:p>
      <w:pPr>
        <w:pStyle w:val="Style28"/>
        <w:keepNext/>
        <w:keepLines/>
        <w:widowControl w:val="0"/>
        <w:shd w:val="clear" w:color="auto" w:fill="auto"/>
        <w:bidi w:val="0"/>
        <w:spacing w:before="0" w:after="140" w:line="240" w:lineRule="auto"/>
        <w:ind w:left="0" w:right="0" w:firstLine="480"/>
        <w:jc w:val="left"/>
      </w:pPr>
      <w:bookmarkStart w:id="927" w:name="bookmark927"/>
      <w:bookmarkStart w:id="928" w:name="bookmark928"/>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927"/>
      <w:bookmarkEnd w:id="928"/>
    </w:p>
    <w:tbl>
      <w:tblPr>
        <w:tblOverlap w:val="never"/>
        <w:jc w:val="center"/>
        <w:tblLayout w:type="fixed"/>
      </w:tblPr>
      <w:tblGrid>
        <w:gridCol w:w="3283"/>
        <w:gridCol w:w="3355"/>
        <w:gridCol w:w="3293"/>
      </w:tblGrid>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3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142,229,754.28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141,079,699.09</w:t>
            </w:r>
          </w:p>
        </w:tc>
      </w:tr>
      <w:tr>
        <w:trPr>
          <w:trHeight w:val="41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6,129,478.88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20,155,505.28</w:t>
            </w:r>
          </w:p>
        </w:tc>
      </w:tr>
    </w:tbl>
    <w:p>
      <w:pPr>
        <w:widowControl w:val="0"/>
        <w:spacing w:line="1" w:lineRule="exact"/>
      </w:pPr>
      <w:r>
        <w:br w:type="page"/>
      </w:r>
    </w:p>
    <w:tbl>
      <w:tblPr>
        <w:tblOverlap w:val="never"/>
        <w:jc w:val="center"/>
        <w:tblLayout w:type="fixed"/>
      </w:tblPr>
      <w:tblGrid>
        <w:gridCol w:w="3283"/>
        <w:gridCol w:w="3355"/>
        <w:gridCol w:w="3293"/>
      </w:tblGrid>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b/>
                <w:bCs/>
                <w:color w:val="000000"/>
                <w:spacing w:val="0"/>
                <w:w w:val="100"/>
                <w:position w:val="0"/>
                <w:sz w:val="16"/>
                <w:szCs w:val="16"/>
              </w:rPr>
              <w:t>期初余额</w:t>
            </w:r>
          </w:p>
        </w:tc>
      </w:tr>
      <w:tr>
        <w:trPr>
          <w:trHeight w:val="3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13,697,714.20</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162,056,947.36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161,235,204.37</w:t>
            </w:r>
          </w:p>
        </w:tc>
      </w:tr>
    </w:tbl>
    <w:p>
      <w:pPr>
        <w:widowControl w:val="0"/>
        <w:spacing w:after="119" w:line="1" w:lineRule="exact"/>
      </w:pPr>
    </w:p>
    <w:p>
      <w:pPr>
        <w:pStyle w:val="Style31"/>
        <w:keepNext w:val="0"/>
        <w:keepLines w:val="0"/>
        <w:widowControl w:val="0"/>
        <w:shd w:val="clear" w:color="auto" w:fill="auto"/>
        <w:bidi w:val="0"/>
        <w:spacing w:before="0" w:line="240" w:lineRule="auto"/>
        <w:ind w:left="0" w:right="0" w:firstLine="48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、账龄超过</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年的重要应付账款</w:t>
      </w:r>
    </w:p>
    <w:tbl>
      <w:tblPr>
        <w:tblOverlap w:val="never"/>
        <w:jc w:val="center"/>
        <w:tblLayout w:type="fixed"/>
      </w:tblPr>
      <w:tblGrid>
        <w:gridCol w:w="3283"/>
        <w:gridCol w:w="3355"/>
        <w:gridCol w:w="3293"/>
      </w:tblGrid>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未偿还或结转的原因</w:t>
            </w:r>
          </w:p>
        </w:tc>
      </w:tr>
      <w:tr>
        <w:trPr>
          <w:trHeight w:val="3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13,561,835.00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尚未结算</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尚未结算</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1,668,495.16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尚未结算</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885,131.63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尚未结算</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817,669.66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尚未结算</w:t>
            </w: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b/>
                <w:bCs/>
                <w:color w:val="000000"/>
                <w:spacing w:val="0"/>
                <w:w w:val="100"/>
                <w:position w:val="0"/>
                <w:sz w:val="18"/>
                <w:szCs w:val="18"/>
              </w:rPr>
              <w:t>18,933,131.45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28"/>
        <w:keepNext/>
        <w:keepLines/>
        <w:widowControl w:val="0"/>
        <w:shd w:val="clear" w:color="auto" w:fill="auto"/>
        <w:bidi w:val="0"/>
        <w:spacing w:before="0" w:after="180" w:line="240" w:lineRule="auto"/>
        <w:ind w:left="0" w:right="0" w:firstLine="260"/>
        <w:jc w:val="left"/>
      </w:pPr>
      <w:bookmarkStart w:id="930" w:name="bookmark930"/>
      <w:bookmarkStart w:id="931" w:name="bookmark931"/>
      <w:bookmarkStart w:id="932" w:name="bookmark932"/>
      <w:r>
        <w:rPr>
          <w:color w:val="000000"/>
          <w:spacing w:val="0"/>
          <w:w w:val="100"/>
          <w:position w:val="0"/>
        </w:rPr>
        <w:t>（二十一）预收款项</w:t>
      </w:r>
      <w:bookmarkEnd w:id="930"/>
      <w:bookmarkEnd w:id="931"/>
      <w:bookmarkEnd w:id="932"/>
    </w:p>
    <w:p>
      <w:pPr>
        <w:pStyle w:val="Style28"/>
        <w:keepNext/>
        <w:keepLines/>
        <w:widowControl w:val="0"/>
        <w:shd w:val="clear" w:color="auto" w:fill="auto"/>
        <w:bidi w:val="0"/>
        <w:spacing w:before="0" w:after="120" w:line="240" w:lineRule="auto"/>
        <w:ind w:left="0" w:right="0" w:firstLine="480"/>
        <w:jc w:val="left"/>
      </w:pPr>
      <w:bookmarkStart w:id="930" w:name="bookmark930"/>
      <w:bookmarkStart w:id="931" w:name="bookmark931"/>
      <w:r>
        <w:rPr>
          <w:rFonts w:ascii="Times New Roman" w:eastAsia="Times New Roman" w:hAnsi="Times New Roman" w:cs="Times New Roman"/>
          <w:color w:val="000000"/>
          <w:spacing w:val="0"/>
          <w:w w:val="100"/>
          <w:position w:val="0"/>
        </w:rPr>
        <w:t>1</w:t>
      </w:r>
      <w:r>
        <w:rPr>
          <w:color w:val="000000"/>
          <w:spacing w:val="0"/>
          <w:w w:val="100"/>
          <w:position w:val="0"/>
        </w:rPr>
        <w:t>、预收账款项列示</w:t>
      </w:r>
      <w:bookmarkEnd w:id="930"/>
      <w:bookmarkEnd w:id="931"/>
    </w:p>
    <w:tbl>
      <w:tblPr>
        <w:tblOverlap w:val="never"/>
        <w:jc w:val="center"/>
        <w:tblLayout w:type="fixed"/>
      </w:tblPr>
      <w:tblGrid>
        <w:gridCol w:w="3283"/>
        <w:gridCol w:w="3355"/>
        <w:gridCol w:w="3293"/>
      </w:tblGrid>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b/>
                <w:bCs/>
                <w:color w:val="000000"/>
                <w:spacing w:val="0"/>
                <w:w w:val="100"/>
                <w:position w:val="0"/>
                <w:sz w:val="16"/>
                <w:szCs w:val="16"/>
              </w:rPr>
              <w:t>期初余额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4,094,192.01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4,344,081.31</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137,768.25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125,496.33</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5,062.30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4,237,022.56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4,469,577.64</w:t>
            </w:r>
          </w:p>
        </w:tc>
      </w:tr>
    </w:tbl>
    <w:p>
      <w:pPr>
        <w:widowControl w:val="0"/>
        <w:spacing w:after="119" w:line="1" w:lineRule="exact"/>
      </w:pPr>
    </w:p>
    <w:p>
      <w:pPr>
        <w:pStyle w:val="Style31"/>
        <w:keepNext w:val="0"/>
        <w:keepLines w:val="0"/>
        <w:widowControl w:val="0"/>
        <w:shd w:val="clear" w:color="auto" w:fill="auto"/>
        <w:bidi w:val="0"/>
        <w:spacing w:before="0" w:after="360" w:line="240" w:lineRule="auto"/>
        <w:ind w:left="0" w:right="0" w:firstLine="48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、账龄超过</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年的重要预收款项</w:t>
      </w:r>
      <w:r>
        <w:rPr>
          <w:rFonts w:ascii="Times New Roman" w:eastAsia="Times New Roman" w:hAnsi="Times New Roman" w:cs="Times New Roman"/>
          <w:b/>
          <w:bCs/>
          <w:color w:val="000000"/>
          <w:spacing w:val="0"/>
          <w:w w:val="100"/>
          <w:position w:val="0"/>
          <w:sz w:val="20"/>
          <w:szCs w:val="20"/>
        </w:rPr>
        <w:t>:</w:t>
      </w:r>
    </w:p>
    <w:p>
      <w:pPr>
        <w:pStyle w:val="Style59"/>
        <w:keepNext w:val="0"/>
        <w:keepLines w:val="0"/>
        <w:widowControl w:val="0"/>
        <w:shd w:val="clear" w:color="auto" w:fill="auto"/>
        <w:bidi w:val="0"/>
        <w:spacing w:before="0" w:after="180" w:line="240" w:lineRule="auto"/>
        <w:ind w:left="0" w:right="0" w:firstLine="480"/>
        <w:jc w:val="left"/>
      </w:pPr>
      <w:r>
        <w:rPr>
          <w:b w:val="0"/>
          <w:bCs w:val="0"/>
          <w:color w:val="000000"/>
          <w:spacing w:val="0"/>
          <w:w w:val="100"/>
          <w:position w:val="0"/>
        </w:rPr>
        <w:t>无。</w:t>
      </w:r>
    </w:p>
    <w:p>
      <w:pPr>
        <w:pStyle w:val="Style28"/>
        <w:keepNext/>
        <w:keepLines/>
        <w:widowControl w:val="0"/>
        <w:shd w:val="clear" w:color="auto" w:fill="auto"/>
        <w:bidi w:val="0"/>
        <w:spacing w:before="0" w:after="180" w:line="240" w:lineRule="auto"/>
        <w:ind w:left="0" w:right="0" w:firstLine="260"/>
        <w:jc w:val="left"/>
      </w:pPr>
      <w:bookmarkStart w:id="933" w:name="bookmark933"/>
      <w:bookmarkStart w:id="934" w:name="bookmark934"/>
      <w:bookmarkStart w:id="935" w:name="bookmark935"/>
      <w:r>
        <w:rPr>
          <w:color w:val="000000"/>
          <w:spacing w:val="0"/>
          <w:w w:val="100"/>
          <w:position w:val="0"/>
        </w:rPr>
        <w:t>（二十二）应付职工薪酬</w:t>
      </w:r>
      <w:bookmarkEnd w:id="933"/>
      <w:bookmarkEnd w:id="934"/>
      <w:bookmarkEnd w:id="935"/>
    </w:p>
    <w:p>
      <w:pPr>
        <w:pStyle w:val="Style28"/>
        <w:keepNext/>
        <w:keepLines/>
        <w:widowControl w:val="0"/>
        <w:shd w:val="clear" w:color="auto" w:fill="auto"/>
        <w:bidi w:val="0"/>
        <w:spacing w:before="0" w:after="120" w:line="240" w:lineRule="auto"/>
        <w:ind w:left="0" w:right="0" w:firstLine="480"/>
        <w:jc w:val="left"/>
      </w:pPr>
      <w:bookmarkStart w:id="933" w:name="bookmark933"/>
      <w:bookmarkStart w:id="934" w:name="bookmark934"/>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933"/>
      <w:bookmarkEnd w:id="934"/>
    </w:p>
    <w:tbl>
      <w:tblPr>
        <w:tblOverlap w:val="never"/>
        <w:jc w:val="center"/>
        <w:tblLayout w:type="fixed"/>
      </w:tblPr>
      <w:tblGrid>
        <w:gridCol w:w="3264"/>
        <w:gridCol w:w="1618"/>
        <w:gridCol w:w="1714"/>
        <w:gridCol w:w="1709"/>
        <w:gridCol w:w="1627"/>
      </w:tblGrid>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期末余额</w:t>
            </w: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72,934,539.67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363.557.427.88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333,304,096.99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103,187,870.56</w:t>
            </w:r>
          </w:p>
        </w:tc>
      </w:tr>
      <w:tr>
        <w:trPr>
          <w:trHeight w:val="3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设定提存计划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165,823.90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26.374.896.12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26,445,137.00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95,583.02</w:t>
            </w: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63,660.00</w:t>
            </w:r>
          </w:p>
        </w:tc>
        <w:tc>
          <w:tcPr>
            <w:tcBorders>
              <w:top w:val="single" w:sz="4"/>
            </w:tcBorders>
            <w:shd w:val="clear" w:color="auto" w:fill="FFFFFF"/>
            <w:vAlign w:val="top"/>
          </w:tcPr>
          <w:p>
            <w:pPr>
              <w:pStyle w:val="Style2"/>
              <w:keepNext w:val="0"/>
              <w:keepLines w:val="0"/>
              <w:widowControl w:val="0"/>
              <w:shd w:val="clear" w:color="auto" w:fill="auto"/>
              <w:tabs>
                <w:tab w:leader="dot" w:pos="1574"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b/>
            </w:r>
          </w:p>
        </w:tc>
      </w:tr>
      <w:tr>
        <w:trPr>
          <w:trHeight w:val="3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b/>
                <w:bCs/>
                <w:color w:val="000000"/>
                <w:spacing w:val="0"/>
                <w:w w:val="100"/>
                <w:position w:val="0"/>
                <w:sz w:val="18"/>
                <w:szCs w:val="18"/>
              </w:rPr>
              <w:t>73,100,363.57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389,995,984.00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359,812,893.99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103,283,453.58</w:t>
            </w:r>
          </w:p>
        </w:tc>
      </w:tr>
    </w:tbl>
    <w:p>
      <w:pPr>
        <w:widowControl w:val="0"/>
        <w:spacing w:after="119" w:line="1" w:lineRule="exact"/>
      </w:pPr>
    </w:p>
    <w:p>
      <w:pPr>
        <w:pStyle w:val="Style31"/>
        <w:keepNext w:val="0"/>
        <w:keepLines w:val="0"/>
        <w:widowControl w:val="0"/>
        <w:shd w:val="clear" w:color="auto" w:fill="auto"/>
        <w:bidi w:val="0"/>
        <w:spacing w:before="0" w:line="240" w:lineRule="auto"/>
        <w:ind w:left="0" w:right="0" w:firstLine="48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、短期薪酬列示</w:t>
      </w:r>
    </w:p>
    <w:tbl>
      <w:tblPr>
        <w:tblOverlap w:val="never"/>
        <w:jc w:val="center"/>
        <w:tblLayout w:type="fixed"/>
      </w:tblPr>
      <w:tblGrid>
        <w:gridCol w:w="3427"/>
        <w:gridCol w:w="1622"/>
        <w:gridCol w:w="1642"/>
        <w:gridCol w:w="1627"/>
        <w:gridCol w:w="1613"/>
      </w:tblGrid>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期末余额</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一、工资、奖金、津贴和补贴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64,698,827.46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322,830,019.99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294,525,555.12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93,003,292.33</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10,073,257.71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10,073,257.71</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三、社会保险费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87,123.08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11,841,910.97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11,877,993.97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51,040.08</w:t>
            </w:r>
          </w:p>
        </w:tc>
      </w:tr>
    </w:tbl>
    <w:p>
      <w:pPr>
        <w:widowControl w:val="0"/>
        <w:spacing w:line="1" w:lineRule="exact"/>
      </w:pPr>
      <w:r>
        <w:br w:type="page"/>
      </w:r>
    </w:p>
    <w:tbl>
      <w:tblPr>
        <w:tblOverlap w:val="never"/>
        <w:jc w:val="center"/>
        <w:tblLayout w:type="fixed"/>
      </w:tblPr>
      <w:tblGrid>
        <w:gridCol w:w="3427"/>
        <w:gridCol w:w="1622"/>
        <w:gridCol w:w="1642"/>
        <w:gridCol w:w="1622"/>
        <w:gridCol w:w="1618"/>
      </w:tblGrid>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期末余额</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75,404.60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10,309,784.91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10.341.592.78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43,596.73</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「.伤保险费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5,747.63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795,151.26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796,641.88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4,257.01</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'生育保险费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5,970.85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736,974.80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739,759.31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3,186.34</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14,871,201.22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14,871,201.22</w:t>
            </w: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五、工会经费和职工教育经费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8,148,589.13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3,941,037.99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1,956,088.97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10,133,538.15</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b/>
                <w:bCs/>
                <w:color w:val="000000"/>
                <w:spacing w:val="0"/>
                <w:w w:val="100"/>
                <w:position w:val="0"/>
                <w:sz w:val="18"/>
                <w:szCs w:val="18"/>
              </w:rPr>
              <w:t>72,934,539.67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363,557,427.88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333,304,096.99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b/>
                <w:bCs/>
                <w:color w:val="000000"/>
                <w:spacing w:val="0"/>
                <w:w w:val="100"/>
                <w:position w:val="0"/>
                <w:sz w:val="18"/>
                <w:szCs w:val="18"/>
              </w:rPr>
              <w:t>103,187,870.56</w:t>
            </w:r>
          </w:p>
        </w:tc>
      </w:tr>
    </w:tbl>
    <w:p>
      <w:pPr>
        <w:widowControl w:val="0"/>
        <w:spacing w:after="119" w:line="1" w:lineRule="exact"/>
      </w:pPr>
    </w:p>
    <w:p>
      <w:pPr>
        <w:pStyle w:val="Style31"/>
        <w:keepNext w:val="0"/>
        <w:keepLines w:val="0"/>
        <w:widowControl w:val="0"/>
        <w:shd w:val="clear" w:color="auto" w:fill="auto"/>
        <w:bidi w:val="0"/>
        <w:spacing w:before="0" w:line="240" w:lineRule="auto"/>
        <w:ind w:left="0" w:right="0" w:firstLine="480"/>
        <w:jc w:val="left"/>
        <w:rPr>
          <w:sz w:val="20"/>
          <w:szCs w:val="20"/>
        </w:rPr>
      </w:pPr>
      <w:bookmarkStart w:id="936" w:name="bookmark936"/>
      <w:r>
        <w:rPr>
          <w:rFonts w:ascii="Times New Roman" w:eastAsia="Times New Roman" w:hAnsi="Times New Roman" w:cs="Times New Roman"/>
          <w:b/>
          <w:bCs/>
          <w:color w:val="000000"/>
          <w:spacing w:val="0"/>
          <w:w w:val="100"/>
          <w:position w:val="0"/>
          <w:sz w:val="20"/>
          <w:szCs w:val="20"/>
        </w:rPr>
        <w:t>3</w:t>
      </w:r>
      <w:bookmarkEnd w:id="936"/>
      <w:r>
        <w:rPr>
          <w:b/>
          <w:bCs/>
          <w:color w:val="000000"/>
          <w:spacing w:val="0"/>
          <w:w w:val="100"/>
          <w:position w:val="0"/>
          <w:sz w:val="20"/>
          <w:szCs w:val="20"/>
        </w:rPr>
        <w:t>、设定提存计划列示</w:t>
      </w:r>
    </w:p>
    <w:tbl>
      <w:tblPr>
        <w:tblOverlap w:val="never"/>
        <w:jc w:val="center"/>
        <w:tblLayout w:type="fixed"/>
      </w:tblPr>
      <w:tblGrid>
        <w:gridCol w:w="3523"/>
        <w:gridCol w:w="1622"/>
        <w:gridCol w:w="1589"/>
        <w:gridCol w:w="1584"/>
        <w:gridCol w:w="1613"/>
      </w:tblGrid>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本期减少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期末余额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一、基本养老保险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156,097.70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25,321,390.02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25,386,205.64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91,282.08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二、失业保险费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1,053,506.10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1,058,931.36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4,300.94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三、企业年金缴费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b/>
                <w:bCs/>
                <w:color w:val="000000"/>
                <w:spacing w:val="0"/>
                <w:w w:val="100"/>
                <w:position w:val="0"/>
                <w:sz w:val="18"/>
                <w:szCs w:val="18"/>
              </w:rPr>
              <w:t>165,823.90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26,374,896.12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26,445,137.00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b/>
                <w:bCs/>
                <w:color w:val="000000"/>
                <w:spacing w:val="0"/>
                <w:w w:val="100"/>
                <w:position w:val="0"/>
                <w:sz w:val="18"/>
                <w:szCs w:val="18"/>
              </w:rPr>
              <w:t>95,583.02</w:t>
            </w:r>
          </w:p>
        </w:tc>
      </w:tr>
    </w:tbl>
    <w:p>
      <w:pPr>
        <w:widowControl w:val="0"/>
        <w:spacing w:after="119" w:line="1" w:lineRule="exact"/>
      </w:pPr>
    </w:p>
    <w:p>
      <w:pPr>
        <w:pStyle w:val="Style31"/>
        <w:keepNext w:val="0"/>
        <w:keepLines w:val="0"/>
        <w:widowControl w:val="0"/>
        <w:shd w:val="clear" w:color="auto" w:fill="auto"/>
        <w:bidi w:val="0"/>
        <w:spacing w:before="0" w:line="240" w:lineRule="auto"/>
        <w:ind w:left="0" w:right="0" w:firstLine="560"/>
        <w:jc w:val="left"/>
        <w:rPr>
          <w:sz w:val="20"/>
          <w:szCs w:val="20"/>
        </w:rPr>
      </w:pPr>
      <w:r>
        <w:rPr>
          <w:color w:val="000000"/>
          <w:spacing w:val="0"/>
          <w:w w:val="100"/>
          <w:position w:val="0"/>
          <w:sz w:val="20"/>
          <w:szCs w:val="20"/>
        </w:rPr>
        <w:t>注：应付职工薪酬余额主要是计提的</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年度奖金，于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年发放。</w:t>
      </w:r>
    </w:p>
    <w:p>
      <w:pPr>
        <w:pStyle w:val="Style28"/>
        <w:keepNext/>
        <w:keepLines/>
        <w:widowControl w:val="0"/>
        <w:shd w:val="clear" w:color="auto" w:fill="auto"/>
        <w:bidi w:val="0"/>
        <w:spacing w:before="0" w:after="120" w:line="240" w:lineRule="auto"/>
        <w:ind w:left="0" w:right="0" w:firstLine="260"/>
        <w:jc w:val="left"/>
      </w:pPr>
      <w:bookmarkStart w:id="937" w:name="bookmark937"/>
      <w:bookmarkStart w:id="938" w:name="bookmark938"/>
      <w:bookmarkStart w:id="939" w:name="bookmark939"/>
      <w:r>
        <w:rPr>
          <w:color w:val="000000"/>
          <w:spacing w:val="0"/>
          <w:w w:val="100"/>
          <w:position w:val="0"/>
        </w:rPr>
        <w:t>（二十三）应交税费</w:t>
      </w:r>
      <w:bookmarkEnd w:id="937"/>
      <w:bookmarkEnd w:id="938"/>
      <w:bookmarkEnd w:id="939"/>
    </w:p>
    <w:tbl>
      <w:tblPr>
        <w:tblOverlap w:val="never"/>
        <w:jc w:val="center"/>
        <w:tblLayout w:type="fixed"/>
      </w:tblPr>
      <w:tblGrid>
        <w:gridCol w:w="3283"/>
        <w:gridCol w:w="3355"/>
        <w:gridCol w:w="3293"/>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b/>
                <w:bCs/>
                <w:color w:val="000000"/>
                <w:spacing w:val="0"/>
                <w:w w:val="100"/>
                <w:position w:val="0"/>
                <w:sz w:val="16"/>
                <w:szCs w:val="16"/>
              </w:rPr>
              <w:t>期初余额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17,782,111.42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18,265,238.69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城建税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660,478.91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767,171.25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6,020,751.94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22,299,710.13</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2,290,698.38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1,403,951.89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306,239.61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352,237.73</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204,159.75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234,825.17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367,462.50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364,284.79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26,961.26</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27,641,807.86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b/>
                <w:bCs/>
                <w:color w:val="000000"/>
                <w:spacing w:val="0"/>
                <w:w w:val="100"/>
                <w:position w:val="0"/>
                <w:sz w:val="18"/>
                <w:szCs w:val="18"/>
              </w:rPr>
              <w:t>43,714,380.91</w:t>
            </w:r>
          </w:p>
        </w:tc>
      </w:tr>
    </w:tbl>
    <w:p>
      <w:pPr>
        <w:widowControl w:val="0"/>
        <w:spacing w:after="119" w:line="1" w:lineRule="exact"/>
      </w:pPr>
    </w:p>
    <w:p>
      <w:pPr>
        <w:pStyle w:val="Style28"/>
        <w:keepNext/>
        <w:keepLines/>
        <w:widowControl w:val="0"/>
        <w:shd w:val="clear" w:color="auto" w:fill="auto"/>
        <w:bidi w:val="0"/>
        <w:spacing w:before="0" w:after="120" w:line="240" w:lineRule="auto"/>
        <w:ind w:left="0" w:right="0" w:firstLine="260"/>
        <w:jc w:val="left"/>
      </w:pPr>
      <w:bookmarkStart w:id="940" w:name="bookmark940"/>
      <w:bookmarkStart w:id="941" w:name="bookmark941"/>
      <w:bookmarkStart w:id="942" w:name="bookmark942"/>
      <w:r>
        <w:rPr>
          <w:color w:val="000000"/>
          <w:spacing w:val="0"/>
          <w:w w:val="100"/>
          <w:position w:val="0"/>
        </w:rPr>
        <w:t>（二十四）应付利息</w:t>
      </w:r>
      <w:bookmarkEnd w:id="940"/>
      <w:bookmarkEnd w:id="941"/>
      <w:bookmarkEnd w:id="942"/>
    </w:p>
    <w:tbl>
      <w:tblPr>
        <w:tblOverlap w:val="never"/>
        <w:jc w:val="center"/>
        <w:tblLayout w:type="fixed"/>
      </w:tblPr>
      <w:tblGrid>
        <w:gridCol w:w="3283"/>
        <w:gridCol w:w="3355"/>
        <w:gridCol w:w="3293"/>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b/>
                <w:bCs/>
                <w:color w:val="000000"/>
                <w:spacing w:val="0"/>
                <w:w w:val="100"/>
                <w:position w:val="0"/>
                <w:sz w:val="16"/>
                <w:szCs w:val="16"/>
              </w:rPr>
              <w:t>期初余额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69,781.25</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69,781.25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28"/>
        <w:keepNext/>
        <w:keepLines/>
        <w:widowControl w:val="0"/>
        <w:shd w:val="clear" w:color="auto" w:fill="auto"/>
        <w:bidi w:val="0"/>
        <w:spacing w:before="0" w:after="120" w:line="240" w:lineRule="auto"/>
        <w:ind w:left="0" w:right="0" w:firstLine="260"/>
        <w:jc w:val="left"/>
      </w:pPr>
      <w:bookmarkStart w:id="943" w:name="bookmark943"/>
      <w:bookmarkStart w:id="944" w:name="bookmark944"/>
      <w:bookmarkStart w:id="945" w:name="bookmark945"/>
      <w:r>
        <w:rPr>
          <w:color w:val="000000"/>
          <w:spacing w:val="0"/>
          <w:w w:val="100"/>
          <w:position w:val="0"/>
        </w:rPr>
        <w:t>（二十五）其他应付款</w:t>
      </w:r>
      <w:bookmarkEnd w:id="943"/>
      <w:bookmarkEnd w:id="944"/>
      <w:bookmarkEnd w:id="945"/>
    </w:p>
    <w:p>
      <w:pPr>
        <w:pStyle w:val="Style28"/>
        <w:keepNext/>
        <w:keepLines/>
        <w:widowControl w:val="0"/>
        <w:shd w:val="clear" w:color="auto" w:fill="auto"/>
        <w:bidi w:val="0"/>
        <w:spacing w:before="0" w:after="120" w:line="240" w:lineRule="auto"/>
        <w:ind w:left="0" w:right="0" w:firstLine="480"/>
        <w:jc w:val="left"/>
      </w:pPr>
      <w:bookmarkStart w:id="943" w:name="bookmark943"/>
      <w:bookmarkStart w:id="944" w:name="bookmark944"/>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943"/>
      <w:bookmarkEnd w:id="944"/>
    </w:p>
    <w:tbl>
      <w:tblPr>
        <w:tblOverlap w:val="never"/>
        <w:jc w:val="center"/>
        <w:tblLayout w:type="fixed"/>
      </w:tblPr>
      <w:tblGrid>
        <w:gridCol w:w="3283"/>
        <w:gridCol w:w="3355"/>
        <w:gridCol w:w="3293"/>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b/>
                <w:bCs/>
                <w:color w:val="000000"/>
                <w:spacing w:val="0"/>
                <w:w w:val="100"/>
                <w:position w:val="0"/>
                <w:sz w:val="16"/>
                <w:szCs w:val="16"/>
              </w:rPr>
              <w:t>期初余额</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4,396,100.79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1,206,061.64</w:t>
            </w:r>
          </w:p>
        </w:tc>
      </w:tr>
    </w:tbl>
    <w:p>
      <w:pPr>
        <w:widowControl w:val="0"/>
        <w:spacing w:line="1" w:lineRule="exact"/>
      </w:pPr>
      <w:r>
        <w:br w:type="page"/>
      </w:r>
    </w:p>
    <w:tbl>
      <w:tblPr>
        <w:tblOverlap w:val="never"/>
        <w:jc w:val="center"/>
        <w:tblLayout w:type="fixed"/>
      </w:tblPr>
      <w:tblGrid>
        <w:gridCol w:w="3283"/>
        <w:gridCol w:w="3355"/>
        <w:gridCol w:w="3293"/>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b/>
                <w:bCs/>
                <w:color w:val="000000"/>
                <w:spacing w:val="0"/>
                <w:w w:val="100"/>
                <w:position w:val="0"/>
                <w:sz w:val="16"/>
                <w:szCs w:val="16"/>
              </w:rPr>
              <w:t>期初余额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569,925.00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5,397,750.79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1,775,986.64</w:t>
            </w:r>
          </w:p>
        </w:tc>
      </w:tr>
    </w:tbl>
    <w:p>
      <w:pPr>
        <w:widowControl w:val="0"/>
        <w:spacing w:after="119" w:line="1" w:lineRule="exact"/>
      </w:pPr>
    </w:p>
    <w:p>
      <w:pPr>
        <w:pStyle w:val="Style31"/>
        <w:keepNext w:val="0"/>
        <w:keepLines w:val="0"/>
        <w:widowControl w:val="0"/>
        <w:shd w:val="clear" w:color="auto" w:fill="auto"/>
        <w:bidi w:val="0"/>
        <w:spacing w:before="0" w:line="240" w:lineRule="auto"/>
        <w:ind w:left="0" w:right="0" w:firstLine="460"/>
        <w:jc w:val="both"/>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、重要的账龄超过</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年的其他应付款:</w:t>
      </w:r>
    </w:p>
    <w:p>
      <w:pPr>
        <w:pStyle w:val="Style31"/>
        <w:keepNext w:val="0"/>
        <w:keepLines w:val="0"/>
        <w:widowControl w:val="0"/>
        <w:shd w:val="clear" w:color="auto" w:fill="auto"/>
        <w:bidi w:val="0"/>
        <w:spacing w:before="0" w:line="240" w:lineRule="auto"/>
        <w:ind w:left="0" w:right="0" w:firstLine="560"/>
        <w:jc w:val="both"/>
        <w:rPr>
          <w:sz w:val="20"/>
          <w:szCs w:val="20"/>
        </w:rPr>
      </w:pPr>
      <w:r>
        <w:rPr>
          <w:color w:val="000000"/>
          <w:spacing w:val="0"/>
          <w:w w:val="100"/>
          <w:position w:val="0"/>
          <w:sz w:val="20"/>
          <w:szCs w:val="20"/>
        </w:rPr>
        <w:t>无。</w:t>
      </w:r>
    </w:p>
    <w:p>
      <w:pPr>
        <w:pStyle w:val="Style28"/>
        <w:keepNext/>
        <w:keepLines/>
        <w:widowControl w:val="0"/>
        <w:shd w:val="clear" w:color="auto" w:fill="auto"/>
        <w:bidi w:val="0"/>
        <w:spacing w:before="0" w:after="120" w:line="240" w:lineRule="auto"/>
        <w:ind w:left="0" w:right="0" w:firstLine="220"/>
        <w:jc w:val="both"/>
      </w:pPr>
      <w:bookmarkStart w:id="946" w:name="bookmark946"/>
      <w:bookmarkStart w:id="947" w:name="bookmark947"/>
      <w:bookmarkStart w:id="948" w:name="bookmark948"/>
      <w:r>
        <w:rPr>
          <w:color w:val="000000"/>
          <w:spacing w:val="0"/>
          <w:w w:val="100"/>
          <w:position w:val="0"/>
        </w:rPr>
        <w:t>（二十六）一年内到期的非流动负债</w:t>
      </w:r>
      <w:bookmarkEnd w:id="946"/>
      <w:bookmarkEnd w:id="947"/>
      <w:bookmarkEnd w:id="948"/>
    </w:p>
    <w:tbl>
      <w:tblPr>
        <w:tblOverlap w:val="never"/>
        <w:jc w:val="center"/>
        <w:tblLayout w:type="fixed"/>
      </w:tblPr>
      <w:tblGrid>
        <w:gridCol w:w="3283"/>
        <w:gridCol w:w="3355"/>
        <w:gridCol w:w="3293"/>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b/>
                <w:bCs/>
                <w:color w:val="000000"/>
                <w:spacing w:val="0"/>
                <w:w w:val="100"/>
                <w:position w:val="0"/>
                <w:sz w:val="16"/>
                <w:szCs w:val="16"/>
              </w:rPr>
              <w:t>期初余额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399,091.00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268,182.00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b/>
                <w:bCs/>
                <w:color w:val="000000"/>
                <w:spacing w:val="0"/>
                <w:w w:val="100"/>
                <w:position w:val="0"/>
                <w:sz w:val="18"/>
                <w:szCs w:val="18"/>
              </w:rPr>
              <w:t>399,091.00</w:t>
            </w:r>
          </w:p>
        </w:tc>
      </w:tr>
    </w:tbl>
    <w:p>
      <w:pPr>
        <w:widowControl w:val="0"/>
        <w:spacing w:after="119" w:line="1" w:lineRule="exact"/>
      </w:pPr>
    </w:p>
    <w:p>
      <w:pPr>
        <w:pStyle w:val="Style31"/>
        <w:keepNext w:val="0"/>
        <w:keepLines w:val="0"/>
        <w:widowControl w:val="0"/>
        <w:shd w:val="clear" w:color="auto" w:fill="auto"/>
        <w:bidi w:val="0"/>
        <w:spacing w:before="0" w:line="271" w:lineRule="exact"/>
        <w:ind w:left="0" w:right="0" w:firstLine="560"/>
        <w:jc w:val="both"/>
        <w:rPr>
          <w:sz w:val="20"/>
          <w:szCs w:val="20"/>
        </w:rPr>
      </w:pPr>
      <w:r>
        <w:rPr>
          <w:color w:val="000000"/>
          <w:spacing w:val="0"/>
          <w:w w:val="100"/>
          <w:position w:val="0"/>
          <w:sz w:val="20"/>
          <w:szCs w:val="20"/>
        </w:rPr>
        <w:t>注：该笔借款系玉田县财政局根据河北省财政厅“冀财建</w:t>
      </w:r>
      <w:r>
        <w:rPr>
          <w:rFonts w:ascii="Times New Roman" w:eastAsia="Times New Roman" w:hAnsi="Times New Roman" w:cs="Times New Roman"/>
          <w:color w:val="000000"/>
          <w:spacing w:val="0"/>
          <w:w w:val="100"/>
          <w:position w:val="0"/>
          <w:sz w:val="20"/>
          <w:szCs w:val="20"/>
        </w:rPr>
        <w:t>[2002]202</w:t>
      </w:r>
      <w:r>
        <w:rPr>
          <w:color w:val="000000"/>
          <w:spacing w:val="0"/>
          <w:w w:val="100"/>
          <w:position w:val="0"/>
          <w:sz w:val="20"/>
          <w:szCs w:val="20"/>
        </w:rPr>
        <w:t>号文《关于下达</w:t>
      </w:r>
      <w:r>
        <w:rPr>
          <w:rFonts w:ascii="Times New Roman" w:eastAsia="Times New Roman" w:hAnsi="Times New Roman" w:cs="Times New Roman"/>
          <w:color w:val="000000"/>
          <w:spacing w:val="0"/>
          <w:w w:val="100"/>
          <w:position w:val="0"/>
          <w:sz w:val="20"/>
          <w:szCs w:val="20"/>
        </w:rPr>
        <w:t>2002</w:t>
      </w:r>
      <w:r>
        <w:rPr>
          <w:color w:val="000000"/>
          <w:spacing w:val="0"/>
          <w:w w:val="100"/>
          <w:position w:val="0"/>
          <w:sz w:val="20"/>
          <w:szCs w:val="20"/>
        </w:rPr>
        <w:t xml:space="preserve">年度第三、 四批国债专项资金国家重点技术改造资金和转贷计划的通知》”拨付给本公司的国债转贷资金，己展期至 </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w:t>
      </w:r>
    </w:p>
    <w:p>
      <w:pPr>
        <w:pStyle w:val="Style28"/>
        <w:keepNext/>
        <w:keepLines/>
        <w:widowControl w:val="0"/>
        <w:shd w:val="clear" w:color="auto" w:fill="auto"/>
        <w:bidi w:val="0"/>
        <w:spacing w:before="0" w:after="120" w:line="271" w:lineRule="exact"/>
        <w:ind w:left="0" w:right="0" w:firstLine="0"/>
        <w:jc w:val="both"/>
      </w:pPr>
      <w:bookmarkStart w:id="949" w:name="bookmark949"/>
      <w:bookmarkStart w:id="950" w:name="bookmark950"/>
      <w:bookmarkStart w:id="951" w:name="bookmark951"/>
      <w:r>
        <w:rPr>
          <w:color w:val="000000"/>
          <w:spacing w:val="0"/>
          <w:w w:val="100"/>
          <w:position w:val="0"/>
        </w:rPr>
        <w:t>（二十七）长期借款</w:t>
      </w:r>
      <w:bookmarkEnd w:id="949"/>
      <w:bookmarkEnd w:id="950"/>
      <w:bookmarkEnd w:id="951"/>
    </w:p>
    <w:tbl>
      <w:tblPr>
        <w:tblOverlap w:val="never"/>
        <w:jc w:val="center"/>
        <w:tblLayout w:type="fixed"/>
      </w:tblPr>
      <w:tblGrid>
        <w:gridCol w:w="3283"/>
        <w:gridCol w:w="3355"/>
        <w:gridCol w:w="3293"/>
      </w:tblGrid>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b/>
                <w:bCs/>
                <w:color w:val="000000"/>
                <w:spacing w:val="0"/>
                <w:w w:val="100"/>
                <w:position w:val="0"/>
                <w:sz w:val="16"/>
                <w:szCs w:val="16"/>
              </w:rPr>
              <w:t>期初余额</w:t>
            </w:r>
          </w:p>
        </w:tc>
      </w:tr>
      <w:tr>
        <w:trPr>
          <w:trHeight w:val="43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494" w:right="0" w:firstLine="0"/>
        <w:jc w:val="left"/>
      </w:pPr>
      <w:r>
        <w:rPr>
          <w:b/>
          <w:bCs/>
          <w:color w:val="000000"/>
          <w:spacing w:val="0"/>
          <w:w w:val="100"/>
          <w:position w:val="0"/>
        </w:rPr>
        <w:t>保证借款明细表:</w:t>
      </w:r>
    </w:p>
    <w:p>
      <w:pPr>
        <w:widowControl w:val="0"/>
        <w:spacing w:after="219" w:line="1" w:lineRule="exact"/>
      </w:pPr>
    </w:p>
    <w:p>
      <w:pPr>
        <w:widowControl w:val="0"/>
        <w:spacing w:line="1" w:lineRule="exact"/>
      </w:pPr>
    </w:p>
    <w:tbl>
      <w:tblPr>
        <w:tblOverlap w:val="never"/>
        <w:jc w:val="center"/>
        <w:tblLayout w:type="fixed"/>
      </w:tblPr>
      <w:tblGrid>
        <w:gridCol w:w="1800"/>
        <w:gridCol w:w="1435"/>
        <w:gridCol w:w="1435"/>
        <w:gridCol w:w="1435"/>
        <w:gridCol w:w="955"/>
        <w:gridCol w:w="1435"/>
        <w:gridCol w:w="1435"/>
      </w:tblGrid>
      <w:tr>
        <w:trPr>
          <w:trHeight w:val="35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被担保方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担保方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贷款机构</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贷款金额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贷款利率</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贷款期限</w:t>
            </w:r>
          </w:p>
        </w:tc>
      </w:tr>
      <w:tr>
        <w:trPr>
          <w:trHeight w:val="31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起始日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终止日</w:t>
            </w:r>
          </w:p>
        </w:tc>
      </w:tr>
      <w:tr>
        <w:trPr>
          <w:trHeight w:val="74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西安紫光国芯半导 体有限公司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紫光国芯股份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西安投资控股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2019-4-19</w:t>
            </w:r>
          </w:p>
        </w:tc>
      </w:tr>
    </w:tbl>
    <w:p>
      <w:pPr>
        <w:widowControl w:val="0"/>
        <w:spacing w:after="119" w:line="1" w:lineRule="exact"/>
      </w:pPr>
    </w:p>
    <w:p>
      <w:pPr>
        <w:pStyle w:val="Style31"/>
        <w:keepNext w:val="0"/>
        <w:keepLines w:val="0"/>
        <w:widowControl w:val="0"/>
        <w:shd w:val="clear" w:color="auto" w:fill="auto"/>
        <w:bidi w:val="0"/>
        <w:spacing w:before="0" w:line="240" w:lineRule="auto"/>
        <w:ind w:left="0" w:right="0" w:firstLine="56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：西安紫光国芯半导体有限公司就该笔保证借款提供了反担保；</w:t>
      </w:r>
    </w:p>
    <w:p>
      <w:pPr>
        <w:pStyle w:val="Style31"/>
        <w:keepNext w:val="0"/>
        <w:keepLines w:val="0"/>
        <w:widowControl w:val="0"/>
        <w:shd w:val="clear" w:color="auto" w:fill="auto"/>
        <w:bidi w:val="0"/>
        <w:spacing w:before="0" w:line="240" w:lineRule="auto"/>
        <w:ind w:left="0" w:right="0" w:firstLine="56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：本公司对该笔长期借款的保证期间为本金及利息偿付义务发生之日起三年。</w:t>
      </w:r>
    </w:p>
    <w:p>
      <w:pPr>
        <w:pStyle w:val="Style28"/>
        <w:keepNext/>
        <w:keepLines/>
        <w:widowControl w:val="0"/>
        <w:shd w:val="clear" w:color="auto" w:fill="auto"/>
        <w:bidi w:val="0"/>
        <w:spacing w:before="0" w:after="120" w:line="240" w:lineRule="auto"/>
        <w:ind w:left="0" w:right="0" w:firstLine="220"/>
        <w:jc w:val="both"/>
      </w:pPr>
      <w:bookmarkStart w:id="952" w:name="bookmark952"/>
      <w:bookmarkStart w:id="953" w:name="bookmark953"/>
      <w:bookmarkStart w:id="954" w:name="bookmark954"/>
      <w:r>
        <w:rPr>
          <w:color w:val="000000"/>
          <w:spacing w:val="0"/>
          <w:w w:val="100"/>
          <w:position w:val="0"/>
        </w:rPr>
        <w:t>（二十八）专项应付款</w:t>
      </w:r>
      <w:bookmarkEnd w:id="952"/>
      <w:bookmarkEnd w:id="953"/>
      <w:bookmarkEnd w:id="954"/>
    </w:p>
    <w:tbl>
      <w:tblPr>
        <w:tblOverlap w:val="never"/>
        <w:jc w:val="center"/>
        <w:tblLayout w:type="fixed"/>
      </w:tblPr>
      <w:tblGrid>
        <w:gridCol w:w="2371"/>
        <w:gridCol w:w="1277"/>
        <w:gridCol w:w="1114"/>
        <w:gridCol w:w="1090"/>
        <w:gridCol w:w="1272"/>
        <w:gridCol w:w="2362"/>
      </w:tblGrid>
      <w:tr>
        <w:trPr>
          <w:trHeight w:val="53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形成原因</w:t>
            </w:r>
          </w:p>
        </w:tc>
      </w:tr>
      <w:tr>
        <w:trPr>
          <w:trHeight w:val="63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SoC</w:t>
            </w:r>
            <w:r>
              <w:rPr>
                <w:color w:val="000000"/>
                <w:spacing w:val="0"/>
                <w:w w:val="100"/>
                <w:position w:val="0"/>
                <w:sz w:val="16"/>
                <w:szCs w:val="16"/>
              </w:rPr>
              <w:t>芯片研发项目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本公司收到的委托及合作 开发的研发项目资金</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高端智能芯片研发项目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1,459,992.00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729,992.00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本公司收到的委托及合作 开发的研发项目资金</w:t>
            </w:r>
          </w:p>
        </w:tc>
      </w:tr>
      <w:tr>
        <w:trPr>
          <w:trHeight w:val="53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2,259,992.00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729,992.00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1,530,000.00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28"/>
        <w:keepNext/>
        <w:keepLines/>
        <w:widowControl w:val="0"/>
        <w:shd w:val="clear" w:color="auto" w:fill="auto"/>
        <w:bidi w:val="0"/>
        <w:spacing w:before="0" w:after="120" w:line="240" w:lineRule="auto"/>
        <w:ind w:left="0" w:right="0" w:firstLine="220"/>
        <w:jc w:val="both"/>
      </w:pPr>
      <w:bookmarkStart w:id="955" w:name="bookmark955"/>
      <w:bookmarkStart w:id="956" w:name="bookmark956"/>
      <w:bookmarkStart w:id="957" w:name="bookmark957"/>
      <w:r>
        <w:rPr>
          <w:color w:val="000000"/>
          <w:spacing w:val="0"/>
          <w:w w:val="100"/>
          <w:position w:val="0"/>
        </w:rPr>
        <w:t>（二十九）递延收益</w:t>
      </w:r>
      <w:bookmarkEnd w:id="955"/>
      <w:bookmarkEnd w:id="956"/>
      <w:bookmarkEnd w:id="957"/>
    </w:p>
    <w:p>
      <w:pPr>
        <w:pStyle w:val="Style28"/>
        <w:keepNext/>
        <w:keepLines/>
        <w:widowControl w:val="0"/>
        <w:shd w:val="clear" w:color="auto" w:fill="auto"/>
        <w:bidi w:val="0"/>
        <w:spacing w:before="0" w:after="120" w:line="240" w:lineRule="auto"/>
        <w:ind w:left="0" w:right="0" w:firstLine="460"/>
        <w:jc w:val="both"/>
      </w:pPr>
      <w:bookmarkStart w:id="955" w:name="bookmark955"/>
      <w:bookmarkStart w:id="956" w:name="bookmark956"/>
      <w:r>
        <w:rPr>
          <w:rFonts w:ascii="Times New Roman" w:eastAsia="Times New Roman" w:hAnsi="Times New Roman" w:cs="Times New Roman"/>
          <w:color w:val="000000"/>
          <w:spacing w:val="0"/>
          <w:w w:val="100"/>
          <w:position w:val="0"/>
        </w:rPr>
        <w:t>1</w:t>
      </w:r>
      <w:r>
        <w:rPr>
          <w:color w:val="000000"/>
          <w:spacing w:val="0"/>
          <w:w w:val="100"/>
          <w:position w:val="0"/>
        </w:rPr>
        <w:t>、递延收益明细</w:t>
      </w:r>
      <w:bookmarkEnd w:id="955"/>
      <w:bookmarkEnd w:id="956"/>
    </w:p>
    <w:tbl>
      <w:tblPr>
        <w:tblOverlap w:val="never"/>
        <w:jc w:val="center"/>
        <w:tblLayout w:type="fixed"/>
      </w:tblPr>
      <w:tblGrid>
        <w:gridCol w:w="1594"/>
        <w:gridCol w:w="1565"/>
        <w:gridCol w:w="1517"/>
        <w:gridCol w:w="1483"/>
        <w:gridCol w:w="1306"/>
        <w:gridCol w:w="2189"/>
      </w:tblGrid>
      <w:tr>
        <w:trPr>
          <w:trHeight w:val="49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b/>
                <w:bCs/>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形成原因</w:t>
            </w:r>
          </w:p>
        </w:tc>
      </w:tr>
      <w:tr>
        <w:trPr>
          <w:trHeight w:val="58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574,950,525.03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122,061,500.00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118,608,811.92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578,403,213.11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本公司收到的委托及合作 开发的研发项目资金</w:t>
            </w:r>
          </w:p>
        </w:tc>
      </w:tr>
    </w:tbl>
    <w:p>
      <w:pPr>
        <w:widowControl w:val="0"/>
        <w:spacing w:line="1" w:lineRule="exact"/>
      </w:pPr>
      <w:r>
        <w:br w:type="page"/>
      </w:r>
    </w:p>
    <w:tbl>
      <w:tblPr>
        <w:tblOverlap w:val="never"/>
        <w:jc w:val="center"/>
        <w:tblLayout w:type="fixed"/>
      </w:tblPr>
      <w:tblGrid>
        <w:gridCol w:w="1608"/>
        <w:gridCol w:w="1565"/>
        <w:gridCol w:w="1517"/>
        <w:gridCol w:w="1483"/>
        <w:gridCol w:w="1306"/>
        <w:gridCol w:w="2189"/>
      </w:tblGrid>
      <w:tr>
        <w:trPr>
          <w:trHeight w:val="49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b/>
                <w:bCs/>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形成原因</w:t>
            </w:r>
          </w:p>
        </w:tc>
      </w:tr>
      <w:tr>
        <w:trPr>
          <w:trHeight w:val="50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574,950,525.03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122,061,500.00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118,608,811.92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578,403,213.11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46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、涉及政府补助的项目明细</w:t>
      </w:r>
    </w:p>
    <w:tbl>
      <w:tblPr>
        <w:tblOverlap w:val="never"/>
        <w:jc w:val="center"/>
        <w:tblLayout w:type="fixed"/>
      </w:tblPr>
      <w:tblGrid>
        <w:gridCol w:w="2026"/>
        <w:gridCol w:w="1339"/>
        <w:gridCol w:w="1450"/>
        <w:gridCol w:w="1627"/>
        <w:gridCol w:w="1162"/>
        <w:gridCol w:w="1344"/>
        <w:gridCol w:w="984"/>
      </w:tblGrid>
      <w:tr>
        <w:trPr>
          <w:trHeight w:val="81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6"/>
                <w:szCs w:val="16"/>
              </w:rPr>
            </w:pPr>
            <w:r>
              <w:rPr>
                <w:b/>
                <w:bCs/>
                <w:color w:val="000000"/>
                <w:spacing w:val="0"/>
                <w:w w:val="100"/>
                <w:position w:val="0"/>
                <w:sz w:val="16"/>
                <w:szCs w:val="16"/>
              </w:rPr>
              <w:t>本期新增补助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b/>
                <w:bCs/>
                <w:color w:val="000000"/>
                <w:spacing w:val="0"/>
                <w:w w:val="100"/>
                <w:position w:val="0"/>
                <w:sz w:val="16"/>
                <w:szCs w:val="16"/>
              </w:rPr>
              <w:t>本期计入营业外 收入金额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6"/>
                <w:szCs w:val="16"/>
              </w:rPr>
            </w:pPr>
            <w:r>
              <w:rPr>
                <w:b/>
                <w:bCs/>
                <w:color w:val="000000"/>
                <w:spacing w:val="0"/>
                <w:w w:val="100"/>
                <w:position w:val="0"/>
                <w:sz w:val="16"/>
                <w:szCs w:val="16"/>
              </w:rPr>
              <w:t>与资产相 关</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与收 益相关</w:t>
            </w:r>
          </w:p>
        </w:tc>
      </w:tr>
      <w:tr>
        <w:trPr>
          <w:trHeight w:val="79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140" w:right="0" w:firstLine="0"/>
              <w:jc w:val="left"/>
              <w:rPr>
                <w:sz w:val="16"/>
                <w:szCs w:val="16"/>
              </w:rPr>
            </w:pPr>
            <w:r>
              <w:rPr>
                <w:color w:val="000000"/>
                <w:spacing w:val="0"/>
                <w:w w:val="100"/>
                <w:position w:val="0"/>
                <w:sz w:val="16"/>
                <w:szCs w:val="16"/>
              </w:rPr>
              <w:t>年产</w:t>
            </w:r>
            <w:r>
              <w:rPr>
                <w:rFonts w:ascii="Times New Roman" w:eastAsia="Times New Roman" w:hAnsi="Times New Roman" w:cs="Times New Roman"/>
                <w:color w:val="000000"/>
                <w:spacing w:val="0"/>
                <w:w w:val="100"/>
                <w:position w:val="0"/>
                <w:sz w:val="18"/>
                <w:szCs w:val="18"/>
              </w:rPr>
              <w:t>7200</w:t>
            </w:r>
            <w:r>
              <w:rPr>
                <w:color w:val="000000"/>
                <w:spacing w:val="0"/>
                <w:w w:val="100"/>
                <w:position w:val="0"/>
                <w:sz w:val="16"/>
                <w:szCs w:val="16"/>
              </w:rPr>
              <w:t>万件新型片 式石英晶体元器件产 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2,292,472.00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830,004.00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1,462,468.00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收益</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进口设备贴息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828,739.27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195,864.00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632,875.27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资产</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140" w:right="0" w:firstLine="0"/>
              <w:jc w:val="left"/>
              <w:rPr>
                <w:sz w:val="16"/>
                <w:szCs w:val="16"/>
              </w:rPr>
            </w:pPr>
            <w:r>
              <w:rPr>
                <w:color w:val="000000"/>
                <w:spacing w:val="0"/>
                <w:w w:val="100"/>
                <w:position w:val="0"/>
                <w:sz w:val="16"/>
                <w:szCs w:val="16"/>
              </w:rPr>
              <w:t>信息产业化和技术改 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1,949,999.80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500,000.04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1,449,999.76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收益</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0" w:lineRule="exact"/>
              <w:ind w:left="140" w:right="0" w:firstLine="0"/>
              <w:jc w:val="left"/>
              <w:rPr>
                <w:sz w:val="16"/>
                <w:szCs w:val="16"/>
              </w:rPr>
            </w:pPr>
            <w:r>
              <w:rPr>
                <w:color w:val="000000"/>
                <w:spacing w:val="0"/>
                <w:w w:val="100"/>
                <w:position w:val="0"/>
                <w:sz w:val="16"/>
                <w:szCs w:val="16"/>
              </w:rPr>
              <w:t>小型高稳石英晶体元 器件产业化项目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199,999.76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149,999.72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收益</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5" w:lineRule="exact"/>
              <w:ind w:left="140" w:right="0" w:firstLine="0"/>
              <w:jc w:val="left"/>
              <w:rPr>
                <w:sz w:val="16"/>
                <w:szCs w:val="16"/>
              </w:rPr>
            </w:pPr>
            <w:r>
              <w:rPr>
                <w:rFonts w:ascii="Times New Roman" w:eastAsia="Times New Roman" w:hAnsi="Times New Roman" w:cs="Times New Roman"/>
                <w:color w:val="000000"/>
                <w:spacing w:val="0"/>
                <w:w w:val="100"/>
                <w:position w:val="0"/>
                <w:sz w:val="18"/>
                <w:szCs w:val="18"/>
              </w:rPr>
              <w:t>XO3225</w:t>
            </w:r>
            <w:r>
              <w:rPr>
                <w:color w:val="000000"/>
                <w:spacing w:val="0"/>
                <w:w w:val="100"/>
                <w:position w:val="0"/>
                <w:sz w:val="16"/>
                <w:szCs w:val="16"/>
              </w:rPr>
              <w:t>型片式石英振 荡器研发专项资金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180,000.18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140,000.22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收益</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LED</w:t>
            </w:r>
            <w:r>
              <w:rPr>
                <w:color w:val="000000"/>
                <w:spacing w:val="0"/>
                <w:w w:val="100"/>
                <w:position w:val="0"/>
                <w:sz w:val="16"/>
                <w:szCs w:val="16"/>
              </w:rPr>
              <w:t>进口设备贴息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1,693,906.70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223,320.00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1,470,586.70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资产</w:t>
            </w:r>
          </w:p>
        </w:tc>
      </w:tr>
      <w:tr>
        <w:trPr>
          <w:trHeight w:val="79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140" w:right="0" w:firstLine="0"/>
              <w:jc w:val="left"/>
              <w:rPr>
                <w:sz w:val="16"/>
                <w:szCs w:val="16"/>
              </w:rPr>
            </w:pPr>
            <w:r>
              <w:rPr>
                <w:color w:val="000000"/>
                <w:spacing w:val="0"/>
                <w:w w:val="100"/>
                <w:position w:val="0"/>
                <w:sz w:val="16"/>
                <w:szCs w:val="16"/>
              </w:rPr>
              <w:t>大尺寸</w:t>
            </w:r>
            <w:r>
              <w:rPr>
                <w:rFonts w:ascii="Times New Roman" w:eastAsia="Times New Roman" w:hAnsi="Times New Roman" w:cs="Times New Roman"/>
                <w:color w:val="000000"/>
                <w:spacing w:val="0"/>
                <w:w w:val="100"/>
                <w:position w:val="0"/>
                <w:sz w:val="18"/>
                <w:szCs w:val="18"/>
              </w:rPr>
              <w:t>LED</w:t>
            </w:r>
            <w:r>
              <w:rPr>
                <w:color w:val="000000"/>
                <w:spacing w:val="0"/>
                <w:w w:val="100"/>
                <w:position w:val="0"/>
                <w:sz w:val="16"/>
                <w:szCs w:val="16"/>
              </w:rPr>
              <w:t>衬底用蓝 宝石生长工艺合作研 究项目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资产</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高端智能芯片研发项</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目</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27,877,996.00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6,238,996.00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21,639,000.00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资产</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高端智能芯片研发项</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目</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2,269,333.33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2,269,333.33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收益</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SoC</w:t>
            </w:r>
            <w:r>
              <w:rPr>
                <w:color w:val="000000"/>
                <w:spacing w:val="0"/>
                <w:w w:val="100"/>
                <w:position w:val="0"/>
                <w:sz w:val="16"/>
                <w:szCs w:val="16"/>
              </w:rPr>
              <w:t>芯片研发项目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2,047,166.67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1,959,300.00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4,006,466.67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收益</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特种集成电路研发项</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目</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389,229,076.59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13,110,000.00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17,914,405.56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384,424,671.03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资产</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特种集成电路研发项</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目</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65,799,934.73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30,180,000.00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71,940,580.53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24,039,354.20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收益</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可编程系统芯片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73,681,900.00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73,152,200.00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6,046,241.79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6,523,600.00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134,264,258.21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资产</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863</w:t>
            </w:r>
            <w:r>
              <w:rPr>
                <w:color w:val="000000"/>
                <w:spacing w:val="0"/>
                <w:w w:val="100"/>
                <w:position w:val="0"/>
                <w:sz w:val="16"/>
                <w:szCs w:val="16"/>
              </w:rPr>
              <w:t>专项课题经费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收益</w:t>
            </w:r>
          </w:p>
        </w:tc>
      </w:tr>
      <w:tr>
        <w:trPr>
          <w:trHeight w:val="57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574,950,525.03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122,061,500.00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112,085,211.92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6,523,600.00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578,403,213.11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注：其他减少系本公司控股子公司紫光同创代共同研发单位收到的政府补助。</w:t>
      </w:r>
    </w:p>
    <w:p>
      <w:pPr>
        <w:pStyle w:val="Style28"/>
        <w:keepNext/>
        <w:keepLines/>
        <w:widowControl w:val="0"/>
        <w:shd w:val="clear" w:color="auto" w:fill="auto"/>
        <w:bidi w:val="0"/>
        <w:spacing w:before="0" w:after="140" w:line="240" w:lineRule="auto"/>
        <w:ind w:left="0" w:right="0" w:firstLine="260"/>
        <w:jc w:val="both"/>
      </w:pPr>
      <w:bookmarkStart w:id="958" w:name="bookmark958"/>
      <w:bookmarkStart w:id="959" w:name="bookmark959"/>
      <w:bookmarkStart w:id="960" w:name="bookmark960"/>
      <w:r>
        <w:rPr>
          <w:color w:val="000000"/>
          <w:spacing w:val="0"/>
          <w:w w:val="100"/>
          <w:position w:val="0"/>
        </w:rPr>
        <w:t>（三十）股本</w:t>
      </w:r>
      <w:bookmarkEnd w:id="958"/>
      <w:bookmarkEnd w:id="959"/>
      <w:bookmarkEnd w:id="960"/>
    </w:p>
    <w:tbl>
      <w:tblPr>
        <w:tblOverlap w:val="never"/>
        <w:jc w:val="center"/>
        <w:tblLayout w:type="fixed"/>
      </w:tblPr>
      <w:tblGrid>
        <w:gridCol w:w="1574"/>
        <w:gridCol w:w="1363"/>
        <w:gridCol w:w="1046"/>
        <w:gridCol w:w="710"/>
        <w:gridCol w:w="1133"/>
        <w:gridCol w:w="1277"/>
        <w:gridCol w:w="1296"/>
        <w:gridCol w:w="1426"/>
      </w:tblGrid>
      <w:tr>
        <w:trP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b/>
                <w:bCs/>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b/>
                <w:bCs/>
                <w:color w:val="000000"/>
                <w:spacing w:val="0"/>
                <w:w w:val="100"/>
                <w:position w:val="0"/>
                <w:sz w:val="16"/>
                <w:szCs w:val="16"/>
              </w:rPr>
              <w:t>本次变动增减（</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b/>
                <w:bCs/>
                <w:color w:val="000000"/>
                <w:spacing w:val="0"/>
                <w:w w:val="100"/>
                <w:position w:val="0"/>
                <w:sz w:val="16"/>
                <w:szCs w:val="16"/>
              </w:rPr>
              <w:t>发行新股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公积金转股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小计</w:t>
            </w: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限售流通股股份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14,240,636.00</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-7,223,361.00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-7,223,361.00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7,017,275.00</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流通股股份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592,577,332.00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7,223,361.00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7,223,361.00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599,800,693.00</w:t>
            </w:r>
          </w:p>
        </w:tc>
      </w:tr>
      <w:tr>
        <w:trPr>
          <w:trHeight w:val="50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606,817,968.00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606,817,968.00</w:t>
            </w:r>
          </w:p>
        </w:tc>
      </w:tr>
    </w:tbl>
    <w:p>
      <w:pPr>
        <w:widowControl w:val="0"/>
        <w:spacing w:after="139" w:line="1" w:lineRule="exact"/>
      </w:pPr>
    </w:p>
    <w:p>
      <w:pPr>
        <w:pStyle w:val="Style28"/>
        <w:keepNext/>
        <w:keepLines/>
        <w:widowControl w:val="0"/>
        <w:shd w:val="clear" w:color="auto" w:fill="auto"/>
        <w:bidi w:val="0"/>
        <w:spacing w:before="0" w:after="140" w:line="240" w:lineRule="auto"/>
        <w:ind w:left="0" w:right="0" w:firstLine="260"/>
        <w:jc w:val="both"/>
      </w:pPr>
      <w:bookmarkStart w:id="961" w:name="bookmark961"/>
      <w:bookmarkStart w:id="962" w:name="bookmark962"/>
      <w:bookmarkStart w:id="963" w:name="bookmark963"/>
      <w:r>
        <w:rPr>
          <w:color w:val="000000"/>
          <w:spacing w:val="0"/>
          <w:w w:val="100"/>
          <w:position w:val="0"/>
        </w:rPr>
        <w:t>（三十一）资本公积</w:t>
      </w:r>
      <w:bookmarkEnd w:id="961"/>
      <w:bookmarkEnd w:id="962"/>
      <w:bookmarkEnd w:id="963"/>
      <w:r>
        <w:br w:type="page"/>
      </w:r>
    </w:p>
    <w:tbl>
      <w:tblPr>
        <w:tblOverlap w:val="never"/>
        <w:jc w:val="center"/>
        <w:tblLayout w:type="fixed"/>
      </w:tblPr>
      <w:tblGrid>
        <w:gridCol w:w="2856"/>
        <w:gridCol w:w="1752"/>
        <w:gridCol w:w="1685"/>
        <w:gridCol w:w="1550"/>
        <w:gridCol w:w="1872"/>
      </w:tblGrid>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b/>
                <w:bCs/>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620,509,086.52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620,509,086.52</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4,931,021.89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4,931,021.89</w:t>
            </w:r>
          </w:p>
        </w:tc>
      </w:tr>
      <w:tr>
        <w:trPr>
          <w:trHeight w:val="44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b/>
                <w:bCs/>
                <w:color w:val="000000"/>
                <w:spacing w:val="0"/>
                <w:w w:val="100"/>
                <w:position w:val="0"/>
                <w:sz w:val="18"/>
                <w:szCs w:val="18"/>
              </w:rPr>
              <w:t>625,440,108.41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b/>
                <w:bCs/>
                <w:color w:val="000000"/>
                <w:spacing w:val="0"/>
                <w:w w:val="100"/>
                <w:position w:val="0"/>
                <w:sz w:val="18"/>
                <w:szCs w:val="18"/>
              </w:rPr>
              <w:t>625,440,108.41</w:t>
            </w:r>
          </w:p>
        </w:tc>
      </w:tr>
    </w:tbl>
    <w:p>
      <w:pPr>
        <w:widowControl w:val="0"/>
        <w:spacing w:after="139" w:line="1" w:lineRule="exact"/>
      </w:pPr>
    </w:p>
    <w:p>
      <w:pPr>
        <w:pStyle w:val="Style28"/>
        <w:keepNext/>
        <w:keepLines/>
        <w:widowControl w:val="0"/>
        <w:shd w:val="clear" w:color="auto" w:fill="auto"/>
        <w:bidi w:val="0"/>
        <w:spacing w:before="0" w:after="140" w:line="240" w:lineRule="auto"/>
        <w:ind w:left="0" w:right="0" w:firstLine="400"/>
        <w:jc w:val="left"/>
      </w:pPr>
      <w:bookmarkStart w:id="964" w:name="bookmark964"/>
      <w:bookmarkStart w:id="965" w:name="bookmark965"/>
      <w:bookmarkStart w:id="966" w:name="bookmark966"/>
      <w:r>
        <w:rPr>
          <w:color w:val="000000"/>
          <w:spacing w:val="0"/>
          <w:w w:val="100"/>
          <w:position w:val="0"/>
        </w:rPr>
        <w:t>（三十二）其他综合收益</w:t>
      </w:r>
      <w:bookmarkEnd w:id="964"/>
      <w:bookmarkEnd w:id="965"/>
      <w:bookmarkEnd w:id="966"/>
    </w:p>
    <w:tbl>
      <w:tblPr>
        <w:tblOverlap w:val="never"/>
        <w:jc w:val="center"/>
        <w:tblLayout w:type="fixed"/>
      </w:tblPr>
      <w:tblGrid>
        <w:gridCol w:w="1718"/>
        <w:gridCol w:w="1339"/>
        <w:gridCol w:w="1272"/>
        <w:gridCol w:w="1421"/>
        <w:gridCol w:w="706"/>
        <w:gridCol w:w="1282"/>
        <w:gridCol w:w="1138"/>
        <w:gridCol w:w="1349"/>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16"/>
                <w:szCs w:val="16"/>
              </w:rPr>
            </w:pPr>
            <w:r>
              <w:rPr>
                <w:b/>
                <w:bCs/>
                <w:color w:val="000000"/>
                <w:spacing w:val="0"/>
                <w:w w:val="100"/>
                <w:position w:val="0"/>
                <w:sz w:val="16"/>
                <w:szCs w:val="16"/>
              </w:rPr>
              <w:t>期初</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余额</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本期发生金额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16"/>
                <w:szCs w:val="16"/>
              </w:rPr>
            </w:pPr>
            <w:r>
              <w:rPr>
                <w:b/>
                <w:bCs/>
                <w:color w:val="000000"/>
                <w:spacing w:val="0"/>
                <w:w w:val="100"/>
                <w:position w:val="0"/>
                <w:sz w:val="16"/>
                <w:szCs w:val="16"/>
              </w:rPr>
              <w:t>期末</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余额</w:t>
            </w:r>
          </w:p>
        </w:tc>
      </w:tr>
      <w:tr>
        <w:trPr>
          <w:trHeight w:val="81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6"/>
                <w:szCs w:val="16"/>
              </w:rPr>
            </w:pPr>
            <w:r>
              <w:rPr>
                <w:b/>
                <w:bCs/>
                <w:color w:val="000000"/>
                <w:spacing w:val="0"/>
                <w:w w:val="100"/>
                <w:position w:val="0"/>
                <w:sz w:val="16"/>
                <w:szCs w:val="16"/>
              </w:rPr>
              <w:t>本期所得税 前发生额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b/>
                <w:bCs/>
                <w:color w:val="000000"/>
                <w:spacing w:val="0"/>
                <w:w w:val="100"/>
                <w:position w:val="0"/>
                <w:sz w:val="16"/>
                <w:szCs w:val="16"/>
              </w:rPr>
              <w:t>减：前期计入其 他综合收益当 期转入损益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6"/>
                <w:szCs w:val="16"/>
              </w:rPr>
            </w:pPr>
            <w:r>
              <w:rPr>
                <w:b/>
                <w:bCs/>
                <w:color w:val="000000"/>
                <w:spacing w:val="0"/>
                <w:w w:val="100"/>
                <w:position w:val="0"/>
                <w:sz w:val="16"/>
                <w:szCs w:val="16"/>
              </w:rPr>
              <w:t>减：所 得税 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b/>
                <w:bCs/>
                <w:color w:val="000000"/>
                <w:spacing w:val="0"/>
                <w:w w:val="100"/>
                <w:position w:val="0"/>
                <w:sz w:val="16"/>
                <w:szCs w:val="16"/>
              </w:rPr>
              <w:t>税后归属于 母公司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b/>
                <w:bCs/>
                <w:color w:val="000000"/>
                <w:spacing w:val="0"/>
                <w:w w:val="100"/>
                <w:position w:val="0"/>
                <w:sz w:val="16"/>
                <w:szCs w:val="16"/>
              </w:rPr>
              <w:t>税后归属于 少数股东</w:t>
            </w:r>
          </w:p>
        </w:tc>
        <w:tc>
          <w:tcPr>
            <w:vMerge/>
            <w:tcBorders>
              <w:left w:val="single" w:sz="4"/>
            </w:tcBorders>
            <w:shd w:val="clear" w:color="auto" w:fill="FFFFFF"/>
            <w:vAlign w:val="center"/>
          </w:tcPr>
          <w:p>
            <w:pPr/>
          </w:p>
        </w:tc>
      </w:tr>
      <w:tr>
        <w:trPr>
          <w:trHeight w:val="79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3" w:lineRule="exact"/>
              <w:ind w:left="140" w:right="0" w:firstLine="0"/>
              <w:jc w:val="both"/>
              <w:rPr>
                <w:sz w:val="16"/>
                <w:szCs w:val="16"/>
              </w:rPr>
            </w:pPr>
            <w:r>
              <w:rPr>
                <w:color w:val="000000"/>
                <w:spacing w:val="0"/>
                <w:w w:val="100"/>
                <w:position w:val="0"/>
                <w:sz w:val="16"/>
                <w:szCs w:val="16"/>
              </w:rPr>
              <w:t>一、以后不能重分 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9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40" w:right="0" w:firstLine="0"/>
              <w:jc w:val="both"/>
              <w:rPr>
                <w:sz w:val="16"/>
                <w:szCs w:val="16"/>
              </w:rPr>
            </w:pPr>
            <w:r>
              <w:rPr>
                <w:color w:val="000000"/>
                <w:spacing w:val="0"/>
                <w:w w:val="100"/>
                <w:position w:val="0"/>
                <w:sz w:val="16"/>
                <w:szCs w:val="16"/>
              </w:rPr>
              <w:t>二、以后将重分类 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-27,547,980.74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15,693,449.74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15,574,758.58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118,691.16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-11,973,222.16</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40" w:right="0" w:firstLine="0"/>
              <w:jc w:val="both"/>
              <w:rPr>
                <w:sz w:val="16"/>
                <w:szCs w:val="16"/>
              </w:rPr>
            </w:pPr>
            <w:r>
              <w:rPr>
                <w:color w:val="000000"/>
                <w:spacing w:val="0"/>
                <w:w w:val="100"/>
                <w:position w:val="0"/>
                <w:sz w:val="16"/>
                <w:szCs w:val="16"/>
              </w:rPr>
              <w:t>可供出售金融资产 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-31,687,745.37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9.991.751.64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9,991,751.64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-21,695,993.73</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140" w:right="0" w:firstLine="0"/>
              <w:jc w:val="both"/>
              <w:rPr>
                <w:sz w:val="16"/>
                <w:szCs w:val="16"/>
              </w:rPr>
            </w:pPr>
            <w:r>
              <w:rPr>
                <w:color w:val="000000"/>
                <w:spacing w:val="0"/>
                <w:w w:val="100"/>
                <w:position w:val="0"/>
                <w:sz w:val="16"/>
                <w:szCs w:val="16"/>
              </w:rPr>
              <w:t>外币财务报表折算</w:t>
            </w:r>
          </w:p>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4,139,764.63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5,701,698.10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5,583,006.94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118,691.16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9,722,771.57</w:t>
            </w:r>
          </w:p>
        </w:tc>
      </w:tr>
      <w:tr>
        <w:trPr>
          <w:trHeight w:val="45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b/>
                <w:bCs/>
                <w:color w:val="000000"/>
                <w:spacing w:val="0"/>
                <w:w w:val="100"/>
                <w:position w:val="0"/>
                <w:sz w:val="16"/>
                <w:szCs w:val="16"/>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-27,547,980.74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15,693,449.74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15,574,758.58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118,691.16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-11,973,222.16</w:t>
            </w:r>
          </w:p>
        </w:tc>
      </w:tr>
    </w:tbl>
    <w:p>
      <w:pPr>
        <w:widowControl w:val="0"/>
        <w:spacing w:after="139" w:line="1" w:lineRule="exact"/>
      </w:pPr>
    </w:p>
    <w:p>
      <w:pPr>
        <w:pStyle w:val="Style28"/>
        <w:keepNext/>
        <w:keepLines/>
        <w:widowControl w:val="0"/>
        <w:shd w:val="clear" w:color="auto" w:fill="auto"/>
        <w:bidi w:val="0"/>
        <w:spacing w:before="0" w:after="140" w:line="240" w:lineRule="auto"/>
        <w:ind w:left="0" w:right="0" w:firstLine="400"/>
        <w:jc w:val="left"/>
      </w:pPr>
      <w:bookmarkStart w:id="967" w:name="bookmark967"/>
      <w:bookmarkStart w:id="968" w:name="bookmark968"/>
      <w:bookmarkStart w:id="969" w:name="bookmark969"/>
      <w:r>
        <w:rPr>
          <w:color w:val="000000"/>
          <w:spacing w:val="0"/>
          <w:w w:val="100"/>
          <w:position w:val="0"/>
        </w:rPr>
        <w:t>（三十三）盈余公积</w:t>
      </w:r>
      <w:bookmarkEnd w:id="967"/>
      <w:bookmarkEnd w:id="968"/>
      <w:bookmarkEnd w:id="969"/>
    </w:p>
    <w:tbl>
      <w:tblPr>
        <w:tblOverlap w:val="never"/>
        <w:jc w:val="center"/>
        <w:tblLayout w:type="fixed"/>
      </w:tblPr>
      <w:tblGrid>
        <w:gridCol w:w="2654"/>
        <w:gridCol w:w="1814"/>
        <w:gridCol w:w="1810"/>
        <w:gridCol w:w="1810"/>
        <w:gridCol w:w="1843"/>
      </w:tblGrid>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b/>
                <w:bCs/>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82,135,461.79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12,953,227.45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95,088,689.24</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储备基金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994,451.41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994,451.41</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企业发展基金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994,451.41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994,451.41</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b/>
                <w:bCs/>
                <w:color w:val="000000"/>
                <w:spacing w:val="0"/>
                <w:w w:val="100"/>
                <w:position w:val="0"/>
                <w:sz w:val="18"/>
                <w:szCs w:val="18"/>
              </w:rPr>
              <w:t>84,124,364.61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b/>
                <w:bCs/>
                <w:color w:val="000000"/>
                <w:spacing w:val="0"/>
                <w:w w:val="100"/>
                <w:position w:val="0"/>
                <w:sz w:val="18"/>
                <w:szCs w:val="18"/>
              </w:rPr>
              <w:t>12,953,227.45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b/>
                <w:bCs/>
                <w:color w:val="000000"/>
                <w:spacing w:val="0"/>
                <w:w w:val="100"/>
                <w:position w:val="0"/>
                <w:sz w:val="18"/>
                <w:szCs w:val="18"/>
              </w:rPr>
              <w:t>97,077,592.06</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720"/>
        <w:jc w:val="left"/>
        <w:rPr>
          <w:sz w:val="20"/>
          <w:szCs w:val="20"/>
        </w:rPr>
      </w:pPr>
      <w:r>
        <w:rPr>
          <w:color w:val="000000"/>
          <w:spacing w:val="0"/>
          <w:w w:val="100"/>
          <w:position w:val="0"/>
          <w:sz w:val="20"/>
          <w:szCs w:val="20"/>
        </w:rPr>
        <w:t>盈余公积本期增加系按照公司章程的规定提取的法定盈余公积。</w:t>
      </w:r>
    </w:p>
    <w:p>
      <w:pPr>
        <w:pStyle w:val="Style28"/>
        <w:keepNext/>
        <w:keepLines/>
        <w:widowControl w:val="0"/>
        <w:shd w:val="clear" w:color="auto" w:fill="auto"/>
        <w:bidi w:val="0"/>
        <w:spacing w:before="0" w:after="140" w:line="240" w:lineRule="auto"/>
        <w:ind w:left="0" w:right="0" w:firstLine="400"/>
        <w:jc w:val="left"/>
      </w:pPr>
      <w:bookmarkStart w:id="970" w:name="bookmark970"/>
      <w:bookmarkStart w:id="971" w:name="bookmark971"/>
      <w:bookmarkStart w:id="972" w:name="bookmark972"/>
      <w:r>
        <w:rPr>
          <w:color w:val="000000"/>
          <w:spacing w:val="0"/>
          <w:w w:val="100"/>
          <w:position w:val="0"/>
        </w:rPr>
        <w:t>（三十四）未分配利润</w:t>
      </w:r>
      <w:bookmarkEnd w:id="970"/>
      <w:bookmarkEnd w:id="971"/>
      <w:bookmarkEnd w:id="972"/>
    </w:p>
    <w:tbl>
      <w:tblPr>
        <w:tblOverlap w:val="never"/>
        <w:jc w:val="center"/>
        <w:tblLayout w:type="fixed"/>
      </w:tblPr>
      <w:tblGrid>
        <w:gridCol w:w="4834"/>
        <w:gridCol w:w="2410"/>
        <w:gridCol w:w="2299"/>
      </w:tblGrid>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b/>
                <w:bCs/>
                <w:color w:val="000000"/>
                <w:spacing w:val="0"/>
                <w:w w:val="100"/>
                <w:position w:val="0"/>
                <w:sz w:val="16"/>
                <w:szCs w:val="16"/>
              </w:rPr>
              <w:t>本期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上期</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1,586,310,670.11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1,330,047,990.16</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336,106,379.14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335,480,068.17</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12,953,227.45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18,535,591.42</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33,981,806.21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60,681,796.80</w:t>
            </w:r>
          </w:p>
        </w:tc>
      </w:tr>
      <w:tr>
        <w:trPr>
          <w:trHeight w:val="43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1,875,482,015.59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1,586,310,670.11</w:t>
            </w:r>
          </w:p>
        </w:tc>
      </w:tr>
    </w:tbl>
    <w:p>
      <w:pPr>
        <w:widowControl w:val="0"/>
        <w:spacing w:after="139" w:line="1" w:lineRule="exact"/>
      </w:pPr>
    </w:p>
    <w:p>
      <w:pPr>
        <w:pStyle w:val="Style28"/>
        <w:keepNext/>
        <w:keepLines/>
        <w:widowControl w:val="0"/>
        <w:shd w:val="clear" w:color="auto" w:fill="auto"/>
        <w:bidi w:val="0"/>
        <w:spacing w:before="0" w:after="140" w:line="240" w:lineRule="auto"/>
        <w:ind w:left="0" w:right="0" w:firstLine="400"/>
        <w:jc w:val="left"/>
      </w:pPr>
      <w:bookmarkStart w:id="973" w:name="bookmark973"/>
      <w:bookmarkStart w:id="974" w:name="bookmark974"/>
      <w:bookmarkStart w:id="975" w:name="bookmark975"/>
      <w:r>
        <w:rPr>
          <w:color w:val="000000"/>
          <w:spacing w:val="0"/>
          <w:w w:val="100"/>
          <w:position w:val="0"/>
        </w:rPr>
        <w:t>（三十五）营业收入和营业成本</w:t>
      </w:r>
      <w:bookmarkEnd w:id="973"/>
      <w:bookmarkEnd w:id="974"/>
      <w:bookmarkEnd w:id="975"/>
    </w:p>
    <w:tbl>
      <w:tblPr>
        <w:tblOverlap w:val="never"/>
        <w:jc w:val="center"/>
        <w:tblLayout w:type="fixed"/>
      </w:tblPr>
      <w:tblGrid>
        <w:gridCol w:w="2098"/>
        <w:gridCol w:w="1910"/>
        <w:gridCol w:w="1944"/>
        <w:gridCol w:w="2016"/>
        <w:gridCol w:w="1949"/>
      </w:tblGrid>
      <w:tr>
        <w:trPr>
          <w:trHeight w:val="403"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上期发生额</w:t>
            </w:r>
          </w:p>
        </w:tc>
      </w:tr>
      <w:tr>
        <w:trPr>
          <w:trHeight w:val="394"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营业收入</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营业收入</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营业成本</w:t>
            </w:r>
          </w:p>
        </w:tc>
      </w:tr>
    </w:tbl>
    <w:p>
      <w:pPr>
        <w:widowControl w:val="0"/>
        <w:spacing w:line="1" w:lineRule="exact"/>
      </w:pPr>
      <w:r>
        <w:br w:type="page"/>
      </w:r>
    </w:p>
    <w:tbl>
      <w:tblPr>
        <w:tblOverlap w:val="never"/>
        <w:jc w:val="center"/>
        <w:tblLayout w:type="fixed"/>
      </w:tblPr>
      <w:tblGrid>
        <w:gridCol w:w="2112"/>
        <w:gridCol w:w="1910"/>
        <w:gridCol w:w="1944"/>
        <w:gridCol w:w="2016"/>
        <w:gridCol w:w="1949"/>
      </w:tblGrid>
      <w:tr>
        <w:trPr>
          <w:trHeight w:val="403"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6"/>
                <w:szCs w:val="16"/>
              </w:rPr>
            </w:pPr>
            <w:r>
              <w:rPr>
                <w:b/>
                <w:bCs/>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上期发生额</w:t>
            </w:r>
          </w:p>
        </w:tc>
      </w:tr>
      <w:tr>
        <w:trPr>
          <w:trHeight w:val="38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营业成本</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1,416,147,008.18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878,731,531.06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1,246,126,693.42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733,663,451.82</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2,425,242.05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516,431.31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3,668,340.89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1,025,871.67</w:t>
            </w:r>
          </w:p>
        </w:tc>
      </w:tr>
      <w:tr>
        <w:trPr>
          <w:trHeight w:val="41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b/>
                <w:bCs/>
                <w:color w:val="000000"/>
                <w:spacing w:val="0"/>
                <w:w w:val="100"/>
                <w:position w:val="0"/>
                <w:sz w:val="18"/>
                <w:szCs w:val="18"/>
              </w:rPr>
              <w:t>1,418,572,250.23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b/>
                <w:bCs/>
                <w:color w:val="000000"/>
                <w:spacing w:val="0"/>
                <w:w w:val="100"/>
                <w:position w:val="0"/>
                <w:sz w:val="18"/>
                <w:szCs w:val="18"/>
              </w:rPr>
              <w:t>879,247,962.37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b/>
                <w:bCs/>
                <w:color w:val="000000"/>
                <w:spacing w:val="0"/>
                <w:w w:val="100"/>
                <w:position w:val="0"/>
                <w:sz w:val="18"/>
                <w:szCs w:val="18"/>
              </w:rPr>
              <w:t>1,249,795,034.31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b/>
                <w:bCs/>
                <w:color w:val="000000"/>
                <w:spacing w:val="0"/>
                <w:w w:val="100"/>
                <w:position w:val="0"/>
                <w:sz w:val="18"/>
                <w:szCs w:val="18"/>
              </w:rPr>
              <w:t>734,689,323.49</w:t>
            </w:r>
          </w:p>
        </w:tc>
      </w:tr>
    </w:tbl>
    <w:p>
      <w:pPr>
        <w:widowControl w:val="0"/>
        <w:spacing w:after="119" w:line="1" w:lineRule="exact"/>
      </w:pPr>
    </w:p>
    <w:p>
      <w:pPr>
        <w:pStyle w:val="Style28"/>
        <w:keepNext/>
        <w:keepLines/>
        <w:widowControl w:val="0"/>
        <w:shd w:val="clear" w:color="auto" w:fill="auto"/>
        <w:bidi w:val="0"/>
        <w:spacing w:before="0" w:after="120" w:line="240" w:lineRule="auto"/>
        <w:ind w:left="0" w:right="0" w:firstLine="260"/>
        <w:jc w:val="left"/>
      </w:pPr>
      <w:bookmarkStart w:id="976" w:name="bookmark976"/>
      <w:bookmarkStart w:id="977" w:name="bookmark977"/>
      <w:bookmarkStart w:id="978" w:name="bookmark978"/>
      <w:r>
        <w:rPr>
          <w:color w:val="000000"/>
          <w:spacing w:val="0"/>
          <w:w w:val="100"/>
          <w:position w:val="0"/>
        </w:rPr>
        <w:t>（三十六）税金及附加</w:t>
      </w:r>
      <w:bookmarkEnd w:id="976"/>
      <w:bookmarkEnd w:id="977"/>
      <w:bookmarkEnd w:id="978"/>
    </w:p>
    <w:tbl>
      <w:tblPr>
        <w:tblOverlap w:val="never"/>
        <w:jc w:val="center"/>
        <w:tblLayout w:type="fixed"/>
      </w:tblPr>
      <w:tblGrid>
        <w:gridCol w:w="4656"/>
        <w:gridCol w:w="2544"/>
        <w:gridCol w:w="2731"/>
      </w:tblGrid>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上期发生额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51,919.42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196,948.69</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6,690,982.96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4,702,809.36</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2,959,747.01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2,177,522.12</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1,979,950.98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1,451,681.40</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500,088.79</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482,973.28</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13,260.00</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978,783.11</w:t>
            </w: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303,693.65</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水利基金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117,268.72</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14,078,667.92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b/>
                <w:bCs/>
                <w:color w:val="000000"/>
                <w:spacing w:val="0"/>
                <w:w w:val="100"/>
                <w:position w:val="0"/>
                <w:sz w:val="18"/>
                <w:szCs w:val="18"/>
              </w:rPr>
              <w:t>8,528,961.57</w:t>
            </w:r>
          </w:p>
        </w:tc>
      </w:tr>
    </w:tbl>
    <w:p>
      <w:pPr>
        <w:widowControl w:val="0"/>
        <w:spacing w:after="119" w:line="1" w:lineRule="exact"/>
      </w:pPr>
    </w:p>
    <w:p>
      <w:pPr>
        <w:pStyle w:val="Style28"/>
        <w:keepNext/>
        <w:keepLines/>
        <w:widowControl w:val="0"/>
        <w:shd w:val="clear" w:color="auto" w:fill="auto"/>
        <w:bidi w:val="0"/>
        <w:spacing w:before="0" w:after="120" w:line="240" w:lineRule="auto"/>
        <w:ind w:left="0" w:right="0" w:firstLine="260"/>
        <w:jc w:val="left"/>
      </w:pPr>
      <w:bookmarkStart w:id="979" w:name="bookmark979"/>
      <w:bookmarkStart w:id="980" w:name="bookmark980"/>
      <w:bookmarkStart w:id="981" w:name="bookmark981"/>
      <w:r>
        <w:rPr>
          <w:color w:val="000000"/>
          <w:spacing w:val="0"/>
          <w:w w:val="100"/>
          <w:position w:val="0"/>
        </w:rPr>
        <w:t>（三十七）销售费用</w:t>
      </w:r>
      <w:bookmarkEnd w:id="979"/>
      <w:bookmarkEnd w:id="980"/>
      <w:bookmarkEnd w:id="981"/>
    </w:p>
    <w:tbl>
      <w:tblPr>
        <w:tblOverlap w:val="never"/>
        <w:jc w:val="center"/>
        <w:tblLayout w:type="fixed"/>
      </w:tblPr>
      <w:tblGrid>
        <w:gridCol w:w="4656"/>
        <w:gridCol w:w="2539"/>
        <w:gridCol w:w="2736"/>
      </w:tblGrid>
      <w:tr>
        <w:trPr>
          <w:trHeight w:val="3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上期发生额</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人工费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48,633,566.33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34,390,619.50</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6,354,376.78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4,109,549.81</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7,081,109.25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10,686,540.76</w:t>
            </w:r>
          </w:p>
        </w:tc>
      </w:tr>
      <w:tr>
        <w:trPr>
          <w:trHeight w:val="36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2,189,512.99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2,272,266.51</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折旧摊销租赁费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2,924,890.02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2,102,631.46</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运保费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1,990,769.97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2,861,555.02</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市场营销费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9,563,931.24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5,982,138.19</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中介费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163,002.03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340,651.38</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409,611.05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1,316,136.74</w:t>
            </w:r>
          </w:p>
        </w:tc>
      </w:tr>
      <w:tr>
        <w:trPr>
          <w:trHeight w:val="39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79,310,769.66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b/>
                <w:bCs/>
                <w:color w:val="000000"/>
                <w:spacing w:val="0"/>
                <w:w w:val="100"/>
                <w:position w:val="0"/>
                <w:sz w:val="18"/>
                <w:szCs w:val="18"/>
              </w:rPr>
              <w:t>64,062,089.37</w:t>
            </w:r>
          </w:p>
        </w:tc>
      </w:tr>
    </w:tbl>
    <w:p>
      <w:pPr>
        <w:widowControl w:val="0"/>
        <w:spacing w:after="119" w:line="1" w:lineRule="exact"/>
      </w:pPr>
    </w:p>
    <w:p>
      <w:pPr>
        <w:pStyle w:val="Style28"/>
        <w:keepNext/>
        <w:keepLines/>
        <w:widowControl w:val="0"/>
        <w:shd w:val="clear" w:color="auto" w:fill="auto"/>
        <w:bidi w:val="0"/>
        <w:spacing w:before="0" w:after="120" w:line="240" w:lineRule="auto"/>
        <w:ind w:left="0" w:right="0" w:firstLine="260"/>
        <w:jc w:val="left"/>
      </w:pPr>
      <w:bookmarkStart w:id="982" w:name="bookmark982"/>
      <w:bookmarkStart w:id="983" w:name="bookmark983"/>
      <w:bookmarkStart w:id="984" w:name="bookmark984"/>
      <w:r>
        <w:rPr>
          <w:color w:val="000000"/>
          <w:spacing w:val="0"/>
          <w:w w:val="100"/>
          <w:position w:val="0"/>
        </w:rPr>
        <w:t>（三十八）管理费用</w:t>
      </w:r>
      <w:bookmarkEnd w:id="982"/>
      <w:bookmarkEnd w:id="983"/>
      <w:bookmarkEnd w:id="984"/>
    </w:p>
    <w:tbl>
      <w:tblPr>
        <w:tblOverlap w:val="never"/>
        <w:jc w:val="center"/>
        <w:tblLayout w:type="fixed"/>
      </w:tblPr>
      <w:tblGrid>
        <w:gridCol w:w="4656"/>
        <w:gridCol w:w="2544"/>
        <w:gridCol w:w="2731"/>
      </w:tblGrid>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上期发生额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64,432,002.80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44,168,819.62</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3,447,477.27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1,872,036.22</w:t>
            </w:r>
          </w:p>
        </w:tc>
      </w:tr>
      <w:tr>
        <w:trPr>
          <w:trHeight w:val="40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业务招待费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3,800,996.53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6,163,427.35</w:t>
            </w:r>
          </w:p>
        </w:tc>
      </w:tr>
    </w:tbl>
    <w:p>
      <w:pPr>
        <w:widowControl w:val="0"/>
        <w:spacing w:line="1" w:lineRule="exact"/>
      </w:pPr>
      <w:r>
        <w:br w:type="page"/>
      </w:r>
    </w:p>
    <w:tbl>
      <w:tblPr>
        <w:tblOverlap w:val="never"/>
        <w:jc w:val="center"/>
        <w:tblLayout w:type="fixed"/>
      </w:tblPr>
      <w:tblGrid>
        <w:gridCol w:w="4656"/>
        <w:gridCol w:w="2544"/>
        <w:gridCol w:w="2731"/>
      </w:tblGrid>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b/>
                <w:bCs/>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6"/>
                <w:szCs w:val="16"/>
              </w:rPr>
            </w:pPr>
            <w:r>
              <w:rPr>
                <w:b/>
                <w:bCs/>
                <w:color w:val="000000"/>
                <w:spacing w:val="0"/>
                <w:w w:val="100"/>
                <w:position w:val="0"/>
                <w:sz w:val="16"/>
                <w:szCs w:val="16"/>
              </w:rPr>
              <w:t>上期发生额</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4,363,201.00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5,539,235.30</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折旧摊销租赁及物业费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65,936,563.82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40,615,969.20</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73,305,649.53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53,890,624.48</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中介费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12,811,766.80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10,024,168.83</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3,007,768.68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3,603,253.12</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679,240.99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579,811.59</w:t>
            </w:r>
          </w:p>
        </w:tc>
      </w:tr>
      <w:tr>
        <w:trPr>
          <w:trHeight w:val="40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231,784,667.42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166,457,345.71</w:t>
            </w:r>
          </w:p>
        </w:tc>
      </w:tr>
    </w:tbl>
    <w:p>
      <w:pPr>
        <w:widowControl w:val="0"/>
        <w:spacing w:after="139" w:line="1" w:lineRule="exact"/>
      </w:pPr>
    </w:p>
    <w:p>
      <w:pPr>
        <w:pStyle w:val="Style28"/>
        <w:keepNext/>
        <w:keepLines/>
        <w:widowControl w:val="0"/>
        <w:shd w:val="clear" w:color="auto" w:fill="auto"/>
        <w:bidi w:val="0"/>
        <w:spacing w:before="0" w:after="140" w:line="240" w:lineRule="auto"/>
        <w:ind w:left="0" w:right="0" w:firstLine="260"/>
        <w:jc w:val="left"/>
      </w:pPr>
      <w:bookmarkStart w:id="985" w:name="bookmark985"/>
      <w:bookmarkStart w:id="986" w:name="bookmark986"/>
      <w:bookmarkStart w:id="987" w:name="bookmark987"/>
      <w:r>
        <w:rPr>
          <w:color w:val="000000"/>
          <w:spacing w:val="0"/>
          <w:w w:val="100"/>
          <w:position w:val="0"/>
        </w:rPr>
        <w:t>（三十九）财务费用</w:t>
      </w:r>
      <w:bookmarkEnd w:id="985"/>
      <w:bookmarkEnd w:id="986"/>
      <w:bookmarkEnd w:id="987"/>
    </w:p>
    <w:tbl>
      <w:tblPr>
        <w:tblOverlap w:val="never"/>
        <w:jc w:val="center"/>
        <w:tblLayout w:type="fixed"/>
      </w:tblPr>
      <w:tblGrid>
        <w:gridCol w:w="4656"/>
        <w:gridCol w:w="2544"/>
        <w:gridCol w:w="2731"/>
      </w:tblGrid>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b/>
                <w:bCs/>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6"/>
                <w:szCs w:val="16"/>
              </w:rPr>
            </w:pPr>
            <w:r>
              <w:rPr>
                <w:b/>
                <w:bCs/>
                <w:color w:val="000000"/>
                <w:spacing w:val="0"/>
                <w:w w:val="100"/>
                <w:position w:val="0"/>
                <w:sz w:val="16"/>
                <w:szCs w:val="16"/>
              </w:rPr>
              <w:t>上期发生额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4,560,644.77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301,896.10</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7,494,220.91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10,922,532.15</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汇兑净损益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-11,247,082.62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-8,248,765.41</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640,734.34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565,202.73</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554,012.64</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-12,985,911.78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-18,304,198.73</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注：“其他”主要为现金折扣。</w:t>
      </w:r>
    </w:p>
    <w:p>
      <w:pPr>
        <w:pStyle w:val="Style28"/>
        <w:keepNext/>
        <w:keepLines/>
        <w:widowControl w:val="0"/>
        <w:shd w:val="clear" w:color="auto" w:fill="auto"/>
        <w:bidi w:val="0"/>
        <w:spacing w:before="0" w:after="140" w:line="240" w:lineRule="auto"/>
        <w:ind w:left="0" w:right="0" w:firstLine="260"/>
        <w:jc w:val="left"/>
      </w:pPr>
      <w:bookmarkStart w:id="988" w:name="bookmark988"/>
      <w:bookmarkStart w:id="989" w:name="bookmark989"/>
      <w:bookmarkStart w:id="990" w:name="bookmark990"/>
      <w:r>
        <w:rPr>
          <w:color w:val="000000"/>
          <w:spacing w:val="0"/>
          <w:w w:val="100"/>
          <w:position w:val="0"/>
        </w:rPr>
        <w:t>（四十）资产减值损失</w:t>
      </w:r>
      <w:bookmarkEnd w:id="988"/>
      <w:bookmarkEnd w:id="989"/>
      <w:bookmarkEnd w:id="990"/>
    </w:p>
    <w:tbl>
      <w:tblPr>
        <w:tblOverlap w:val="never"/>
        <w:jc w:val="center"/>
        <w:tblLayout w:type="fixed"/>
      </w:tblPr>
      <w:tblGrid>
        <w:gridCol w:w="4656"/>
        <w:gridCol w:w="2544"/>
        <w:gridCol w:w="2731"/>
      </w:tblGrid>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b/>
                <w:bCs/>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6"/>
                <w:szCs w:val="16"/>
              </w:rPr>
            </w:pPr>
            <w:r>
              <w:rPr>
                <w:b/>
                <w:bCs/>
                <w:color w:val="000000"/>
                <w:spacing w:val="0"/>
                <w:w w:val="100"/>
                <w:position w:val="0"/>
                <w:sz w:val="16"/>
                <w:szCs w:val="16"/>
              </w:rPr>
              <w:t>上期发生额</w:t>
            </w:r>
          </w:p>
        </w:tc>
      </w:tr>
      <w:tr>
        <w:trPr>
          <w:trHeight w:val="3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4,220,873.95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1,005,384.93</w:t>
            </w:r>
          </w:p>
        </w:tc>
      </w:tr>
      <w:tr>
        <w:trPr>
          <w:trHeight w:val="3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无形资产减值准备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560,666.69</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b/>
                <w:bCs/>
                <w:color w:val="000000"/>
                <w:spacing w:val="0"/>
                <w:w w:val="100"/>
                <w:position w:val="0"/>
                <w:sz w:val="18"/>
                <w:szCs w:val="18"/>
              </w:rPr>
              <w:t>4,781,540.64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b/>
                <w:bCs/>
                <w:color w:val="000000"/>
                <w:spacing w:val="0"/>
                <w:w w:val="100"/>
                <w:position w:val="0"/>
                <w:sz w:val="18"/>
                <w:szCs w:val="18"/>
              </w:rPr>
              <w:t>1,005,384.93</w:t>
            </w:r>
          </w:p>
        </w:tc>
      </w:tr>
    </w:tbl>
    <w:p>
      <w:pPr>
        <w:widowControl w:val="0"/>
        <w:spacing w:after="139" w:line="1" w:lineRule="exact"/>
      </w:pPr>
    </w:p>
    <w:p>
      <w:pPr>
        <w:pStyle w:val="Style28"/>
        <w:keepNext/>
        <w:keepLines/>
        <w:widowControl w:val="0"/>
        <w:shd w:val="clear" w:color="auto" w:fill="auto"/>
        <w:bidi w:val="0"/>
        <w:spacing w:before="0" w:after="140" w:line="240" w:lineRule="auto"/>
        <w:ind w:left="0" w:right="0" w:firstLine="260"/>
        <w:jc w:val="left"/>
      </w:pPr>
      <w:bookmarkStart w:id="991" w:name="bookmark991"/>
      <w:bookmarkStart w:id="992" w:name="bookmark992"/>
      <w:bookmarkStart w:id="993" w:name="bookmark993"/>
      <w:r>
        <w:rPr>
          <w:color w:val="000000"/>
          <w:spacing w:val="0"/>
          <w:w w:val="100"/>
          <w:position w:val="0"/>
        </w:rPr>
        <w:t>（四十一）投资收益</w:t>
      </w:r>
      <w:bookmarkEnd w:id="991"/>
      <w:bookmarkEnd w:id="992"/>
      <w:bookmarkEnd w:id="993"/>
    </w:p>
    <w:tbl>
      <w:tblPr>
        <w:tblOverlap w:val="never"/>
        <w:jc w:val="center"/>
        <w:tblLayout w:type="fixed"/>
      </w:tblPr>
      <w:tblGrid>
        <w:gridCol w:w="4656"/>
        <w:gridCol w:w="2539"/>
        <w:gridCol w:w="2736"/>
      </w:tblGrid>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上期发生额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持有可供出售金融资产期间取得的投资收益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2,385,270.36</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b/>
                <w:bCs/>
                <w:color w:val="000000"/>
                <w:spacing w:val="0"/>
                <w:w w:val="100"/>
                <w:position w:val="0"/>
                <w:sz w:val="18"/>
                <w:szCs w:val="18"/>
              </w:rPr>
              <w:t>2,385,270.36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28"/>
        <w:keepNext/>
        <w:keepLines/>
        <w:widowControl w:val="0"/>
        <w:shd w:val="clear" w:color="auto" w:fill="auto"/>
        <w:bidi w:val="0"/>
        <w:spacing w:before="0" w:after="140" w:line="240" w:lineRule="auto"/>
        <w:ind w:left="0" w:right="0" w:firstLine="260"/>
        <w:jc w:val="left"/>
      </w:pPr>
      <w:bookmarkStart w:id="994" w:name="bookmark994"/>
      <w:bookmarkStart w:id="995" w:name="bookmark995"/>
      <w:bookmarkStart w:id="996" w:name="bookmark996"/>
      <w:r>
        <w:rPr>
          <w:color w:val="000000"/>
          <w:spacing w:val="0"/>
          <w:w w:val="100"/>
          <w:position w:val="0"/>
        </w:rPr>
        <w:t>（四十二）营业外收入</w:t>
      </w:r>
      <w:bookmarkEnd w:id="994"/>
      <w:bookmarkEnd w:id="995"/>
      <w:bookmarkEnd w:id="996"/>
    </w:p>
    <w:tbl>
      <w:tblPr>
        <w:tblOverlap w:val="never"/>
        <w:jc w:val="center"/>
        <w:tblLayout w:type="fixed"/>
      </w:tblPr>
      <w:tblGrid>
        <w:gridCol w:w="3686"/>
        <w:gridCol w:w="1949"/>
        <w:gridCol w:w="2059"/>
        <w:gridCol w:w="2237"/>
      </w:tblGrid>
      <w:tr>
        <w:trPr>
          <w:trHeight w:val="58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6"/>
                <w:szCs w:val="16"/>
              </w:rPr>
            </w:pPr>
            <w:r>
              <w:rPr>
                <w:b/>
                <w:bCs/>
                <w:color w:val="000000"/>
                <w:spacing w:val="0"/>
                <w:w w:val="100"/>
                <w:position w:val="0"/>
                <w:sz w:val="16"/>
                <w:szCs w:val="16"/>
              </w:rPr>
              <w:t>计入当期非经常性损益的 金额</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208,565.81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29,807.37</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208,565.81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29,807.37</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127,653,984.72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99,710,565.10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120,901,928.10</w:t>
            </w:r>
          </w:p>
        </w:tc>
      </w:tr>
      <w:tr>
        <w:trPr>
          <w:trHeight w:val="50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858,693.72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1,211,939.37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858,693.72</w:t>
            </w:r>
          </w:p>
        </w:tc>
      </w:tr>
    </w:tbl>
    <w:p>
      <w:pPr>
        <w:widowControl w:val="0"/>
        <w:spacing w:line="1" w:lineRule="exact"/>
      </w:pPr>
      <w:r>
        <w:br w:type="page"/>
      </w:r>
    </w:p>
    <w:tbl>
      <w:tblPr>
        <w:tblOverlap w:val="never"/>
        <w:jc w:val="center"/>
        <w:tblLayout w:type="fixed"/>
      </w:tblPr>
      <w:tblGrid>
        <w:gridCol w:w="3686"/>
        <w:gridCol w:w="1949"/>
        <w:gridCol w:w="2054"/>
        <w:gridCol w:w="2242"/>
      </w:tblGrid>
      <w:tr>
        <w:trPr>
          <w:trHeight w:val="58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上期发生额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6"/>
                <w:szCs w:val="16"/>
              </w:rPr>
            </w:pPr>
            <w:r>
              <w:rPr>
                <w:b/>
                <w:bCs/>
                <w:color w:val="000000"/>
                <w:spacing w:val="0"/>
                <w:w w:val="100"/>
                <w:position w:val="0"/>
                <w:sz w:val="16"/>
                <w:szCs w:val="16"/>
              </w:rPr>
              <w:t>计入当期非经常性损益的 金额</w:t>
            </w:r>
          </w:p>
        </w:tc>
      </w:tr>
      <w:tr>
        <w:trPr>
          <w:trHeight w:val="50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b/>
                <w:bCs/>
                <w:color w:val="000000"/>
                <w:spacing w:val="0"/>
                <w:w w:val="100"/>
                <w:position w:val="0"/>
                <w:sz w:val="18"/>
                <w:szCs w:val="18"/>
              </w:rPr>
              <w:t>128,542,485.81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101,131,070.28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121,790,429.19</w:t>
            </w:r>
          </w:p>
        </w:tc>
      </w:tr>
    </w:tbl>
    <w:p>
      <w:pPr>
        <w:widowControl w:val="0"/>
        <w:spacing w:after="119" w:line="1" w:lineRule="exact"/>
      </w:pPr>
    </w:p>
    <w:p>
      <w:pPr>
        <w:pStyle w:val="Style31"/>
        <w:keepNext w:val="0"/>
        <w:keepLines w:val="0"/>
        <w:widowControl w:val="0"/>
        <w:shd w:val="clear" w:color="auto" w:fill="auto"/>
        <w:bidi w:val="0"/>
        <w:spacing w:before="0" w:line="240" w:lineRule="auto"/>
        <w:ind w:left="0" w:right="0" w:firstLine="560"/>
        <w:jc w:val="left"/>
        <w:rPr>
          <w:sz w:val="20"/>
          <w:szCs w:val="20"/>
        </w:rPr>
      </w:pPr>
      <w:r>
        <w:rPr>
          <w:color w:val="000000"/>
          <w:spacing w:val="0"/>
          <w:w w:val="100"/>
          <w:position w:val="0"/>
          <w:sz w:val="20"/>
          <w:szCs w:val="20"/>
        </w:rPr>
        <w:t>计入当期损益的政府补助:</w:t>
      </w:r>
    </w:p>
    <w:tbl>
      <w:tblPr>
        <w:tblOverlap w:val="never"/>
        <w:jc w:val="center"/>
        <w:tblLayout w:type="fixed"/>
      </w:tblPr>
      <w:tblGrid>
        <w:gridCol w:w="2654"/>
        <w:gridCol w:w="2318"/>
        <w:gridCol w:w="2462"/>
        <w:gridCol w:w="2496"/>
      </w:tblGrid>
      <w:tr>
        <w:trPr>
          <w:trHeight w:val="5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补助项目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rPr>
              <w:t>本期发生金额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上期发生金额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与资产相关</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与收益相关</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50" w:lineRule="exact"/>
              <w:ind w:left="320" w:right="0" w:hanging="180"/>
              <w:jc w:val="left"/>
              <w:rPr>
                <w:sz w:val="16"/>
                <w:szCs w:val="16"/>
              </w:rPr>
            </w:pPr>
            <w:r>
              <w:rPr>
                <w:color w:val="000000"/>
                <w:spacing w:val="0"/>
                <w:w w:val="100"/>
                <w:position w:val="0"/>
                <w:sz w:val="16"/>
                <w:szCs w:val="16"/>
              </w:rPr>
              <w:t>年产</w:t>
            </w:r>
            <w:r>
              <w:rPr>
                <w:rFonts w:ascii="Times New Roman" w:eastAsia="Times New Roman" w:hAnsi="Times New Roman" w:cs="Times New Roman"/>
                <w:color w:val="000000"/>
                <w:spacing w:val="0"/>
                <w:w w:val="100"/>
                <w:position w:val="0"/>
                <w:sz w:val="18"/>
                <w:szCs w:val="18"/>
              </w:rPr>
              <w:t>7200</w:t>
            </w:r>
            <w:r>
              <w:rPr>
                <w:color w:val="000000"/>
                <w:spacing w:val="0"/>
                <w:w w:val="100"/>
                <w:position w:val="0"/>
                <w:sz w:val="16"/>
                <w:szCs w:val="16"/>
              </w:rPr>
              <w:t>万件新型片式石英晶 元器件产业化项目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830,004.00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830,004.00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与收益相关</w:t>
            </w:r>
          </w:p>
        </w:tc>
      </w:tr>
      <w:tr>
        <w:trPr>
          <w:trHeight w:val="134" w:hRule="exact"/>
        </w:trPr>
        <w:tc>
          <w:tcPr>
            <w:gridSpan w:val="2"/>
            <w:tcBorders>
              <w:top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50,000.04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与收益相关</w:t>
            </w:r>
          </w:p>
        </w:tc>
      </w:tr>
      <w:tr>
        <w:trPr>
          <w:trHeight w:val="422" w:hRule="exact"/>
        </w:trPr>
        <w:tc>
          <w:tcPr>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小型高稳石英晶体元器件广•业</w:t>
            </w:r>
          </w:p>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化项目</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50,000.04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信息产业化和技术改造项目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500,000.04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进口设备贴息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195,864.00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195,864.00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与资产相关</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50" w:lineRule="exact"/>
              <w:ind w:left="140" w:right="0" w:firstLine="0"/>
              <w:jc w:val="left"/>
              <w:rPr>
                <w:sz w:val="16"/>
                <w:szCs w:val="16"/>
              </w:rPr>
            </w:pPr>
            <w:r>
              <w:rPr>
                <w:rFonts w:ascii="Times New Roman" w:eastAsia="Times New Roman" w:hAnsi="Times New Roman" w:cs="Times New Roman"/>
                <w:color w:val="000000"/>
                <w:spacing w:val="0"/>
                <w:w w:val="100"/>
                <w:position w:val="0"/>
                <w:sz w:val="18"/>
                <w:szCs w:val="18"/>
              </w:rPr>
              <w:t>XO3225</w:t>
            </w:r>
            <w:r>
              <w:rPr>
                <w:color w:val="000000"/>
                <w:spacing w:val="0"/>
                <w:w w:val="100"/>
                <w:position w:val="0"/>
                <w:sz w:val="16"/>
                <w:szCs w:val="16"/>
              </w:rPr>
              <w:t>型片式石英振荡器研 发专项资金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39,999.96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LED</w:t>
            </w:r>
            <w:r>
              <w:rPr>
                <w:color w:val="000000"/>
                <w:spacing w:val="0"/>
                <w:w w:val="100"/>
                <w:position w:val="0"/>
                <w:sz w:val="16"/>
                <w:szCs w:val="16"/>
              </w:rPr>
              <w:t>进口设备贴息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223,320.00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223,320.00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与资产相关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出口信用保险扶持资金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与收益相关</w:t>
            </w:r>
          </w:p>
        </w:tc>
      </w:tr>
      <w:tr>
        <w:trPr>
          <w:trHeight w:val="557"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59" w:lineRule="exact"/>
              <w:ind w:left="140" w:right="0" w:firstLine="0"/>
              <w:jc w:val="left"/>
              <w:rPr>
                <w:sz w:val="16"/>
                <w:szCs w:val="16"/>
              </w:rPr>
            </w:pPr>
            <w:r>
              <w:rPr>
                <w:color w:val="000000"/>
                <w:spacing w:val="0"/>
                <w:w w:val="100"/>
                <w:position w:val="0"/>
                <w:sz w:val="16"/>
                <w:szCs w:val="16"/>
              </w:rPr>
              <w:t>省级战略新兴产业发展专项资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中央外经贸发展专项补助资金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2,670,000.00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燃煤锅炉整治补助资金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与收益相关</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50" w:lineRule="exact"/>
              <w:ind w:left="140" w:right="0" w:firstLine="0"/>
              <w:jc w:val="left"/>
              <w:rPr>
                <w:sz w:val="16"/>
                <w:szCs w:val="16"/>
              </w:rPr>
            </w:pPr>
            <w:r>
              <w:rPr>
                <w:rFonts w:ascii="Times New Roman" w:eastAsia="Times New Roman" w:hAnsi="Times New Roman" w:cs="Times New Roman"/>
                <w:color w:val="000000"/>
                <w:spacing w:val="0"/>
                <w:w w:val="100"/>
                <w:position w:val="0"/>
                <w:sz w:val="18"/>
                <w:szCs w:val="18"/>
              </w:rPr>
              <w:t>LED</w:t>
            </w:r>
            <w:r>
              <w:rPr>
                <w:color w:val="000000"/>
                <w:spacing w:val="0"/>
                <w:w w:val="100"/>
                <w:position w:val="0"/>
                <w:sz w:val="16"/>
                <w:szCs w:val="16"/>
              </w:rPr>
              <w:t>衬底材料国际科技合作基 地建设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高端智能芯片研发项目</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6,968,988.00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2,129,012.00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与资产相关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高端智能芯片研发项目</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2,269,333.33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26,666,666.67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SOC</w:t>
            </w:r>
            <w:r>
              <w:rPr>
                <w:color w:val="000000"/>
                <w:spacing w:val="0"/>
                <w:w w:val="100"/>
                <w:position w:val="0"/>
                <w:sz w:val="16"/>
                <w:szCs w:val="16"/>
              </w:rPr>
              <w:t>芯片研发项目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4,006,466.67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4,094,333.33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RFID</w:t>
            </w:r>
            <w:r>
              <w:rPr>
                <w:color w:val="000000"/>
                <w:spacing w:val="0"/>
                <w:w w:val="100"/>
                <w:position w:val="0"/>
                <w:sz w:val="16"/>
                <w:szCs w:val="16"/>
              </w:rPr>
              <w:t>芯片研发项目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与收益相关</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软件企业退税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6,752,056.62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5,022,638.94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外经贸发展专项资金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124,909.00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特种集成电路研发项目</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17,914,405.56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17,914,405.56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与资产相关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特种集成电路研发项目</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71,940,580.53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32,606,311.56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稳岗、专利等补贴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3,725,124.18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394,300.00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可编程系统芯片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6,046,241.79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与资产相关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863</w:t>
            </w:r>
            <w:r>
              <w:rPr>
                <w:color w:val="000000"/>
                <w:spacing w:val="0"/>
                <w:w w:val="100"/>
                <w:position w:val="0"/>
                <w:sz w:val="16"/>
                <w:szCs w:val="16"/>
              </w:rPr>
              <w:t>专项课题经费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高新技术成果转化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服务外包专项资金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西安高新区人才奖励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526,600.00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与收益相关</w:t>
            </w:r>
          </w:p>
        </w:tc>
      </w:tr>
      <w:tr>
        <w:trPr>
          <w:trHeight w:val="49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127,653,984.72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b/>
                <w:bCs/>
                <w:color w:val="000000"/>
                <w:spacing w:val="0"/>
                <w:w w:val="100"/>
                <w:position w:val="0"/>
                <w:sz w:val="18"/>
                <w:szCs w:val="18"/>
              </w:rPr>
              <w:t>99,710,565.10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28"/>
        <w:keepNext/>
        <w:keepLines/>
        <w:widowControl w:val="0"/>
        <w:shd w:val="clear" w:color="auto" w:fill="auto"/>
        <w:bidi w:val="0"/>
        <w:spacing w:before="0" w:after="120" w:line="240" w:lineRule="auto"/>
        <w:ind w:left="0" w:right="0" w:firstLine="260"/>
        <w:jc w:val="left"/>
      </w:pPr>
      <w:bookmarkStart w:id="997" w:name="bookmark997"/>
      <w:bookmarkStart w:id="998" w:name="bookmark998"/>
      <w:bookmarkStart w:id="999" w:name="bookmark999"/>
      <w:r>
        <w:rPr>
          <w:color w:val="000000"/>
          <w:spacing w:val="0"/>
          <w:w w:val="100"/>
          <w:position w:val="0"/>
        </w:rPr>
        <w:t>（四十三）营业外支出</w:t>
      </w:r>
      <w:bookmarkEnd w:id="997"/>
      <w:bookmarkEnd w:id="998"/>
      <w:bookmarkEnd w:id="999"/>
    </w:p>
    <w:tbl>
      <w:tblPr>
        <w:tblOverlap w:val="never"/>
        <w:jc w:val="center"/>
        <w:tblLayout w:type="fixed"/>
      </w:tblPr>
      <w:tblGrid>
        <w:gridCol w:w="3120"/>
        <w:gridCol w:w="1714"/>
        <w:gridCol w:w="2174"/>
        <w:gridCol w:w="2923"/>
      </w:tblGrid>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b/>
                <w:bCs/>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计入当期非经常性损益的金额</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非流动资产处置损失合计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214,258.78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192,598.13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214,258.78</w:t>
            </w:r>
          </w:p>
        </w:tc>
      </w:tr>
    </w:tbl>
    <w:p>
      <w:pPr>
        <w:widowControl w:val="0"/>
        <w:spacing w:line="1" w:lineRule="exact"/>
      </w:pPr>
      <w:r>
        <w:br w:type="page"/>
      </w:r>
    </w:p>
    <w:tbl>
      <w:tblPr>
        <w:tblOverlap w:val="never"/>
        <w:jc w:val="center"/>
        <w:tblLayout w:type="fixed"/>
      </w:tblPr>
      <w:tblGrid>
        <w:gridCol w:w="3120"/>
        <w:gridCol w:w="1714"/>
        <w:gridCol w:w="2174"/>
        <w:gridCol w:w="2923"/>
      </w:tblGrid>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6"/>
                <w:szCs w:val="16"/>
              </w:rPr>
            </w:pPr>
            <w:r>
              <w:rPr>
                <w:b/>
                <w:bCs/>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计入当期非经常性损益的金额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214,258.78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192,598.13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214,258.78</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227,552.51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259,942.10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227,552.51</w:t>
            </w:r>
          </w:p>
        </w:tc>
      </w:tr>
      <w:tr>
        <w:trPr>
          <w:trHeight w:val="48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b/>
                <w:bCs/>
                <w:color w:val="000000"/>
                <w:spacing w:val="0"/>
                <w:w w:val="100"/>
                <w:position w:val="0"/>
                <w:sz w:val="18"/>
                <w:szCs w:val="18"/>
              </w:rPr>
              <w:t>1,041,811.29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b/>
                <w:bCs/>
                <w:color w:val="000000"/>
                <w:spacing w:val="0"/>
                <w:w w:val="100"/>
                <w:position w:val="0"/>
                <w:sz w:val="18"/>
                <w:szCs w:val="18"/>
              </w:rPr>
              <w:t>852,540.23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1,041,811.29</w:t>
            </w:r>
          </w:p>
        </w:tc>
      </w:tr>
    </w:tbl>
    <w:p>
      <w:pPr>
        <w:widowControl w:val="0"/>
        <w:spacing w:after="139" w:line="1" w:lineRule="exact"/>
      </w:pPr>
    </w:p>
    <w:p>
      <w:pPr>
        <w:pStyle w:val="Style28"/>
        <w:keepNext/>
        <w:keepLines/>
        <w:widowControl w:val="0"/>
        <w:shd w:val="clear" w:color="auto" w:fill="auto"/>
        <w:bidi w:val="0"/>
        <w:spacing w:before="0" w:after="140" w:line="240" w:lineRule="auto"/>
        <w:ind w:left="0" w:right="0" w:firstLine="260"/>
        <w:jc w:val="left"/>
      </w:pPr>
      <w:bookmarkStart w:id="1000" w:name="bookmark1000"/>
      <w:bookmarkStart w:id="1001" w:name="bookmark1001"/>
      <w:bookmarkStart w:id="1002" w:name="bookmark1002"/>
      <w:r>
        <w:rPr>
          <w:color w:val="000000"/>
          <w:spacing w:val="0"/>
          <w:w w:val="100"/>
          <w:position w:val="0"/>
        </w:rPr>
        <w:t>（四十四）所得税费用</w:t>
      </w:r>
      <w:bookmarkEnd w:id="1000"/>
      <w:bookmarkEnd w:id="1001"/>
      <w:bookmarkEnd w:id="1002"/>
    </w:p>
    <w:p>
      <w:pPr>
        <w:pStyle w:val="Style28"/>
        <w:keepNext/>
        <w:keepLines/>
        <w:widowControl w:val="0"/>
        <w:shd w:val="clear" w:color="auto" w:fill="auto"/>
        <w:bidi w:val="0"/>
        <w:spacing w:before="0" w:after="140" w:line="240" w:lineRule="auto"/>
        <w:ind w:left="0" w:right="0" w:firstLine="460"/>
        <w:jc w:val="left"/>
      </w:pPr>
      <w:bookmarkStart w:id="1000" w:name="bookmark1000"/>
      <w:bookmarkStart w:id="1001" w:name="bookmark1001"/>
      <w:r>
        <w:rPr>
          <w:color w:val="222222"/>
          <w:spacing w:val="0"/>
          <w:w w:val="100"/>
          <w:position w:val="0"/>
        </w:rPr>
        <w:t>1、</w:t>
      </w:r>
      <w:r>
        <w:rPr>
          <w:color w:val="000000"/>
          <w:spacing w:val="0"/>
          <w:w w:val="100"/>
          <w:position w:val="0"/>
        </w:rPr>
        <w:t>所得税费用表</w:t>
      </w:r>
      <w:bookmarkEnd w:id="1000"/>
      <w:bookmarkEnd w:id="1001"/>
    </w:p>
    <w:tbl>
      <w:tblPr>
        <w:tblOverlap w:val="never"/>
        <w:jc w:val="center"/>
        <w:tblLayout w:type="fixed"/>
      </w:tblPr>
      <w:tblGrid>
        <w:gridCol w:w="3490"/>
        <w:gridCol w:w="3139"/>
        <w:gridCol w:w="3149"/>
      </w:tblGrid>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上期发生额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18,527,512.25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56,819,861.66</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852,996.07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4,457,949.63</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19,380,508.32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61,277,811.29</w:t>
            </w:r>
          </w:p>
        </w:tc>
      </w:tr>
    </w:tbl>
    <w:p>
      <w:pPr>
        <w:widowControl w:val="0"/>
        <w:spacing w:after="139" w:line="1" w:lineRule="exact"/>
      </w:pPr>
    </w:p>
    <w:p>
      <w:pPr>
        <w:pStyle w:val="Style31"/>
        <w:keepNext w:val="0"/>
        <w:keepLines w:val="0"/>
        <w:widowControl w:val="0"/>
        <w:shd w:val="clear" w:color="auto" w:fill="auto"/>
        <w:bidi w:val="0"/>
        <w:spacing w:before="0" w:after="140" w:line="274" w:lineRule="exact"/>
        <w:ind w:left="140" w:right="0" w:firstLine="420"/>
        <w:jc w:val="left"/>
        <w:rPr>
          <w:sz w:val="20"/>
          <w:szCs w:val="20"/>
        </w:rPr>
      </w:pPr>
      <w:r>
        <w:rPr>
          <w:color w:val="000000"/>
          <w:spacing w:val="0"/>
          <w:w w:val="100"/>
          <w:position w:val="0"/>
          <w:sz w:val="20"/>
          <w:szCs w:val="20"/>
        </w:rPr>
        <w:t>注：所得税费用较上期下降</w:t>
      </w:r>
      <w:r>
        <w:rPr>
          <w:rFonts w:ascii="Times New Roman" w:eastAsia="Times New Roman" w:hAnsi="Times New Roman" w:cs="Times New Roman"/>
          <w:color w:val="000000"/>
          <w:spacing w:val="0"/>
          <w:w w:val="100"/>
          <w:position w:val="0"/>
          <w:sz w:val="20"/>
          <w:szCs w:val="20"/>
        </w:rPr>
        <w:t xml:space="preserve">68.37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的原因见本附注十七（二）“净资产收益率及每股收益”和本附 注十七（三）“公司主要会计报表项目的变动情况”的说明。</w:t>
      </w:r>
    </w:p>
    <w:p>
      <w:pPr>
        <w:pStyle w:val="Style31"/>
        <w:keepNext w:val="0"/>
        <w:keepLines w:val="0"/>
        <w:widowControl w:val="0"/>
        <w:shd w:val="clear" w:color="auto" w:fill="auto"/>
        <w:bidi w:val="0"/>
        <w:spacing w:before="0" w:after="140" w:line="240" w:lineRule="auto"/>
        <w:ind w:left="0" w:right="0" w:firstLine="460"/>
        <w:jc w:val="left"/>
        <w:rPr>
          <w:sz w:val="20"/>
          <w:szCs w:val="20"/>
        </w:rPr>
      </w:pPr>
      <w:r>
        <w:rPr>
          <w:b/>
          <w:bCs/>
          <w:color w:val="222222"/>
          <w:spacing w:val="0"/>
          <w:w w:val="100"/>
          <w:position w:val="0"/>
          <w:sz w:val="20"/>
          <w:szCs w:val="20"/>
        </w:rPr>
        <w:t>2、</w:t>
      </w:r>
      <w:r>
        <w:rPr>
          <w:b/>
          <w:bCs/>
          <w:color w:val="000000"/>
          <w:spacing w:val="0"/>
          <w:w w:val="100"/>
          <w:position w:val="0"/>
          <w:sz w:val="20"/>
          <w:szCs w:val="20"/>
        </w:rPr>
        <w:t>会计利润与所得税费用调整过程</w:t>
      </w:r>
    </w:p>
    <w:tbl>
      <w:tblPr>
        <w:tblOverlap w:val="never"/>
        <w:jc w:val="center"/>
        <w:tblLayout w:type="fixed"/>
      </w:tblPr>
      <w:tblGrid>
        <w:gridCol w:w="4738"/>
        <w:gridCol w:w="5040"/>
      </w:tblGrid>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352,240,498.88</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适用税率计算的所得税费用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52,836,074.81</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子公司适用不同税率的影响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-20,332,913.38</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调整以前期间所得税的影响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-18,471,785.01</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非应税收入的影响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-393,569.61</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不可抵扣的成本、费用和损失的影响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1,185,268.27</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加计扣除的影响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-2,051,379.85</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使用前期未确认递延所得税资产的可抵扣亏损的影响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-20,690.92</w:t>
            </w:r>
          </w:p>
        </w:tc>
      </w:tr>
      <w:tr>
        <w:trPr>
          <w:trHeight w:val="61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本期未确认递延所得税资产的可抵扣暂时性差异或可抵扣 亏损的影响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6,629,504.01</w:t>
            </w:r>
          </w:p>
        </w:tc>
      </w:tr>
      <w:tr>
        <w:trPr>
          <w:trHeight w:val="45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19,380,508.32</w:t>
            </w:r>
          </w:p>
        </w:tc>
      </w:tr>
    </w:tbl>
    <w:p>
      <w:pPr>
        <w:widowControl w:val="0"/>
        <w:spacing w:after="139" w:line="1" w:lineRule="exact"/>
      </w:pPr>
    </w:p>
    <w:p>
      <w:pPr>
        <w:pStyle w:val="Style28"/>
        <w:keepNext/>
        <w:keepLines/>
        <w:widowControl w:val="0"/>
        <w:shd w:val="clear" w:color="auto" w:fill="auto"/>
        <w:bidi w:val="0"/>
        <w:spacing w:before="0" w:after="140" w:line="240" w:lineRule="auto"/>
        <w:ind w:left="0" w:right="0" w:firstLine="260"/>
        <w:jc w:val="left"/>
      </w:pPr>
      <w:bookmarkStart w:id="1003" w:name="bookmark1003"/>
      <w:bookmarkStart w:id="1004" w:name="bookmark1004"/>
      <w:bookmarkStart w:id="1005" w:name="bookmark1005"/>
      <w:r>
        <w:rPr>
          <w:color w:val="000000"/>
          <w:spacing w:val="0"/>
          <w:w w:val="100"/>
          <w:position w:val="0"/>
        </w:rPr>
        <w:t>（四十五）其他综合收益</w:t>
      </w:r>
      <w:bookmarkEnd w:id="1003"/>
      <w:bookmarkEnd w:id="1004"/>
      <w:bookmarkEnd w:id="1005"/>
    </w:p>
    <w:p>
      <w:pPr>
        <w:pStyle w:val="Style31"/>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详见本附注七（三十二）“其他综合收益”。</w:t>
      </w:r>
    </w:p>
    <w:p>
      <w:pPr>
        <w:pStyle w:val="Style28"/>
        <w:keepNext/>
        <w:keepLines/>
        <w:widowControl w:val="0"/>
        <w:shd w:val="clear" w:color="auto" w:fill="auto"/>
        <w:bidi w:val="0"/>
        <w:spacing w:before="0" w:after="140" w:line="240" w:lineRule="auto"/>
        <w:ind w:left="0" w:right="0" w:firstLine="260"/>
        <w:jc w:val="left"/>
      </w:pPr>
      <w:bookmarkStart w:id="1006" w:name="bookmark1006"/>
      <w:bookmarkStart w:id="1007" w:name="bookmark1007"/>
      <w:bookmarkStart w:id="1008" w:name="bookmark1008"/>
      <w:r>
        <w:rPr>
          <w:color w:val="000000"/>
          <w:spacing w:val="0"/>
          <w:w w:val="100"/>
          <w:position w:val="0"/>
        </w:rPr>
        <w:t>（四十六）现金流量表项目</w:t>
      </w:r>
      <w:bookmarkEnd w:id="1006"/>
      <w:bookmarkEnd w:id="1007"/>
      <w:bookmarkEnd w:id="1008"/>
    </w:p>
    <w:p>
      <w:pPr>
        <w:pStyle w:val="Style28"/>
        <w:keepNext/>
        <w:keepLines/>
        <w:widowControl w:val="0"/>
        <w:shd w:val="clear" w:color="auto" w:fill="auto"/>
        <w:bidi w:val="0"/>
        <w:spacing w:before="0" w:after="140" w:line="240" w:lineRule="auto"/>
        <w:ind w:left="0" w:right="0" w:firstLine="460"/>
        <w:jc w:val="left"/>
      </w:pPr>
      <w:bookmarkStart w:id="1006" w:name="bookmark1006"/>
      <w:bookmarkStart w:id="1007" w:name="bookmark1007"/>
      <w:r>
        <w:rPr>
          <w:color w:val="222222"/>
          <w:spacing w:val="0"/>
          <w:w w:val="100"/>
          <w:position w:val="0"/>
        </w:rPr>
        <w:t>1、</w:t>
      </w:r>
      <w:r>
        <w:rPr>
          <w:color w:val="000000"/>
          <w:spacing w:val="0"/>
          <w:w w:val="100"/>
          <w:position w:val="0"/>
        </w:rPr>
        <w:t>收到的其他与经营活动有关的现金</w:t>
      </w:r>
      <w:bookmarkEnd w:id="1006"/>
      <w:bookmarkEnd w:id="1007"/>
    </w:p>
    <w:tbl>
      <w:tblPr>
        <w:tblOverlap w:val="never"/>
        <w:jc w:val="center"/>
        <w:tblLayout w:type="fixed"/>
      </w:tblPr>
      <w:tblGrid>
        <w:gridCol w:w="4982"/>
        <w:gridCol w:w="2381"/>
        <w:gridCol w:w="2568"/>
      </w:tblGrid>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上期发生额</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7,637,671.93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15,589,839.10</w:t>
            </w: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营业外收入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8,381,372.30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5,485,788.45</w:t>
            </w:r>
          </w:p>
        </w:tc>
      </w:tr>
    </w:tbl>
    <w:p>
      <w:pPr>
        <w:widowControl w:val="0"/>
        <w:spacing w:line="1" w:lineRule="exact"/>
      </w:pPr>
      <w:r>
        <w:br w:type="page"/>
      </w:r>
    </w:p>
    <w:tbl>
      <w:tblPr>
        <w:tblOverlap w:val="never"/>
        <w:jc w:val="center"/>
        <w:tblLayout w:type="fixed"/>
      </w:tblPr>
      <w:tblGrid>
        <w:gridCol w:w="4982"/>
        <w:gridCol w:w="2381"/>
        <w:gridCol w:w="2568"/>
      </w:tblGrid>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b/>
                <w:bCs/>
                <w:color w:val="000000"/>
                <w:spacing w:val="0"/>
                <w:w w:val="100"/>
                <w:position w:val="0"/>
                <w:sz w:val="16"/>
                <w:szCs w:val="16"/>
              </w:rPr>
              <w:t>上期发生额</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2,258,240.78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3,148,005.57</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115,537,900.00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202,503,900.00</w:t>
            </w: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133,815,185.01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226,727,533.12</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480"/>
        <w:jc w:val="left"/>
        <w:rPr>
          <w:sz w:val="20"/>
          <w:szCs w:val="20"/>
        </w:rPr>
      </w:pPr>
      <w:r>
        <w:rPr>
          <w:b/>
          <w:bCs/>
          <w:color w:val="222222"/>
          <w:spacing w:val="0"/>
          <w:w w:val="100"/>
          <w:position w:val="0"/>
          <w:sz w:val="20"/>
          <w:szCs w:val="20"/>
        </w:rPr>
        <w:t>2、</w:t>
      </w:r>
      <w:r>
        <w:rPr>
          <w:b/>
          <w:bCs/>
          <w:color w:val="000000"/>
          <w:spacing w:val="0"/>
          <w:w w:val="100"/>
          <w:position w:val="0"/>
          <w:sz w:val="20"/>
          <w:szCs w:val="20"/>
        </w:rPr>
        <w:t>支付的其他与经营活动有关的现金</w:t>
      </w:r>
    </w:p>
    <w:tbl>
      <w:tblPr>
        <w:tblOverlap w:val="never"/>
        <w:jc w:val="center"/>
        <w:tblLayout w:type="fixed"/>
      </w:tblPr>
      <w:tblGrid>
        <w:gridCol w:w="4982"/>
        <w:gridCol w:w="2381"/>
        <w:gridCol w:w="2568"/>
      </w:tblGrid>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b/>
                <w:bCs/>
                <w:color w:val="000000"/>
                <w:spacing w:val="0"/>
                <w:w w:val="100"/>
                <w:position w:val="0"/>
                <w:sz w:val="16"/>
                <w:szCs w:val="16"/>
              </w:rPr>
              <w:t>上期发生额</w:t>
            </w: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费用性支出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89,680,364.12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77,843,181.21</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640,734.34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565,202.73</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826,982.51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404,539.12</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1,001,461.52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3,117,535.81</w:t>
            </w:r>
          </w:p>
        </w:tc>
      </w:tr>
      <w:tr>
        <w:trPr>
          <w:trHeight w:val="41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b/>
                <w:bCs/>
                <w:color w:val="000000"/>
                <w:spacing w:val="0"/>
                <w:w w:val="100"/>
                <w:position w:val="0"/>
                <w:sz w:val="18"/>
                <w:szCs w:val="18"/>
              </w:rPr>
              <w:t>92,149,542.49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b/>
                <w:bCs/>
                <w:color w:val="000000"/>
                <w:spacing w:val="0"/>
                <w:w w:val="100"/>
                <w:position w:val="0"/>
                <w:sz w:val="18"/>
                <w:szCs w:val="18"/>
              </w:rPr>
              <w:t>81,930,458.87</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480"/>
        <w:jc w:val="left"/>
        <w:rPr>
          <w:sz w:val="20"/>
          <w:szCs w:val="20"/>
        </w:rPr>
      </w:pPr>
      <w:bookmarkStart w:id="1009" w:name="bookmark1009"/>
      <w:r>
        <w:rPr>
          <w:b/>
          <w:bCs/>
          <w:color w:val="222222"/>
          <w:spacing w:val="0"/>
          <w:w w:val="100"/>
          <w:position w:val="0"/>
          <w:sz w:val="20"/>
          <w:szCs w:val="20"/>
        </w:rPr>
        <w:t>3</w:t>
      </w:r>
      <w:bookmarkEnd w:id="1009"/>
      <w:r>
        <w:rPr>
          <w:b/>
          <w:bCs/>
          <w:color w:val="222222"/>
          <w:spacing w:val="0"/>
          <w:w w:val="100"/>
          <w:position w:val="0"/>
          <w:sz w:val="20"/>
          <w:szCs w:val="20"/>
        </w:rPr>
        <w:t>、</w:t>
      </w:r>
      <w:r>
        <w:rPr>
          <w:b/>
          <w:bCs/>
          <w:color w:val="000000"/>
          <w:spacing w:val="0"/>
          <w:w w:val="100"/>
          <w:position w:val="0"/>
          <w:sz w:val="20"/>
          <w:szCs w:val="20"/>
        </w:rPr>
        <w:t>支付的其他与投资活动有关的现金</w:t>
      </w:r>
    </w:p>
    <w:tbl>
      <w:tblPr>
        <w:tblOverlap w:val="never"/>
        <w:jc w:val="center"/>
        <w:tblLayout w:type="fixed"/>
      </w:tblPr>
      <w:tblGrid>
        <w:gridCol w:w="4987"/>
        <w:gridCol w:w="2376"/>
        <w:gridCol w:w="2568"/>
      </w:tblGrid>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b/>
                <w:bCs/>
                <w:color w:val="000000"/>
                <w:spacing w:val="0"/>
                <w:w w:val="100"/>
                <w:position w:val="0"/>
                <w:sz w:val="16"/>
                <w:szCs w:val="16"/>
              </w:rPr>
              <w:t>上期发生额</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并购中介费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3,721,490.02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6,215,996.14</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山东产权交易中心履约保证金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1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b/>
                <w:bCs/>
                <w:color w:val="000000"/>
                <w:spacing w:val="0"/>
                <w:w w:val="100"/>
                <w:position w:val="0"/>
                <w:sz w:val="18"/>
                <w:szCs w:val="18"/>
              </w:rPr>
              <w:t>3,721,490.02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b/>
                <w:bCs/>
                <w:color w:val="000000"/>
                <w:spacing w:val="0"/>
                <w:w w:val="100"/>
                <w:position w:val="0"/>
                <w:sz w:val="18"/>
                <w:szCs w:val="18"/>
              </w:rPr>
              <w:t>46,215,996.14</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480"/>
        <w:jc w:val="left"/>
        <w:rPr>
          <w:sz w:val="20"/>
          <w:szCs w:val="20"/>
        </w:rPr>
      </w:pPr>
      <w:bookmarkStart w:id="1010" w:name="bookmark1010"/>
      <w:r>
        <w:rPr>
          <w:b/>
          <w:bCs/>
          <w:color w:val="222222"/>
          <w:spacing w:val="0"/>
          <w:w w:val="100"/>
          <w:position w:val="0"/>
          <w:sz w:val="20"/>
          <w:szCs w:val="20"/>
        </w:rPr>
        <w:t>4</w:t>
      </w:r>
      <w:bookmarkEnd w:id="1010"/>
      <w:r>
        <w:rPr>
          <w:b/>
          <w:bCs/>
          <w:color w:val="222222"/>
          <w:spacing w:val="0"/>
          <w:w w:val="100"/>
          <w:position w:val="0"/>
          <w:sz w:val="20"/>
          <w:szCs w:val="20"/>
        </w:rPr>
        <w:t>、</w:t>
      </w:r>
      <w:r>
        <w:rPr>
          <w:b/>
          <w:bCs/>
          <w:color w:val="000000"/>
          <w:spacing w:val="0"/>
          <w:w w:val="100"/>
          <w:position w:val="0"/>
          <w:sz w:val="20"/>
          <w:szCs w:val="20"/>
        </w:rPr>
        <w:t>收到的其他与筹资活动有关的现金</w:t>
      </w:r>
    </w:p>
    <w:tbl>
      <w:tblPr>
        <w:tblOverlap w:val="never"/>
        <w:jc w:val="center"/>
        <w:tblLayout w:type="fixed"/>
      </w:tblPr>
      <w:tblGrid>
        <w:gridCol w:w="4987"/>
        <w:gridCol w:w="2376"/>
        <w:gridCol w:w="2568"/>
      </w:tblGrid>
      <w:tr>
        <w:trPr>
          <w:trHeight w:val="4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b/>
                <w:bCs/>
                <w:color w:val="000000"/>
                <w:spacing w:val="0"/>
                <w:w w:val="100"/>
                <w:position w:val="0"/>
                <w:sz w:val="16"/>
                <w:szCs w:val="16"/>
              </w:rPr>
              <w:t>上期发生额</w:t>
            </w:r>
          </w:p>
        </w:tc>
      </w:tr>
      <w:tr>
        <w:trPr>
          <w:trHeight w:val="3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出售紫光同创</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6"/>
                <w:szCs w:val="16"/>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13,840,000.00</w:t>
            </w: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5,690,520.80</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b/>
                <w:bCs/>
                <w:color w:val="000000"/>
                <w:spacing w:val="0"/>
                <w:w w:val="100"/>
                <w:position w:val="0"/>
                <w:sz w:val="18"/>
                <w:szCs w:val="18"/>
              </w:rPr>
              <w:t>5,690,520.80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b/>
                <w:bCs/>
                <w:color w:val="000000"/>
                <w:spacing w:val="0"/>
                <w:w w:val="100"/>
                <w:position w:val="0"/>
                <w:sz w:val="18"/>
                <w:szCs w:val="18"/>
              </w:rPr>
              <w:t>13,840,000.00</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480"/>
        <w:jc w:val="left"/>
        <w:rPr>
          <w:sz w:val="20"/>
          <w:szCs w:val="20"/>
        </w:rPr>
      </w:pPr>
      <w:bookmarkStart w:id="1011" w:name="bookmark1011"/>
      <w:r>
        <w:rPr>
          <w:b/>
          <w:bCs/>
          <w:color w:val="222222"/>
          <w:spacing w:val="0"/>
          <w:w w:val="100"/>
          <w:position w:val="0"/>
          <w:sz w:val="20"/>
          <w:szCs w:val="20"/>
        </w:rPr>
        <w:t>5</w:t>
      </w:r>
      <w:bookmarkEnd w:id="1011"/>
      <w:r>
        <w:rPr>
          <w:b/>
          <w:bCs/>
          <w:color w:val="222222"/>
          <w:spacing w:val="0"/>
          <w:w w:val="100"/>
          <w:position w:val="0"/>
          <w:sz w:val="20"/>
          <w:szCs w:val="20"/>
        </w:rPr>
        <w:t>、</w:t>
      </w:r>
      <w:r>
        <w:rPr>
          <w:b/>
          <w:bCs/>
          <w:color w:val="000000"/>
          <w:spacing w:val="0"/>
          <w:w w:val="100"/>
          <w:position w:val="0"/>
          <w:sz w:val="20"/>
          <w:szCs w:val="20"/>
        </w:rPr>
        <w:t>支付的其他与筹资活动有关的现金</w:t>
      </w:r>
    </w:p>
    <w:tbl>
      <w:tblPr>
        <w:tblOverlap w:val="never"/>
        <w:jc w:val="center"/>
        <w:tblLayout w:type="fixed"/>
      </w:tblPr>
      <w:tblGrid>
        <w:gridCol w:w="4824"/>
        <w:gridCol w:w="2539"/>
        <w:gridCol w:w="2568"/>
      </w:tblGrid>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b/>
                <w:bCs/>
                <w:color w:val="000000"/>
                <w:spacing w:val="0"/>
                <w:w w:val="100"/>
                <w:position w:val="0"/>
                <w:sz w:val="16"/>
                <w:szCs w:val="16"/>
              </w:rPr>
              <w:t>上期发生额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5,499,570.54</w:t>
            </w:r>
          </w:p>
        </w:tc>
      </w:tr>
      <w:tr>
        <w:trPr>
          <w:trHeight w:val="43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b/>
                <w:bCs/>
                <w:color w:val="000000"/>
                <w:spacing w:val="0"/>
                <w:w w:val="100"/>
                <w:position w:val="0"/>
                <w:sz w:val="18"/>
                <w:szCs w:val="18"/>
              </w:rPr>
              <w:t>5,499,570.54</w:t>
            </w:r>
          </w:p>
        </w:tc>
      </w:tr>
    </w:tbl>
    <w:p>
      <w:pPr>
        <w:widowControl w:val="0"/>
        <w:spacing w:after="139" w:line="1" w:lineRule="exact"/>
      </w:pPr>
    </w:p>
    <w:p>
      <w:pPr>
        <w:pStyle w:val="Style28"/>
        <w:keepNext/>
        <w:keepLines/>
        <w:widowControl w:val="0"/>
        <w:shd w:val="clear" w:color="auto" w:fill="auto"/>
        <w:bidi w:val="0"/>
        <w:spacing w:before="0" w:after="140" w:line="240" w:lineRule="auto"/>
        <w:ind w:left="0" w:right="0" w:firstLine="260"/>
        <w:jc w:val="left"/>
      </w:pPr>
      <w:bookmarkStart w:id="1012" w:name="bookmark1012"/>
      <w:bookmarkStart w:id="1013" w:name="bookmark1013"/>
      <w:bookmarkStart w:id="1014" w:name="bookmark1014"/>
      <w:r>
        <w:rPr>
          <w:color w:val="000000"/>
          <w:spacing w:val="0"/>
          <w:w w:val="100"/>
          <w:position w:val="0"/>
        </w:rPr>
        <w:t>（四十七）现金流量表补充资料</w:t>
      </w:r>
      <w:bookmarkEnd w:id="1012"/>
      <w:bookmarkEnd w:id="1013"/>
      <w:bookmarkEnd w:id="1014"/>
    </w:p>
    <w:p>
      <w:pPr>
        <w:pStyle w:val="Style28"/>
        <w:keepNext/>
        <w:keepLines/>
        <w:widowControl w:val="0"/>
        <w:shd w:val="clear" w:color="auto" w:fill="auto"/>
        <w:bidi w:val="0"/>
        <w:spacing w:before="0" w:after="140" w:line="240" w:lineRule="auto"/>
        <w:ind w:left="0" w:right="0" w:firstLine="480"/>
        <w:jc w:val="left"/>
      </w:pPr>
      <w:bookmarkStart w:id="1012" w:name="bookmark1012"/>
      <w:bookmarkStart w:id="1013" w:name="bookmark1013"/>
      <w:r>
        <w:rPr>
          <w:color w:val="222222"/>
          <w:spacing w:val="0"/>
          <w:w w:val="100"/>
          <w:position w:val="0"/>
        </w:rPr>
        <w:t>1、</w:t>
      </w:r>
      <w:r>
        <w:rPr>
          <w:color w:val="000000"/>
          <w:spacing w:val="0"/>
          <w:w w:val="100"/>
          <w:position w:val="0"/>
        </w:rPr>
        <w:t>现金流量表补充资料表</w:t>
      </w:r>
      <w:bookmarkEnd w:id="1012"/>
      <w:bookmarkEnd w:id="1013"/>
    </w:p>
    <w:tbl>
      <w:tblPr>
        <w:tblOverlap w:val="never"/>
        <w:jc w:val="center"/>
        <w:tblLayout w:type="fixed"/>
      </w:tblPr>
      <w:tblGrid>
        <w:gridCol w:w="4819"/>
        <w:gridCol w:w="2539"/>
        <w:gridCol w:w="2573"/>
      </w:tblGrid>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补充资料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上期金额</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6"/>
                <w:szCs w:val="16"/>
              </w:rPr>
              <w:t>.</w:t>
            </w:r>
            <w:r>
              <w:rPr>
                <w:b/>
                <w:bCs/>
                <w:color w:val="000000"/>
                <w:spacing w:val="0"/>
                <w:w w:val="100"/>
                <w:position w:val="0"/>
                <w:sz w:val="16"/>
                <w:szCs w:val="16"/>
              </w:rPr>
              <w:t>将净利润调节为经营活动现金流量：</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332.859.990.56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332,356,846.73</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4,781,540.64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1,005,384.93</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固定资产折旧、油气资产折耗、生产性生物资产折旧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54,601,291.53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51,597,258.04</w:t>
            </w:r>
          </w:p>
        </w:tc>
      </w:tr>
    </w:tbl>
    <w:p>
      <w:pPr>
        <w:widowControl w:val="0"/>
        <w:spacing w:line="1" w:lineRule="exact"/>
      </w:pPr>
      <w:r>
        <w:br w:type="page"/>
      </w:r>
    </w:p>
    <w:tbl>
      <w:tblPr>
        <w:tblOverlap w:val="never"/>
        <w:jc w:val="center"/>
        <w:tblLayout w:type="fixed"/>
      </w:tblPr>
      <w:tblGrid>
        <w:gridCol w:w="4819"/>
        <w:gridCol w:w="2539"/>
        <w:gridCol w:w="2573"/>
      </w:tblGrid>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补充资料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上期金额</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49.089.382.28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26.300.958.66</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1.854.045.41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1.058.175.91</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400" w:right="0" w:hanging="260"/>
              <w:jc w:val="left"/>
              <w:rPr>
                <w:sz w:val="16"/>
                <w:szCs w:val="16"/>
              </w:rPr>
            </w:pPr>
            <w:r>
              <w:rPr>
                <w:color w:val="000000"/>
                <w:spacing w:val="0"/>
                <w:w w:val="100"/>
                <w:position w:val="0"/>
                <w:sz w:val="16"/>
                <w:szCs w:val="16"/>
              </w:rPr>
              <w:t xml:space="preserve">处置固定资产、无形资产和其他长期资产的损失（收益以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124,388.40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-15.967.68</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60,063.01</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-4.467.546.70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-5.087.528.77</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-2.385.270.36</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988,525.52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5.046.599.56</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-135,529.45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-588.649.93</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-28.636.090.92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-149.619.175.70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-163.888.676.69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-213.312.593.37</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-114.863.091.57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354.293.172.01</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129.983.021.66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403.034.480.39</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sz w:val="16"/>
                <w:szCs w:val="16"/>
              </w:rPr>
              <w:t>.</w:t>
            </w:r>
            <w:r>
              <w:rPr>
                <w:b/>
                <w:bCs/>
                <w:color w:val="000000"/>
                <w:spacing w:val="0"/>
                <w:w w:val="100"/>
                <w:position w:val="0"/>
                <w:sz w:val="16"/>
                <w:szCs w:val="16"/>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融资租入固定资产</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sz w:val="16"/>
                <w:szCs w:val="16"/>
              </w:rPr>
              <w:t>.</w:t>
            </w:r>
            <w:r>
              <w:rPr>
                <w:b/>
                <w:bCs/>
                <w:color w:val="000000"/>
                <w:spacing w:val="0"/>
                <w:w w:val="100"/>
                <w:position w:val="0"/>
                <w:sz w:val="16"/>
                <w:szCs w:val="16"/>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715.391.085.26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731.707.889.16</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731.707.889.16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767.368.176.05</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-16.316.803.90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-35.660.286.89</w:t>
            </w:r>
          </w:p>
        </w:tc>
      </w:tr>
    </w:tbl>
    <w:p>
      <w:pPr>
        <w:widowControl w:val="0"/>
        <w:spacing w:after="139" w:line="1" w:lineRule="exact"/>
      </w:pPr>
    </w:p>
    <w:p>
      <w:pPr>
        <w:pStyle w:val="Style31"/>
        <w:keepNext w:val="0"/>
        <w:keepLines w:val="0"/>
        <w:widowControl w:val="0"/>
        <w:shd w:val="clear" w:color="auto" w:fill="auto"/>
        <w:tabs>
          <w:tab w:pos="853" w:val="left"/>
        </w:tabs>
        <w:bidi w:val="0"/>
        <w:spacing w:before="0" w:after="140" w:line="240" w:lineRule="auto"/>
        <w:ind w:left="0" w:right="0" w:firstLine="480"/>
        <w:jc w:val="left"/>
        <w:rPr>
          <w:sz w:val="20"/>
          <w:szCs w:val="20"/>
        </w:rPr>
      </w:pPr>
      <w:bookmarkStart w:id="1015" w:name="bookmark1015"/>
      <w:r>
        <w:rPr>
          <w:b/>
          <w:bCs/>
          <w:color w:val="222222"/>
          <w:spacing w:val="0"/>
          <w:w w:val="100"/>
          <w:position w:val="0"/>
          <w:sz w:val="20"/>
          <w:szCs w:val="20"/>
        </w:rPr>
        <w:t>2</w:t>
      </w:r>
      <w:bookmarkEnd w:id="1015"/>
      <w:r>
        <w:rPr>
          <w:b/>
          <w:bCs/>
          <w:color w:val="222222"/>
          <w:spacing w:val="0"/>
          <w:w w:val="100"/>
          <w:position w:val="0"/>
          <w:sz w:val="20"/>
          <w:szCs w:val="20"/>
        </w:rPr>
        <w:t>、</w:t>
        <w:tab/>
      </w:r>
      <w:r>
        <w:rPr>
          <w:b/>
          <w:bCs/>
          <w:color w:val="000000"/>
          <w:spacing w:val="0"/>
          <w:w w:val="100"/>
          <w:position w:val="0"/>
          <w:sz w:val="20"/>
          <w:szCs w:val="20"/>
        </w:rPr>
        <w:t>本期收到处置子公司的现金</w:t>
      </w:r>
    </w:p>
    <w:p>
      <w:pPr>
        <w:pStyle w:val="Style31"/>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无。</w:t>
      </w:r>
    </w:p>
    <w:p>
      <w:pPr>
        <w:pStyle w:val="Style31"/>
        <w:keepNext w:val="0"/>
        <w:keepLines w:val="0"/>
        <w:widowControl w:val="0"/>
        <w:shd w:val="clear" w:color="auto" w:fill="auto"/>
        <w:tabs>
          <w:tab w:pos="853" w:val="left"/>
        </w:tabs>
        <w:bidi w:val="0"/>
        <w:spacing w:before="0" w:after="140" w:line="240" w:lineRule="auto"/>
        <w:ind w:left="0" w:right="0" w:firstLine="480"/>
        <w:jc w:val="left"/>
        <w:rPr>
          <w:sz w:val="20"/>
          <w:szCs w:val="20"/>
        </w:rPr>
      </w:pPr>
      <w:bookmarkStart w:id="1016" w:name="bookmark1016"/>
      <w:r>
        <w:rPr>
          <w:b/>
          <w:bCs/>
          <w:color w:val="222222"/>
          <w:spacing w:val="0"/>
          <w:w w:val="100"/>
          <w:position w:val="0"/>
          <w:sz w:val="20"/>
          <w:szCs w:val="20"/>
        </w:rPr>
        <w:t>3</w:t>
      </w:r>
      <w:bookmarkEnd w:id="1016"/>
      <w:r>
        <w:rPr>
          <w:b/>
          <w:bCs/>
          <w:color w:val="222222"/>
          <w:spacing w:val="0"/>
          <w:w w:val="100"/>
          <w:position w:val="0"/>
          <w:sz w:val="20"/>
          <w:szCs w:val="20"/>
        </w:rPr>
        <w:t>、</w:t>
        <w:tab/>
      </w:r>
      <w:r>
        <w:rPr>
          <w:b/>
          <w:bCs/>
          <w:color w:val="000000"/>
          <w:spacing w:val="0"/>
          <w:w w:val="100"/>
          <w:position w:val="0"/>
          <w:sz w:val="20"/>
          <w:szCs w:val="20"/>
        </w:rPr>
        <w:t>现金和现金等价物的构成</w:t>
      </w:r>
    </w:p>
    <w:tbl>
      <w:tblPr>
        <w:tblOverlap w:val="never"/>
        <w:jc w:val="center"/>
        <w:tblLayout w:type="fixed"/>
      </w:tblPr>
      <w:tblGrid>
        <w:gridCol w:w="4834"/>
        <w:gridCol w:w="2534"/>
        <w:gridCol w:w="2563"/>
      </w:tblGrid>
      <w:tr>
        <w:trPr>
          <w:trHeight w:val="3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715.391.085.26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731.707.889.16</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197.036.21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169.493.51</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715.194.049.05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731.538.395.65</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715.391.085.26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731.707.889.16</w:t>
            </w:r>
          </w:p>
        </w:tc>
      </w:tr>
    </w:tbl>
    <w:p>
      <w:pPr>
        <w:widowControl w:val="0"/>
        <w:spacing w:after="139" w:line="1" w:lineRule="exact"/>
      </w:pPr>
    </w:p>
    <w:p>
      <w:pPr>
        <w:pStyle w:val="Style28"/>
        <w:keepNext/>
        <w:keepLines/>
        <w:widowControl w:val="0"/>
        <w:shd w:val="clear" w:color="auto" w:fill="auto"/>
        <w:bidi w:val="0"/>
        <w:spacing w:before="0" w:after="140" w:line="240" w:lineRule="auto"/>
        <w:ind w:left="0" w:right="0" w:firstLine="260"/>
        <w:jc w:val="left"/>
      </w:pPr>
      <w:bookmarkStart w:id="1017" w:name="bookmark1017"/>
      <w:bookmarkStart w:id="1018" w:name="bookmark1018"/>
      <w:bookmarkStart w:id="1019" w:name="bookmark1019"/>
      <w:r>
        <w:rPr>
          <w:color w:val="000000"/>
          <w:spacing w:val="0"/>
          <w:w w:val="100"/>
          <w:position w:val="0"/>
        </w:rPr>
        <w:t>（四十八）外币货币性项目</w:t>
      </w:r>
      <w:bookmarkEnd w:id="1017"/>
      <w:bookmarkEnd w:id="1018"/>
      <w:bookmarkEnd w:id="1019"/>
    </w:p>
    <w:p>
      <w:pPr>
        <w:pStyle w:val="Style28"/>
        <w:keepNext/>
        <w:keepLines/>
        <w:widowControl w:val="0"/>
        <w:shd w:val="clear" w:color="auto" w:fill="auto"/>
        <w:bidi w:val="0"/>
        <w:spacing w:before="0" w:after="140" w:line="240" w:lineRule="auto"/>
        <w:ind w:left="0" w:right="0" w:firstLine="480"/>
        <w:jc w:val="left"/>
      </w:pPr>
      <w:bookmarkStart w:id="1017" w:name="bookmark1017"/>
      <w:bookmarkStart w:id="1018" w:name="bookmark1018"/>
      <w:r>
        <w:rPr>
          <w:color w:val="222222"/>
          <w:spacing w:val="0"/>
          <w:w w:val="100"/>
          <w:position w:val="0"/>
        </w:rPr>
        <w:t>1、</w:t>
      </w:r>
      <w:r>
        <w:rPr>
          <w:color w:val="000000"/>
          <w:spacing w:val="0"/>
          <w:w w:val="100"/>
          <w:position w:val="0"/>
        </w:rPr>
        <w:t>外币货币性项目</w:t>
      </w:r>
      <w:bookmarkEnd w:id="1017"/>
      <w:bookmarkEnd w:id="1018"/>
      <w:r>
        <w:br w:type="page"/>
      </w:r>
    </w:p>
    <w:tbl>
      <w:tblPr>
        <w:tblOverlap w:val="never"/>
        <w:jc w:val="center"/>
        <w:tblLayout w:type="fixed"/>
      </w:tblPr>
      <w:tblGrid>
        <w:gridCol w:w="2760"/>
        <w:gridCol w:w="2698"/>
        <w:gridCol w:w="1589"/>
        <w:gridCol w:w="2885"/>
      </w:tblGrid>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期末外币余额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折算汇率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期末折算人民币余额</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26,147,610.84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6.93700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181,385,976.41</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4,319,586.93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0.89451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3,863,912.74</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新台币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0.215449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60,643.39</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9.675.165.84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6.93700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67,116,625.43</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应付账款</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4,224,545.37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6.93700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29,305,671.24</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21,481,229.00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0.059591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1,280,087.92</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6.93700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50,240.60</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480"/>
        <w:jc w:val="both"/>
        <w:rPr>
          <w:sz w:val="20"/>
          <w:szCs w:val="20"/>
        </w:rPr>
      </w:pPr>
      <w:r>
        <w:rPr>
          <w:b/>
          <w:bCs/>
          <w:color w:val="222222"/>
          <w:spacing w:val="0"/>
          <w:w w:val="100"/>
          <w:position w:val="0"/>
          <w:sz w:val="20"/>
          <w:szCs w:val="20"/>
        </w:rPr>
        <w:t>2、</w:t>
      </w:r>
      <w:r>
        <w:rPr>
          <w:b/>
          <w:bCs/>
          <w:color w:val="000000"/>
          <w:spacing w:val="0"/>
          <w:w w:val="100"/>
          <w:position w:val="0"/>
          <w:sz w:val="20"/>
          <w:szCs w:val="20"/>
        </w:rPr>
        <w:t>境外经营实体说明</w:t>
      </w:r>
    </w:p>
    <w:p>
      <w:pPr>
        <w:pStyle w:val="Style31"/>
        <w:keepNext w:val="0"/>
        <w:keepLines w:val="0"/>
        <w:widowControl w:val="0"/>
        <w:shd w:val="clear" w:color="auto" w:fill="auto"/>
        <w:bidi w:val="0"/>
        <w:spacing w:before="0" w:after="280" w:line="270" w:lineRule="exact"/>
        <w:ind w:left="140" w:right="0" w:firstLine="420"/>
        <w:jc w:val="both"/>
        <w:rPr>
          <w:sz w:val="20"/>
          <w:szCs w:val="20"/>
        </w:rPr>
      </w:pPr>
      <w:r>
        <w:rPr>
          <w:color w:val="000000"/>
          <w:spacing w:val="0"/>
          <w:w w:val="100"/>
          <w:position w:val="0"/>
          <w:sz w:val="20"/>
          <w:szCs w:val="20"/>
        </w:rPr>
        <w:t>本公司境外经营实体主要是香港同芯投资有限公司、盘古设计系统有限公司、紫光国芯先进集成电路 技术有限公司和</w:t>
      </w:r>
      <w:r>
        <w:rPr>
          <w:rFonts w:ascii="Times New Roman" w:eastAsia="Times New Roman" w:hAnsi="Times New Roman" w:cs="Times New Roman"/>
          <w:color w:val="000000"/>
          <w:spacing w:val="0"/>
          <w:w w:val="100"/>
          <w:position w:val="0"/>
          <w:sz w:val="20"/>
          <w:szCs w:val="20"/>
        </w:rPr>
        <w:t>C oncore Investments Limited</w:t>
      </w:r>
      <w:r>
        <w:rPr>
          <w:color w:val="000000"/>
          <w:spacing w:val="0"/>
          <w:w w:val="100"/>
          <w:position w:val="0"/>
          <w:sz w:val="20"/>
          <w:szCs w:val="20"/>
        </w:rPr>
        <w:t>。其中，香港同芯投资有限公司和紫光国芯先进集成电路技术 有限公司注册地为香港。香港同芯投资有限公司因主要业务结算使用港币而采用港币为记账本位币；紫光 国芯先进集成电路技术有限公司因主要业务结算使用美元而采用美元为记账本位币；盘古设计系统有限公 司注册地为美国加州，因主要业务是为本公司之子公司紫光同创提供委托研发服务而采用人民币为记账本 位币；</w:t>
      </w:r>
      <w:r>
        <w:rPr>
          <w:rFonts w:ascii="Times New Roman" w:eastAsia="Times New Roman" w:hAnsi="Times New Roman" w:cs="Times New Roman"/>
          <w:color w:val="000000"/>
          <w:spacing w:val="0"/>
          <w:w w:val="100"/>
          <w:position w:val="0"/>
          <w:sz w:val="20"/>
          <w:szCs w:val="20"/>
        </w:rPr>
        <w:t>Concore Investments Limited</w:t>
      </w:r>
      <w:r>
        <w:rPr>
          <w:color w:val="000000"/>
          <w:spacing w:val="0"/>
          <w:w w:val="100"/>
          <w:position w:val="0"/>
          <w:sz w:val="20"/>
          <w:szCs w:val="20"/>
        </w:rPr>
        <w:t>注册地址为英属维尔京群岛。</w:t>
      </w:r>
    </w:p>
    <w:p>
      <w:pPr>
        <w:pStyle w:val="Style23"/>
        <w:keepNext/>
        <w:keepLines/>
        <w:widowControl w:val="0"/>
        <w:shd w:val="clear" w:color="auto" w:fill="auto"/>
        <w:bidi w:val="0"/>
        <w:spacing w:before="0" w:after="240" w:line="240" w:lineRule="auto"/>
        <w:ind w:left="0" w:right="0" w:firstLine="140"/>
        <w:jc w:val="left"/>
      </w:pPr>
      <w:bookmarkStart w:id="1020" w:name="bookmark1020"/>
      <w:bookmarkStart w:id="1021" w:name="bookmark1021"/>
      <w:bookmarkStart w:id="1022" w:name="bookmark1022"/>
      <w:bookmarkStart w:id="1023" w:name="bookmark1023"/>
      <w:r>
        <w:rPr>
          <w:color w:val="000000"/>
          <w:spacing w:val="0"/>
          <w:w w:val="100"/>
          <w:position w:val="0"/>
        </w:rPr>
        <w:t>八</w:t>
      </w:r>
      <w:bookmarkEnd w:id="1022"/>
      <w:r>
        <w:rPr>
          <w:color w:val="000000"/>
          <w:spacing w:val="0"/>
          <w:w w:val="100"/>
          <w:position w:val="0"/>
        </w:rPr>
        <w:t>、合并范围的变更</w:t>
      </w:r>
      <w:bookmarkEnd w:id="1020"/>
      <w:bookmarkEnd w:id="1021"/>
      <w:bookmarkEnd w:id="1023"/>
    </w:p>
    <w:p>
      <w:pPr>
        <w:pStyle w:val="Style31"/>
        <w:keepNext w:val="0"/>
        <w:keepLines w:val="0"/>
        <w:widowControl w:val="0"/>
        <w:shd w:val="clear" w:color="auto" w:fill="auto"/>
        <w:bidi w:val="0"/>
        <w:spacing w:before="0" w:after="280" w:line="274" w:lineRule="exact"/>
        <w:ind w:left="140" w:right="0" w:firstLine="420"/>
        <w:jc w:val="both"/>
        <w:rPr>
          <w:sz w:val="20"/>
          <w:szCs w:val="20"/>
        </w:rPr>
      </w:pPr>
      <w:r>
        <w:rPr>
          <w:color w:val="000000"/>
          <w:spacing w:val="0"/>
          <w:w w:val="100"/>
          <w:position w:val="0"/>
          <w:sz w:val="20"/>
          <w:szCs w:val="20"/>
        </w:rPr>
        <w:t>公司本期合并范围增加</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家子公司，为</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月在河北省玉田县设立的全资子公司唐山国芯晶源电子 有限公司（以下简称“国芯晶源”），注册资本为</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万元人民币。</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月，注册资本变更为</w:t>
      </w:r>
      <w:r>
        <w:rPr>
          <w:rFonts w:ascii="Times New Roman" w:eastAsia="Times New Roman" w:hAnsi="Times New Roman" w:cs="Times New Roman"/>
          <w:color w:val="000000"/>
          <w:spacing w:val="0"/>
          <w:w w:val="100"/>
          <w:position w:val="0"/>
          <w:sz w:val="20"/>
          <w:szCs w:val="20"/>
        </w:rPr>
        <w:t>20,000.00</w:t>
      </w:r>
      <w:r>
        <w:rPr>
          <w:color w:val="000000"/>
          <w:spacing w:val="0"/>
          <w:w w:val="100"/>
          <w:position w:val="0"/>
          <w:sz w:val="20"/>
          <w:szCs w:val="20"/>
        </w:rPr>
        <w:t>万 /元。</w:t>
      </w:r>
    </w:p>
    <w:p>
      <w:pPr>
        <w:pStyle w:val="Style23"/>
        <w:keepNext/>
        <w:keepLines/>
        <w:widowControl w:val="0"/>
        <w:shd w:val="clear" w:color="auto" w:fill="auto"/>
        <w:bidi w:val="0"/>
        <w:spacing w:before="0" w:after="280" w:line="240" w:lineRule="auto"/>
        <w:ind w:left="0" w:right="0" w:firstLine="140"/>
        <w:jc w:val="left"/>
      </w:pPr>
      <w:bookmarkStart w:id="1024" w:name="bookmark1024"/>
      <w:bookmarkStart w:id="1025" w:name="bookmark1025"/>
      <w:bookmarkStart w:id="1026" w:name="bookmark1026"/>
      <w:bookmarkStart w:id="1027" w:name="bookmark1027"/>
      <w:r>
        <w:rPr>
          <w:color w:val="000000"/>
          <w:spacing w:val="0"/>
          <w:w w:val="100"/>
          <w:position w:val="0"/>
        </w:rPr>
        <w:t>九</w:t>
      </w:r>
      <w:bookmarkEnd w:id="1026"/>
      <w:r>
        <w:rPr>
          <w:color w:val="000000"/>
          <w:spacing w:val="0"/>
          <w:w w:val="100"/>
          <w:position w:val="0"/>
        </w:rPr>
        <w:t>、在其他主体中的权益</w:t>
      </w:r>
      <w:bookmarkEnd w:id="1024"/>
      <w:bookmarkEnd w:id="1025"/>
      <w:bookmarkEnd w:id="1027"/>
    </w:p>
    <w:p>
      <w:pPr>
        <w:pStyle w:val="Style28"/>
        <w:keepNext/>
        <w:keepLines/>
        <w:widowControl w:val="0"/>
        <w:shd w:val="clear" w:color="auto" w:fill="auto"/>
        <w:bidi w:val="0"/>
        <w:spacing w:before="0" w:after="140" w:line="240" w:lineRule="auto"/>
        <w:ind w:left="0" w:right="0" w:firstLine="140"/>
        <w:jc w:val="both"/>
      </w:pPr>
      <w:bookmarkStart w:id="1028" w:name="bookmark1028"/>
      <w:bookmarkStart w:id="1029" w:name="bookmark1029"/>
      <w:bookmarkStart w:id="1030" w:name="bookmark1030"/>
      <w:bookmarkStart w:id="1031" w:name="bookmark1031"/>
      <w:r>
        <w:rPr>
          <w:color w:val="000000"/>
          <w:spacing w:val="0"/>
          <w:w w:val="100"/>
          <w:position w:val="0"/>
        </w:rPr>
        <w:t>（</w:t>
      </w:r>
      <w:bookmarkEnd w:id="1030"/>
      <w:r>
        <w:rPr>
          <w:color w:val="000000"/>
          <w:spacing w:val="0"/>
          <w:w w:val="100"/>
          <w:position w:val="0"/>
        </w:rPr>
        <w:t>一）在子公司中的权益</w:t>
      </w:r>
      <w:bookmarkEnd w:id="1028"/>
      <w:bookmarkEnd w:id="1029"/>
      <w:bookmarkEnd w:id="1031"/>
    </w:p>
    <w:p>
      <w:pPr>
        <w:pStyle w:val="Style28"/>
        <w:keepNext/>
        <w:keepLines/>
        <w:widowControl w:val="0"/>
        <w:shd w:val="clear" w:color="auto" w:fill="auto"/>
        <w:bidi w:val="0"/>
        <w:spacing w:before="0" w:after="140" w:line="240" w:lineRule="auto"/>
        <w:ind w:left="0" w:right="0" w:firstLine="480"/>
        <w:jc w:val="both"/>
      </w:pPr>
      <w:bookmarkStart w:id="1028" w:name="bookmark1028"/>
      <w:bookmarkStart w:id="1029" w:name="bookmark1029"/>
      <w:r>
        <w:rPr>
          <w:color w:val="222222"/>
          <w:spacing w:val="0"/>
          <w:w w:val="100"/>
          <w:position w:val="0"/>
        </w:rPr>
        <w:t>1、</w:t>
      </w:r>
      <w:r>
        <w:rPr>
          <w:color w:val="000000"/>
          <w:spacing w:val="0"/>
          <w:w w:val="100"/>
          <w:position w:val="0"/>
        </w:rPr>
        <w:t>企业集团的构成</w:t>
      </w:r>
      <w:bookmarkEnd w:id="1028"/>
      <w:bookmarkEnd w:id="1029"/>
    </w:p>
    <w:tbl>
      <w:tblPr>
        <w:tblOverlap w:val="never"/>
        <w:jc w:val="center"/>
        <w:tblLayout w:type="fixed"/>
      </w:tblPr>
      <w:tblGrid>
        <w:gridCol w:w="2515"/>
        <w:gridCol w:w="850"/>
        <w:gridCol w:w="1282"/>
        <w:gridCol w:w="1267"/>
        <w:gridCol w:w="1560"/>
        <w:gridCol w:w="710"/>
        <w:gridCol w:w="528"/>
        <w:gridCol w:w="1118"/>
      </w:tblGrid>
      <w:tr>
        <w:trPr>
          <w:trHeight w:val="35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子公司名称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级次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主要经营地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注册地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业务性质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6"/>
                <w:szCs w:val="16"/>
              </w:rPr>
              <w:t>持股比例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取得方式</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直接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间接</w:t>
            </w:r>
          </w:p>
        </w:tc>
        <w:tc>
          <w:tcPr>
            <w:vMerge/>
            <w:tcBorders>
              <w:left w:val="single" w:sz="4"/>
            </w:tcBorders>
            <w:shd w:val="clear" w:color="auto" w:fill="FFFFFF"/>
            <w:vAlign w:val="center"/>
          </w:tcPr>
          <w:p>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唐山晶源电子有限公司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河北省玉田县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河北省玉田县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生产销售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设立</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北京晶源裕丰光学电子器件有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生产销售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设立</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成都国微科技有限公司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四川省成都市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四川省成都市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研发、生产、销售 和技术咨询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非同一控制 下企业合并</w:t>
            </w:r>
          </w:p>
        </w:tc>
      </w:tr>
      <w:tr>
        <w:trPr>
          <w:trHeight w:val="3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香港同芯投资有限公司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中国香港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中国香港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高科技企业投资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设立</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北京同芯创展投资有限公司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项目投资、投资管 理、资产管理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设立</w:t>
            </w:r>
          </w:p>
        </w:tc>
      </w:tr>
      <w:tr>
        <w:trPr>
          <w:trHeight w:val="58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西藏拓展创芯投资有限公司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一级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拉萨市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拉萨市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股权投资、投资管 理、投资咨询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设立</w:t>
            </w:r>
          </w:p>
        </w:tc>
      </w:tr>
    </w:tbl>
    <w:p>
      <w:pPr>
        <w:widowControl w:val="0"/>
        <w:spacing w:line="1" w:lineRule="exact"/>
      </w:pPr>
      <w:r>
        <w:br w:type="page"/>
      </w:r>
    </w:p>
    <w:tbl>
      <w:tblPr>
        <w:tblOverlap w:val="never"/>
        <w:jc w:val="center"/>
        <w:tblLayout w:type="fixed"/>
      </w:tblPr>
      <w:tblGrid>
        <w:gridCol w:w="2515"/>
        <w:gridCol w:w="850"/>
        <w:gridCol w:w="1282"/>
        <w:gridCol w:w="1267"/>
        <w:gridCol w:w="1560"/>
        <w:gridCol w:w="710"/>
        <w:gridCol w:w="528"/>
        <w:gridCol w:w="1118"/>
      </w:tblGrid>
      <w:tr>
        <w:trPr>
          <w:trHeight w:val="34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b/>
                <w:bCs/>
                <w:color w:val="000000"/>
                <w:spacing w:val="0"/>
                <w:w w:val="100"/>
                <w:position w:val="0"/>
                <w:sz w:val="16"/>
                <w:szCs w:val="16"/>
              </w:rPr>
              <w:t>子公司名称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级次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主要经营地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注册地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业务性质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6"/>
                <w:szCs w:val="16"/>
              </w:rPr>
              <w:t>持股比例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取得方式</w:t>
            </w:r>
          </w:p>
        </w:tc>
      </w:tr>
      <w:tr>
        <w:trPr>
          <w:trHeight w:val="32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直接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间接</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西藏茂业创芯投资有限公司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拉萨市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拉萨市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股权投资、投资管 理、投资咨询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设立</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西藏微纳芯业投资有限公司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拉萨市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拉萨市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股权投资、投资管 理、投资咨询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设立</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北京同方微电子有限公司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设计、开发和销售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同一控制下 企业合并</w:t>
            </w:r>
          </w:p>
        </w:tc>
      </w:tr>
      <w:tr>
        <w:trPr>
          <w:trHeight w:val="3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无锡同方微电子有限公司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江苏省无锡市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江苏省无锡市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设计、生产和销售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设立</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深圳市国微电子有限公司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广东省深圳市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广东省深圳市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设计、开发和销售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非同一控制 下企业合并</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成都国微电子有限公司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四川省成都市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四川省成都市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研发、设计、生产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非同一控制 下企业合并</w:t>
            </w:r>
          </w:p>
        </w:tc>
      </w:tr>
      <w:tr>
        <w:trPr>
          <w:trHeight w:val="3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深圳市紫光同创电子有限公司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广东省深圳市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广东省深圳市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研发、销售、投资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设立</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北京晶智意达科技有限公司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研发、咨询等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非同一控制 下企业合并</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盘古设计系统有限公司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研发、设计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设立</w:t>
            </w: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Concore Investments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BVI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BVI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高科技企业投资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设立</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西安紫光国芯半导体有限公司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陕西省西安市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西安市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研发、生产、销售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非同一控制 下企业合并</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紫光国芯先进集成电路技术有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研发、生产、销售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非同一控制 下企业合并</w:t>
            </w:r>
          </w:p>
        </w:tc>
      </w:tr>
      <w:tr>
        <w:trPr>
          <w:trHeight w:val="42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唐山国芯晶源电子有限公司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一级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河北省玉田县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河北省玉田县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研发、生产、销售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设立</w:t>
            </w:r>
          </w:p>
        </w:tc>
      </w:tr>
    </w:tbl>
    <w:p>
      <w:pPr>
        <w:widowControl w:val="0"/>
        <w:spacing w:after="119" w:line="1" w:lineRule="exact"/>
      </w:pPr>
    </w:p>
    <w:p>
      <w:pPr>
        <w:pStyle w:val="Style31"/>
        <w:keepNext w:val="0"/>
        <w:keepLines w:val="0"/>
        <w:widowControl w:val="0"/>
        <w:shd w:val="clear" w:color="auto" w:fill="auto"/>
        <w:bidi w:val="0"/>
        <w:spacing w:before="0" w:after="160" w:line="240" w:lineRule="auto"/>
        <w:ind w:left="0" w:right="0" w:firstLine="480"/>
        <w:jc w:val="left"/>
        <w:rPr>
          <w:sz w:val="20"/>
          <w:szCs w:val="20"/>
        </w:rPr>
      </w:pPr>
      <w:r>
        <w:rPr>
          <w:b/>
          <w:bCs/>
          <w:color w:val="222222"/>
          <w:spacing w:val="0"/>
          <w:w w:val="100"/>
          <w:position w:val="0"/>
          <w:sz w:val="20"/>
          <w:szCs w:val="20"/>
        </w:rPr>
        <w:t>2、</w:t>
      </w:r>
      <w:r>
        <w:rPr>
          <w:b/>
          <w:bCs/>
          <w:color w:val="000000"/>
          <w:spacing w:val="0"/>
          <w:w w:val="100"/>
          <w:position w:val="0"/>
          <w:sz w:val="20"/>
          <w:szCs w:val="20"/>
        </w:rPr>
        <w:t>重要的非全资子公司</w:t>
      </w:r>
    </w:p>
    <w:tbl>
      <w:tblPr>
        <w:tblOverlap w:val="never"/>
        <w:jc w:val="center"/>
        <w:tblLayout w:type="fixed"/>
      </w:tblPr>
      <w:tblGrid>
        <w:gridCol w:w="3235"/>
        <w:gridCol w:w="1435"/>
        <w:gridCol w:w="1752"/>
        <w:gridCol w:w="1867"/>
        <w:gridCol w:w="1642"/>
      </w:tblGrid>
      <w:tr>
        <w:trPr>
          <w:trHeight w:val="5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6"/>
                <w:szCs w:val="16"/>
              </w:rPr>
              <w:t>少数股东的持 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6"/>
                <w:szCs w:val="16"/>
              </w:rPr>
            </w:pPr>
            <w:r>
              <w:rPr>
                <w:b/>
                <w:bCs/>
                <w:color w:val="000000"/>
                <w:spacing w:val="0"/>
                <w:w w:val="100"/>
                <w:position w:val="0"/>
                <w:sz w:val="16"/>
                <w:szCs w:val="16"/>
              </w:rPr>
              <w:t>本期归属于少数股 东的损益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b/>
                <w:bCs/>
                <w:color w:val="000000"/>
                <w:spacing w:val="0"/>
                <w:w w:val="100"/>
                <w:position w:val="0"/>
                <w:sz w:val="16"/>
                <w:szCs w:val="16"/>
              </w:rPr>
              <w:t>本期向少数股东宣告 分派的股利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6"/>
                <w:szCs w:val="16"/>
              </w:rPr>
            </w:pPr>
            <w:r>
              <w:rPr>
                <w:b/>
                <w:bCs/>
                <w:color w:val="000000"/>
                <w:spacing w:val="0"/>
                <w:w w:val="100"/>
                <w:position w:val="0"/>
                <w:sz w:val="16"/>
                <w:szCs w:val="16"/>
              </w:rPr>
              <w:t>期末少数股东权 益余额</w:t>
            </w:r>
          </w:p>
        </w:tc>
      </w:tr>
      <w:tr>
        <w:trPr>
          <w:trHeight w:val="5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无锡同方微电子有限公司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-2,218,973.17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3,833,668.42</w:t>
            </w:r>
          </w:p>
        </w:tc>
      </w:tr>
      <w:tr>
        <w:trPr>
          <w:trHeight w:val="5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深圳市紫光同创电子有限公司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-1,821,099.88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36,232,939.94</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西安紫光国芯半导体有限公司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793,684.47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42,922,375.63</w:t>
            </w:r>
          </w:p>
        </w:tc>
      </w:tr>
    </w:tbl>
    <w:p>
      <w:pPr>
        <w:widowControl w:val="0"/>
        <w:spacing w:after="119" w:line="1" w:lineRule="exact"/>
      </w:pPr>
    </w:p>
    <w:p>
      <w:pPr>
        <w:pStyle w:val="Style31"/>
        <w:keepNext w:val="0"/>
        <w:keepLines w:val="0"/>
        <w:widowControl w:val="0"/>
        <w:shd w:val="clear" w:color="auto" w:fill="auto"/>
        <w:bidi w:val="0"/>
        <w:spacing w:before="0" w:line="271" w:lineRule="exact"/>
        <w:ind w:left="140" w:right="0" w:firstLine="42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：无锡同方微电子有限公司于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日成立，注册资金</w:t>
      </w:r>
      <w:r>
        <w:rPr>
          <w:rFonts w:ascii="Times New Roman" w:eastAsia="Times New Roman" w:hAnsi="Times New Roman" w:cs="Times New Roman"/>
          <w:color w:val="000000"/>
          <w:spacing w:val="0"/>
          <w:w w:val="100"/>
          <w:position w:val="0"/>
          <w:sz w:val="20"/>
          <w:szCs w:val="20"/>
        </w:rPr>
        <w:t>3,000.00</w:t>
      </w:r>
      <w:r>
        <w:rPr>
          <w:color w:val="000000"/>
          <w:spacing w:val="0"/>
          <w:w w:val="100"/>
          <w:position w:val="0"/>
          <w:sz w:val="20"/>
          <w:szCs w:val="20"/>
        </w:rPr>
        <w:t>万元，本公司的全资子 公司北京同方微电子有限公司持有其</w:t>
      </w:r>
      <w:r>
        <w:rPr>
          <w:rFonts w:ascii="Times New Roman" w:eastAsia="Times New Roman" w:hAnsi="Times New Roman" w:cs="Times New Roman"/>
          <w:color w:val="000000"/>
          <w:spacing w:val="0"/>
          <w:w w:val="100"/>
          <w:position w:val="0"/>
          <w:sz w:val="20"/>
          <w:szCs w:val="20"/>
        </w:rPr>
        <w:t>70%</w:t>
      </w:r>
      <w:r>
        <w:rPr>
          <w:color w:val="000000"/>
          <w:spacing w:val="0"/>
          <w:w w:val="100"/>
          <w:position w:val="0"/>
          <w:sz w:val="20"/>
          <w:szCs w:val="20"/>
        </w:rPr>
        <w:t>股权。无锡同方微电子有限公司本期营业收入额为</w:t>
      </w:r>
      <w:r>
        <w:rPr>
          <w:rFonts w:ascii="Times New Roman" w:eastAsia="Times New Roman" w:hAnsi="Times New Roman" w:cs="Times New Roman"/>
          <w:color w:val="000000"/>
          <w:spacing w:val="0"/>
          <w:w w:val="100"/>
          <w:position w:val="0"/>
          <w:sz w:val="20"/>
          <w:szCs w:val="20"/>
        </w:rPr>
        <w:t xml:space="preserve">46,163,900.12 </w:t>
      </w:r>
      <w:r>
        <w:rPr>
          <w:color w:val="000000"/>
          <w:spacing w:val="0"/>
          <w:w w:val="100"/>
          <w:position w:val="0"/>
          <w:sz w:val="20"/>
          <w:szCs w:val="20"/>
        </w:rPr>
        <w:t>元、净利润为</w:t>
      </w:r>
      <w:r>
        <w:rPr>
          <w:rFonts w:ascii="Times New Roman" w:eastAsia="Times New Roman" w:hAnsi="Times New Roman" w:cs="Times New Roman"/>
          <w:color w:val="000000"/>
          <w:spacing w:val="0"/>
          <w:w w:val="100"/>
          <w:position w:val="0"/>
          <w:sz w:val="20"/>
          <w:szCs w:val="20"/>
        </w:rPr>
        <w:t>-7,396,577.23</w:t>
      </w:r>
      <w:r>
        <w:rPr>
          <w:color w:val="000000"/>
          <w:spacing w:val="0"/>
          <w:w w:val="100"/>
          <w:position w:val="0"/>
          <w:sz w:val="20"/>
          <w:szCs w:val="20"/>
        </w:rPr>
        <w:t>元、资产总额为</w:t>
      </w:r>
      <w:r>
        <w:rPr>
          <w:rFonts w:ascii="Times New Roman" w:eastAsia="Times New Roman" w:hAnsi="Times New Roman" w:cs="Times New Roman"/>
          <w:color w:val="000000"/>
          <w:spacing w:val="0"/>
          <w:w w:val="100"/>
          <w:position w:val="0"/>
          <w:sz w:val="20"/>
          <w:szCs w:val="20"/>
        </w:rPr>
        <w:t>57,014,205.74</w:t>
      </w:r>
      <w:r>
        <w:rPr>
          <w:color w:val="000000"/>
          <w:spacing w:val="0"/>
          <w:w w:val="100"/>
          <w:position w:val="0"/>
          <w:sz w:val="20"/>
          <w:szCs w:val="20"/>
        </w:rPr>
        <w:t>元，净资产为</w:t>
      </w:r>
      <w:r>
        <w:rPr>
          <w:rFonts w:ascii="Times New Roman" w:eastAsia="Times New Roman" w:hAnsi="Times New Roman" w:cs="Times New Roman"/>
          <w:color w:val="000000"/>
          <w:spacing w:val="0"/>
          <w:w w:val="100"/>
          <w:position w:val="0"/>
          <w:sz w:val="20"/>
          <w:szCs w:val="20"/>
        </w:rPr>
        <w:t>12,778,894.73</w:t>
      </w:r>
      <w:r>
        <w:rPr>
          <w:color w:val="000000"/>
          <w:spacing w:val="0"/>
          <w:w w:val="100"/>
          <w:position w:val="0"/>
          <w:sz w:val="20"/>
          <w:szCs w:val="20"/>
        </w:rPr>
        <w:t>元。</w:t>
      </w:r>
    </w:p>
    <w:p>
      <w:pPr>
        <w:pStyle w:val="Style31"/>
        <w:keepNext w:val="0"/>
        <w:keepLines w:val="0"/>
        <w:widowControl w:val="0"/>
        <w:shd w:val="clear" w:color="auto" w:fill="auto"/>
        <w:bidi w:val="0"/>
        <w:spacing w:before="0" w:line="271" w:lineRule="exact"/>
        <w:ind w:left="140" w:right="0" w:firstLine="42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：深圳市紫光同创电子有限公司于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日成立，注册资金</w:t>
      </w:r>
      <w:r>
        <w:rPr>
          <w:rFonts w:ascii="Times New Roman" w:eastAsia="Times New Roman" w:hAnsi="Times New Roman" w:cs="Times New Roman"/>
          <w:color w:val="000000"/>
          <w:spacing w:val="0"/>
          <w:w w:val="100"/>
          <w:position w:val="0"/>
          <w:sz w:val="20"/>
          <w:szCs w:val="20"/>
        </w:rPr>
        <w:t>15,000.00</w:t>
      </w:r>
      <w:r>
        <w:rPr>
          <w:color w:val="000000"/>
          <w:spacing w:val="0"/>
          <w:w w:val="100"/>
          <w:position w:val="0"/>
          <w:sz w:val="20"/>
          <w:szCs w:val="20"/>
        </w:rPr>
        <w:t>万元，本公司的 全资子公司深圳市国微电子有限公司持有其</w:t>
      </w:r>
      <w:r>
        <w:rPr>
          <w:rFonts w:ascii="Times New Roman" w:eastAsia="Times New Roman" w:hAnsi="Times New Roman" w:cs="Times New Roman"/>
          <w:color w:val="000000"/>
          <w:spacing w:val="0"/>
          <w:w w:val="100"/>
          <w:position w:val="0"/>
          <w:sz w:val="20"/>
          <w:szCs w:val="20"/>
        </w:rPr>
        <w:t>73%</w:t>
      </w:r>
      <w:r>
        <w:rPr>
          <w:color w:val="000000"/>
          <w:spacing w:val="0"/>
          <w:w w:val="100"/>
          <w:position w:val="0"/>
          <w:sz w:val="20"/>
          <w:szCs w:val="20"/>
        </w:rPr>
        <w:t xml:space="preserve">股权。深圳市紫光同创电子有限公司本期营业收入额为 </w:t>
      </w:r>
      <w:r>
        <w:rPr>
          <w:rFonts w:ascii="Times New Roman" w:eastAsia="Times New Roman" w:hAnsi="Times New Roman" w:cs="Times New Roman"/>
          <w:color w:val="000000"/>
          <w:spacing w:val="0"/>
          <w:w w:val="100"/>
          <w:position w:val="0"/>
          <w:sz w:val="20"/>
          <w:szCs w:val="20"/>
        </w:rPr>
        <w:t xml:space="preserve">9,731,102.68 </w:t>
      </w:r>
      <w:r>
        <w:rPr>
          <w:color w:val="000000"/>
          <w:spacing w:val="0"/>
          <w:w w:val="100"/>
          <w:position w:val="0"/>
          <w:sz w:val="20"/>
          <w:szCs w:val="20"/>
        </w:rPr>
        <w:t>元、净利润为</w:t>
      </w:r>
      <w:r>
        <w:rPr>
          <w:rFonts w:ascii="Times New Roman" w:eastAsia="Times New Roman" w:hAnsi="Times New Roman" w:cs="Times New Roman"/>
          <w:color w:val="000000"/>
          <w:spacing w:val="0"/>
          <w:w w:val="100"/>
          <w:position w:val="0"/>
          <w:sz w:val="20"/>
          <w:szCs w:val="20"/>
        </w:rPr>
        <w:t xml:space="preserve">-6,744,814.36 </w:t>
      </w:r>
      <w:r>
        <w:rPr>
          <w:color w:val="000000"/>
          <w:spacing w:val="0"/>
          <w:w w:val="100"/>
          <w:position w:val="0"/>
          <w:sz w:val="20"/>
          <w:szCs w:val="20"/>
        </w:rPr>
        <w:t xml:space="preserve">元、资产总额为 </w:t>
      </w:r>
      <w:r>
        <w:rPr>
          <w:rFonts w:ascii="Times New Roman" w:eastAsia="Times New Roman" w:hAnsi="Times New Roman" w:cs="Times New Roman"/>
          <w:color w:val="000000"/>
          <w:spacing w:val="0"/>
          <w:w w:val="100"/>
          <w:position w:val="0"/>
          <w:sz w:val="20"/>
          <w:szCs w:val="20"/>
        </w:rPr>
        <w:t xml:space="preserve">311,761,149.02 </w:t>
      </w:r>
      <w:r>
        <w:rPr>
          <w:color w:val="000000"/>
          <w:spacing w:val="0"/>
          <w:w w:val="100"/>
          <w:position w:val="0"/>
          <w:sz w:val="20"/>
          <w:szCs w:val="20"/>
        </w:rPr>
        <w:t xml:space="preserve">元，净资产为 </w:t>
      </w:r>
      <w:r>
        <w:rPr>
          <w:rFonts w:ascii="Times New Roman" w:eastAsia="Times New Roman" w:hAnsi="Times New Roman" w:cs="Times New Roman"/>
          <w:color w:val="000000"/>
          <w:spacing w:val="0"/>
          <w:w w:val="100"/>
          <w:position w:val="0"/>
          <w:sz w:val="20"/>
          <w:szCs w:val="20"/>
        </w:rPr>
        <w:t xml:space="preserve">134,196,073.87 </w:t>
      </w:r>
      <w:r>
        <w:rPr>
          <w:color w:val="000000"/>
          <w:spacing w:val="0"/>
          <w:w w:val="100"/>
          <w:position w:val="0"/>
          <w:sz w:val="20"/>
          <w:szCs w:val="20"/>
        </w:rPr>
        <w:t>元。</w:t>
      </w:r>
    </w:p>
    <w:p>
      <w:pPr>
        <w:pStyle w:val="Style31"/>
        <w:keepNext w:val="0"/>
        <w:keepLines w:val="0"/>
        <w:widowControl w:val="0"/>
        <w:shd w:val="clear" w:color="auto" w:fill="auto"/>
        <w:bidi w:val="0"/>
        <w:spacing w:before="0" w:line="272" w:lineRule="exact"/>
        <w:ind w:left="140" w:right="0" w:firstLine="42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：西安紫光国芯半导体有限公司于</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日成立，系本公司于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月按非同一控 制下企业合并取得，注册资金</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万美元，本公司直接持有其</w:t>
      </w: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20"/>
          <w:szCs w:val="20"/>
        </w:rPr>
        <w:t>股权，间接持有其</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股权。西安紫光 国芯半导体有限公司本期营业收入额为</w:t>
      </w:r>
      <w:r>
        <w:rPr>
          <w:rFonts w:ascii="Times New Roman" w:eastAsia="Times New Roman" w:hAnsi="Times New Roman" w:cs="Times New Roman"/>
          <w:color w:val="000000"/>
          <w:spacing w:val="0"/>
          <w:w w:val="100"/>
          <w:position w:val="0"/>
          <w:sz w:val="20"/>
          <w:szCs w:val="20"/>
        </w:rPr>
        <w:t>197,379,493.11</w:t>
      </w:r>
      <w:r>
        <w:rPr>
          <w:color w:val="000000"/>
          <w:spacing w:val="0"/>
          <w:w w:val="100"/>
          <w:position w:val="0"/>
          <w:sz w:val="20"/>
          <w:szCs w:val="20"/>
        </w:rPr>
        <w:t>元、净利润为</w:t>
      </w:r>
      <w:r>
        <w:rPr>
          <w:rFonts w:ascii="Times New Roman" w:eastAsia="Times New Roman" w:hAnsi="Times New Roman" w:cs="Times New Roman"/>
          <w:color w:val="000000"/>
          <w:spacing w:val="0"/>
          <w:w w:val="100"/>
          <w:position w:val="0"/>
          <w:sz w:val="20"/>
          <w:szCs w:val="20"/>
        </w:rPr>
        <w:t>3,307,018.64</w:t>
      </w:r>
      <w:r>
        <w:rPr>
          <w:color w:val="000000"/>
          <w:spacing w:val="0"/>
          <w:w w:val="100"/>
          <w:position w:val="0"/>
          <w:sz w:val="20"/>
          <w:szCs w:val="20"/>
        </w:rPr>
        <w:t xml:space="preserve">元、资产总额为 </w:t>
      </w:r>
      <w:r>
        <w:rPr>
          <w:rFonts w:ascii="Times New Roman" w:eastAsia="Times New Roman" w:hAnsi="Times New Roman" w:cs="Times New Roman"/>
          <w:color w:val="000000"/>
          <w:spacing w:val="0"/>
          <w:w w:val="100"/>
          <w:position w:val="0"/>
          <w:sz w:val="20"/>
          <w:szCs w:val="20"/>
        </w:rPr>
        <w:t xml:space="preserve">137,843,418.14 </w:t>
      </w:r>
      <w:r>
        <w:rPr>
          <w:color w:val="000000"/>
          <w:spacing w:val="0"/>
          <w:w w:val="100"/>
          <w:position w:val="0"/>
          <w:sz w:val="20"/>
          <w:szCs w:val="20"/>
        </w:rPr>
        <w:t xml:space="preserve">元，净资产为 </w:t>
      </w:r>
      <w:r>
        <w:rPr>
          <w:rFonts w:ascii="Times New Roman" w:eastAsia="Times New Roman" w:hAnsi="Times New Roman" w:cs="Times New Roman"/>
          <w:color w:val="000000"/>
          <w:spacing w:val="0"/>
          <w:w w:val="100"/>
          <w:position w:val="0"/>
          <w:sz w:val="20"/>
          <w:szCs w:val="20"/>
        </w:rPr>
        <w:t xml:space="preserve">57,825,299.93 </w:t>
      </w:r>
      <w:r>
        <w:rPr>
          <w:color w:val="000000"/>
          <w:spacing w:val="0"/>
          <w:w w:val="100"/>
          <w:position w:val="0"/>
          <w:sz w:val="20"/>
          <w:szCs w:val="20"/>
        </w:rPr>
        <w:t>元。</w:t>
      </w:r>
    </w:p>
    <w:p>
      <w:pPr>
        <w:pStyle w:val="Style28"/>
        <w:keepNext/>
        <w:keepLines/>
        <w:widowControl w:val="0"/>
        <w:numPr>
          <w:ilvl w:val="0"/>
          <w:numId w:val="11"/>
        </w:numPr>
        <w:shd w:val="clear" w:color="auto" w:fill="auto"/>
        <w:bidi w:val="0"/>
        <w:spacing w:before="0" w:after="160" w:line="272" w:lineRule="exact"/>
        <w:ind w:left="0" w:right="0" w:firstLine="140"/>
        <w:jc w:val="left"/>
      </w:pPr>
      <w:bookmarkStart w:id="1032" w:name="bookmark1032"/>
      <w:bookmarkStart w:id="1033" w:name="bookmark1033"/>
      <w:bookmarkStart w:id="1034" w:name="bookmark1034"/>
      <w:bookmarkStart w:id="1035" w:name="bookmark1035"/>
      <w:bookmarkEnd w:id="1034"/>
      <w:r>
        <w:rPr>
          <w:color w:val="000000"/>
          <w:spacing w:val="0"/>
          <w:w w:val="100"/>
          <w:position w:val="0"/>
        </w:rPr>
        <w:t>在子公司的所有者权益份额发生变化且仍控制子公司的交易</w:t>
      </w:r>
      <w:bookmarkEnd w:id="1032"/>
      <w:bookmarkEnd w:id="1033"/>
      <w:bookmarkEnd w:id="1035"/>
    </w:p>
    <w:p>
      <w:pPr>
        <w:pStyle w:val="Style31"/>
        <w:keepNext w:val="0"/>
        <w:keepLines w:val="0"/>
        <w:widowControl w:val="0"/>
        <w:shd w:val="clear" w:color="auto" w:fill="auto"/>
        <w:bidi w:val="0"/>
        <w:spacing w:before="0" w:line="240" w:lineRule="auto"/>
        <w:ind w:left="0" w:right="0" w:firstLine="560"/>
        <w:jc w:val="left"/>
        <w:rPr>
          <w:sz w:val="20"/>
          <w:szCs w:val="20"/>
        </w:rPr>
      </w:pPr>
      <w:r>
        <w:rPr>
          <w:color w:val="000000"/>
          <w:spacing w:val="0"/>
          <w:w w:val="100"/>
          <w:position w:val="0"/>
          <w:sz w:val="20"/>
          <w:szCs w:val="20"/>
        </w:rPr>
        <w:t>无。</w:t>
      </w:r>
    </w:p>
    <w:p>
      <w:pPr>
        <w:pStyle w:val="Style28"/>
        <w:keepNext/>
        <w:keepLines/>
        <w:widowControl w:val="0"/>
        <w:shd w:val="clear" w:color="auto" w:fill="auto"/>
        <w:tabs>
          <w:tab w:pos="630" w:val="left"/>
        </w:tabs>
        <w:bidi w:val="0"/>
        <w:spacing w:before="0" w:after="100" w:line="274" w:lineRule="exact"/>
        <w:ind w:left="0" w:right="0" w:firstLine="0"/>
        <w:jc w:val="both"/>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color w:val="000000"/>
          <w:spacing w:val="0"/>
          <w:w w:val="100"/>
          <w:position w:val="0"/>
        </w:rPr>
        <w:t>三）</w:t>
        <w:tab/>
        <w:t>在合营安排或联营企业中的权益</w:t>
      </w:r>
      <w:bookmarkEnd w:id="1036"/>
      <w:bookmarkEnd w:id="1037"/>
      <w:bookmarkEnd w:id="1039"/>
    </w:p>
    <w:p>
      <w:pPr>
        <w:pStyle w:val="Style28"/>
        <w:keepNext/>
        <w:keepLines/>
        <w:widowControl w:val="0"/>
        <w:shd w:val="clear" w:color="auto" w:fill="auto"/>
        <w:tabs>
          <w:tab w:pos="718" w:val="left"/>
        </w:tabs>
        <w:bidi w:val="0"/>
        <w:spacing w:before="0" w:after="100" w:line="274" w:lineRule="exact"/>
        <w:ind w:left="0" w:right="0" w:firstLine="360"/>
        <w:jc w:val="both"/>
      </w:pPr>
      <w:bookmarkStart w:id="1036" w:name="bookmark1036"/>
      <w:bookmarkStart w:id="1037" w:name="bookmark1037"/>
      <w:bookmarkStart w:id="1040" w:name="bookmark1040"/>
      <w:r>
        <w:rPr>
          <w:color w:val="222222"/>
          <w:spacing w:val="0"/>
          <w:w w:val="100"/>
          <w:position w:val="0"/>
        </w:rPr>
        <w:t>1</w:t>
      </w:r>
      <w:bookmarkEnd w:id="1040"/>
      <w:r>
        <w:rPr>
          <w:color w:val="222222"/>
          <w:spacing w:val="0"/>
          <w:w w:val="100"/>
          <w:position w:val="0"/>
        </w:rPr>
        <w:t>、</w:t>
        <w:tab/>
      </w:r>
      <w:r>
        <w:rPr>
          <w:color w:val="000000"/>
          <w:spacing w:val="0"/>
          <w:w w:val="100"/>
          <w:position w:val="0"/>
        </w:rPr>
        <w:t>重要的合营企业或联营企业</w:t>
      </w:r>
      <w:bookmarkEnd w:id="1036"/>
      <w:bookmarkEnd w:id="1037"/>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无。</w:t>
      </w:r>
    </w:p>
    <w:p>
      <w:pPr>
        <w:pStyle w:val="Style31"/>
        <w:keepNext w:val="0"/>
        <w:keepLines w:val="0"/>
        <w:widowControl w:val="0"/>
        <w:shd w:val="clear" w:color="auto" w:fill="auto"/>
        <w:tabs>
          <w:tab w:pos="733" w:val="left"/>
        </w:tabs>
        <w:bidi w:val="0"/>
        <w:spacing w:before="0" w:after="100" w:line="274" w:lineRule="exact"/>
        <w:ind w:left="0" w:right="0" w:firstLine="360"/>
        <w:jc w:val="both"/>
        <w:rPr>
          <w:sz w:val="20"/>
          <w:szCs w:val="20"/>
        </w:rPr>
      </w:pPr>
      <w:bookmarkStart w:id="1041" w:name="bookmark1041"/>
      <w:r>
        <w:rPr>
          <w:b/>
          <w:bCs/>
          <w:color w:val="222222"/>
          <w:spacing w:val="0"/>
          <w:w w:val="100"/>
          <w:position w:val="0"/>
          <w:sz w:val="20"/>
          <w:szCs w:val="20"/>
        </w:rPr>
        <w:t>2</w:t>
      </w:r>
      <w:bookmarkEnd w:id="1041"/>
      <w:r>
        <w:rPr>
          <w:b/>
          <w:bCs/>
          <w:color w:val="222222"/>
          <w:spacing w:val="0"/>
          <w:w w:val="100"/>
          <w:position w:val="0"/>
          <w:sz w:val="20"/>
          <w:szCs w:val="20"/>
        </w:rPr>
        <w:t>、</w:t>
        <w:tab/>
      </w:r>
      <w:r>
        <w:rPr>
          <w:b/>
          <w:bCs/>
          <w:color w:val="000000"/>
          <w:spacing w:val="0"/>
          <w:w w:val="100"/>
          <w:position w:val="0"/>
          <w:sz w:val="20"/>
          <w:szCs w:val="20"/>
        </w:rPr>
        <w:t>不重要的合营企业和联营企业的汇总财务信息</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详见本附注七（九）“长期股权投资”。</w:t>
      </w:r>
    </w:p>
    <w:p>
      <w:pPr>
        <w:pStyle w:val="Style28"/>
        <w:keepNext/>
        <w:keepLines/>
        <w:widowControl w:val="0"/>
        <w:shd w:val="clear" w:color="auto" w:fill="auto"/>
        <w:tabs>
          <w:tab w:pos="630" w:val="left"/>
        </w:tabs>
        <w:bidi w:val="0"/>
        <w:spacing w:before="0" w:after="100" w:line="274" w:lineRule="exact"/>
        <w:ind w:left="0" w:right="0" w:firstLine="0"/>
        <w:jc w:val="both"/>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color w:val="000000"/>
          <w:spacing w:val="0"/>
          <w:w w:val="100"/>
          <w:position w:val="0"/>
        </w:rPr>
        <w:t>四）</w:t>
        <w:tab/>
        <w:t>重要的共同经营</w:t>
      </w:r>
      <w:bookmarkEnd w:id="1042"/>
      <w:bookmarkEnd w:id="1043"/>
      <w:bookmarkEnd w:id="1045"/>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无。</w:t>
      </w:r>
    </w:p>
    <w:p>
      <w:pPr>
        <w:pStyle w:val="Style28"/>
        <w:keepNext/>
        <w:keepLines/>
        <w:widowControl w:val="0"/>
        <w:shd w:val="clear" w:color="auto" w:fill="auto"/>
        <w:tabs>
          <w:tab w:pos="630" w:val="left"/>
        </w:tabs>
        <w:bidi w:val="0"/>
        <w:spacing w:before="0" w:after="100" w:line="274" w:lineRule="exact"/>
        <w:ind w:left="0" w:right="0" w:firstLine="0"/>
        <w:jc w:val="both"/>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color w:val="000000"/>
          <w:spacing w:val="0"/>
          <w:w w:val="100"/>
          <w:position w:val="0"/>
        </w:rPr>
        <w:t>五）</w:t>
        <w:tab/>
        <w:t>在未纳入合并财务报表范围的结构化主体中的权益</w:t>
      </w:r>
      <w:bookmarkEnd w:id="1046"/>
      <w:bookmarkEnd w:id="1047"/>
      <w:bookmarkEnd w:id="1049"/>
    </w:p>
    <w:p>
      <w:pPr>
        <w:pStyle w:val="Style31"/>
        <w:keepNext w:val="0"/>
        <w:keepLines w:val="0"/>
        <w:widowControl w:val="0"/>
        <w:shd w:val="clear" w:color="auto" w:fill="auto"/>
        <w:bidi w:val="0"/>
        <w:spacing w:before="0" w:after="280" w:line="274" w:lineRule="exact"/>
        <w:ind w:left="0" w:right="0" w:firstLine="440"/>
        <w:jc w:val="both"/>
        <w:rPr>
          <w:sz w:val="20"/>
          <w:szCs w:val="20"/>
        </w:rPr>
      </w:pPr>
      <w:r>
        <w:rPr>
          <w:color w:val="000000"/>
          <w:spacing w:val="0"/>
          <w:w w:val="100"/>
          <w:position w:val="0"/>
          <w:sz w:val="20"/>
          <w:szCs w:val="20"/>
        </w:rPr>
        <w:t>无。</w:t>
      </w:r>
    </w:p>
    <w:p>
      <w:pPr>
        <w:pStyle w:val="Style23"/>
        <w:keepNext/>
        <w:keepLines/>
        <w:widowControl w:val="0"/>
        <w:shd w:val="clear" w:color="auto" w:fill="auto"/>
        <w:bidi w:val="0"/>
        <w:spacing w:before="0" w:after="240" w:line="240" w:lineRule="auto"/>
        <w:ind w:left="0" w:right="0" w:firstLine="0"/>
        <w:jc w:val="left"/>
      </w:pPr>
      <w:bookmarkStart w:id="1050" w:name="bookmark1050"/>
      <w:bookmarkStart w:id="1051" w:name="bookmark1051"/>
      <w:bookmarkStart w:id="1052" w:name="bookmark1052"/>
      <w:r>
        <w:rPr>
          <w:color w:val="000000"/>
          <w:spacing w:val="0"/>
          <w:w w:val="100"/>
          <w:position w:val="0"/>
        </w:rPr>
        <w:t>十、与金融工具相关的风险</w:t>
      </w:r>
      <w:bookmarkEnd w:id="1050"/>
      <w:bookmarkEnd w:id="1051"/>
      <w:bookmarkEnd w:id="1052"/>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本公司的主要金融工具包括应收款项、应付款项、可供出售金融资产等，各项金融工具的详细情况说 明见本附注七“合并财务报表主要项目注释”。与这些金融工具有关的风险，以及本公司为降低这些风险 所采取的风险管理政策如下所述。本公司管理层对这些风险敞口进行管理和监控以确保将上述风险控制在 限定的范围之内。</w:t>
      </w:r>
    </w:p>
    <w:p>
      <w:pPr>
        <w:pStyle w:val="Style28"/>
        <w:keepNext/>
        <w:keepLines/>
        <w:widowControl w:val="0"/>
        <w:shd w:val="clear" w:color="auto" w:fill="auto"/>
        <w:bidi w:val="0"/>
        <w:spacing w:before="0" w:after="100" w:line="274" w:lineRule="exact"/>
        <w:ind w:left="0" w:right="0" w:firstLine="0"/>
        <w:jc w:val="both"/>
      </w:pPr>
      <w:bookmarkStart w:id="1053" w:name="bookmark1053"/>
      <w:bookmarkStart w:id="1054" w:name="bookmark1054"/>
      <w:bookmarkStart w:id="1055" w:name="bookmark1055"/>
      <w:bookmarkStart w:id="1056" w:name="bookmark1056"/>
      <w:r>
        <w:rPr>
          <w:color w:val="000000"/>
          <w:spacing w:val="0"/>
          <w:w w:val="100"/>
          <w:position w:val="0"/>
        </w:rPr>
        <w:t>（</w:t>
      </w:r>
      <w:bookmarkEnd w:id="1055"/>
      <w:r>
        <w:rPr>
          <w:color w:val="000000"/>
          <w:spacing w:val="0"/>
          <w:w w:val="100"/>
          <w:position w:val="0"/>
        </w:rPr>
        <w:t>一）各类风险的管理目标和政策</w:t>
      </w:r>
      <w:bookmarkEnd w:id="1053"/>
      <w:bookmarkEnd w:id="1054"/>
      <w:bookmarkEnd w:id="1056"/>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本公司从事风险管理的目标是在风险和收益之间取得适当的平衡，将风险对本公司经营业绩的负面影 响降低到最低水平，使股东及其它权益投资者的利益最大化。基于该风险管理目标，本公司风险管理的基 本策略是确定和分析本公司所面临的各种风险，建立适当的风险承受底线并进行风险管理，并及时可靠地 对各种风险进行监督，将风险控制在限定的范围之内。</w:t>
      </w:r>
    </w:p>
    <w:p>
      <w:pPr>
        <w:pStyle w:val="Style31"/>
        <w:keepNext w:val="0"/>
        <w:keepLines w:val="0"/>
        <w:widowControl w:val="0"/>
        <w:shd w:val="clear" w:color="auto" w:fill="auto"/>
        <w:bidi w:val="0"/>
        <w:spacing w:before="0" w:after="160" w:line="274" w:lineRule="exact"/>
        <w:ind w:left="0" w:right="0" w:firstLine="440"/>
        <w:jc w:val="both"/>
        <w:rPr>
          <w:sz w:val="20"/>
          <w:szCs w:val="20"/>
        </w:rPr>
      </w:pPr>
      <w:r>
        <w:rPr>
          <w:color w:val="000000"/>
          <w:spacing w:val="0"/>
          <w:w w:val="100"/>
          <w:position w:val="0"/>
          <w:sz w:val="20"/>
          <w:szCs w:val="20"/>
        </w:rPr>
        <w:t>本公司金融工具的风险主要是信用风险、市场风险、流动性风险。</w:t>
      </w:r>
    </w:p>
    <w:p>
      <w:pPr>
        <w:pStyle w:val="Style44"/>
        <w:keepNext/>
        <w:keepLines/>
        <w:widowControl w:val="0"/>
        <w:shd w:val="clear" w:color="auto" w:fill="auto"/>
        <w:tabs>
          <w:tab w:pos="853" w:val="left"/>
        </w:tabs>
        <w:bidi w:val="0"/>
        <w:spacing w:before="0" w:after="60" w:line="286" w:lineRule="auto"/>
        <w:ind w:left="0" w:right="0" w:firstLine="440"/>
        <w:jc w:val="both"/>
        <w:rPr>
          <w:sz w:val="20"/>
          <w:szCs w:val="20"/>
        </w:rPr>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sz w:val="20"/>
          <w:szCs w:val="20"/>
        </w:rPr>
        <w:t>1</w:t>
      </w:r>
      <w:bookmarkEnd w:id="1059"/>
      <w:r>
        <w:rPr>
          <w:color w:val="000000"/>
          <w:spacing w:val="0"/>
          <w:w w:val="100"/>
          <w:position w:val="0"/>
          <w:sz w:val="20"/>
          <w:szCs w:val="20"/>
        </w:rPr>
        <w:t>、</w:t>
        <w:tab/>
        <w:t>信用风险</w:t>
      </w:r>
      <w:bookmarkEnd w:id="1057"/>
      <w:bookmarkEnd w:id="1058"/>
      <w:bookmarkEnd w:id="1060"/>
    </w:p>
    <w:p>
      <w:pPr>
        <w:pStyle w:val="Style31"/>
        <w:keepNext w:val="0"/>
        <w:keepLines w:val="0"/>
        <w:widowControl w:val="0"/>
        <w:shd w:val="clear" w:color="auto" w:fill="auto"/>
        <w:bidi w:val="0"/>
        <w:spacing w:before="0" w:after="100" w:line="272" w:lineRule="exact"/>
        <w:ind w:left="0" w:right="0" w:firstLine="440"/>
        <w:jc w:val="both"/>
        <w:rPr>
          <w:sz w:val="20"/>
          <w:szCs w:val="20"/>
        </w:rPr>
      </w:pPr>
      <w:r>
        <w:rPr>
          <w:color w:val="000000"/>
          <w:spacing w:val="0"/>
          <w:w w:val="100"/>
          <w:position w:val="0"/>
          <w:sz w:val="20"/>
          <w:szCs w:val="20"/>
        </w:rPr>
        <w:t>信用风险是指金融工具的一方不履行义务，造成另一方发生财务损失的风险。本公司的信用风险主要 是赊销导致的客户信用风险。为降低客户信用风险，本公司会对新客户进行信用风险评估，确定信用额度， 进行信用审批。公司对每一客户都执行监控程序以确保采取必要的措施按期回收债权。本公司于每个资产 负债表日审核每一单项应收款的回收情况，以确保就无法回收的款项计提充分的坏账准备。因此，本公司 管理层认为本公司所承担的信用风险在可控范围内。</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本公司的货币资金存放在信用评级较高的多家银行，故货币资金的信用风险较低。</w:t>
      </w:r>
    </w:p>
    <w:p>
      <w:pPr>
        <w:pStyle w:val="Style31"/>
        <w:keepNext w:val="0"/>
        <w:keepLines w:val="0"/>
        <w:widowControl w:val="0"/>
        <w:shd w:val="clear" w:color="auto" w:fill="auto"/>
        <w:bidi w:val="0"/>
        <w:spacing w:before="0" w:after="160" w:line="269" w:lineRule="exact"/>
        <w:ind w:left="0" w:right="0" w:firstLine="440"/>
        <w:jc w:val="both"/>
        <w:rPr>
          <w:sz w:val="20"/>
          <w:szCs w:val="20"/>
        </w:rPr>
      </w:pPr>
      <w:r>
        <w:rPr>
          <w:color w:val="000000"/>
          <w:spacing w:val="0"/>
          <w:w w:val="100"/>
          <w:position w:val="0"/>
          <w:sz w:val="20"/>
          <w:szCs w:val="20"/>
        </w:rPr>
        <w:t>本公司采用了必要的政策确保主要销售客户均具有良好的信用记录。除应收账款金额前五名外，本公 司无其他重大信用集中风险。应收账款前五名金额合计：</w:t>
      </w:r>
      <w:r>
        <w:rPr>
          <w:rFonts w:ascii="Times New Roman" w:eastAsia="Times New Roman" w:hAnsi="Times New Roman" w:cs="Times New Roman"/>
          <w:color w:val="000000"/>
          <w:spacing w:val="0"/>
          <w:w w:val="100"/>
          <w:position w:val="0"/>
          <w:sz w:val="20"/>
          <w:szCs w:val="20"/>
        </w:rPr>
        <w:t>241,494,650.08</w:t>
      </w:r>
      <w:r>
        <w:rPr>
          <w:color w:val="000000"/>
          <w:spacing w:val="0"/>
          <w:w w:val="100"/>
          <w:position w:val="0"/>
          <w:sz w:val="20"/>
          <w:szCs w:val="20"/>
        </w:rPr>
        <w:t>元，占全部应收账款余额的</w:t>
      </w:r>
      <w:r>
        <w:rPr>
          <w:rFonts w:ascii="Times New Roman" w:eastAsia="Times New Roman" w:hAnsi="Times New Roman" w:cs="Times New Roman"/>
          <w:color w:val="000000"/>
          <w:spacing w:val="0"/>
          <w:w w:val="100"/>
          <w:position w:val="0"/>
          <w:sz w:val="20"/>
          <w:szCs w:val="20"/>
        </w:rPr>
        <w:t xml:space="preserve">36.75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44"/>
        <w:keepNext/>
        <w:keepLines/>
        <w:widowControl w:val="0"/>
        <w:shd w:val="clear" w:color="auto" w:fill="auto"/>
        <w:tabs>
          <w:tab w:pos="853" w:val="left"/>
        </w:tabs>
        <w:bidi w:val="0"/>
        <w:spacing w:before="0" w:after="60" w:line="286" w:lineRule="auto"/>
        <w:ind w:left="0" w:right="0" w:firstLine="440"/>
        <w:jc w:val="both"/>
        <w:rPr>
          <w:sz w:val="20"/>
          <w:szCs w:val="20"/>
        </w:rPr>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sz w:val="20"/>
          <w:szCs w:val="20"/>
        </w:rPr>
        <w:t>2</w:t>
      </w:r>
      <w:bookmarkEnd w:id="1063"/>
      <w:r>
        <w:rPr>
          <w:color w:val="000000"/>
          <w:spacing w:val="0"/>
          <w:w w:val="100"/>
          <w:position w:val="0"/>
          <w:sz w:val="20"/>
          <w:szCs w:val="20"/>
        </w:rPr>
        <w:t>、</w:t>
        <w:tab/>
        <w:t>市场风险</w:t>
      </w:r>
      <w:bookmarkEnd w:id="1061"/>
      <w:bookmarkEnd w:id="1062"/>
      <w:bookmarkEnd w:id="1064"/>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金融工具的市场风险，是指金融工具的公允价值或未来现金流量因市场价格变动而发生波动的风险， 包括利率风险、汇率风险和其他价格风险。</w:t>
      </w:r>
    </w:p>
    <w:p>
      <w:pPr>
        <w:pStyle w:val="Style31"/>
        <w:keepNext w:val="0"/>
        <w:keepLines w:val="0"/>
        <w:widowControl w:val="0"/>
        <w:shd w:val="clear" w:color="auto" w:fill="auto"/>
        <w:tabs>
          <w:tab w:pos="928" w:val="left"/>
        </w:tabs>
        <w:bidi w:val="0"/>
        <w:spacing w:before="0" w:after="100" w:line="274" w:lineRule="exact"/>
        <w:ind w:left="0" w:right="0" w:firstLine="440"/>
        <w:jc w:val="both"/>
        <w:rPr>
          <w:sz w:val="20"/>
          <w:szCs w:val="20"/>
        </w:rPr>
      </w:pPr>
      <w:bookmarkStart w:id="1065" w:name="bookmark1065"/>
      <w:r>
        <w:rPr>
          <w:color w:val="000000"/>
          <w:spacing w:val="0"/>
          <w:w w:val="100"/>
          <w:position w:val="0"/>
          <w:sz w:val="20"/>
          <w:szCs w:val="20"/>
        </w:rPr>
        <w:t>（</w:t>
      </w:r>
      <w:bookmarkEnd w:id="106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利率风险</w:t>
      </w:r>
    </w:p>
    <w:p>
      <w:pPr>
        <w:pStyle w:val="Style31"/>
        <w:keepNext w:val="0"/>
        <w:keepLines w:val="0"/>
        <w:widowControl w:val="0"/>
        <w:shd w:val="clear" w:color="auto" w:fill="auto"/>
        <w:bidi w:val="0"/>
        <w:spacing w:before="0" w:after="100" w:line="274" w:lineRule="exact"/>
        <w:ind w:left="0" w:right="0" w:firstLine="440"/>
        <w:jc w:val="both"/>
        <w:rPr>
          <w:sz w:val="20"/>
          <w:szCs w:val="20"/>
        </w:rPr>
      </w:pPr>
      <w:r>
        <w:rPr>
          <w:color w:val="000000"/>
          <w:spacing w:val="0"/>
          <w:w w:val="100"/>
          <w:position w:val="0"/>
          <w:sz w:val="20"/>
          <w:szCs w:val="20"/>
        </w:rPr>
        <w:t>本公司目前无应付债券，现有的长短期银行借款利率为固定利率，因此无利率风险。</w:t>
      </w:r>
    </w:p>
    <w:p>
      <w:pPr>
        <w:pStyle w:val="Style31"/>
        <w:keepNext w:val="0"/>
        <w:keepLines w:val="0"/>
        <w:widowControl w:val="0"/>
        <w:shd w:val="clear" w:color="auto" w:fill="auto"/>
        <w:tabs>
          <w:tab w:pos="928" w:val="left"/>
        </w:tabs>
        <w:bidi w:val="0"/>
        <w:spacing w:before="0" w:after="100" w:line="274" w:lineRule="exact"/>
        <w:ind w:left="0" w:right="0" w:firstLine="440"/>
        <w:jc w:val="both"/>
        <w:rPr>
          <w:sz w:val="20"/>
          <w:szCs w:val="20"/>
        </w:rPr>
      </w:pPr>
      <w:bookmarkStart w:id="1066" w:name="bookmark1066"/>
      <w:r>
        <w:rPr>
          <w:color w:val="000000"/>
          <w:spacing w:val="0"/>
          <w:w w:val="100"/>
          <w:position w:val="0"/>
          <w:sz w:val="20"/>
          <w:szCs w:val="20"/>
        </w:rPr>
        <w:t>（</w:t>
      </w:r>
      <w:bookmarkEnd w:id="106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汇率风险</w:t>
      </w:r>
    </w:p>
    <w:p>
      <w:pPr>
        <w:pStyle w:val="Style31"/>
        <w:keepNext w:val="0"/>
        <w:keepLines w:val="0"/>
        <w:widowControl w:val="0"/>
        <w:shd w:val="clear" w:color="auto" w:fill="auto"/>
        <w:bidi w:val="0"/>
        <w:spacing w:before="0" w:after="100" w:line="276" w:lineRule="exact"/>
        <w:ind w:left="0" w:right="0" w:firstLine="440"/>
        <w:jc w:val="both"/>
        <w:rPr>
          <w:sz w:val="20"/>
          <w:szCs w:val="20"/>
        </w:rPr>
      </w:pPr>
      <w:r>
        <w:rPr>
          <w:color w:val="000000"/>
          <w:spacing w:val="0"/>
          <w:w w:val="100"/>
          <w:position w:val="0"/>
          <w:sz w:val="20"/>
          <w:szCs w:val="20"/>
        </w:rPr>
        <w:t>汇率风险是指金融工具的公允价值或未来现金流量因外汇汇率变动而发生波动的风险。本公司承受汇 率风险主要与美元和港币有关，本公司主要以美元进行部分销售、采购和持有港币计价的股票投资外，本 公司的其他主要业务活动均以人民币计价结算。</w:t>
      </w:r>
    </w:p>
    <w:p>
      <w:pPr>
        <w:pStyle w:val="Style31"/>
        <w:keepNext w:val="0"/>
        <w:keepLines w:val="0"/>
        <w:widowControl w:val="0"/>
        <w:shd w:val="clear" w:color="auto" w:fill="auto"/>
        <w:bidi w:val="0"/>
        <w:spacing w:before="0" w:line="274" w:lineRule="exact"/>
        <w:ind w:left="0" w:right="0" w:firstLine="440"/>
        <w:jc w:val="both"/>
        <w:rPr>
          <w:sz w:val="20"/>
          <w:szCs w:val="20"/>
        </w:rPr>
      </w:pPr>
      <w:r>
        <w:rPr>
          <w:color w:val="000000"/>
          <w:spacing w:val="0"/>
          <w:w w:val="100"/>
          <w:position w:val="0"/>
          <w:sz w:val="20"/>
          <w:szCs w:val="20"/>
        </w:rPr>
        <w:t>除下表所述资产及负债的外币余额外，本公司的资产及负债均为人民币余额。该等外币余额折合成人</w:t>
        <w:br w:type="page"/>
      </w:r>
      <w:r>
        <w:rPr>
          <w:color w:val="000000"/>
          <w:spacing w:val="0"/>
          <w:w w:val="100"/>
          <w:position w:val="0"/>
          <w:sz w:val="20"/>
          <w:szCs w:val="20"/>
        </w:rPr>
        <w:t>民币后的资产和负债产生的汇率风险可能对本公司的经营业绩产生影响。</w:t>
      </w:r>
    </w:p>
    <w:tbl>
      <w:tblPr>
        <w:tblOverlap w:val="never"/>
        <w:jc w:val="center"/>
        <w:tblLayout w:type="fixed"/>
      </w:tblPr>
      <w:tblGrid>
        <w:gridCol w:w="3250"/>
        <w:gridCol w:w="3326"/>
        <w:gridCol w:w="3355"/>
      </w:tblGrid>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货币资金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181,385,976.41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68,266,197.43</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货币资金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3,863,912.74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2,154,717.51</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货币资金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新台币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60,643.39</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67,116,625.43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67,272,830.14</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49,044.48</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预付账款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804,047.42</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应付账款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29,305,671.24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16,495,770.65</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应付账款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1,280,087.92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1,949,159.73</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预收账款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988,963.14</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50,240.60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可供出售金融资产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港币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80,044,136.05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65,185,558.97</w:t>
            </w:r>
          </w:p>
        </w:tc>
      </w:tr>
    </w:tbl>
    <w:p>
      <w:pPr>
        <w:widowControl w:val="0"/>
        <w:spacing w:after="119" w:line="1" w:lineRule="exact"/>
      </w:pPr>
    </w:p>
    <w:p>
      <w:pPr>
        <w:pStyle w:val="Style31"/>
        <w:keepNext w:val="0"/>
        <w:keepLines w:val="0"/>
        <w:widowControl w:val="0"/>
        <w:shd w:val="clear" w:color="auto" w:fill="auto"/>
        <w:bidi w:val="0"/>
        <w:spacing w:before="0" w:line="276" w:lineRule="exact"/>
        <w:ind w:left="140" w:right="0" w:firstLine="420"/>
        <w:jc w:val="both"/>
        <w:rPr>
          <w:sz w:val="20"/>
          <w:szCs w:val="20"/>
        </w:rPr>
      </w:pPr>
      <w:r>
        <w:rPr>
          <w:color w:val="000000"/>
          <w:spacing w:val="0"/>
          <w:w w:val="100"/>
          <w:position w:val="0"/>
          <w:sz w:val="20"/>
          <w:szCs w:val="20"/>
        </w:rPr>
        <w:t>本公司密切关注汇率变动对本公司的影响。重视对汇率风险管理政策和策略的研究，为规避外币的汇 率风险，本公司合并范围内公司外币购销业务的外币资金结算由公司统一协调内部对冲使用。此外，在合 适的情况下，公司将积极与银行机构合作进行外币掉期、远期结售汇等业务，以降低汇率风险。</w:t>
      </w:r>
    </w:p>
    <w:p>
      <w:pPr>
        <w:pStyle w:val="Style31"/>
        <w:keepNext w:val="0"/>
        <w:keepLines w:val="0"/>
        <w:widowControl w:val="0"/>
        <w:shd w:val="clear" w:color="auto" w:fill="auto"/>
        <w:bidi w:val="0"/>
        <w:spacing w:before="0" w:line="272" w:lineRule="exact"/>
        <w:ind w:left="0" w:right="0" w:firstLine="560"/>
        <w:jc w:val="both"/>
        <w:rPr>
          <w:sz w:val="20"/>
          <w:szCs w:val="20"/>
        </w:rPr>
      </w:pPr>
      <w:bookmarkStart w:id="1067" w:name="bookmark1067"/>
      <w:r>
        <w:rPr>
          <w:color w:val="000000"/>
          <w:spacing w:val="0"/>
          <w:w w:val="100"/>
          <w:position w:val="0"/>
          <w:sz w:val="20"/>
          <w:szCs w:val="20"/>
        </w:rPr>
        <w:t>（</w:t>
      </w:r>
      <w:bookmarkEnd w:id="1067"/>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）价格风险</w:t>
      </w:r>
    </w:p>
    <w:p>
      <w:pPr>
        <w:pStyle w:val="Style31"/>
        <w:keepNext w:val="0"/>
        <w:keepLines w:val="0"/>
        <w:widowControl w:val="0"/>
        <w:shd w:val="clear" w:color="auto" w:fill="auto"/>
        <w:bidi w:val="0"/>
        <w:spacing w:before="0" w:line="264" w:lineRule="exact"/>
        <w:ind w:left="140" w:right="0" w:firstLine="420"/>
        <w:jc w:val="both"/>
        <w:rPr>
          <w:sz w:val="20"/>
          <w:szCs w:val="20"/>
        </w:rPr>
      </w:pPr>
      <w:r>
        <w:rPr>
          <w:color w:val="000000"/>
          <w:spacing w:val="0"/>
          <w:w w:val="100"/>
          <w:position w:val="0"/>
          <w:sz w:val="20"/>
          <w:szCs w:val="20"/>
        </w:rPr>
        <w:t>本公司以市场价格销售产品，为避免因行业竞争、经济危机等因素导致的产品价格下跌风险，本公司 一直重视研发投入，近三年平均年研发投入都在</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亿元以上，致力于生产有自主知识产权和竞争力的产品。</w:t>
      </w:r>
    </w:p>
    <w:p>
      <w:pPr>
        <w:pStyle w:val="Style44"/>
        <w:keepNext/>
        <w:keepLines/>
        <w:widowControl w:val="0"/>
        <w:shd w:val="clear" w:color="auto" w:fill="auto"/>
        <w:bidi w:val="0"/>
        <w:spacing w:before="0" w:after="120" w:line="272" w:lineRule="exact"/>
        <w:ind w:left="0" w:right="0" w:firstLine="560"/>
        <w:jc w:val="left"/>
        <w:rPr>
          <w:sz w:val="20"/>
          <w:szCs w:val="20"/>
        </w:rPr>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sz w:val="20"/>
          <w:szCs w:val="20"/>
        </w:rPr>
        <w:t>3</w:t>
      </w:r>
      <w:bookmarkEnd w:id="1070"/>
      <w:r>
        <w:rPr>
          <w:color w:val="000000"/>
          <w:spacing w:val="0"/>
          <w:w w:val="100"/>
          <w:position w:val="0"/>
          <w:sz w:val="20"/>
          <w:szCs w:val="20"/>
        </w:rPr>
        <w:t>、流动性风险</w:t>
      </w:r>
      <w:bookmarkEnd w:id="1068"/>
      <w:bookmarkEnd w:id="1069"/>
      <w:bookmarkEnd w:id="1071"/>
    </w:p>
    <w:p>
      <w:pPr>
        <w:pStyle w:val="Style31"/>
        <w:keepNext w:val="0"/>
        <w:keepLines w:val="0"/>
        <w:widowControl w:val="0"/>
        <w:shd w:val="clear" w:color="auto" w:fill="auto"/>
        <w:bidi w:val="0"/>
        <w:spacing w:before="0" w:line="272" w:lineRule="exact"/>
        <w:ind w:left="140" w:right="0" w:firstLine="420"/>
        <w:jc w:val="both"/>
        <w:rPr>
          <w:sz w:val="20"/>
          <w:szCs w:val="20"/>
        </w:rPr>
      </w:pPr>
      <w:r>
        <w:rPr>
          <w:color w:val="000000"/>
          <w:spacing w:val="0"/>
          <w:w w:val="100"/>
          <w:position w:val="0"/>
          <w:sz w:val="20"/>
          <w:szCs w:val="20"/>
        </w:rPr>
        <w:t>流动性风险是指本企业在履行以交付现金或其他金融资产的方式结算的义务时发生资金短缺的风险。 本公司的政策是确保拥有充足的现金以偿还到期债务。本公司通过监控现金余额、可随时变现的有价证券 以及对未来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个月现金流量的滚动预测，确保公司在所有合理预测的情况下拥有充足的资金偿还债务。本 公司定期分析负债结构和期限，以确保有充裕的资金。本公司管理层对银行借款的申请进行监控审核，同 时与金融机构进行融资磋商，以保持一定的授信额度，减低流动性风险。</w:t>
      </w:r>
    </w:p>
    <w:p>
      <w:pPr>
        <w:pStyle w:val="Style31"/>
        <w:keepNext w:val="0"/>
        <w:keepLines w:val="0"/>
        <w:widowControl w:val="0"/>
        <w:shd w:val="clear" w:color="auto" w:fill="auto"/>
        <w:bidi w:val="0"/>
        <w:spacing w:before="0" w:line="240" w:lineRule="auto"/>
        <w:ind w:left="0" w:right="0" w:firstLine="560"/>
        <w:jc w:val="left"/>
        <w:rPr>
          <w:sz w:val="20"/>
          <w:szCs w:val="20"/>
        </w:rPr>
      </w:pPr>
      <w:r>
        <w:rPr>
          <w:color w:val="000000"/>
          <w:spacing w:val="0"/>
          <w:w w:val="100"/>
          <w:position w:val="0"/>
          <w:sz w:val="20"/>
          <w:szCs w:val="20"/>
        </w:rPr>
        <w:t>本公司持有的</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日的金融资产和金融负债按未折现剩余合同义务的到期期限分析如下:</w:t>
      </w:r>
    </w:p>
    <w:tbl>
      <w:tblPr>
        <w:tblOverlap w:val="never"/>
        <w:jc w:val="center"/>
        <w:tblLayout w:type="fixed"/>
      </w:tblPr>
      <w:tblGrid>
        <w:gridCol w:w="3331"/>
        <w:gridCol w:w="2462"/>
        <w:gridCol w:w="2030"/>
        <w:gridCol w:w="2093"/>
      </w:tblGrid>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一年以上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b/>
                <w:bCs/>
                <w:color w:val="000000"/>
                <w:spacing w:val="0"/>
                <w:w w:val="100"/>
                <w:position w:val="0"/>
                <w:sz w:val="16"/>
                <w:szCs w:val="16"/>
              </w:rPr>
              <w:t>合计</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715,391,085.26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715,391,085.26</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302,484,599.28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302,484,599.28</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577,529,065.35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79,577,913.41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657,106,978.76</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23,909,987.81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869,649.05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24,779,636.86</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1,127,564.86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13,072,571.10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14,200,135.96</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83,044,136.05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83,044,136.05</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5,730,766.20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5,730,766.20</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130,000,000.00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应付票据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148,201,971.23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148,201,971.23</w:t>
            </w:r>
          </w:p>
        </w:tc>
      </w:tr>
    </w:tbl>
    <w:p>
      <w:pPr>
        <w:widowControl w:val="0"/>
        <w:spacing w:line="1" w:lineRule="exact"/>
      </w:pPr>
      <w:r>
        <w:br w:type="page"/>
      </w:r>
    </w:p>
    <w:tbl>
      <w:tblPr>
        <w:tblOverlap w:val="never"/>
        <w:jc w:val="center"/>
        <w:tblLayout w:type="fixed"/>
      </w:tblPr>
      <w:tblGrid>
        <w:gridCol w:w="3346"/>
        <w:gridCol w:w="2462"/>
        <w:gridCol w:w="2030"/>
        <w:gridCol w:w="2093"/>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142,229,754.28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19,827,193.08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162,056,947.36</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4,094,192.01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142,830.55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4,237,022.56</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5,075,855.49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321,895.30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5,397,750.79</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103,283,453.58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103,283,453.58</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69,781.25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69,781.25</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268,182.00</w:t>
            </w:r>
          </w:p>
        </w:tc>
      </w:tr>
      <w:tr>
        <w:trPr>
          <w:trHeight w:val="40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bl>
    <w:p>
      <w:pPr>
        <w:widowControl w:val="0"/>
        <w:spacing w:after="119" w:line="1" w:lineRule="exact"/>
      </w:pPr>
    </w:p>
    <w:p>
      <w:pPr>
        <w:pStyle w:val="Style28"/>
        <w:keepNext/>
        <w:keepLines/>
        <w:widowControl w:val="0"/>
        <w:shd w:val="clear" w:color="auto" w:fill="auto"/>
        <w:bidi w:val="0"/>
        <w:spacing w:before="0" w:after="120" w:line="240" w:lineRule="auto"/>
        <w:ind w:left="0" w:right="0" w:firstLine="260"/>
        <w:jc w:val="left"/>
      </w:pPr>
      <w:bookmarkStart w:id="1072" w:name="bookmark1072"/>
      <w:bookmarkStart w:id="1073" w:name="bookmark1073"/>
      <w:bookmarkStart w:id="1074" w:name="bookmark1074"/>
      <w:bookmarkStart w:id="1075" w:name="bookmark1075"/>
      <w:r>
        <w:rPr>
          <w:color w:val="000000"/>
          <w:spacing w:val="0"/>
          <w:w w:val="100"/>
          <w:position w:val="0"/>
        </w:rPr>
        <w:t>（</w:t>
      </w:r>
      <w:bookmarkEnd w:id="1074"/>
      <w:r>
        <w:rPr>
          <w:color w:val="000000"/>
          <w:spacing w:val="0"/>
          <w:w w:val="100"/>
          <w:position w:val="0"/>
        </w:rPr>
        <w:t>二）敏感性分析</w:t>
      </w:r>
      <w:bookmarkEnd w:id="1072"/>
      <w:bookmarkEnd w:id="1073"/>
      <w:bookmarkEnd w:id="1075"/>
    </w:p>
    <w:p>
      <w:pPr>
        <w:pStyle w:val="Style31"/>
        <w:keepNext w:val="0"/>
        <w:keepLines w:val="0"/>
        <w:widowControl w:val="0"/>
        <w:shd w:val="clear" w:color="auto" w:fill="auto"/>
        <w:bidi w:val="0"/>
        <w:spacing w:before="0" w:line="274" w:lineRule="exact"/>
        <w:ind w:left="0" w:right="0" w:firstLine="560"/>
        <w:jc w:val="left"/>
        <w:rPr>
          <w:sz w:val="20"/>
          <w:szCs w:val="20"/>
        </w:rPr>
      </w:pPr>
      <w:r>
        <w:rPr>
          <w:color w:val="000000"/>
          <w:spacing w:val="0"/>
          <w:w w:val="100"/>
          <w:position w:val="0"/>
          <w:sz w:val="20"/>
          <w:szCs w:val="20"/>
        </w:rPr>
        <w:t>本公司采用敏感性分析技术分析风险变量的合理、可能变化对当期损益或所有者权益可能产生的影响。 由于任何风险变量很少孤立的发生变化，而变量之间存在的相关性对某一风险变量变化的最终影响金额将 产生重大作用，因此下述内容是在假设每一变量的变化是独立的情况下进行的。</w:t>
      </w:r>
    </w:p>
    <w:p>
      <w:pPr>
        <w:pStyle w:val="Style31"/>
        <w:keepNext w:val="0"/>
        <w:keepLines w:val="0"/>
        <w:widowControl w:val="0"/>
        <w:shd w:val="clear" w:color="auto" w:fill="auto"/>
        <w:bidi w:val="0"/>
        <w:spacing w:before="0" w:after="280" w:line="264" w:lineRule="exact"/>
        <w:ind w:left="0" w:right="0" w:firstLine="560"/>
        <w:jc w:val="left"/>
        <w:rPr>
          <w:sz w:val="20"/>
          <w:szCs w:val="20"/>
        </w:rPr>
      </w:pPr>
      <w:r>
        <w:rPr>
          <w:color w:val="000000"/>
          <w:spacing w:val="0"/>
          <w:w w:val="100"/>
          <w:position w:val="0"/>
          <w:sz w:val="20"/>
          <w:szCs w:val="20"/>
        </w:rPr>
        <w:t>本公司金融工具风险中对公司影响最大的是美元汇率风险，公司的美元汇率敏感性分析结果显示：人 民币对美元汇率贬值</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或升值</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时对公司本期利润总额的影响在</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左右。</w:t>
      </w:r>
    </w:p>
    <w:p>
      <w:pPr>
        <w:pStyle w:val="Style23"/>
        <w:keepNext/>
        <w:keepLines/>
        <w:widowControl w:val="0"/>
        <w:shd w:val="clear" w:color="auto" w:fill="auto"/>
        <w:bidi w:val="0"/>
        <w:spacing w:before="0" w:after="240" w:line="240" w:lineRule="auto"/>
        <w:ind w:left="0" w:right="0" w:firstLine="0"/>
        <w:jc w:val="left"/>
      </w:pPr>
      <w:bookmarkStart w:id="1076" w:name="bookmark1076"/>
      <w:bookmarkStart w:id="1077" w:name="bookmark1077"/>
      <w:bookmarkStart w:id="1078" w:name="bookmark1078"/>
      <w:r>
        <w:rPr>
          <w:color w:val="000000"/>
          <w:spacing w:val="0"/>
          <w:w w:val="100"/>
          <w:position w:val="0"/>
        </w:rPr>
        <w:t>十一、公允价值的披露</w:t>
      </w:r>
      <w:bookmarkEnd w:id="1076"/>
      <w:bookmarkEnd w:id="1077"/>
      <w:bookmarkEnd w:id="1078"/>
    </w:p>
    <w:p>
      <w:pPr>
        <w:pStyle w:val="Style28"/>
        <w:keepNext/>
        <w:keepLines/>
        <w:widowControl w:val="0"/>
        <w:shd w:val="clear" w:color="auto" w:fill="auto"/>
        <w:bidi w:val="0"/>
        <w:spacing w:before="0" w:after="120" w:line="274" w:lineRule="exact"/>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color w:val="000000"/>
          <w:spacing w:val="0"/>
          <w:w w:val="100"/>
          <w:position w:val="0"/>
        </w:rPr>
        <w:t>一）以公允价值计量的资产和负债的期末公允价值</w:t>
      </w:r>
      <w:bookmarkEnd w:id="1079"/>
      <w:bookmarkEnd w:id="1080"/>
      <w:bookmarkEnd w:id="1082"/>
    </w:p>
    <w:tbl>
      <w:tblPr>
        <w:tblOverlap w:val="never"/>
        <w:jc w:val="left"/>
        <w:tblLayout w:type="fixed"/>
      </w:tblPr>
      <w:tblGrid>
        <w:gridCol w:w="3566"/>
        <w:gridCol w:w="1315"/>
        <w:gridCol w:w="1272"/>
        <w:gridCol w:w="1277"/>
        <w:gridCol w:w="1450"/>
      </w:tblGrid>
      <w:tr>
        <w:trPr>
          <w:trHeight w:val="26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期末公允价值</w:t>
            </w:r>
          </w:p>
        </w:tc>
      </w:tr>
      <w:tr>
        <w:trPr>
          <w:trHeight w:val="475"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b/>
                <w:bCs/>
                <w:color w:val="000000"/>
                <w:spacing w:val="0"/>
                <w:w w:val="100"/>
                <w:position w:val="0"/>
                <w:sz w:val="16"/>
                <w:szCs w:val="16"/>
              </w:rPr>
              <w:t>第一层次公 允价值计量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180" w:right="0" w:firstLine="0"/>
              <w:jc w:val="left"/>
              <w:rPr>
                <w:sz w:val="16"/>
                <w:szCs w:val="16"/>
              </w:rPr>
            </w:pPr>
            <w:r>
              <w:rPr>
                <w:b/>
                <w:bCs/>
                <w:color w:val="000000"/>
                <w:spacing w:val="0"/>
                <w:w w:val="100"/>
                <w:position w:val="0"/>
                <w:sz w:val="16"/>
                <w:szCs w:val="16"/>
              </w:rPr>
              <w:t>第二层次公 允价值计量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5" w:lineRule="exact"/>
              <w:ind w:left="180" w:right="0" w:firstLine="0"/>
              <w:jc w:val="left"/>
              <w:rPr>
                <w:sz w:val="16"/>
                <w:szCs w:val="16"/>
              </w:rPr>
            </w:pPr>
            <w:r>
              <w:rPr>
                <w:b/>
                <w:bCs/>
                <w:color w:val="000000"/>
                <w:spacing w:val="0"/>
                <w:w w:val="100"/>
                <w:position w:val="0"/>
                <w:sz w:val="16"/>
                <w:szCs w:val="16"/>
              </w:rPr>
              <w:t>第三层次公 允价值计量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6"/>
                <w:szCs w:val="16"/>
              </w:rPr>
            </w:pPr>
            <w:r>
              <w:rPr>
                <w:b/>
                <w:bCs/>
                <w:color w:val="000000"/>
                <w:spacing w:val="0"/>
                <w:w w:val="100"/>
                <w:position w:val="0"/>
                <w:sz w:val="16"/>
                <w:szCs w:val="16"/>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40" w:right="0" w:firstLine="0"/>
              <w:jc w:val="left"/>
              <w:rPr>
                <w:sz w:val="16"/>
                <w:szCs w:val="16"/>
              </w:rPr>
            </w:pPr>
            <w:r>
              <w:rPr>
                <w:color w:val="000000"/>
                <w:spacing w:val="0"/>
                <w:w w:val="100"/>
                <w:position w:val="0"/>
                <w:sz w:val="16"/>
                <w:szCs w:val="16"/>
              </w:rPr>
              <w:t>（一）以公允价值计量且变动计入当期损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（二）可供出售金融资产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权益工具投资</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80.044.136.05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80,044,136.05</w:t>
            </w:r>
          </w:p>
        </w:tc>
      </w:tr>
      <w:tr>
        <w:trPr>
          <w:trHeight w:val="173"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持续以公允价值计量的资产总额</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80,044,136.05</w:t>
            </w:r>
          </w:p>
        </w:tc>
      </w:tr>
      <w:tr>
        <w:trPr>
          <w:trHeight w:val="307" w:hRule="exact"/>
        </w:trPr>
        <w:tc>
          <w:tcPr>
            <w:vMerge/>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80,044,136.05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持续以公允价值计量的负债总额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二、非持续的公允价值计量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非持续以公允价值计量的资产总额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非持续以公允价值计量的负债总额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28"/>
        <w:keepNext/>
        <w:keepLines/>
        <w:widowControl w:val="0"/>
        <w:shd w:val="clear" w:color="auto" w:fill="auto"/>
        <w:bidi w:val="0"/>
        <w:spacing w:before="0" w:after="120" w:line="240" w:lineRule="auto"/>
        <w:ind w:left="0" w:right="0" w:firstLine="260"/>
        <w:jc w:val="left"/>
      </w:pPr>
      <w:bookmarkStart w:id="1083" w:name="bookmark1083"/>
      <w:bookmarkStart w:id="1084" w:name="bookmark1084"/>
      <w:bookmarkStart w:id="1085" w:name="bookmark1085"/>
      <w:bookmarkStart w:id="1086" w:name="bookmark1086"/>
      <w:r>
        <w:rPr>
          <w:color w:val="000000"/>
          <w:spacing w:val="0"/>
          <w:w w:val="100"/>
          <w:position w:val="0"/>
        </w:rPr>
        <w:t>（</w:t>
      </w:r>
      <w:bookmarkEnd w:id="1085"/>
      <w:r>
        <w:rPr>
          <w:color w:val="000000"/>
          <w:spacing w:val="0"/>
          <w:w w:val="100"/>
          <w:position w:val="0"/>
        </w:rPr>
        <w:t>二）持续和非持续第一层次公允价值计量项目市价的确定依据</w:t>
      </w:r>
      <w:bookmarkEnd w:id="1083"/>
      <w:bookmarkEnd w:id="1084"/>
      <w:bookmarkEnd w:id="1086"/>
    </w:p>
    <w:p>
      <w:pPr>
        <w:pStyle w:val="Style31"/>
        <w:keepNext w:val="0"/>
        <w:keepLines w:val="0"/>
        <w:widowControl w:val="0"/>
        <w:shd w:val="clear" w:color="auto" w:fill="auto"/>
        <w:bidi w:val="0"/>
        <w:spacing w:before="0" w:after="280" w:line="240" w:lineRule="auto"/>
        <w:ind w:left="0" w:right="0" w:firstLine="560"/>
        <w:jc w:val="left"/>
        <w:rPr>
          <w:sz w:val="20"/>
          <w:szCs w:val="20"/>
        </w:rPr>
      </w:pPr>
      <w:r>
        <w:rPr>
          <w:color w:val="000000"/>
          <w:spacing w:val="0"/>
          <w:w w:val="100"/>
          <w:position w:val="0"/>
          <w:sz w:val="20"/>
          <w:szCs w:val="20"/>
        </w:rPr>
        <w:t>本公司以公允价值计量的资产按第一层次公允价值计量，计量依据为公开市场的报价。</w:t>
      </w:r>
    </w:p>
    <w:p>
      <w:pPr>
        <w:pStyle w:val="Style23"/>
        <w:keepNext/>
        <w:keepLines/>
        <w:widowControl w:val="0"/>
        <w:shd w:val="clear" w:color="auto" w:fill="auto"/>
        <w:bidi w:val="0"/>
        <w:spacing w:before="0" w:after="280" w:line="240" w:lineRule="auto"/>
        <w:ind w:left="0" w:right="0" w:firstLine="0"/>
        <w:jc w:val="left"/>
      </w:pPr>
      <w:bookmarkStart w:id="1087" w:name="bookmark1087"/>
      <w:bookmarkStart w:id="1088" w:name="bookmark1088"/>
      <w:bookmarkStart w:id="1089" w:name="bookmark1089"/>
      <w:r>
        <w:rPr>
          <w:color w:val="000000"/>
          <w:spacing w:val="0"/>
          <w:w w:val="100"/>
          <w:position w:val="0"/>
        </w:rPr>
        <w:t>十二、关联方及关联交易</w:t>
      </w:r>
      <w:bookmarkEnd w:id="1087"/>
      <w:bookmarkEnd w:id="1088"/>
      <w:bookmarkEnd w:id="1089"/>
    </w:p>
    <w:p>
      <w:pPr>
        <w:pStyle w:val="Style28"/>
        <w:keepNext/>
        <w:keepLines/>
        <w:widowControl w:val="0"/>
        <w:shd w:val="clear" w:color="auto" w:fill="auto"/>
        <w:bidi w:val="0"/>
        <w:spacing w:before="0" w:after="120" w:line="240" w:lineRule="auto"/>
        <w:ind w:left="0" w:right="0" w:firstLine="260"/>
        <w:jc w:val="left"/>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color w:val="000000"/>
          <w:spacing w:val="0"/>
          <w:w w:val="100"/>
          <w:position w:val="0"/>
        </w:rPr>
        <w:t>一）本企业的母公司情况</w:t>
      </w:r>
      <w:bookmarkEnd w:id="1090"/>
      <w:bookmarkEnd w:id="1091"/>
      <w:bookmarkEnd w:id="1093"/>
    </w:p>
    <w:p>
      <w:pPr>
        <w:widowControl w:val="0"/>
        <w:spacing w:line="1" w:lineRule="exact"/>
      </w:pPr>
      <w:r>
        <mc:AlternateContent>
          <mc:Choice Requires="wps">
            <w:drawing>
              <wp:anchor distT="161925" distB="133985" distL="0" distR="0" simplePos="0" relativeHeight="125829408" behindDoc="0" locked="0" layoutInCell="1" allowOverlap="1">
                <wp:simplePos x="0" y="0"/>
                <wp:positionH relativeFrom="page">
                  <wp:posOffset>1296670</wp:posOffset>
                </wp:positionH>
                <wp:positionV relativeFrom="paragraph">
                  <wp:posOffset>161925</wp:posOffset>
                </wp:positionV>
                <wp:extent cx="606425" cy="152400"/>
                <wp:wrapTopAndBottom/>
                <wp:docPr id="66" name="Shape 66"/>
                <a:graphic xmlns:a="http://schemas.openxmlformats.org/drawingml/2006/main">
                  <a:graphicData uri="http://schemas.microsoft.com/office/word/2010/wordprocessingShape">
                    <wps:wsp>
                      <wps:cNvSpPr txBox="1"/>
                      <wps:spPr>
                        <a:xfrm>
                          <a:ext cx="606425" cy="15240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母公司名称</w:t>
                            </w:r>
                          </w:p>
                        </w:txbxContent>
                      </wps:txbx>
                      <wps:bodyPr wrap="none" lIns="0" tIns="0" rIns="0" bIns="0">
                        <a:noAutoFit/>
                      </wps:bodyPr>
                    </wps:wsp>
                  </a:graphicData>
                </a:graphic>
              </wp:anchor>
            </w:drawing>
          </mc:Choice>
          <mc:Fallback>
            <w:pict>
              <v:shape id="_x0000_s1092" type="#_x0000_t202" style="position:absolute;margin-left:102.10000000000001pt;margin-top:12.75pt;width:47.75pt;height:12.pt;z-index:-125829345;mso-wrap-distance-left:0;mso-wrap-distance-top:12.75pt;mso-wrap-distance-right:0;mso-wrap-distance-bottom:10.550000000000001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母公司名称</w:t>
                      </w:r>
                    </w:p>
                  </w:txbxContent>
                </v:textbox>
                <w10:wrap type="topAndBottom" anchorx="page"/>
              </v:shape>
            </w:pict>
          </mc:Fallback>
        </mc:AlternateContent>
      </w:r>
      <w:r>
        <mc:AlternateContent>
          <mc:Choice Requires="wps">
            <w:drawing>
              <wp:anchor distT="12700" distB="0" distL="0" distR="1100455" simplePos="0" relativeHeight="125829410" behindDoc="0" locked="0" layoutInCell="1" allowOverlap="1">
                <wp:simplePos x="0" y="0"/>
                <wp:positionH relativeFrom="page">
                  <wp:posOffset>2305685</wp:posOffset>
                </wp:positionH>
                <wp:positionV relativeFrom="paragraph">
                  <wp:posOffset>12700</wp:posOffset>
                </wp:positionV>
                <wp:extent cx="3181985" cy="435610"/>
                <wp:wrapTopAndBottom/>
                <wp:docPr id="68" name="Shape 68"/>
                <a:graphic xmlns:a="http://schemas.openxmlformats.org/drawingml/2006/main">
                  <a:graphicData uri="http://schemas.microsoft.com/office/word/2010/wordprocessingShape">
                    <wps:wsp>
                      <wps:cNvSpPr txBox="1"/>
                      <wps:spPr>
                        <a:xfrm>
                          <a:ext cx="3181985" cy="435610"/>
                        </a:xfrm>
                        <a:prstGeom prst="rect"/>
                        <a:noFill/>
                      </wps:spPr>
                      <wps:txbx>
                        <w:txbxContent>
                          <w:tbl>
                            <w:tblPr>
                              <w:tblOverlap w:val="never"/>
                              <w:jc w:val="left"/>
                              <w:tblLayout w:type="fixed"/>
                            </w:tblPr>
                            <w:tblGrid>
                              <w:gridCol w:w="1229"/>
                              <w:gridCol w:w="1133"/>
                              <w:gridCol w:w="994"/>
                              <w:gridCol w:w="1656"/>
                            </w:tblGrid>
                            <w:tr>
                              <w:trPr>
                                <w:tblHeader/>
                                <w:trHeight w:val="68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注册地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业务性质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注册资本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6"/>
                                      <w:szCs w:val="16"/>
                                    </w:rPr>
                                    <w:t>母公司对本企业 的持股比例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r>
                          </w:tbl>
                          <w:p>
                            <w:pPr>
                              <w:widowControl w:val="0"/>
                              <w:spacing w:line="1" w:lineRule="exact"/>
                            </w:pPr>
                          </w:p>
                        </w:txbxContent>
                      </wps:txbx>
                      <wps:bodyPr lIns="0" tIns="0" rIns="0" bIns="0">
                        <a:noAutoFit/>
                      </wps:bodyPr>
                    </wps:wsp>
                  </a:graphicData>
                </a:graphic>
              </wp:anchor>
            </w:drawing>
          </mc:Choice>
          <mc:Fallback>
            <w:pict>
              <v:shape id="_x0000_s1094" type="#_x0000_t202" style="position:absolute;margin-left:181.55000000000001pt;margin-top:1.pt;width:250.55000000000001pt;height:34.300000000000004pt;z-index:-125829343;mso-wrap-distance-left:0;mso-wrap-distance-top:1.pt;mso-wrap-distance-right:86.650000000000006pt;mso-position-horizontal-relative:page" filled="f" stroked="f">
                <v:textbox inset="0,0,0,0">
                  <w:txbxContent>
                    <w:tbl>
                      <w:tblPr>
                        <w:tblOverlap w:val="never"/>
                        <w:jc w:val="left"/>
                        <w:tblLayout w:type="fixed"/>
                      </w:tblPr>
                      <w:tblGrid>
                        <w:gridCol w:w="1229"/>
                        <w:gridCol w:w="1133"/>
                        <w:gridCol w:w="994"/>
                        <w:gridCol w:w="1656"/>
                      </w:tblGrid>
                      <w:tr>
                        <w:trPr>
                          <w:tblHeader/>
                          <w:trHeight w:val="68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注册地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业务性质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注册资本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6"/>
                                <w:szCs w:val="16"/>
                              </w:rPr>
                              <w:t>母公司对本企业 的持股比例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5524500</wp:posOffset>
                </wp:positionH>
                <wp:positionV relativeFrom="paragraph">
                  <wp:posOffset>73660</wp:posOffset>
                </wp:positionV>
                <wp:extent cx="1063625" cy="320040"/>
                <wp:wrapNone/>
                <wp:docPr id="70" name="Shape 70"/>
                <a:graphic xmlns:a="http://schemas.openxmlformats.org/drawingml/2006/main">
                  <a:graphicData uri="http://schemas.microsoft.com/office/word/2010/wordprocessingShape">
                    <wps:wsp>
                      <wps:cNvSpPr txBox="1"/>
                      <wps:spPr>
                        <a:xfrm>
                          <a:ext cx="1063625" cy="320040"/>
                        </a:xfrm>
                        <a:prstGeom prst="rect"/>
                        <a:noFill/>
                      </wps:spPr>
                      <wps:txbx>
                        <w:txbxContent>
                          <w:p>
                            <w:pPr>
                              <w:pStyle w:val="Style33"/>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6"/>
                                <w:szCs w:val="16"/>
                              </w:rPr>
                              <w:t>母公司对本企业的表 决权比例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xbxContent>
                      </wps:txbx>
                      <wps:bodyPr lIns="0" tIns="0" rIns="0" bIns="0">
                        <a:noAutoFit/>
                      </wps:bodyPr>
                    </wps:wsp>
                  </a:graphicData>
                </a:graphic>
              </wp:anchor>
            </w:drawing>
          </mc:Choice>
          <mc:Fallback>
            <w:pict>
              <v:shape id="_x0000_s1096" type="#_x0000_t202" style="position:absolute;margin-left:435.pt;margin-top:5.7999999999999998pt;width:83.75pt;height:25.199999999999999pt;z-index:251657729;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6"/>
                          <w:szCs w:val="16"/>
                        </w:rPr>
                        <w:t>母公司对本企业的表 决权比例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xbxContent>
                </v:textbox>
                <w10:wrap anchorx="page"/>
              </v:shape>
            </w:pict>
          </mc:Fallback>
        </mc:AlternateContent>
      </w:r>
      <w:r>
        <w:br w:type="page"/>
      </w:r>
    </w:p>
    <w:p>
      <w:pPr>
        <w:pStyle w:val="Style59"/>
        <w:keepNext w:val="0"/>
        <w:keepLines w:val="0"/>
        <w:widowControl w:val="0"/>
        <w:shd w:val="clear" w:color="auto" w:fill="auto"/>
        <w:tabs>
          <w:tab w:pos="3149" w:val="left"/>
          <w:tab w:pos="4277" w:val="left"/>
          <w:tab w:pos="5227" w:val="left"/>
          <w:tab w:pos="6595" w:val="left"/>
          <w:tab w:pos="8366" w:val="left"/>
        </w:tabs>
        <w:bidi w:val="0"/>
        <w:spacing w:before="0" w:after="260" w:line="240" w:lineRule="auto"/>
        <w:ind w:left="0" w:right="0" w:firstLine="480"/>
        <w:jc w:val="left"/>
        <w:rPr>
          <w:sz w:val="18"/>
          <w:szCs w:val="18"/>
        </w:rPr>
      </w:pPr>
      <w:r>
        <w:rPr>
          <w:b w:val="0"/>
          <w:bCs w:val="0"/>
          <w:color w:val="000000"/>
          <w:spacing w:val="0"/>
          <w:w w:val="100"/>
          <w:position w:val="0"/>
          <w:sz w:val="16"/>
          <w:szCs w:val="16"/>
        </w:rPr>
        <w:t>西藏紫光春华投资有限公司</w:t>
        <w:tab/>
        <w:t>西藏</w:t>
        <w:tab/>
        <w:t>投资</w:t>
        <w:tab/>
      </w:r>
      <w:r>
        <w:rPr>
          <w:rFonts w:ascii="Times New Roman" w:eastAsia="Times New Roman" w:hAnsi="Times New Roman" w:cs="Times New Roman"/>
          <w:b w:val="0"/>
          <w:bCs w:val="0"/>
          <w:color w:val="000000"/>
          <w:spacing w:val="0"/>
          <w:w w:val="100"/>
          <w:position w:val="0"/>
          <w:sz w:val="18"/>
          <w:szCs w:val="18"/>
        </w:rPr>
        <w:t>30</w:t>
      </w:r>
      <w:r>
        <w:rPr>
          <w:b w:val="0"/>
          <w:bCs w:val="0"/>
          <w:color w:val="000000"/>
          <w:spacing w:val="0"/>
          <w:w w:val="100"/>
          <w:position w:val="0"/>
          <w:sz w:val="16"/>
          <w:szCs w:val="16"/>
        </w:rPr>
        <w:t>亿元</w:t>
        <w:tab/>
      </w:r>
      <w:r>
        <w:rPr>
          <w:rFonts w:ascii="Times New Roman" w:eastAsia="Times New Roman" w:hAnsi="Times New Roman" w:cs="Times New Roman"/>
          <w:b w:val="0"/>
          <w:bCs w:val="0"/>
          <w:color w:val="000000"/>
          <w:spacing w:val="0"/>
          <w:w w:val="100"/>
          <w:position w:val="0"/>
          <w:sz w:val="18"/>
          <w:szCs w:val="18"/>
        </w:rPr>
        <w:t>36.39</w:t>
        <w:tab/>
        <w:t>36.39</w:t>
      </w:r>
    </w:p>
    <w:p>
      <w:pPr>
        <w:pStyle w:val="Style31"/>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本公司的实际控制人是清华控股有限公司，最终控制方是教育部。</w:t>
      </w:r>
    </w:p>
    <w:p>
      <w:pPr>
        <w:pStyle w:val="Style28"/>
        <w:keepNext/>
        <w:keepLines/>
        <w:widowControl w:val="0"/>
        <w:shd w:val="clear" w:color="auto" w:fill="auto"/>
        <w:tabs>
          <w:tab w:pos="858" w:val="left"/>
        </w:tabs>
        <w:bidi w:val="0"/>
        <w:spacing w:before="0" w:after="140" w:line="240" w:lineRule="auto"/>
        <w:ind w:left="0" w:right="0" w:firstLine="260"/>
        <w:jc w:val="both"/>
      </w:pPr>
      <w:bookmarkStart w:id="1094" w:name="bookmark1094"/>
      <w:bookmarkStart w:id="1095" w:name="bookmark1095"/>
      <w:bookmarkStart w:id="1096" w:name="bookmark1096"/>
      <w:bookmarkStart w:id="1097" w:name="bookmark1097"/>
      <w:r>
        <w:rPr>
          <w:color w:val="000000"/>
          <w:spacing w:val="0"/>
          <w:w w:val="100"/>
          <w:position w:val="0"/>
        </w:rPr>
        <w:t>（</w:t>
      </w:r>
      <w:bookmarkEnd w:id="1096"/>
      <w:r>
        <w:rPr>
          <w:color w:val="000000"/>
          <w:spacing w:val="0"/>
          <w:w w:val="100"/>
          <w:position w:val="0"/>
        </w:rPr>
        <w:t>二）</w:t>
        <w:tab/>
        <w:t>本企业的子公司情况</w:t>
      </w:r>
      <w:bookmarkEnd w:id="1094"/>
      <w:bookmarkEnd w:id="1095"/>
      <w:bookmarkEnd w:id="1097"/>
    </w:p>
    <w:p>
      <w:pPr>
        <w:pStyle w:val="Style31"/>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本企业子公司的情况详见本附注九（一）“在子公司中的权益”。</w:t>
      </w:r>
    </w:p>
    <w:p>
      <w:pPr>
        <w:pStyle w:val="Style28"/>
        <w:keepNext/>
        <w:keepLines/>
        <w:widowControl w:val="0"/>
        <w:shd w:val="clear" w:color="auto" w:fill="auto"/>
        <w:tabs>
          <w:tab w:pos="858" w:val="left"/>
        </w:tabs>
        <w:bidi w:val="0"/>
        <w:spacing w:before="0" w:after="140" w:line="240" w:lineRule="auto"/>
        <w:ind w:left="0" w:right="0" w:firstLine="260"/>
        <w:jc w:val="left"/>
      </w:pPr>
      <w:bookmarkStart w:id="1098" w:name="bookmark1098"/>
      <w:bookmarkStart w:id="1099" w:name="bookmark1099"/>
      <w:bookmarkStart w:id="1100" w:name="bookmark1100"/>
      <w:bookmarkStart w:id="1101" w:name="bookmark1101"/>
      <w:r>
        <w:rPr>
          <w:color w:val="000000"/>
          <w:spacing w:val="0"/>
          <w:w w:val="100"/>
          <w:position w:val="0"/>
        </w:rPr>
        <w:t>（</w:t>
      </w:r>
      <w:bookmarkEnd w:id="1100"/>
      <w:r>
        <w:rPr>
          <w:color w:val="000000"/>
          <w:spacing w:val="0"/>
          <w:w w:val="100"/>
          <w:position w:val="0"/>
        </w:rPr>
        <w:t>三）</w:t>
        <w:tab/>
        <w:t>本企业合营和联营企业情况</w:t>
      </w:r>
      <w:bookmarkEnd w:id="1098"/>
      <w:bookmarkEnd w:id="1099"/>
      <w:bookmarkEnd w:id="1101"/>
    </w:p>
    <w:p>
      <w:pPr>
        <w:pStyle w:val="Style31"/>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本企业重要的合营或联营企业详见本附注九（三）“在合营安排或联营企业中的权益”。</w:t>
      </w:r>
    </w:p>
    <w:p>
      <w:pPr>
        <w:pStyle w:val="Style31"/>
        <w:keepNext w:val="0"/>
        <w:keepLines w:val="0"/>
        <w:widowControl w:val="0"/>
        <w:shd w:val="clear" w:color="auto" w:fill="auto"/>
        <w:bidi w:val="0"/>
        <w:spacing w:before="0" w:after="140" w:line="240" w:lineRule="auto"/>
        <w:ind w:left="0" w:right="0" w:firstLine="560"/>
        <w:jc w:val="left"/>
        <w:rPr>
          <w:sz w:val="20"/>
          <w:szCs w:val="20"/>
        </w:rPr>
      </w:pPr>
      <w:r>
        <w:rPr>
          <w:color w:val="000000"/>
          <w:spacing w:val="0"/>
          <w:w w:val="100"/>
          <w:position w:val="0"/>
          <w:sz w:val="20"/>
          <w:szCs w:val="20"/>
        </w:rPr>
        <w:t>本期本公司未与联营企业发生关联方交易。</w:t>
      </w:r>
    </w:p>
    <w:p>
      <w:pPr>
        <w:pStyle w:val="Style28"/>
        <w:keepNext/>
        <w:keepLines/>
        <w:widowControl w:val="0"/>
        <w:shd w:val="clear" w:color="auto" w:fill="auto"/>
        <w:bidi w:val="0"/>
        <w:spacing w:before="0" w:after="140" w:line="240" w:lineRule="auto"/>
        <w:ind w:left="0" w:right="0" w:firstLine="260"/>
        <w:jc w:val="left"/>
      </w:pPr>
      <w:bookmarkStart w:id="1102" w:name="bookmark1102"/>
      <w:bookmarkStart w:id="1103" w:name="bookmark1103"/>
      <w:bookmarkStart w:id="1104" w:name="bookmark1104"/>
      <w:bookmarkStart w:id="1105" w:name="bookmark1105"/>
      <w:r>
        <w:rPr>
          <w:color w:val="000000"/>
          <w:spacing w:val="0"/>
          <w:w w:val="100"/>
          <w:position w:val="0"/>
        </w:rPr>
        <w:t>（</w:t>
      </w:r>
      <w:bookmarkEnd w:id="1104"/>
      <w:r>
        <w:rPr>
          <w:color w:val="000000"/>
          <w:spacing w:val="0"/>
          <w:w w:val="100"/>
          <w:position w:val="0"/>
        </w:rPr>
        <w:t>四）其他关联方情况</w:t>
      </w:r>
      <w:bookmarkEnd w:id="1102"/>
      <w:bookmarkEnd w:id="1103"/>
      <w:bookmarkEnd w:id="1105"/>
    </w:p>
    <w:tbl>
      <w:tblPr>
        <w:tblOverlap w:val="never"/>
        <w:jc w:val="center"/>
        <w:tblLayout w:type="fixed"/>
      </w:tblPr>
      <w:tblGrid>
        <w:gridCol w:w="4882"/>
        <w:gridCol w:w="4709"/>
      </w:tblGrid>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其他关联方名称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其他关联方与本企业关系</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清华大学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实际控制人的全资出资人</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清华大学教育基金会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实际控制人的全资出资人的附属单位</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清华控股集团财务有限公司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实际控制人控制的其他企业</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北京亚仕同方科技有限公司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实际控制人控制的其他企业</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南通同方半导体有限公司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实际控制人控制的其他企业</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同方电子科技有限公司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实际控制人控制的其他企业</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唐山晶源投资有限公司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关联自然人控制的其他企业</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清华控股有限公司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实际控制人</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霍尔果斯国微股权投资管理合伙企业（有限合伙）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本公司的原持股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以上股东</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同方股份有限公司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实际控制人控制的其他企业</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紫光集团有限公司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本公司的间接控股股东</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同方计算机有限公司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实际控制人控制的其他企业</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同方锐安科技有限公司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实际控制人控制的其他企业</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深圳市国微科技有限公司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关联自然人控制的其他企业</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深圳国微技术有限公司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关联自然人担任董监高的其他企业</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展讯通信（上海）有限公司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实际控制人控制的其他企业</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北京同方物业管理有限公司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实际控制人控制的其他企业</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同方全球人寿保险有限公司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实际控制人控制的其他企业的合营企业</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北京壹人壹本信息科技有限公司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实际控制人控制的其他企业</w:t>
            </w:r>
          </w:p>
        </w:tc>
      </w:tr>
      <w:tr>
        <w:trPr>
          <w:trHeight w:val="40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深圳数字电视国家工程实验室股份有限公司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关联自然人控制的其他企业</w:t>
            </w:r>
          </w:p>
        </w:tc>
      </w:tr>
    </w:tbl>
    <w:p>
      <w:pPr>
        <w:widowControl w:val="0"/>
        <w:spacing w:after="139" w:line="1" w:lineRule="exact"/>
      </w:pPr>
    </w:p>
    <w:p>
      <w:pPr>
        <w:pStyle w:val="Style28"/>
        <w:keepNext/>
        <w:keepLines/>
        <w:widowControl w:val="0"/>
        <w:shd w:val="clear" w:color="auto" w:fill="auto"/>
        <w:bidi w:val="0"/>
        <w:spacing w:before="0" w:after="140" w:line="240" w:lineRule="auto"/>
        <w:ind w:left="0" w:right="0" w:firstLine="26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color w:val="000000"/>
          <w:spacing w:val="0"/>
          <w:w w:val="100"/>
          <w:position w:val="0"/>
        </w:rPr>
        <w:t>五）关联交易情况</w:t>
      </w:r>
      <w:bookmarkEnd w:id="1106"/>
      <w:bookmarkEnd w:id="1107"/>
      <w:bookmarkEnd w:id="1109"/>
    </w:p>
    <w:p>
      <w:pPr>
        <w:pStyle w:val="Style44"/>
        <w:keepNext/>
        <w:keepLines/>
        <w:widowControl w:val="0"/>
        <w:shd w:val="clear" w:color="auto" w:fill="auto"/>
        <w:bidi w:val="0"/>
        <w:spacing w:before="0" w:after="140" w:line="240" w:lineRule="auto"/>
        <w:ind w:left="0" w:right="0" w:firstLine="560"/>
        <w:jc w:val="left"/>
        <w:rPr>
          <w:sz w:val="20"/>
          <w:szCs w:val="20"/>
        </w:rPr>
      </w:pPr>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、购销商品、提供和接受劳务的关联交易</w:t>
      </w:r>
      <w:bookmarkEnd w:id="1110"/>
      <w:bookmarkEnd w:id="1111"/>
      <w:bookmarkEnd w:id="1112"/>
    </w:p>
    <w:p>
      <w:pPr>
        <w:pStyle w:val="Style44"/>
        <w:keepNext/>
        <w:keepLines/>
        <w:widowControl w:val="0"/>
        <w:shd w:val="clear" w:color="auto" w:fill="auto"/>
        <w:bidi w:val="0"/>
        <w:spacing w:before="0" w:after="140" w:line="240" w:lineRule="auto"/>
        <w:ind w:left="0" w:right="0" w:firstLine="560"/>
        <w:jc w:val="left"/>
        <w:rPr>
          <w:sz w:val="20"/>
          <w:szCs w:val="20"/>
        </w:rPr>
      </w:pPr>
      <w:bookmarkStart w:id="1110" w:name="bookmark1110"/>
      <w:bookmarkStart w:id="1111" w:name="bookmark1111"/>
      <w:bookmarkStart w:id="1113" w:name="bookmark1113"/>
      <w:r>
        <w:rPr>
          <w:color w:val="000000"/>
          <w:spacing w:val="0"/>
          <w:w w:val="100"/>
          <w:position w:val="0"/>
          <w:sz w:val="20"/>
          <w:szCs w:val="20"/>
        </w:rPr>
        <w:t>（</w:t>
      </w:r>
      <w:bookmarkEnd w:id="1113"/>
      <w:r>
        <w:rPr>
          <w:color w:val="000000"/>
          <w:spacing w:val="0"/>
          <w:w w:val="100"/>
          <w:position w:val="0"/>
          <w:sz w:val="20"/>
          <w:szCs w:val="20"/>
        </w:rPr>
        <w:t>1）采购商品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接受劳务情况表</w:t>
      </w:r>
      <w:bookmarkEnd w:id="1110"/>
      <w:bookmarkEnd w:id="1111"/>
    </w:p>
    <w:tbl>
      <w:tblPr>
        <w:tblOverlap w:val="never"/>
        <w:jc w:val="center"/>
        <w:tblLayout w:type="fixed"/>
      </w:tblPr>
      <w:tblGrid>
        <w:gridCol w:w="2424"/>
        <w:gridCol w:w="1133"/>
        <w:gridCol w:w="1248"/>
        <w:gridCol w:w="1162"/>
        <w:gridCol w:w="1402"/>
        <w:gridCol w:w="1157"/>
        <w:gridCol w:w="1406"/>
      </w:tblGrid>
      <w:tr>
        <w:trPr>
          <w:trHeight w:val="35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关联方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center"/>
              <w:rPr>
                <w:sz w:val="16"/>
                <w:szCs w:val="16"/>
              </w:rPr>
            </w:pPr>
            <w:r>
              <w:rPr>
                <w:b/>
                <w:bCs/>
                <w:color w:val="000000"/>
                <w:spacing w:val="0"/>
                <w:w w:val="100"/>
                <w:position w:val="0"/>
                <w:sz w:val="16"/>
                <w:szCs w:val="16"/>
              </w:rPr>
              <w:t>关联 交易内容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60" w:right="0" w:firstLine="0"/>
              <w:jc w:val="left"/>
              <w:rPr>
                <w:sz w:val="16"/>
                <w:szCs w:val="16"/>
              </w:rPr>
            </w:pPr>
            <w:r>
              <w:rPr>
                <w:b/>
                <w:bCs/>
                <w:color w:val="000000"/>
                <w:spacing w:val="0"/>
                <w:w w:val="100"/>
                <w:position w:val="0"/>
                <w:sz w:val="16"/>
                <w:szCs w:val="16"/>
              </w:rPr>
              <w:t>关联交易定 价方式及决</w:t>
            </w:r>
          </w:p>
          <w:p>
            <w:pPr>
              <w:pStyle w:val="Style2"/>
              <w:keepNext w:val="0"/>
              <w:keepLines w:val="0"/>
              <w:widowControl w:val="0"/>
              <w:shd w:val="clear" w:color="auto" w:fill="auto"/>
              <w:bidi w:val="0"/>
              <w:spacing w:before="0" w:after="0" w:line="235" w:lineRule="exact"/>
              <w:ind w:left="0" w:right="0" w:firstLine="0"/>
              <w:jc w:val="center"/>
              <w:rPr>
                <w:sz w:val="16"/>
                <w:szCs w:val="16"/>
              </w:rPr>
            </w:pPr>
            <w:r>
              <w:rPr>
                <w:b/>
                <w:bCs/>
                <w:color w:val="000000"/>
                <w:spacing w:val="0"/>
                <w:w w:val="100"/>
                <w:position w:val="0"/>
                <w:sz w:val="16"/>
                <w:szCs w:val="16"/>
              </w:rPr>
              <w:t>策程序</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上期发生额</w:t>
            </w:r>
          </w:p>
        </w:tc>
      </w:tr>
      <w:tr>
        <w:trPr>
          <w:trHeight w:val="55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6"/>
                <w:szCs w:val="16"/>
              </w:rPr>
            </w:pPr>
            <w:r>
              <w:rPr>
                <w:b/>
                <w:bCs/>
                <w:color w:val="000000"/>
                <w:spacing w:val="0"/>
                <w:w w:val="100"/>
                <w:position w:val="0"/>
                <w:sz w:val="16"/>
                <w:szCs w:val="16"/>
              </w:rPr>
              <w:t>占同类交易金 额的比例（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6"/>
                <w:szCs w:val="16"/>
              </w:rPr>
            </w:pPr>
            <w:r>
              <w:rPr>
                <w:b/>
                <w:bCs/>
                <w:color w:val="000000"/>
                <w:spacing w:val="0"/>
                <w:w w:val="100"/>
                <w:position w:val="0"/>
                <w:sz w:val="16"/>
                <w:szCs w:val="16"/>
              </w:rPr>
              <w:t>占同类交易金 额的比例（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w:t>
            </w:r>
          </w:p>
        </w:tc>
      </w:tr>
      <w:tr>
        <w:trPr>
          <w:trHeight w:val="35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北京同方物业管理有限公司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接受劳务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市场价格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2,304,908.96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2,269,135.12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81.13</w:t>
            </w:r>
          </w:p>
        </w:tc>
      </w:tr>
    </w:tbl>
    <w:p>
      <w:pPr>
        <w:widowControl w:val="0"/>
        <w:spacing w:line="1" w:lineRule="exact"/>
      </w:pPr>
      <w:r>
        <w:br w:type="page"/>
      </w:r>
    </w:p>
    <w:tbl>
      <w:tblPr>
        <w:tblOverlap w:val="never"/>
        <w:jc w:val="center"/>
        <w:tblLayout w:type="fixed"/>
      </w:tblPr>
      <w:tblGrid>
        <w:gridCol w:w="2424"/>
        <w:gridCol w:w="1133"/>
        <w:gridCol w:w="1248"/>
        <w:gridCol w:w="1162"/>
        <w:gridCol w:w="1402"/>
        <w:gridCol w:w="1162"/>
        <w:gridCol w:w="1402"/>
      </w:tblGrid>
      <w:tr>
        <w:trPr>
          <w:trHeight w:val="58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140" w:right="0" w:firstLine="0"/>
              <w:jc w:val="left"/>
              <w:rPr>
                <w:sz w:val="16"/>
                <w:szCs w:val="16"/>
              </w:rPr>
            </w:pPr>
            <w:r>
              <w:rPr>
                <w:color w:val="000000"/>
                <w:spacing w:val="0"/>
                <w:w w:val="100"/>
                <w:position w:val="0"/>
                <w:sz w:val="16"/>
                <w:szCs w:val="16"/>
              </w:rPr>
              <w:t>北京壹人壹本信息科技有限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购买商品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市场价格</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同方全球人寿保险有限公司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购买保险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市场价格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331,033.22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w:t>
            </w:r>
          </w:p>
        </w:tc>
      </w:tr>
      <w:tr>
        <w:trPr>
          <w:trHeight w:val="32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展讯通信(上海)有限公司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购买服务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市场价格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同方锐安科技有限公司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购买商品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市场价格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清华大学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购买服务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市场价格</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4.245.283.03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2,924,528.31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w:t>
            </w:r>
          </w:p>
        </w:tc>
      </w:tr>
      <w:tr>
        <w:trPr>
          <w:trHeight w:val="35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紫光集团有限公司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购买服务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市场价格</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&amp;</w:t>
            </w:r>
            <w:r>
              <w:rPr>
                <w:rFonts w:ascii="Times New Roman" w:eastAsia="Times New Roman" w:hAnsi="Times New Roman" w:cs="Times New Roman"/>
                <w:color w:val="000000"/>
                <w:spacing w:val="0"/>
                <w:w w:val="100"/>
                <w:position w:val="0"/>
                <w:sz w:val="18"/>
                <w:szCs w:val="18"/>
              </w:rPr>
              <w:t>590.30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1"/>
        <w:keepNext w:val="0"/>
        <w:keepLines w:val="0"/>
        <w:widowControl w:val="0"/>
        <w:numPr>
          <w:ilvl w:val="0"/>
          <w:numId w:val="13"/>
        </w:numPr>
        <w:shd w:val="clear" w:color="auto" w:fill="auto"/>
        <w:bidi w:val="0"/>
        <w:spacing w:before="0" w:after="140" w:line="240" w:lineRule="auto"/>
        <w:ind w:left="0" w:right="0" w:firstLine="680"/>
        <w:jc w:val="both"/>
        <w:rPr>
          <w:sz w:val="20"/>
          <w:szCs w:val="20"/>
        </w:rPr>
      </w:pPr>
      <w:bookmarkStart w:id="1114" w:name="bookmark1114"/>
      <w:bookmarkEnd w:id="1114"/>
      <w:r>
        <w:rPr>
          <w:b/>
          <w:bCs/>
          <w:color w:val="000000"/>
          <w:spacing w:val="0"/>
          <w:w w:val="100"/>
          <w:position w:val="0"/>
          <w:sz w:val="20"/>
          <w:szCs w:val="20"/>
        </w:rPr>
        <w:t>出售商品</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提供劳务情况表</w:t>
      </w:r>
    </w:p>
    <w:tbl>
      <w:tblPr>
        <w:tblOverlap w:val="never"/>
        <w:jc w:val="center"/>
        <w:tblLayout w:type="fixed"/>
      </w:tblPr>
      <w:tblGrid>
        <w:gridCol w:w="2285"/>
        <w:gridCol w:w="994"/>
        <w:gridCol w:w="1277"/>
        <w:gridCol w:w="1272"/>
        <w:gridCol w:w="1421"/>
        <w:gridCol w:w="1320"/>
        <w:gridCol w:w="1363"/>
      </w:tblGrid>
      <w:tr>
        <w:trPr>
          <w:trHeight w:val="35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关联方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b/>
                <w:bCs/>
                <w:color w:val="000000"/>
                <w:spacing w:val="0"/>
                <w:w w:val="100"/>
                <w:position w:val="0"/>
                <w:sz w:val="16"/>
                <w:szCs w:val="16"/>
              </w:rPr>
              <w:t>关联交易 内容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6"/>
                <w:szCs w:val="16"/>
              </w:rPr>
            </w:pPr>
            <w:r>
              <w:rPr>
                <w:b/>
                <w:bCs/>
                <w:color w:val="000000"/>
                <w:spacing w:val="0"/>
                <w:w w:val="100"/>
                <w:position w:val="0"/>
                <w:sz w:val="16"/>
                <w:szCs w:val="16"/>
              </w:rPr>
              <w:t>关联交易定 价方式及决 策程序</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上期发生额</w:t>
            </w:r>
          </w:p>
        </w:tc>
      </w:tr>
      <w:tr>
        <w:trPr>
          <w:trHeight w:val="55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6"/>
                <w:szCs w:val="16"/>
              </w:rPr>
            </w:pPr>
            <w:r>
              <w:rPr>
                <w:b/>
                <w:bCs/>
                <w:color w:val="000000"/>
                <w:spacing w:val="0"/>
                <w:w w:val="100"/>
                <w:position w:val="0"/>
                <w:sz w:val="16"/>
                <w:szCs w:val="16"/>
              </w:rPr>
              <w:t>占同类交易金 额的比例(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right"/>
              <w:rPr>
                <w:sz w:val="16"/>
                <w:szCs w:val="16"/>
              </w:rPr>
            </w:pPr>
            <w:r>
              <w:rPr>
                <w:b/>
                <w:bCs/>
                <w:color w:val="000000"/>
                <w:spacing w:val="0"/>
                <w:w w:val="100"/>
                <w:position w:val="0"/>
                <w:sz w:val="16"/>
                <w:szCs w:val="16"/>
              </w:rPr>
              <w:t>占同类交易金 额的比例(%)</w:t>
            </w:r>
          </w:p>
        </w:tc>
      </w:tr>
      <w:tr>
        <w:trPr>
          <w:trHeight w:val="3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南通同方半导体有限公司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市场价格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18,376.07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同方锐安科技有限公司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市场价格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1,235,001.74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2,787,953.69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0.24</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深圳数字电视国家工程实</w:t>
            </w:r>
          </w:p>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验室股份有限公司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市场价格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1,443,396.23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1,037,735.85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1.19</w:t>
            </w:r>
          </w:p>
        </w:tc>
      </w:tr>
      <w:tr>
        <w:trPr>
          <w:trHeight w:val="32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同方电子科技有限公司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市场价格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同方股份有限公司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市场价格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4,273.50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深圳国微技术有限公司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市场价格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2,833.34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400,726.50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35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同方计算机有限公司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销售商品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市场价格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25,213.67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44"/>
        <w:keepNext/>
        <w:keepLines/>
        <w:widowControl w:val="0"/>
        <w:shd w:val="clear" w:color="auto" w:fill="auto"/>
        <w:bidi w:val="0"/>
        <w:spacing w:before="0" w:after="140" w:line="240" w:lineRule="auto"/>
        <w:ind w:left="0" w:right="0" w:firstLine="560"/>
        <w:jc w:val="left"/>
        <w:rPr>
          <w:sz w:val="20"/>
          <w:szCs w:val="20"/>
        </w:rPr>
      </w:pPr>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、关联租赁情况</w:t>
      </w:r>
      <w:bookmarkEnd w:id="1115"/>
      <w:bookmarkEnd w:id="1116"/>
      <w:bookmarkEnd w:id="1117"/>
    </w:p>
    <w:p>
      <w:pPr>
        <w:pStyle w:val="Style44"/>
        <w:keepNext/>
        <w:keepLines/>
        <w:widowControl w:val="0"/>
        <w:shd w:val="clear" w:color="auto" w:fill="auto"/>
        <w:bidi w:val="0"/>
        <w:spacing w:before="0" w:after="140" w:line="240" w:lineRule="auto"/>
        <w:ind w:left="0" w:right="0" w:firstLine="680"/>
        <w:jc w:val="left"/>
        <w:rPr>
          <w:sz w:val="20"/>
          <w:szCs w:val="20"/>
        </w:rPr>
      </w:pPr>
      <w:bookmarkStart w:id="1115" w:name="bookmark1115"/>
      <w:bookmarkStart w:id="1116" w:name="bookmark1116"/>
      <w:r>
        <w:rPr>
          <w:color w:val="000000"/>
          <w:spacing w:val="0"/>
          <w:w w:val="100"/>
          <w:position w:val="0"/>
          <w:sz w:val="20"/>
          <w:szCs w:val="20"/>
        </w:rPr>
        <w:t>(1)本公司作为承租方</w:t>
      </w:r>
      <w:bookmarkEnd w:id="1115"/>
      <w:bookmarkEnd w:id="1116"/>
    </w:p>
    <w:tbl>
      <w:tblPr>
        <w:tblOverlap w:val="never"/>
        <w:jc w:val="center"/>
        <w:tblLayout w:type="fixed"/>
      </w:tblPr>
      <w:tblGrid>
        <w:gridCol w:w="2534"/>
        <w:gridCol w:w="2299"/>
        <w:gridCol w:w="2333"/>
        <w:gridCol w:w="2611"/>
      </w:tblGrid>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出租方名称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租赁资产种类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本期确认的租赁费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600" w:firstLine="0"/>
              <w:jc w:val="right"/>
              <w:rPr>
                <w:sz w:val="16"/>
                <w:szCs w:val="16"/>
              </w:rPr>
            </w:pPr>
            <w:r>
              <w:rPr>
                <w:b/>
                <w:bCs/>
                <w:color w:val="000000"/>
                <w:spacing w:val="0"/>
                <w:w w:val="100"/>
                <w:position w:val="0"/>
                <w:sz w:val="16"/>
                <w:szCs w:val="16"/>
              </w:rPr>
              <w:t>上期确认的租赁费</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深圳市国微科技有限公司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租赁办公区租金等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5,524,696.48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5,578,038.62</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同方股份有限公司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办公租赁费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10,799,666.55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11,085,604.80</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北京同方物业管理有限公司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会场租赁费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唐山晶源投资有限公司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厂房租赁费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336,400.00</w:t>
            </w:r>
          </w:p>
        </w:tc>
      </w:tr>
      <w:tr>
        <w:trPr>
          <w:trHeight w:val="40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清华大学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会场会务费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bl>
    <w:p>
      <w:pPr>
        <w:widowControl w:val="0"/>
        <w:spacing w:after="139" w:line="1" w:lineRule="exact"/>
      </w:pPr>
    </w:p>
    <w:p>
      <w:pPr>
        <w:pStyle w:val="Style31"/>
        <w:keepNext w:val="0"/>
        <w:keepLines w:val="0"/>
        <w:widowControl w:val="0"/>
        <w:shd w:val="clear" w:color="auto" w:fill="auto"/>
        <w:bidi w:val="0"/>
        <w:spacing w:before="0" w:after="280" w:line="240" w:lineRule="auto"/>
        <w:ind w:left="0" w:right="0" w:firstLine="680"/>
        <w:jc w:val="left"/>
        <w:rPr>
          <w:sz w:val="20"/>
          <w:szCs w:val="20"/>
        </w:rPr>
      </w:pPr>
      <w:r>
        <w:rPr>
          <w:b/>
          <w:bCs/>
          <w:color w:val="000000"/>
          <w:spacing w:val="0"/>
          <w:w w:val="100"/>
          <w:position w:val="0"/>
          <w:sz w:val="20"/>
          <w:szCs w:val="20"/>
        </w:rPr>
        <w:t>(2)关联租赁情况说明：</w:t>
      </w:r>
      <w:r>
        <w:rPr>
          <w:color w:val="000000"/>
          <w:spacing w:val="0"/>
          <w:w w:val="100"/>
          <w:position w:val="0"/>
          <w:sz w:val="20"/>
          <w:szCs w:val="20"/>
        </w:rPr>
        <w:t>租赁价格不高于市价。</w:t>
      </w:r>
    </w:p>
    <w:p>
      <w:pPr>
        <w:pStyle w:val="Style44"/>
        <w:keepNext/>
        <w:keepLines/>
        <w:widowControl w:val="0"/>
        <w:shd w:val="clear" w:color="auto" w:fill="auto"/>
        <w:bidi w:val="0"/>
        <w:spacing w:before="0" w:after="140" w:line="240" w:lineRule="auto"/>
        <w:ind w:left="0" w:right="0" w:firstLine="560"/>
        <w:jc w:val="both"/>
        <w:rPr>
          <w:sz w:val="20"/>
          <w:szCs w:val="20"/>
        </w:rPr>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sz w:val="20"/>
          <w:szCs w:val="20"/>
        </w:rPr>
        <w:t>3</w:t>
      </w:r>
      <w:bookmarkEnd w:id="1120"/>
      <w:r>
        <w:rPr>
          <w:color w:val="000000"/>
          <w:spacing w:val="0"/>
          <w:w w:val="100"/>
          <w:position w:val="0"/>
          <w:sz w:val="20"/>
          <w:szCs w:val="20"/>
        </w:rPr>
        <w:t>、关联资金交易</w:t>
      </w:r>
      <w:bookmarkEnd w:id="1118"/>
      <w:bookmarkEnd w:id="1119"/>
      <w:bookmarkEnd w:id="1121"/>
    </w:p>
    <w:p>
      <w:pPr>
        <w:pStyle w:val="Style44"/>
        <w:keepNext/>
        <w:keepLines/>
        <w:widowControl w:val="0"/>
        <w:shd w:val="clear" w:color="auto" w:fill="auto"/>
        <w:bidi w:val="0"/>
        <w:spacing w:before="0" w:after="140" w:line="240" w:lineRule="auto"/>
        <w:ind w:left="0" w:right="0" w:firstLine="560"/>
        <w:jc w:val="both"/>
        <w:rPr>
          <w:sz w:val="20"/>
          <w:szCs w:val="20"/>
        </w:rPr>
      </w:pPr>
      <w:bookmarkStart w:id="1118" w:name="bookmark1118"/>
      <w:bookmarkStart w:id="1119" w:name="bookmark1119"/>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)拆入</w:t>
      </w:r>
      <w:bookmarkEnd w:id="1118"/>
      <w:bookmarkEnd w:id="1119"/>
    </w:p>
    <w:tbl>
      <w:tblPr>
        <w:tblOverlap w:val="never"/>
        <w:jc w:val="center"/>
        <w:tblLayout w:type="fixed"/>
      </w:tblPr>
      <w:tblGrid>
        <w:gridCol w:w="1642"/>
        <w:gridCol w:w="1272"/>
        <w:gridCol w:w="1426"/>
        <w:gridCol w:w="1272"/>
        <w:gridCol w:w="1277"/>
        <w:gridCol w:w="1104"/>
        <w:gridCol w:w="1786"/>
      </w:tblGrid>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拆借方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拆借金额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6"/>
                <w:szCs w:val="16"/>
              </w:rPr>
              <w:t>利率</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起始日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到期日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本期确认的利息支出</w:t>
            </w:r>
          </w:p>
        </w:tc>
      </w:tr>
      <w:tr>
        <w:trPr>
          <w:trHeight w:val="58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清华控股集团财务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西安紫光国芯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2017-9-27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602,656.25</w:t>
            </w:r>
          </w:p>
        </w:tc>
      </w:tr>
    </w:tbl>
    <w:p>
      <w:pPr>
        <w:widowControl w:val="0"/>
        <w:spacing w:after="139" w:line="1" w:lineRule="exact"/>
      </w:pPr>
    </w:p>
    <w:p>
      <w:pPr>
        <w:pStyle w:val="Style31"/>
        <w:keepNext w:val="0"/>
        <w:keepLines w:val="0"/>
        <w:widowControl w:val="0"/>
        <w:shd w:val="clear" w:color="auto" w:fill="auto"/>
        <w:bidi w:val="0"/>
        <w:spacing w:before="0" w:after="140" w:line="275" w:lineRule="exact"/>
        <w:ind w:left="140" w:right="0" w:firstLine="42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日经公司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年度股东大会审议批准，公司与清华控股集团财务有限公司(简称 “财务公司”)签署了为期两年的《金融服务协议》。根据金融服务协议，财务公司在经营范围内向公司 提供一系列金融服务，包括但不限于综合授信、存款服务、结算服务及中国银监会批准的财务公司可从事 的其他业务。本公司与财务公司签订的综合授信额度人民币</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亿元内，公司可授权下属子公司使用，并承 诺督促子公司履行还款义务。</w:t>
      </w:r>
    </w:p>
    <w:p>
      <w:pPr>
        <w:pStyle w:val="Style31"/>
        <w:keepNext w:val="0"/>
        <w:keepLines w:val="0"/>
        <w:widowControl w:val="0"/>
        <w:shd w:val="clear" w:color="auto" w:fill="auto"/>
        <w:bidi w:val="0"/>
        <w:spacing w:before="0" w:after="140" w:line="240" w:lineRule="auto"/>
        <w:ind w:left="0" w:right="0" w:firstLine="680"/>
        <w:jc w:val="both"/>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)资金存款</w:t>
      </w:r>
      <w:r>
        <w:br w:type="page"/>
      </w:r>
    </w:p>
    <w:p>
      <w:pPr>
        <w:pStyle w:val="Style31"/>
        <w:keepNext w:val="0"/>
        <w:keepLines w:val="0"/>
        <w:widowControl w:val="0"/>
        <w:shd w:val="clear" w:color="auto" w:fill="auto"/>
        <w:bidi w:val="0"/>
        <w:spacing w:before="0" w:line="274" w:lineRule="exact"/>
        <w:ind w:left="260" w:right="0" w:firstLine="48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日，本公司在财务公司的存款余额为</w:t>
      </w:r>
      <w:r>
        <w:rPr>
          <w:rFonts w:ascii="Times New Roman" w:eastAsia="Times New Roman" w:hAnsi="Times New Roman" w:cs="Times New Roman"/>
          <w:color w:val="000000"/>
          <w:spacing w:val="0"/>
          <w:w w:val="100"/>
          <w:position w:val="0"/>
          <w:sz w:val="20"/>
          <w:szCs w:val="20"/>
        </w:rPr>
        <w:t>32,219,787.93</w:t>
      </w:r>
      <w:r>
        <w:rPr>
          <w:color w:val="000000"/>
          <w:spacing w:val="0"/>
          <w:w w:val="100"/>
          <w:position w:val="0"/>
          <w:sz w:val="20"/>
          <w:szCs w:val="20"/>
        </w:rPr>
        <w:t>元。其中紫光国芯股份有限 公司</w:t>
      </w:r>
      <w:r>
        <w:rPr>
          <w:rFonts w:ascii="Times New Roman" w:eastAsia="Times New Roman" w:hAnsi="Times New Roman" w:cs="Times New Roman"/>
          <w:color w:val="000000"/>
          <w:spacing w:val="0"/>
          <w:w w:val="100"/>
          <w:position w:val="0"/>
          <w:sz w:val="20"/>
          <w:szCs w:val="20"/>
        </w:rPr>
        <w:t>30,000,000.00</w:t>
      </w:r>
      <w:r>
        <w:rPr>
          <w:color w:val="000000"/>
          <w:spacing w:val="0"/>
          <w:w w:val="100"/>
          <w:position w:val="0"/>
          <w:sz w:val="20"/>
          <w:szCs w:val="20"/>
        </w:rPr>
        <w:t>元，本公司控股子公司西安紫光国芯</w:t>
      </w:r>
      <w:r>
        <w:rPr>
          <w:rFonts w:ascii="Times New Roman" w:eastAsia="Times New Roman" w:hAnsi="Times New Roman" w:cs="Times New Roman"/>
          <w:color w:val="000000"/>
          <w:spacing w:val="0"/>
          <w:w w:val="100"/>
          <w:position w:val="0"/>
          <w:sz w:val="20"/>
          <w:szCs w:val="20"/>
        </w:rPr>
        <w:t>2,219,787.93</w:t>
      </w:r>
      <w:r>
        <w:rPr>
          <w:color w:val="000000"/>
          <w:spacing w:val="0"/>
          <w:w w:val="100"/>
          <w:position w:val="0"/>
          <w:sz w:val="20"/>
          <w:szCs w:val="20"/>
        </w:rPr>
        <w:t>元。</w:t>
      </w:r>
    </w:p>
    <w:p>
      <w:pPr>
        <w:pStyle w:val="Style44"/>
        <w:keepNext/>
        <w:keepLines/>
        <w:widowControl w:val="0"/>
        <w:shd w:val="clear" w:color="auto" w:fill="auto"/>
        <w:bidi w:val="0"/>
        <w:spacing w:before="0" w:after="120" w:line="274" w:lineRule="exact"/>
        <w:ind w:left="0" w:right="0" w:firstLine="740"/>
        <w:jc w:val="left"/>
        <w:rPr>
          <w:sz w:val="20"/>
          <w:szCs w:val="20"/>
        </w:rPr>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sz w:val="20"/>
          <w:szCs w:val="20"/>
        </w:rPr>
        <w:t>4</w:t>
      </w:r>
      <w:bookmarkEnd w:id="1124"/>
      <w:r>
        <w:rPr>
          <w:color w:val="000000"/>
          <w:spacing w:val="0"/>
          <w:w w:val="100"/>
          <w:position w:val="0"/>
          <w:sz w:val="20"/>
          <w:szCs w:val="20"/>
        </w:rPr>
        <w:t>、其他关联交易</w:t>
      </w:r>
      <w:bookmarkEnd w:id="1122"/>
      <w:bookmarkEnd w:id="1123"/>
      <w:bookmarkEnd w:id="1125"/>
    </w:p>
    <w:p>
      <w:pPr>
        <w:pStyle w:val="Style44"/>
        <w:keepNext/>
        <w:keepLines/>
        <w:widowControl w:val="0"/>
        <w:shd w:val="clear" w:color="auto" w:fill="auto"/>
        <w:bidi w:val="0"/>
        <w:spacing w:before="0" w:after="120" w:line="240" w:lineRule="auto"/>
        <w:ind w:left="0" w:right="0" w:firstLine="860"/>
        <w:jc w:val="left"/>
        <w:rPr>
          <w:sz w:val="20"/>
          <w:szCs w:val="20"/>
        </w:rPr>
      </w:pPr>
      <w:bookmarkStart w:id="1122" w:name="bookmark1122"/>
      <w:bookmarkStart w:id="1123" w:name="bookmark112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）捐赠</w:t>
      </w:r>
      <w:bookmarkEnd w:id="1122"/>
      <w:bookmarkEnd w:id="1123"/>
    </w:p>
    <w:tbl>
      <w:tblPr>
        <w:tblOverlap w:val="never"/>
        <w:jc w:val="center"/>
        <w:tblLayout w:type="fixed"/>
      </w:tblPr>
      <w:tblGrid>
        <w:gridCol w:w="3048"/>
        <w:gridCol w:w="2232"/>
        <w:gridCol w:w="2165"/>
        <w:gridCol w:w="2016"/>
      </w:tblGrid>
      <w:tr>
        <w:trPr>
          <w:trHeight w:val="43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关联交易内容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上期发生额</w:t>
            </w:r>
          </w:p>
        </w:tc>
      </w:tr>
      <w:tr>
        <w:trPr>
          <w:trHeight w:val="46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清华大学教育基金会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现金捐赠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line="240" w:lineRule="auto"/>
        <w:ind w:left="0" w:right="0" w:firstLine="860"/>
        <w:jc w:val="both"/>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）资产转让</w:t>
      </w:r>
    </w:p>
    <w:p>
      <w:pPr>
        <w:pStyle w:val="Style31"/>
        <w:keepNext w:val="0"/>
        <w:keepLines w:val="0"/>
        <w:widowControl w:val="0"/>
        <w:shd w:val="clear" w:color="auto" w:fill="auto"/>
        <w:bidi w:val="0"/>
        <w:spacing w:before="0" w:after="0" w:line="269" w:lineRule="exact"/>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日，本公司第五届董事会第</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次会议审议同意本公司与北京亚仕同方科技有限公司签订</w:t>
      </w:r>
    </w:p>
    <w:p>
      <w:pPr>
        <w:pStyle w:val="Style31"/>
        <w:keepNext w:val="0"/>
        <w:keepLines w:val="0"/>
        <w:widowControl w:val="0"/>
        <w:shd w:val="clear" w:color="auto" w:fill="auto"/>
        <w:bidi w:val="0"/>
        <w:spacing w:before="0" w:line="269" w:lineRule="exact"/>
        <w:ind w:left="260" w:right="0" w:firstLine="40"/>
        <w:jc w:val="left"/>
        <w:rPr>
          <w:sz w:val="20"/>
          <w:szCs w:val="20"/>
        </w:rPr>
      </w:pPr>
      <w:r>
        <w:rPr>
          <w:color w:val="000000"/>
          <w:spacing w:val="0"/>
          <w:w w:val="100"/>
          <w:position w:val="0"/>
          <w:sz w:val="20"/>
          <w:szCs w:val="20"/>
        </w:rPr>
        <w:t>《关于北京同方以衡创业投资中心（有限合伙）之合伙权益转让协议》，协议约定以合伙企业最近一期的 财务审计报告为作价参考，北京亚仕同方科技有限公司同意以人民币</w:t>
      </w:r>
      <w:r>
        <w:rPr>
          <w:rFonts w:ascii="Times New Roman" w:eastAsia="Times New Roman" w:hAnsi="Times New Roman" w:cs="Times New Roman"/>
          <w:color w:val="000000"/>
          <w:spacing w:val="0"/>
          <w:w w:val="100"/>
          <w:position w:val="0"/>
          <w:sz w:val="20"/>
          <w:szCs w:val="20"/>
        </w:rPr>
        <w:t>1,375.00</w:t>
      </w:r>
      <w:r>
        <w:rPr>
          <w:color w:val="000000"/>
          <w:spacing w:val="0"/>
          <w:w w:val="100"/>
          <w:position w:val="0"/>
          <w:sz w:val="20"/>
          <w:szCs w:val="20"/>
        </w:rPr>
        <w:t>万元受让本公司在合伙企业 的全部出资额（包括认缴出资额及实缴出资额）及其对应的所有权利义务（包括对未实缴出资额的缴纳义 务）。</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月，本公司收到北京亚仕同方科技有限公司支付的该笔资产转让款</w:t>
      </w:r>
      <w:r>
        <w:rPr>
          <w:rFonts w:ascii="Times New Roman" w:eastAsia="Times New Roman" w:hAnsi="Times New Roman" w:cs="Times New Roman"/>
          <w:color w:val="000000"/>
          <w:spacing w:val="0"/>
          <w:w w:val="100"/>
          <w:position w:val="0"/>
          <w:sz w:val="20"/>
          <w:szCs w:val="20"/>
        </w:rPr>
        <w:t>1,375.00</w:t>
      </w:r>
      <w:r>
        <w:rPr>
          <w:color w:val="000000"/>
          <w:spacing w:val="0"/>
          <w:w w:val="100"/>
          <w:position w:val="0"/>
          <w:sz w:val="20"/>
          <w:szCs w:val="20"/>
        </w:rPr>
        <w:t>万元。</w:t>
      </w:r>
    </w:p>
    <w:p>
      <w:pPr>
        <w:pStyle w:val="Style44"/>
        <w:keepNext/>
        <w:keepLines/>
        <w:widowControl w:val="0"/>
        <w:shd w:val="clear" w:color="auto" w:fill="auto"/>
        <w:bidi w:val="0"/>
        <w:spacing w:before="0" w:after="120" w:line="240" w:lineRule="auto"/>
        <w:ind w:left="0" w:right="0" w:firstLine="740"/>
        <w:jc w:val="left"/>
        <w:rPr>
          <w:sz w:val="20"/>
          <w:szCs w:val="20"/>
        </w:rPr>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sz w:val="20"/>
          <w:szCs w:val="20"/>
        </w:rPr>
        <w:t>5</w:t>
      </w:r>
      <w:bookmarkEnd w:id="1128"/>
      <w:r>
        <w:rPr>
          <w:color w:val="000000"/>
          <w:spacing w:val="0"/>
          <w:w w:val="100"/>
          <w:position w:val="0"/>
          <w:sz w:val="20"/>
          <w:szCs w:val="20"/>
        </w:rPr>
        <w:t>、关键管理人员报酬</w:t>
      </w:r>
      <w:bookmarkEnd w:id="1126"/>
      <w:bookmarkEnd w:id="1127"/>
      <w:bookmarkEnd w:id="1129"/>
    </w:p>
    <w:tbl>
      <w:tblPr>
        <w:tblOverlap w:val="never"/>
        <w:jc w:val="center"/>
        <w:tblLayout w:type="fixed"/>
      </w:tblPr>
      <w:tblGrid>
        <w:gridCol w:w="2894"/>
        <w:gridCol w:w="3542"/>
        <w:gridCol w:w="3154"/>
      </w:tblGrid>
      <w:tr>
        <w:trPr>
          <w:trHeight w:val="5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上期发生额</w:t>
            </w:r>
          </w:p>
        </w:tc>
      </w:tr>
      <w:tr>
        <w:trPr>
          <w:trHeight w:val="57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8"/>
                <w:szCs w:val="18"/>
              </w:rPr>
              <w:t>854.55</w:t>
            </w:r>
            <w:r>
              <w:rPr>
                <w:color w:val="000000"/>
                <w:spacing w:val="0"/>
                <w:w w:val="100"/>
                <w:position w:val="0"/>
                <w:sz w:val="16"/>
                <w:szCs w:val="16"/>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8"/>
                <w:szCs w:val="18"/>
              </w:rPr>
              <w:t>527.00</w:t>
            </w:r>
            <w:r>
              <w:rPr>
                <w:color w:val="000000"/>
                <w:spacing w:val="0"/>
                <w:w w:val="100"/>
                <w:position w:val="0"/>
                <w:sz w:val="16"/>
                <w:szCs w:val="16"/>
              </w:rPr>
              <w:t>万元</w:t>
            </w:r>
          </w:p>
        </w:tc>
      </w:tr>
    </w:tbl>
    <w:p>
      <w:pPr>
        <w:widowControl w:val="0"/>
        <w:spacing w:after="119" w:line="1" w:lineRule="exact"/>
      </w:pPr>
    </w:p>
    <w:p>
      <w:pPr>
        <w:pStyle w:val="Style28"/>
        <w:keepNext/>
        <w:keepLines/>
        <w:widowControl w:val="0"/>
        <w:shd w:val="clear" w:color="auto" w:fill="auto"/>
        <w:bidi w:val="0"/>
        <w:spacing w:before="0" w:after="120" w:line="240" w:lineRule="auto"/>
        <w:ind w:left="0" w:right="0" w:firstLine="260"/>
        <w:jc w:val="left"/>
      </w:pPr>
      <w:bookmarkStart w:id="1130" w:name="bookmark1130"/>
      <w:bookmarkStart w:id="1131" w:name="bookmark1131"/>
      <w:bookmarkStart w:id="1132" w:name="bookmark1132"/>
      <w:bookmarkStart w:id="1133" w:name="bookmark1133"/>
      <w:r>
        <w:rPr>
          <w:color w:val="000000"/>
          <w:spacing w:val="0"/>
          <w:w w:val="100"/>
          <w:position w:val="0"/>
        </w:rPr>
        <w:t>（</w:t>
      </w:r>
      <w:bookmarkEnd w:id="1132"/>
      <w:r>
        <w:rPr>
          <w:color w:val="000000"/>
          <w:spacing w:val="0"/>
          <w:w w:val="100"/>
          <w:position w:val="0"/>
        </w:rPr>
        <w:t>六）关联方应收应付款项</w:t>
      </w:r>
      <w:bookmarkEnd w:id="1130"/>
      <w:bookmarkEnd w:id="1131"/>
      <w:bookmarkEnd w:id="1133"/>
    </w:p>
    <w:p>
      <w:pPr>
        <w:pStyle w:val="Style28"/>
        <w:keepNext/>
        <w:keepLines/>
        <w:widowControl w:val="0"/>
        <w:shd w:val="clear" w:color="auto" w:fill="auto"/>
        <w:bidi w:val="0"/>
        <w:spacing w:before="0" w:after="120" w:line="240" w:lineRule="auto"/>
        <w:ind w:left="0" w:right="0" w:firstLine="260"/>
        <w:jc w:val="left"/>
      </w:pPr>
      <w:bookmarkStart w:id="1130" w:name="bookmark1130"/>
      <w:bookmarkStart w:id="1131" w:name="bookmark1131"/>
      <w:r>
        <w:rPr>
          <w:color w:val="222222"/>
          <w:spacing w:val="0"/>
          <w:w w:val="100"/>
          <w:position w:val="0"/>
        </w:rPr>
        <w:t>1、</w:t>
      </w:r>
      <w:r>
        <w:rPr>
          <w:color w:val="000000"/>
          <w:spacing w:val="0"/>
          <w:w w:val="100"/>
          <w:position w:val="0"/>
        </w:rPr>
        <w:t>应收项目</w:t>
      </w:r>
      <w:bookmarkEnd w:id="1130"/>
      <w:bookmarkEnd w:id="1131"/>
    </w:p>
    <w:tbl>
      <w:tblPr>
        <w:tblOverlap w:val="never"/>
        <w:jc w:val="center"/>
        <w:tblLayout w:type="fixed"/>
      </w:tblPr>
      <w:tblGrid>
        <w:gridCol w:w="1680"/>
        <w:gridCol w:w="2621"/>
        <w:gridCol w:w="1464"/>
        <w:gridCol w:w="1402"/>
        <w:gridCol w:w="1301"/>
        <w:gridCol w:w="1210"/>
      </w:tblGrid>
      <w:tr>
        <w:trPr>
          <w:trHeight w:val="35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项目名称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关联方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rPr>
                <w:sz w:val="16"/>
                <w:szCs w:val="16"/>
              </w:rPr>
            </w:pPr>
            <w:r>
              <w:rPr>
                <w:b/>
                <w:bCs/>
                <w:color w:val="000000"/>
                <w:spacing w:val="0"/>
                <w:w w:val="100"/>
                <w:position w:val="0"/>
                <w:sz w:val="16"/>
                <w:szCs w:val="16"/>
              </w:rPr>
              <w:t>坏账准备</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同方锐安科技有限公司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同方锐安科技有限公司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26,910.00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526,328.22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5,263.28</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同方计算机有限公司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39,120.00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1,731.00</w:t>
            </w:r>
          </w:p>
        </w:tc>
      </w:tr>
      <w:tr>
        <w:trPr>
          <w:trHeight w:val="50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深圳国微技术有限公司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461,300.00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4,613.00</w:t>
            </w:r>
          </w:p>
        </w:tc>
      </w:tr>
    </w:tbl>
    <w:p>
      <w:pPr>
        <w:widowControl w:val="0"/>
        <w:spacing w:after="119" w:line="1" w:lineRule="exact"/>
      </w:pPr>
    </w:p>
    <w:p>
      <w:pPr>
        <w:pStyle w:val="Style31"/>
        <w:keepNext w:val="0"/>
        <w:keepLines w:val="0"/>
        <w:widowControl w:val="0"/>
        <w:shd w:val="clear" w:color="auto" w:fill="auto"/>
        <w:bidi w:val="0"/>
        <w:spacing w:before="0" w:line="240" w:lineRule="auto"/>
        <w:ind w:left="0" w:right="0" w:firstLine="260"/>
        <w:jc w:val="left"/>
        <w:rPr>
          <w:sz w:val="20"/>
          <w:szCs w:val="20"/>
        </w:rPr>
      </w:pPr>
      <w:r>
        <w:rPr>
          <w:b/>
          <w:bCs/>
          <w:color w:val="222222"/>
          <w:spacing w:val="0"/>
          <w:w w:val="100"/>
          <w:position w:val="0"/>
          <w:sz w:val="20"/>
          <w:szCs w:val="20"/>
        </w:rPr>
        <w:t>2、</w:t>
      </w:r>
      <w:r>
        <w:rPr>
          <w:b/>
          <w:bCs/>
          <w:color w:val="000000"/>
          <w:spacing w:val="0"/>
          <w:w w:val="100"/>
          <w:position w:val="0"/>
          <w:sz w:val="20"/>
          <w:szCs w:val="20"/>
        </w:rPr>
        <w:t>应付项目</w:t>
      </w:r>
    </w:p>
    <w:tbl>
      <w:tblPr>
        <w:tblOverlap w:val="never"/>
        <w:jc w:val="center"/>
        <w:tblLayout w:type="fixed"/>
      </w:tblPr>
      <w:tblGrid>
        <w:gridCol w:w="1747"/>
        <w:gridCol w:w="4248"/>
        <w:gridCol w:w="1858"/>
        <w:gridCol w:w="1728"/>
      </w:tblGrid>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深圳数字电视国家「.程实验室股份仃限公司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应付利息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清华控股集团财务仃限公司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69,781.25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8"/>
        <w:keepNext/>
        <w:keepLines/>
        <w:widowControl w:val="0"/>
        <w:shd w:val="clear" w:color="auto" w:fill="auto"/>
        <w:bidi w:val="0"/>
        <w:spacing w:before="0" w:after="120" w:line="240" w:lineRule="auto"/>
        <w:ind w:left="0" w:right="0" w:firstLine="440"/>
        <w:jc w:val="left"/>
      </w:pPr>
      <w:bookmarkStart w:id="1134" w:name="bookmark1134"/>
      <w:bookmarkStart w:id="1135" w:name="bookmark1135"/>
      <w:bookmarkStart w:id="1136" w:name="bookmark1136"/>
      <w:bookmarkStart w:id="1137" w:name="bookmark1137"/>
      <w:r>
        <w:rPr>
          <w:color w:val="000000"/>
          <w:spacing w:val="0"/>
          <w:w w:val="100"/>
          <w:position w:val="0"/>
        </w:rPr>
        <w:t>（</w:t>
      </w:r>
      <w:bookmarkEnd w:id="1136"/>
      <w:r>
        <w:rPr>
          <w:color w:val="000000"/>
          <w:spacing w:val="0"/>
          <w:w w:val="100"/>
          <w:position w:val="0"/>
        </w:rPr>
        <w:t>七）关联方承诺</w:t>
      </w:r>
      <w:bookmarkEnd w:id="1134"/>
      <w:bookmarkEnd w:id="1135"/>
      <w:bookmarkEnd w:id="1137"/>
    </w:p>
    <w:p>
      <w:pPr>
        <w:pStyle w:val="Style31"/>
        <w:keepNext w:val="0"/>
        <w:keepLines w:val="0"/>
        <w:widowControl w:val="0"/>
        <w:shd w:val="clear" w:color="auto" w:fill="auto"/>
        <w:bidi w:val="0"/>
        <w:spacing w:before="0" w:line="240" w:lineRule="auto"/>
        <w:ind w:left="0" w:right="0" w:firstLine="740"/>
        <w:jc w:val="left"/>
        <w:rPr>
          <w:sz w:val="20"/>
          <w:szCs w:val="20"/>
        </w:rPr>
      </w:pPr>
      <w:r>
        <w:rPr>
          <w:color w:val="000000"/>
          <w:spacing w:val="0"/>
          <w:w w:val="100"/>
          <w:position w:val="0"/>
          <w:sz w:val="20"/>
          <w:szCs w:val="20"/>
        </w:rPr>
        <w:t>公司或持股</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以上股东在报告期内发生或以前期间发生但持续到报告期内的承诺事项:</w:t>
      </w:r>
    </w:p>
    <w:tbl>
      <w:tblPr>
        <w:tblOverlap w:val="never"/>
        <w:jc w:val="center"/>
        <w:tblLayout w:type="fixed"/>
      </w:tblPr>
      <w:tblGrid>
        <w:gridCol w:w="1310"/>
        <w:gridCol w:w="2150"/>
        <w:gridCol w:w="2837"/>
        <w:gridCol w:w="1133"/>
        <w:gridCol w:w="1008"/>
        <w:gridCol w:w="1320"/>
      </w:tblGrid>
      <w:tr>
        <w:trPr>
          <w:trHeight w:val="5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承诺事项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承诺方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承诺内容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承诺时间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承诺期限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履行情况</w:t>
            </w:r>
          </w:p>
        </w:tc>
      </w:tr>
      <w:tr>
        <w:trPr>
          <w:trHeight w:val="55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收购报告书或 权益变动报告 书中所作承诺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清华控股仃限公司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避免同业竞争的承诺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规范关联交易 的承诺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保持公司独立性的承诺-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严格遵守承诺</w:t>
            </w:r>
          </w:p>
        </w:tc>
      </w:tr>
      <w:tr>
        <w:trPr>
          <w:trHeight w:val="590"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同方股份仃限公司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避免同业竞争的承诺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规范关联交易 的承诺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保持公司独立性的承诺-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严格遵守承诺</w:t>
            </w:r>
          </w:p>
        </w:tc>
      </w:tr>
    </w:tbl>
    <w:p>
      <w:pPr>
        <w:widowControl w:val="0"/>
        <w:spacing w:line="1" w:lineRule="exact"/>
      </w:pPr>
    </w:p>
    <w:tbl>
      <w:tblPr>
        <w:tblOverlap w:val="never"/>
        <w:jc w:val="center"/>
        <w:tblLayout w:type="fixed"/>
      </w:tblPr>
      <w:tblGrid>
        <w:gridCol w:w="1320"/>
        <w:gridCol w:w="2155"/>
        <w:gridCol w:w="2832"/>
        <w:gridCol w:w="1138"/>
        <w:gridCol w:w="1008"/>
        <w:gridCol w:w="1320"/>
      </w:tblGrid>
      <w:tr>
        <w:trPr>
          <w:trHeight w:val="5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承诺事项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承诺方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承诺内容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承诺时间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承诺期限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履行情况</w:t>
            </w:r>
          </w:p>
        </w:tc>
      </w:tr>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紫光集团有限公司、西藏紫 光春华投资有限公司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避免同业竞争的承诺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观范关联交易 的承诺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保持公司独立性的承诺-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严格遵守承诺</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资产重组时所 作承诺</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tabs>
                <w:tab w:pos="3125" w:val="left"/>
              </w:tabs>
              <w:bidi w:val="0"/>
              <w:spacing w:before="0" w:after="0" w:line="230" w:lineRule="exact"/>
              <w:ind w:left="0" w:right="0" w:firstLine="0"/>
              <w:jc w:val="left"/>
              <w:rPr>
                <w:sz w:val="16"/>
                <w:szCs w:val="16"/>
              </w:rPr>
            </w:pPr>
            <w:r>
              <w:rPr>
                <w:color w:val="000000"/>
                <w:spacing w:val="0"/>
                <w:w w:val="100"/>
                <w:position w:val="0"/>
                <w:sz w:val="16"/>
                <w:szCs w:val="16"/>
              </w:rPr>
              <w:t>霍尔果斯国微股权投资管捉规范关联交易的承诺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避免同业竞争 理合伙企业（仃限合伙）</w:t>
            </w:r>
            <w:r>
              <w:rPr>
                <w:rFonts w:ascii="Times New Roman" w:eastAsia="Times New Roman" w:hAnsi="Times New Roman" w:cs="Times New Roman"/>
                <w:color w:val="000000"/>
                <w:spacing w:val="0"/>
                <w:w w:val="100"/>
                <w:position w:val="0"/>
                <w:sz w:val="18"/>
                <w:szCs w:val="18"/>
              </w:rPr>
              <w:t>1</w:t>
              <w:tab/>
            </w:r>
            <w:r>
              <w:rPr>
                <w:color w:val="000000"/>
                <w:spacing w:val="0"/>
                <w:w w:val="100"/>
                <w:position w:val="0"/>
                <w:sz w:val="16"/>
                <w:szCs w:val="16"/>
              </w:rPr>
              <w:t>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严格遵守承诺</w:t>
            </w:r>
          </w:p>
        </w:tc>
      </w:tr>
      <w:tr>
        <w:trPr>
          <w:trHeight w:val="5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承诺是否及时 履行</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r>
    </w:tbl>
    <w:p>
      <w:pPr>
        <w:widowControl w:val="0"/>
        <w:spacing w:after="259" w:line="1" w:lineRule="exact"/>
      </w:pPr>
    </w:p>
    <w:p>
      <w:pPr>
        <w:pStyle w:val="Style23"/>
        <w:keepNext/>
        <w:keepLines/>
        <w:widowControl w:val="0"/>
        <w:shd w:val="clear" w:color="auto" w:fill="auto"/>
        <w:bidi w:val="0"/>
        <w:spacing w:before="0" w:after="260" w:line="240" w:lineRule="auto"/>
        <w:ind w:left="0" w:right="0" w:firstLine="320"/>
        <w:jc w:val="left"/>
      </w:pPr>
      <w:bookmarkStart w:id="1138" w:name="bookmark1138"/>
      <w:bookmarkStart w:id="1139" w:name="bookmark1139"/>
      <w:bookmarkStart w:id="1140" w:name="bookmark1140"/>
      <w:r>
        <w:rPr>
          <w:color w:val="000000"/>
          <w:spacing w:val="0"/>
          <w:w w:val="100"/>
          <w:position w:val="0"/>
        </w:rPr>
        <w:t>十三、承诺及或有事项</w:t>
      </w:r>
      <w:bookmarkEnd w:id="1138"/>
      <w:bookmarkEnd w:id="1139"/>
      <w:bookmarkEnd w:id="1140"/>
    </w:p>
    <w:p>
      <w:pPr>
        <w:pStyle w:val="Style28"/>
        <w:keepNext/>
        <w:keepLines/>
        <w:widowControl w:val="0"/>
        <w:shd w:val="clear" w:color="auto" w:fill="auto"/>
        <w:tabs>
          <w:tab w:pos="918" w:val="left"/>
        </w:tabs>
        <w:bidi w:val="0"/>
        <w:spacing w:before="0" w:after="120" w:line="271" w:lineRule="exact"/>
        <w:ind w:left="0" w:right="0" w:firstLine="320"/>
        <w:jc w:val="left"/>
      </w:pPr>
      <w:bookmarkStart w:id="1141" w:name="bookmark1141"/>
      <w:bookmarkStart w:id="1142" w:name="bookmark1142"/>
      <w:bookmarkStart w:id="1143" w:name="bookmark1143"/>
      <w:bookmarkStart w:id="1144" w:name="bookmark1144"/>
      <w:r>
        <w:rPr>
          <w:color w:val="000000"/>
          <w:spacing w:val="0"/>
          <w:w w:val="100"/>
          <w:position w:val="0"/>
        </w:rPr>
        <w:t>（</w:t>
      </w:r>
      <w:bookmarkEnd w:id="1143"/>
      <w:r>
        <w:rPr>
          <w:color w:val="000000"/>
          <w:spacing w:val="0"/>
          <w:w w:val="100"/>
          <w:position w:val="0"/>
        </w:rPr>
        <w:t>一）</w:t>
        <w:tab/>
        <w:t>重要承诺事项</w:t>
      </w:r>
      <w:bookmarkEnd w:id="1141"/>
      <w:bookmarkEnd w:id="1142"/>
      <w:bookmarkEnd w:id="1144"/>
    </w:p>
    <w:p>
      <w:pPr>
        <w:pStyle w:val="Style31"/>
        <w:keepNext w:val="0"/>
        <w:keepLines w:val="0"/>
        <w:widowControl w:val="0"/>
        <w:shd w:val="clear" w:color="auto" w:fill="auto"/>
        <w:bidi w:val="0"/>
        <w:spacing w:before="0" w:line="271" w:lineRule="exact"/>
        <w:ind w:left="0" w:right="0" w:firstLine="740"/>
        <w:jc w:val="both"/>
        <w:rPr>
          <w:sz w:val="20"/>
          <w:szCs w:val="20"/>
        </w:rPr>
      </w:pPr>
      <w:r>
        <w:rPr>
          <w:color w:val="000000"/>
          <w:spacing w:val="0"/>
          <w:w w:val="100"/>
          <w:position w:val="0"/>
          <w:sz w:val="20"/>
          <w:szCs w:val="20"/>
        </w:rPr>
        <w:t>无。</w:t>
      </w:r>
    </w:p>
    <w:p>
      <w:pPr>
        <w:pStyle w:val="Style28"/>
        <w:keepNext/>
        <w:keepLines/>
        <w:widowControl w:val="0"/>
        <w:shd w:val="clear" w:color="auto" w:fill="auto"/>
        <w:tabs>
          <w:tab w:pos="918" w:val="left"/>
        </w:tabs>
        <w:bidi w:val="0"/>
        <w:spacing w:before="0" w:after="120" w:line="271" w:lineRule="exact"/>
        <w:ind w:left="0" w:right="0" w:firstLine="320"/>
        <w:jc w:val="left"/>
      </w:pPr>
      <w:bookmarkStart w:id="1145" w:name="bookmark1145"/>
      <w:bookmarkStart w:id="1146" w:name="bookmark1146"/>
      <w:bookmarkStart w:id="1147" w:name="bookmark1147"/>
      <w:bookmarkStart w:id="1148" w:name="bookmark1148"/>
      <w:r>
        <w:rPr>
          <w:color w:val="000000"/>
          <w:spacing w:val="0"/>
          <w:w w:val="100"/>
          <w:position w:val="0"/>
        </w:rPr>
        <w:t>（</w:t>
      </w:r>
      <w:bookmarkEnd w:id="1147"/>
      <w:r>
        <w:rPr>
          <w:color w:val="000000"/>
          <w:spacing w:val="0"/>
          <w:w w:val="100"/>
          <w:position w:val="0"/>
        </w:rPr>
        <w:t>二）</w:t>
        <w:tab/>
        <w:t>或有事项</w:t>
      </w:r>
      <w:bookmarkEnd w:id="1145"/>
      <w:bookmarkEnd w:id="1146"/>
      <w:bookmarkEnd w:id="1148"/>
    </w:p>
    <w:p>
      <w:pPr>
        <w:pStyle w:val="Style31"/>
        <w:keepNext w:val="0"/>
        <w:keepLines w:val="0"/>
        <w:widowControl w:val="0"/>
        <w:shd w:val="clear" w:color="auto" w:fill="auto"/>
        <w:bidi w:val="0"/>
        <w:spacing w:before="0" w:after="260" w:line="271" w:lineRule="exact"/>
        <w:ind w:left="0" w:right="0" w:firstLine="740"/>
        <w:jc w:val="both"/>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日，本公司不存在应披露的重要的未决诉讼、对外担保等或有事项。</w:t>
      </w:r>
    </w:p>
    <w:p>
      <w:pPr>
        <w:pStyle w:val="Style23"/>
        <w:keepNext/>
        <w:keepLines/>
        <w:widowControl w:val="0"/>
        <w:shd w:val="clear" w:color="auto" w:fill="auto"/>
        <w:bidi w:val="0"/>
        <w:spacing w:before="0" w:after="260" w:line="240" w:lineRule="auto"/>
        <w:ind w:left="0" w:right="0" w:firstLine="320"/>
        <w:jc w:val="left"/>
      </w:pPr>
      <w:bookmarkStart w:id="1149" w:name="bookmark1149"/>
      <w:bookmarkStart w:id="1150" w:name="bookmark1150"/>
      <w:bookmarkStart w:id="1151" w:name="bookmark1151"/>
      <w:r>
        <w:rPr>
          <w:color w:val="000000"/>
          <w:spacing w:val="0"/>
          <w:w w:val="100"/>
          <w:position w:val="0"/>
        </w:rPr>
        <w:t>十四、资产负债表日后事项</w:t>
      </w:r>
      <w:bookmarkEnd w:id="1149"/>
      <w:bookmarkEnd w:id="1150"/>
      <w:bookmarkEnd w:id="1151"/>
    </w:p>
    <w:p>
      <w:pPr>
        <w:pStyle w:val="Style28"/>
        <w:keepNext/>
        <w:keepLines/>
        <w:widowControl w:val="0"/>
        <w:shd w:val="clear" w:color="auto" w:fill="auto"/>
        <w:bidi w:val="0"/>
        <w:spacing w:before="0" w:after="120" w:line="271" w:lineRule="exact"/>
        <w:ind w:left="0" w:right="0" w:firstLine="320"/>
        <w:jc w:val="both"/>
      </w:pPr>
      <w:bookmarkStart w:id="1152" w:name="bookmark1152"/>
      <w:bookmarkStart w:id="1153" w:name="bookmark1153"/>
      <w:bookmarkStart w:id="1154" w:name="bookmark1154"/>
      <w:r>
        <w:rPr>
          <w:color w:val="000000"/>
          <w:spacing w:val="0"/>
          <w:w w:val="100"/>
          <w:position w:val="0"/>
        </w:rPr>
        <w:t>（一）重要的非调整事项</w:t>
      </w:r>
      <w:bookmarkEnd w:id="1152"/>
      <w:bookmarkEnd w:id="1153"/>
      <w:bookmarkEnd w:id="1154"/>
    </w:p>
    <w:p>
      <w:pPr>
        <w:pStyle w:val="Style31"/>
        <w:keepNext w:val="0"/>
        <w:keepLines w:val="0"/>
        <w:widowControl w:val="0"/>
        <w:shd w:val="clear" w:color="auto" w:fill="auto"/>
        <w:bidi w:val="0"/>
        <w:spacing w:before="0" w:line="271" w:lineRule="exact"/>
        <w:ind w:left="320" w:right="0" w:firstLine="420"/>
        <w:jc w:val="both"/>
        <w:rPr>
          <w:sz w:val="20"/>
          <w:szCs w:val="20"/>
        </w:rPr>
      </w:pPr>
      <w:r>
        <w:rPr>
          <w:color w:val="000000"/>
          <w:spacing w:val="0"/>
          <w:w w:val="100"/>
          <w:position w:val="0"/>
          <w:sz w:val="20"/>
          <w:szCs w:val="20"/>
        </w:rPr>
        <w:t>为便于本公司存储器芯片业务总体战略的顺利实施，本公司拟以自有资金收购西安易比特科技咨询管 理有限公司持有西安紫光国芯</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 xml:space="preserve">的股权。本次股权收购后，西安紫光国芯将成为本公司的全资子公司。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日，本公司第五届董事会第二十八次会议审议同意本公司筹划该股权收购事项，同意本公司聘 请中介机构对上述股权进行评估，并根据国资管理要求履行评估备案程序。</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日，本公司收到 教育部关于本次股权购买评估备案许可。</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日，公司第五届董事会第三十四次会议，审议通过《关 于收购西安紫光国芯</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股权的议案》。截至本报告公告日，上述股权收购事项正在进展中。</w:t>
      </w:r>
    </w:p>
    <w:p>
      <w:pPr>
        <w:pStyle w:val="Style31"/>
        <w:keepNext w:val="0"/>
        <w:keepLines w:val="0"/>
        <w:widowControl w:val="0"/>
        <w:shd w:val="clear" w:color="auto" w:fill="auto"/>
        <w:bidi w:val="0"/>
        <w:spacing w:before="0" w:line="274" w:lineRule="exact"/>
        <w:ind w:left="320" w:right="0" w:firstLine="42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日，公司第五届董事会第二十九次会议审议同意公司以自有资金设立全资子公司紫光国 芯微电子有限公司，主要从事集成电路设计业务，注册资本</w:t>
      </w:r>
      <w:r>
        <w:rPr>
          <w:rFonts w:ascii="Times New Roman" w:eastAsia="Times New Roman" w:hAnsi="Times New Roman" w:cs="Times New Roman"/>
          <w:color w:val="000000"/>
          <w:spacing w:val="0"/>
          <w:w w:val="100"/>
          <w:position w:val="0"/>
          <w:sz w:val="20"/>
          <w:szCs w:val="20"/>
        </w:rPr>
        <w:t>10,000.00</w:t>
      </w:r>
      <w:r>
        <w:rPr>
          <w:color w:val="000000"/>
          <w:spacing w:val="0"/>
          <w:w w:val="100"/>
          <w:position w:val="0"/>
          <w:sz w:val="20"/>
          <w:szCs w:val="20"/>
        </w:rPr>
        <w:t>万元，注册地址为北京市，法定代表 人为任志军。该公司已于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日取得营业执照。</w:t>
      </w:r>
    </w:p>
    <w:p>
      <w:pPr>
        <w:pStyle w:val="Style33"/>
        <w:keepNext w:val="0"/>
        <w:keepLines w:val="0"/>
        <w:widowControl w:val="0"/>
        <w:shd w:val="clear" w:color="auto" w:fill="auto"/>
        <w:bidi w:val="0"/>
        <w:spacing w:before="0" w:after="0" w:line="240" w:lineRule="auto"/>
        <w:ind w:left="245" w:right="0" w:firstLine="0"/>
        <w:jc w:val="left"/>
        <w:rPr>
          <w:sz w:val="20"/>
          <w:szCs w:val="20"/>
        </w:rPr>
      </w:pPr>
      <w:bookmarkStart w:id="1155" w:name="bookmark1155"/>
      <w:r>
        <w:rPr>
          <w:b/>
          <w:bCs/>
          <w:color w:val="000000"/>
          <w:spacing w:val="0"/>
          <w:w w:val="100"/>
          <w:position w:val="0"/>
          <w:sz w:val="20"/>
          <w:szCs w:val="20"/>
        </w:rPr>
        <w:t>（二）利润分配情况</w:t>
      </w:r>
      <w:bookmarkEnd w:id="1155"/>
    </w:p>
    <w:tbl>
      <w:tblPr>
        <w:tblOverlap w:val="never"/>
        <w:jc w:val="center"/>
        <w:tblLayout w:type="fixed"/>
      </w:tblPr>
      <w:tblGrid>
        <w:gridCol w:w="3590"/>
        <w:gridCol w:w="6341"/>
      </w:tblGrid>
      <w:tr>
        <w:trPr>
          <w:trHeight w:val="121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拟分配的利润或股利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rPr>
                <w:sz w:val="16"/>
                <w:szCs w:val="16"/>
              </w:rPr>
            </w:pPr>
            <w:r>
              <w:rPr>
                <w:color w:val="000000"/>
                <w:spacing w:val="0"/>
                <w:w w:val="100"/>
                <w:position w:val="0"/>
                <w:sz w:val="16"/>
                <w:szCs w:val="16"/>
              </w:rPr>
              <w:t>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6"/>
                <w:szCs w:val="16"/>
              </w:rPr>
              <w:t>年末总股本</w:t>
            </w:r>
            <w:r>
              <w:rPr>
                <w:rFonts w:ascii="Times New Roman" w:eastAsia="Times New Roman" w:hAnsi="Times New Roman" w:cs="Times New Roman"/>
                <w:color w:val="000000"/>
                <w:spacing w:val="0"/>
                <w:w w:val="100"/>
                <w:position w:val="0"/>
                <w:sz w:val="18"/>
                <w:szCs w:val="18"/>
              </w:rPr>
              <w:t>606,817,968</w:t>
            </w:r>
            <w:r>
              <w:rPr>
                <w:color w:val="000000"/>
                <w:spacing w:val="0"/>
                <w:w w:val="100"/>
                <w:position w:val="0"/>
                <w:sz w:val="16"/>
                <w:szCs w:val="16"/>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股派发现金 红利</w:t>
            </w:r>
            <w:r>
              <w:rPr>
                <w:rFonts w:ascii="Times New Roman" w:eastAsia="Times New Roman" w:hAnsi="Times New Roman" w:cs="Times New Roman"/>
                <w:color w:val="000000"/>
                <w:spacing w:val="0"/>
                <w:w w:val="100"/>
                <w:position w:val="0"/>
                <w:sz w:val="18"/>
                <w:szCs w:val="18"/>
              </w:rPr>
              <w:t>0.56</w:t>
            </w:r>
            <w:r>
              <w:rPr>
                <w:color w:val="000000"/>
                <w:spacing w:val="0"/>
                <w:w w:val="100"/>
                <w:position w:val="0"/>
                <w:sz w:val="16"/>
                <w:szCs w:val="16"/>
              </w:rPr>
              <w:t>元（含税），共计派发现金</w:t>
            </w:r>
            <w:r>
              <w:rPr>
                <w:rFonts w:ascii="Times New Roman" w:eastAsia="Times New Roman" w:hAnsi="Times New Roman" w:cs="Times New Roman"/>
                <w:color w:val="000000"/>
                <w:spacing w:val="0"/>
                <w:w w:val="100"/>
                <w:position w:val="0"/>
                <w:sz w:val="18"/>
                <w:szCs w:val="18"/>
              </w:rPr>
              <w:t>33,981,806.21</w:t>
            </w:r>
            <w:r>
              <w:rPr>
                <w:color w:val="000000"/>
                <w:spacing w:val="0"/>
                <w:w w:val="100"/>
                <w:position w:val="0"/>
                <w:sz w:val="16"/>
                <w:szCs w:val="16"/>
              </w:rPr>
              <w:t>元，剩余未分配利润结转 至下一年度。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6"/>
                <w:szCs w:val="16"/>
              </w:rPr>
              <w:t>年度，公司不送红股，不实施资本公积金转增股本方案。</w:t>
            </w:r>
          </w:p>
        </w:tc>
      </w:tr>
      <w:tr>
        <w:trPr>
          <w:trHeight w:val="86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经审议批准宣告发放的利润或股利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上述拟分配的股利，已经公司第五届董事会第三十五次会议审议，还需经公司 股东大会审议。</w:t>
            </w:r>
          </w:p>
        </w:tc>
      </w:tr>
    </w:tbl>
    <w:p>
      <w:pPr>
        <w:pStyle w:val="Style33"/>
        <w:keepNext w:val="0"/>
        <w:keepLines w:val="0"/>
        <w:widowControl w:val="0"/>
        <w:shd w:val="clear" w:color="auto" w:fill="auto"/>
        <w:bidi w:val="0"/>
        <w:spacing w:before="0" w:after="0" w:line="240" w:lineRule="auto"/>
        <w:ind w:left="245" w:right="0" w:firstLine="0"/>
        <w:jc w:val="left"/>
        <w:rPr>
          <w:sz w:val="20"/>
          <w:szCs w:val="20"/>
        </w:rPr>
      </w:pPr>
      <w:bookmarkStart w:id="1156" w:name="bookmark1156"/>
      <w:r>
        <w:rPr>
          <w:b/>
          <w:bCs/>
          <w:color w:val="000000"/>
          <w:spacing w:val="0"/>
          <w:w w:val="100"/>
          <w:position w:val="0"/>
          <w:sz w:val="20"/>
          <w:szCs w:val="20"/>
        </w:rPr>
        <w:t>（三）重要销售退回</w:t>
      </w:r>
      <w:bookmarkEnd w:id="1156"/>
    </w:p>
    <w:p>
      <w:pPr>
        <w:widowControl w:val="0"/>
        <w:spacing w:after="119" w:line="1" w:lineRule="exact"/>
      </w:pPr>
    </w:p>
    <w:p>
      <w:pPr>
        <w:pStyle w:val="Style31"/>
        <w:keepNext w:val="0"/>
        <w:keepLines w:val="0"/>
        <w:widowControl w:val="0"/>
        <w:shd w:val="clear" w:color="auto" w:fill="auto"/>
        <w:bidi w:val="0"/>
        <w:spacing w:before="0" w:after="160" w:line="240" w:lineRule="auto"/>
        <w:ind w:left="0" w:right="0" w:firstLine="740"/>
        <w:jc w:val="both"/>
        <w:rPr>
          <w:sz w:val="20"/>
          <w:szCs w:val="20"/>
        </w:rPr>
      </w:pPr>
      <w:r>
        <w:rPr>
          <w:color w:val="000000"/>
          <w:spacing w:val="0"/>
          <w:w w:val="100"/>
          <w:position w:val="0"/>
          <w:sz w:val="20"/>
          <w:szCs w:val="20"/>
        </w:rPr>
        <w:t>无。</w:t>
      </w:r>
    </w:p>
    <w:p>
      <w:pPr>
        <w:pStyle w:val="Style28"/>
        <w:keepNext/>
        <w:keepLines/>
        <w:widowControl w:val="0"/>
        <w:shd w:val="clear" w:color="auto" w:fill="auto"/>
        <w:bidi w:val="0"/>
        <w:spacing w:before="0" w:after="120" w:line="240" w:lineRule="auto"/>
        <w:ind w:left="0" w:right="0" w:firstLine="320"/>
        <w:jc w:val="left"/>
      </w:pPr>
      <w:bookmarkStart w:id="1157" w:name="bookmark1157"/>
      <w:bookmarkStart w:id="1158" w:name="bookmark1158"/>
      <w:bookmarkStart w:id="1159" w:name="bookmark1159"/>
      <w:bookmarkStart w:id="1160" w:name="bookmark1160"/>
      <w:r>
        <w:rPr>
          <w:color w:val="000000"/>
          <w:spacing w:val="0"/>
          <w:w w:val="100"/>
          <w:position w:val="0"/>
        </w:rPr>
        <w:t>（</w:t>
      </w:r>
      <w:bookmarkEnd w:id="1159"/>
      <w:r>
        <w:rPr>
          <w:color w:val="000000"/>
          <w:spacing w:val="0"/>
          <w:w w:val="100"/>
          <w:position w:val="0"/>
        </w:rPr>
        <w:t>四）其他资产负债表日后事项说明</w:t>
      </w:r>
      <w:bookmarkEnd w:id="1157"/>
      <w:bookmarkEnd w:id="1158"/>
      <w:bookmarkEnd w:id="1160"/>
    </w:p>
    <w:p>
      <w:pPr>
        <w:pStyle w:val="Style31"/>
        <w:keepNext w:val="0"/>
        <w:keepLines w:val="0"/>
        <w:widowControl w:val="0"/>
        <w:shd w:val="clear" w:color="auto" w:fill="auto"/>
        <w:bidi w:val="0"/>
        <w:spacing w:before="0" w:after="260" w:line="240" w:lineRule="auto"/>
        <w:ind w:left="0" w:right="0" w:firstLine="740"/>
        <w:jc w:val="both"/>
        <w:rPr>
          <w:sz w:val="20"/>
          <w:szCs w:val="20"/>
        </w:rPr>
      </w:pPr>
      <w:r>
        <w:rPr>
          <w:color w:val="000000"/>
          <w:spacing w:val="0"/>
          <w:w w:val="100"/>
          <w:position w:val="0"/>
          <w:sz w:val="20"/>
          <w:szCs w:val="20"/>
        </w:rPr>
        <w:t>公司因筹划涉及半导体行业的重大对外投资事项，公司股票于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日开市起停牌。</w:t>
      </w:r>
    </w:p>
    <w:p>
      <w:pPr>
        <w:pStyle w:val="Style23"/>
        <w:keepNext/>
        <w:keepLines/>
        <w:widowControl w:val="0"/>
        <w:shd w:val="clear" w:color="auto" w:fill="auto"/>
        <w:bidi w:val="0"/>
        <w:spacing w:before="0" w:after="260" w:line="240" w:lineRule="auto"/>
        <w:ind w:left="0" w:right="0" w:firstLine="320"/>
        <w:jc w:val="left"/>
      </w:pPr>
      <w:bookmarkStart w:id="1161" w:name="bookmark1161"/>
      <w:bookmarkStart w:id="1162" w:name="bookmark1162"/>
      <w:bookmarkStart w:id="1163" w:name="bookmark1163"/>
      <w:r>
        <w:rPr>
          <w:color w:val="000000"/>
          <w:spacing w:val="0"/>
          <w:w w:val="100"/>
          <w:position w:val="0"/>
        </w:rPr>
        <w:t>十五、其他重要事项</w:t>
      </w:r>
      <w:bookmarkEnd w:id="1161"/>
      <w:bookmarkEnd w:id="1162"/>
      <w:bookmarkEnd w:id="1163"/>
    </w:p>
    <w:p>
      <w:pPr>
        <w:pStyle w:val="Style28"/>
        <w:keepNext/>
        <w:keepLines/>
        <w:widowControl w:val="0"/>
        <w:shd w:val="clear" w:color="auto" w:fill="auto"/>
        <w:bidi w:val="0"/>
        <w:spacing w:before="0" w:after="160" w:line="240" w:lineRule="auto"/>
        <w:ind w:left="0" w:right="0" w:firstLine="320"/>
        <w:jc w:val="both"/>
      </w:pPr>
      <w:bookmarkStart w:id="1164" w:name="bookmark1164"/>
      <w:bookmarkStart w:id="1165" w:name="bookmark1165"/>
      <w:bookmarkStart w:id="1166" w:name="bookmark1166"/>
      <w:r>
        <w:rPr>
          <w:color w:val="000000"/>
          <w:spacing w:val="0"/>
          <w:w w:val="100"/>
          <w:position w:val="0"/>
        </w:rPr>
        <w:t>（一）前期会计差错更正</w:t>
      </w:r>
      <w:bookmarkEnd w:id="1164"/>
      <w:bookmarkEnd w:id="1165"/>
      <w:bookmarkEnd w:id="1166"/>
    </w:p>
    <w:p>
      <w:pPr>
        <w:pStyle w:val="Style31"/>
        <w:keepNext w:val="0"/>
        <w:keepLines w:val="0"/>
        <w:widowControl w:val="0"/>
        <w:shd w:val="clear" w:color="auto" w:fill="auto"/>
        <w:bidi w:val="0"/>
        <w:spacing w:before="0" w:line="240" w:lineRule="auto"/>
        <w:ind w:left="0" w:right="0" w:firstLine="740"/>
        <w:jc w:val="both"/>
        <w:rPr>
          <w:sz w:val="20"/>
          <w:szCs w:val="20"/>
        </w:rPr>
      </w:pPr>
      <w:r>
        <w:rPr>
          <w:color w:val="000000"/>
          <w:spacing w:val="0"/>
          <w:w w:val="100"/>
          <w:position w:val="0"/>
          <w:sz w:val="20"/>
          <w:szCs w:val="20"/>
        </w:rPr>
        <w:t>无。</w:t>
      </w:r>
    </w:p>
    <w:p>
      <w:pPr>
        <w:pStyle w:val="Style28"/>
        <w:keepNext/>
        <w:keepLines/>
        <w:widowControl w:val="0"/>
        <w:shd w:val="clear" w:color="auto" w:fill="auto"/>
        <w:bidi w:val="0"/>
        <w:spacing w:before="0" w:after="140" w:line="240" w:lineRule="auto"/>
        <w:ind w:left="0" w:right="0" w:firstLine="440"/>
        <w:jc w:val="left"/>
      </w:pPr>
      <w:bookmarkStart w:id="1167" w:name="bookmark1167"/>
      <w:bookmarkStart w:id="1168" w:name="bookmark1168"/>
      <w:bookmarkStart w:id="1169" w:name="bookmark1169"/>
      <w:r>
        <w:rPr>
          <w:color w:val="000000"/>
          <w:spacing w:val="0"/>
          <w:w w:val="100"/>
          <w:position w:val="0"/>
        </w:rPr>
        <w:t>（二）债务重组</w:t>
      </w:r>
      <w:bookmarkEnd w:id="1167"/>
      <w:bookmarkEnd w:id="1168"/>
      <w:bookmarkEnd w:id="1169"/>
    </w:p>
    <w:p>
      <w:pPr>
        <w:pStyle w:val="Style31"/>
        <w:keepNext w:val="0"/>
        <w:keepLines w:val="0"/>
        <w:widowControl w:val="0"/>
        <w:shd w:val="clear" w:color="auto" w:fill="auto"/>
        <w:bidi w:val="0"/>
        <w:spacing w:before="0" w:after="140" w:line="240" w:lineRule="auto"/>
        <w:ind w:left="0" w:right="0" w:firstLine="740"/>
        <w:jc w:val="left"/>
        <w:rPr>
          <w:sz w:val="20"/>
          <w:szCs w:val="20"/>
        </w:rPr>
      </w:pPr>
      <w:r>
        <w:rPr>
          <w:color w:val="000000"/>
          <w:spacing w:val="0"/>
          <w:w w:val="100"/>
          <w:position w:val="0"/>
          <w:sz w:val="20"/>
          <w:szCs w:val="20"/>
        </w:rPr>
        <w:t>无。</w:t>
      </w:r>
    </w:p>
    <w:p>
      <w:pPr>
        <w:pStyle w:val="Style28"/>
        <w:keepNext/>
        <w:keepLines/>
        <w:widowControl w:val="0"/>
        <w:shd w:val="clear" w:color="auto" w:fill="auto"/>
        <w:tabs>
          <w:tab w:pos="1038" w:val="left"/>
        </w:tabs>
        <w:bidi w:val="0"/>
        <w:spacing w:before="0" w:after="140" w:line="240" w:lineRule="auto"/>
        <w:ind w:left="0" w:right="0" w:firstLine="440"/>
        <w:jc w:val="left"/>
      </w:pPr>
      <w:bookmarkStart w:id="1170" w:name="bookmark1170"/>
      <w:bookmarkStart w:id="1171" w:name="bookmark1171"/>
      <w:bookmarkStart w:id="1172" w:name="bookmark1172"/>
      <w:bookmarkStart w:id="1173" w:name="bookmark1173"/>
      <w:r>
        <w:rPr>
          <w:color w:val="000000"/>
          <w:spacing w:val="0"/>
          <w:w w:val="100"/>
          <w:position w:val="0"/>
        </w:rPr>
        <w:t>（</w:t>
      </w:r>
      <w:bookmarkEnd w:id="1172"/>
      <w:r>
        <w:rPr>
          <w:color w:val="000000"/>
          <w:spacing w:val="0"/>
          <w:w w:val="100"/>
          <w:position w:val="0"/>
        </w:rPr>
        <w:t>三）</w:t>
        <w:tab/>
        <w:t>资产置换</w:t>
      </w:r>
      <w:bookmarkEnd w:id="1170"/>
      <w:bookmarkEnd w:id="1171"/>
      <w:bookmarkEnd w:id="1173"/>
    </w:p>
    <w:p>
      <w:pPr>
        <w:pStyle w:val="Style31"/>
        <w:keepNext w:val="0"/>
        <w:keepLines w:val="0"/>
        <w:widowControl w:val="0"/>
        <w:shd w:val="clear" w:color="auto" w:fill="auto"/>
        <w:bidi w:val="0"/>
        <w:spacing w:before="0" w:after="140" w:line="240" w:lineRule="auto"/>
        <w:ind w:left="0" w:right="0" w:firstLine="740"/>
        <w:jc w:val="left"/>
        <w:rPr>
          <w:sz w:val="20"/>
          <w:szCs w:val="20"/>
        </w:rPr>
      </w:pPr>
      <w:r>
        <w:rPr>
          <w:color w:val="000000"/>
          <w:spacing w:val="0"/>
          <w:w w:val="100"/>
          <w:position w:val="0"/>
          <w:sz w:val="20"/>
          <w:szCs w:val="20"/>
        </w:rPr>
        <w:t>无。</w:t>
      </w:r>
    </w:p>
    <w:p>
      <w:pPr>
        <w:pStyle w:val="Style28"/>
        <w:keepNext/>
        <w:keepLines/>
        <w:widowControl w:val="0"/>
        <w:shd w:val="clear" w:color="auto" w:fill="auto"/>
        <w:tabs>
          <w:tab w:pos="1038" w:val="left"/>
        </w:tabs>
        <w:bidi w:val="0"/>
        <w:spacing w:before="0" w:after="140" w:line="240" w:lineRule="auto"/>
        <w:ind w:left="0" w:right="0" w:firstLine="440"/>
        <w:jc w:val="left"/>
      </w:pPr>
      <w:bookmarkStart w:id="1174" w:name="bookmark1174"/>
      <w:bookmarkStart w:id="1175" w:name="bookmark1175"/>
      <w:bookmarkStart w:id="1176" w:name="bookmark1176"/>
      <w:bookmarkStart w:id="1177" w:name="bookmark1177"/>
      <w:r>
        <w:rPr>
          <w:color w:val="000000"/>
          <w:spacing w:val="0"/>
          <w:w w:val="100"/>
          <w:position w:val="0"/>
        </w:rPr>
        <w:t>（</w:t>
      </w:r>
      <w:bookmarkEnd w:id="1176"/>
      <w:r>
        <w:rPr>
          <w:color w:val="000000"/>
          <w:spacing w:val="0"/>
          <w:w w:val="100"/>
          <w:position w:val="0"/>
        </w:rPr>
        <w:t>四）</w:t>
        <w:tab/>
        <w:t>年金计划</w:t>
      </w:r>
      <w:bookmarkEnd w:id="1174"/>
      <w:bookmarkEnd w:id="1175"/>
      <w:bookmarkEnd w:id="1177"/>
    </w:p>
    <w:p>
      <w:pPr>
        <w:pStyle w:val="Style31"/>
        <w:keepNext w:val="0"/>
        <w:keepLines w:val="0"/>
        <w:widowControl w:val="0"/>
        <w:shd w:val="clear" w:color="auto" w:fill="auto"/>
        <w:bidi w:val="0"/>
        <w:spacing w:before="0" w:after="140" w:line="240" w:lineRule="auto"/>
        <w:ind w:left="0" w:right="0" w:firstLine="740"/>
        <w:jc w:val="left"/>
        <w:rPr>
          <w:sz w:val="20"/>
          <w:szCs w:val="20"/>
        </w:rPr>
      </w:pPr>
      <w:r>
        <w:rPr>
          <w:color w:val="000000"/>
          <w:spacing w:val="0"/>
          <w:w w:val="100"/>
          <w:position w:val="0"/>
          <w:sz w:val="20"/>
          <w:szCs w:val="20"/>
        </w:rPr>
        <w:t>无。</w:t>
      </w:r>
    </w:p>
    <w:p>
      <w:pPr>
        <w:pStyle w:val="Style28"/>
        <w:keepNext/>
        <w:keepLines/>
        <w:widowControl w:val="0"/>
        <w:shd w:val="clear" w:color="auto" w:fill="auto"/>
        <w:tabs>
          <w:tab w:pos="1038" w:val="left"/>
        </w:tabs>
        <w:bidi w:val="0"/>
        <w:spacing w:before="0" w:after="140" w:line="240" w:lineRule="auto"/>
        <w:ind w:left="0" w:right="0" w:firstLine="440"/>
        <w:jc w:val="left"/>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color w:val="000000"/>
          <w:spacing w:val="0"/>
          <w:w w:val="100"/>
          <w:position w:val="0"/>
        </w:rPr>
        <w:t>五）</w:t>
        <w:tab/>
        <w:t>终止经营</w:t>
      </w:r>
      <w:bookmarkEnd w:id="1178"/>
      <w:bookmarkEnd w:id="1179"/>
      <w:bookmarkEnd w:id="1181"/>
    </w:p>
    <w:p>
      <w:pPr>
        <w:pStyle w:val="Style31"/>
        <w:keepNext w:val="0"/>
        <w:keepLines w:val="0"/>
        <w:widowControl w:val="0"/>
        <w:shd w:val="clear" w:color="auto" w:fill="auto"/>
        <w:bidi w:val="0"/>
        <w:spacing w:before="0" w:after="140" w:line="240" w:lineRule="auto"/>
        <w:ind w:left="0" w:right="0" w:firstLine="740"/>
        <w:jc w:val="left"/>
        <w:rPr>
          <w:sz w:val="20"/>
          <w:szCs w:val="20"/>
        </w:rPr>
      </w:pPr>
      <w:r>
        <w:rPr>
          <w:color w:val="000000"/>
          <w:spacing w:val="0"/>
          <w:w w:val="100"/>
          <w:position w:val="0"/>
          <w:sz w:val="20"/>
          <w:szCs w:val="20"/>
        </w:rPr>
        <w:t>无。</w:t>
      </w:r>
    </w:p>
    <w:p>
      <w:pPr>
        <w:pStyle w:val="Style28"/>
        <w:keepNext/>
        <w:keepLines/>
        <w:widowControl w:val="0"/>
        <w:shd w:val="clear" w:color="auto" w:fill="auto"/>
        <w:tabs>
          <w:tab w:pos="1038" w:val="left"/>
        </w:tabs>
        <w:bidi w:val="0"/>
        <w:spacing w:before="0" w:after="140" w:line="240" w:lineRule="auto"/>
        <w:ind w:left="0" w:right="0" w:firstLine="440"/>
        <w:jc w:val="left"/>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color w:val="000000"/>
          <w:spacing w:val="0"/>
          <w:w w:val="100"/>
          <w:position w:val="0"/>
        </w:rPr>
        <w:t>六）</w:t>
        <w:tab/>
        <w:t>分部信息</w:t>
      </w:r>
      <w:bookmarkEnd w:id="1182"/>
      <w:bookmarkEnd w:id="1183"/>
      <w:bookmarkEnd w:id="1185"/>
    </w:p>
    <w:p>
      <w:pPr>
        <w:pStyle w:val="Style28"/>
        <w:keepNext/>
        <w:keepLines/>
        <w:widowControl w:val="0"/>
        <w:shd w:val="clear" w:color="auto" w:fill="auto"/>
        <w:tabs>
          <w:tab w:pos="1108" w:val="left"/>
        </w:tabs>
        <w:bidi w:val="0"/>
        <w:spacing w:before="0" w:after="140" w:line="240" w:lineRule="auto"/>
        <w:ind w:left="0" w:right="0" w:firstLine="740"/>
        <w:jc w:val="left"/>
      </w:pPr>
      <w:bookmarkStart w:id="1182" w:name="bookmark1182"/>
      <w:bookmarkStart w:id="1183" w:name="bookmark1183"/>
      <w:bookmarkStart w:id="1186" w:name="bookmark1186"/>
      <w:r>
        <w:rPr>
          <w:rFonts w:ascii="Times New Roman" w:eastAsia="Times New Roman" w:hAnsi="Times New Roman" w:cs="Times New Roman"/>
          <w:color w:val="000000"/>
          <w:spacing w:val="0"/>
          <w:w w:val="100"/>
          <w:position w:val="0"/>
        </w:rPr>
        <w:t>1</w:t>
      </w:r>
      <w:bookmarkEnd w:id="1186"/>
      <w:r>
        <w:rPr>
          <w:color w:val="000000"/>
          <w:spacing w:val="0"/>
          <w:w w:val="100"/>
          <w:position w:val="0"/>
        </w:rPr>
        <w:t>、</w:t>
        <w:tab/>
        <w:t>报告分部的确定依据与会计政策</w:t>
      </w:r>
      <w:bookmarkEnd w:id="1182"/>
      <w:bookmarkEnd w:id="1183"/>
    </w:p>
    <w:p>
      <w:pPr>
        <w:pStyle w:val="Style31"/>
        <w:keepNext w:val="0"/>
        <w:keepLines w:val="0"/>
        <w:widowControl w:val="0"/>
        <w:shd w:val="clear" w:color="auto" w:fill="auto"/>
        <w:bidi w:val="0"/>
        <w:spacing w:before="0" w:after="140" w:line="240" w:lineRule="auto"/>
        <w:ind w:left="0" w:right="0" w:firstLine="740"/>
        <w:jc w:val="left"/>
        <w:rPr>
          <w:sz w:val="20"/>
          <w:szCs w:val="20"/>
        </w:rPr>
      </w:pPr>
      <w:r>
        <w:rPr>
          <w:color w:val="000000"/>
          <w:spacing w:val="0"/>
          <w:w w:val="100"/>
          <w:position w:val="0"/>
          <w:sz w:val="20"/>
          <w:szCs w:val="20"/>
        </w:rPr>
        <w:t>本公司报告分部的确定依据与会计政策见“四、（三十二），</w:t>
      </w:r>
    </w:p>
    <w:p>
      <w:pPr>
        <w:pStyle w:val="Style31"/>
        <w:keepNext w:val="0"/>
        <w:keepLines w:val="0"/>
        <w:widowControl w:val="0"/>
        <w:shd w:val="clear" w:color="auto" w:fill="auto"/>
        <w:tabs>
          <w:tab w:pos="1118" w:val="left"/>
        </w:tabs>
        <w:bidi w:val="0"/>
        <w:spacing w:before="0" w:after="140" w:line="240" w:lineRule="auto"/>
        <w:ind w:left="0" w:right="0" w:firstLine="740"/>
        <w:jc w:val="left"/>
        <w:rPr>
          <w:sz w:val="20"/>
          <w:szCs w:val="20"/>
        </w:rPr>
      </w:pPr>
      <w:bookmarkStart w:id="1187" w:name="bookmark1187"/>
      <w:r>
        <w:rPr>
          <w:rFonts w:ascii="Times New Roman" w:eastAsia="Times New Roman" w:hAnsi="Times New Roman" w:cs="Times New Roman"/>
          <w:b/>
          <w:bCs/>
          <w:color w:val="000000"/>
          <w:spacing w:val="0"/>
          <w:w w:val="100"/>
          <w:position w:val="0"/>
          <w:sz w:val="20"/>
          <w:szCs w:val="20"/>
        </w:rPr>
        <w:t>2</w:t>
      </w:r>
      <w:bookmarkEnd w:id="1187"/>
      <w:r>
        <w:rPr>
          <w:b/>
          <w:bCs/>
          <w:color w:val="000000"/>
          <w:spacing w:val="0"/>
          <w:w w:val="100"/>
          <w:position w:val="0"/>
          <w:sz w:val="20"/>
          <w:szCs w:val="20"/>
        </w:rPr>
        <w:t>、</w:t>
        <w:tab/>
        <w:t>报告分部的财务信息</w:t>
      </w:r>
    </w:p>
    <w:tbl>
      <w:tblPr>
        <w:tblOverlap w:val="never"/>
        <w:jc w:val="center"/>
        <w:tblLayout w:type="fixed"/>
      </w:tblPr>
      <w:tblGrid>
        <w:gridCol w:w="1181"/>
        <w:gridCol w:w="1277"/>
        <w:gridCol w:w="1277"/>
        <w:gridCol w:w="1277"/>
        <w:gridCol w:w="1277"/>
        <w:gridCol w:w="1272"/>
        <w:gridCol w:w="1277"/>
        <w:gridCol w:w="1306"/>
      </w:tblGrid>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4"/>
                <w:szCs w:val="14"/>
              </w:rPr>
            </w:pPr>
            <w:r>
              <w:rPr>
                <w:b/>
                <w:bCs/>
                <w:color w:val="000000"/>
                <w:spacing w:val="0"/>
                <w:w w:val="100"/>
                <w:position w:val="0"/>
                <w:sz w:val="14"/>
                <w:szCs w:val="14"/>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管理总部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晶体业务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智能芯片业务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特种集成电路业务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存储器芯片业务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分部间抵销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合计</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2,296,529.16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149,850,737.94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568,503,181.65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517,573,905.16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197,379,493.11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-17,031,596.79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1,418,572,250.23</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524,817.84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130,384,835.01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420,912,031.12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182,491,820.19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161,966,055.00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-17,031,596.79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879,247,962.37</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期间费用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20,864,289.03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4,633,616.57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113,218,640.22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122,607,368.85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36,785,610.63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298,109,525.30</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归属于母公司 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113,651,719.87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13,417,496.82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57,950,644.01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280,730,692.88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1,149,510.03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-130,793,684.47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336,106,379.14</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2,055,817,475.55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498,749,106.37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880,271,403.24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1,807,231,812.87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162,181,544.53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-937,639,219.42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4,466,612,123.14</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负债总额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85,798,974.26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-6,163,052.58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299,240,711.44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735,883,885.92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80,566,604.21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-4,548,446.00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1,190,778,677.25</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归属于母公司 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1,970,018,501.29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504,912,158.95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577,197,023.38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1,035,114,987.01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81,614,940.32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-976,013,149.05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3,192,844,461.90</w:t>
            </w:r>
          </w:p>
        </w:tc>
      </w:tr>
      <w:tr>
        <w:trPr>
          <w:trHeight w:val="50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经营活动现金 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-19,714,737.15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62,689,509.36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-12,208,385.30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97,754,876.43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346,388.85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1,115,369.47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129,983,021.66</w:t>
            </w:r>
          </w:p>
        </w:tc>
      </w:tr>
    </w:tbl>
    <w:p>
      <w:pPr>
        <w:widowControl w:val="0"/>
        <w:spacing w:after="139" w:line="1" w:lineRule="exact"/>
      </w:pPr>
    </w:p>
    <w:p>
      <w:pPr>
        <w:pStyle w:val="Style28"/>
        <w:keepNext/>
        <w:keepLines/>
        <w:widowControl w:val="0"/>
        <w:shd w:val="clear" w:color="auto" w:fill="auto"/>
        <w:bidi w:val="0"/>
        <w:spacing w:before="0" w:after="140" w:line="240" w:lineRule="auto"/>
        <w:ind w:left="0" w:right="0" w:firstLine="440"/>
        <w:jc w:val="left"/>
      </w:pPr>
      <w:bookmarkStart w:id="1188" w:name="bookmark1188"/>
      <w:bookmarkStart w:id="1189" w:name="bookmark1189"/>
      <w:bookmarkStart w:id="1190" w:name="bookmark1190"/>
      <w:bookmarkStart w:id="1191" w:name="bookmark1191"/>
      <w:r>
        <w:rPr>
          <w:color w:val="000000"/>
          <w:spacing w:val="0"/>
          <w:w w:val="100"/>
          <w:position w:val="0"/>
        </w:rPr>
        <w:t>（</w:t>
      </w:r>
      <w:bookmarkEnd w:id="1190"/>
      <w:r>
        <w:rPr>
          <w:color w:val="000000"/>
          <w:spacing w:val="0"/>
          <w:w w:val="100"/>
          <w:position w:val="0"/>
        </w:rPr>
        <w:t>七）其他对投资者决策有影响的重要事项</w:t>
      </w:r>
      <w:bookmarkEnd w:id="1188"/>
      <w:bookmarkEnd w:id="1189"/>
      <w:bookmarkEnd w:id="1191"/>
    </w:p>
    <w:p>
      <w:pPr>
        <w:pStyle w:val="Style28"/>
        <w:keepNext/>
        <w:keepLines/>
        <w:widowControl w:val="0"/>
        <w:shd w:val="clear" w:color="auto" w:fill="auto"/>
        <w:tabs>
          <w:tab w:pos="1108" w:val="left"/>
        </w:tabs>
        <w:bidi w:val="0"/>
        <w:spacing w:before="0" w:after="140" w:line="271" w:lineRule="exact"/>
        <w:ind w:left="0" w:right="0" w:firstLine="740"/>
        <w:jc w:val="left"/>
      </w:pPr>
      <w:bookmarkStart w:id="1188" w:name="bookmark1188"/>
      <w:bookmarkStart w:id="1189" w:name="bookmark1189"/>
      <w:bookmarkStart w:id="1192" w:name="bookmark1192"/>
      <w:r>
        <w:rPr>
          <w:rFonts w:ascii="Times New Roman" w:eastAsia="Times New Roman" w:hAnsi="Times New Roman" w:cs="Times New Roman"/>
          <w:color w:val="000000"/>
          <w:spacing w:val="0"/>
          <w:w w:val="100"/>
          <w:position w:val="0"/>
        </w:rPr>
        <w:t>1</w:t>
      </w:r>
      <w:bookmarkEnd w:id="1192"/>
      <w:r>
        <w:rPr>
          <w:color w:val="000000"/>
          <w:spacing w:val="0"/>
          <w:w w:val="100"/>
          <w:position w:val="0"/>
        </w:rPr>
        <w:t>、</w:t>
        <w:tab/>
        <w:t>股东变更</w:t>
      </w:r>
      <w:bookmarkEnd w:id="1188"/>
      <w:bookmarkEnd w:id="1189"/>
    </w:p>
    <w:p>
      <w:pPr>
        <w:pStyle w:val="Style31"/>
        <w:keepNext w:val="0"/>
        <w:keepLines w:val="0"/>
        <w:widowControl w:val="0"/>
        <w:shd w:val="clear" w:color="auto" w:fill="auto"/>
        <w:bidi w:val="0"/>
        <w:spacing w:before="0" w:after="140" w:line="271" w:lineRule="exact"/>
        <w:ind w:left="320" w:right="0" w:firstLine="420"/>
        <w:jc w:val="left"/>
        <w:rPr>
          <w:sz w:val="20"/>
          <w:szCs w:val="20"/>
        </w:rPr>
      </w:pPr>
      <w:r>
        <w:rPr>
          <w:color w:val="000000"/>
          <w:spacing w:val="0"/>
          <w:w w:val="100"/>
          <w:position w:val="0"/>
          <w:sz w:val="20"/>
          <w:szCs w:val="20"/>
        </w:rPr>
        <w:t>根据本公司的实际控制人清华控股有限公司国有资产管理的统一布局及战略发展规划，同方股份与紫 光集团有限公司的全资子公司西藏紫光春华投资有限公司（以下简称“紫光春华”）于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日签署 了《股份转让协议》，协议转让同方股份持有的本公司</w:t>
      </w:r>
      <w:r>
        <w:rPr>
          <w:rFonts w:ascii="Times New Roman" w:eastAsia="Times New Roman" w:hAnsi="Times New Roman" w:cs="Times New Roman"/>
          <w:color w:val="000000"/>
          <w:spacing w:val="0"/>
          <w:w w:val="100"/>
          <w:position w:val="0"/>
          <w:sz w:val="20"/>
          <w:szCs w:val="20"/>
        </w:rPr>
        <w:t>220,835,000</w:t>
      </w:r>
      <w:r>
        <w:rPr>
          <w:color w:val="000000"/>
          <w:spacing w:val="0"/>
          <w:w w:val="100"/>
          <w:position w:val="0"/>
          <w:sz w:val="20"/>
          <w:szCs w:val="20"/>
        </w:rPr>
        <w:t>股无限售流通股份。上述股份转让的过 户手续已于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日办理完毕。本次股份转让完成后，紫光春华持有本公司</w:t>
      </w:r>
      <w:r>
        <w:rPr>
          <w:rFonts w:ascii="Times New Roman" w:eastAsia="Times New Roman" w:hAnsi="Times New Roman" w:cs="Times New Roman"/>
          <w:color w:val="000000"/>
          <w:spacing w:val="0"/>
          <w:w w:val="100"/>
          <w:position w:val="0"/>
          <w:sz w:val="20"/>
          <w:szCs w:val="20"/>
        </w:rPr>
        <w:t>220,835,000</w:t>
      </w:r>
      <w:r>
        <w:rPr>
          <w:color w:val="000000"/>
          <w:spacing w:val="0"/>
          <w:w w:val="100"/>
          <w:position w:val="0"/>
          <w:sz w:val="20"/>
          <w:szCs w:val="20"/>
        </w:rPr>
        <w:t>股股份，占本 公司总股本的</w:t>
      </w:r>
      <w:r>
        <w:rPr>
          <w:rFonts w:ascii="Times New Roman" w:eastAsia="Times New Roman" w:hAnsi="Times New Roman" w:cs="Times New Roman"/>
          <w:color w:val="000000"/>
          <w:spacing w:val="0"/>
          <w:w w:val="100"/>
          <w:position w:val="0"/>
          <w:sz w:val="20"/>
          <w:szCs w:val="20"/>
        </w:rPr>
        <w:t>36.39%</w:t>
      </w:r>
      <w:r>
        <w:rPr>
          <w:color w:val="000000"/>
          <w:spacing w:val="0"/>
          <w:w w:val="100"/>
          <w:position w:val="0"/>
          <w:sz w:val="20"/>
          <w:szCs w:val="20"/>
        </w:rPr>
        <w:t>，成为本公司的控股股东，紫光集团间接持有本公司</w:t>
      </w:r>
      <w:r>
        <w:rPr>
          <w:rFonts w:ascii="Times New Roman" w:eastAsia="Times New Roman" w:hAnsi="Times New Roman" w:cs="Times New Roman"/>
          <w:color w:val="000000"/>
          <w:spacing w:val="0"/>
          <w:w w:val="100"/>
          <w:position w:val="0"/>
          <w:sz w:val="20"/>
          <w:szCs w:val="20"/>
        </w:rPr>
        <w:t>220,835,000</w:t>
      </w:r>
      <w:r>
        <w:rPr>
          <w:color w:val="000000"/>
          <w:spacing w:val="0"/>
          <w:w w:val="100"/>
          <w:position w:val="0"/>
          <w:sz w:val="20"/>
          <w:szCs w:val="20"/>
        </w:rPr>
        <w:t>股股份，占本公司总 股本的</w:t>
      </w:r>
      <w:r>
        <w:rPr>
          <w:rFonts w:ascii="Times New Roman" w:eastAsia="Times New Roman" w:hAnsi="Times New Roman" w:cs="Times New Roman"/>
          <w:color w:val="000000"/>
          <w:spacing w:val="0"/>
          <w:w w:val="100"/>
          <w:position w:val="0"/>
          <w:sz w:val="20"/>
          <w:szCs w:val="20"/>
        </w:rPr>
        <w:t>36.39%</w:t>
      </w:r>
      <w:r>
        <w:rPr>
          <w:color w:val="000000"/>
          <w:spacing w:val="0"/>
          <w:w w:val="100"/>
          <w:position w:val="0"/>
          <w:sz w:val="20"/>
          <w:szCs w:val="20"/>
        </w:rPr>
        <w:t>；同方股份持有本公司</w:t>
      </w:r>
      <w:r>
        <w:rPr>
          <w:rFonts w:ascii="Times New Roman" w:eastAsia="Times New Roman" w:hAnsi="Times New Roman" w:cs="Times New Roman"/>
          <w:color w:val="000000"/>
          <w:spacing w:val="0"/>
          <w:w w:val="100"/>
          <w:position w:val="0"/>
          <w:sz w:val="20"/>
          <w:szCs w:val="20"/>
        </w:rPr>
        <w:t>30,280,244</w:t>
      </w:r>
      <w:r>
        <w:rPr>
          <w:color w:val="000000"/>
          <w:spacing w:val="0"/>
          <w:w w:val="100"/>
          <w:position w:val="0"/>
          <w:sz w:val="20"/>
          <w:szCs w:val="20"/>
        </w:rPr>
        <w:t>股股份，占本公司总股本的</w:t>
      </w:r>
      <w:r>
        <w:rPr>
          <w:rFonts w:ascii="Times New Roman" w:eastAsia="Times New Roman" w:hAnsi="Times New Roman" w:cs="Times New Roman"/>
          <w:color w:val="000000"/>
          <w:spacing w:val="0"/>
          <w:w w:val="100"/>
          <w:position w:val="0"/>
          <w:sz w:val="20"/>
          <w:szCs w:val="20"/>
        </w:rPr>
        <w:t>4.99%</w:t>
      </w:r>
      <w:r>
        <w:rPr>
          <w:color w:val="000000"/>
          <w:spacing w:val="0"/>
          <w:w w:val="100"/>
          <w:position w:val="0"/>
          <w:sz w:val="20"/>
          <w:szCs w:val="20"/>
        </w:rPr>
        <w:t>，不再是本公司控股股东； 清华控股通过其控股子公司紫光集团和同方股份仍合并间接持有</w:t>
      </w:r>
      <w:r>
        <w:rPr>
          <w:rFonts w:ascii="Times New Roman" w:eastAsia="Times New Roman" w:hAnsi="Times New Roman" w:cs="Times New Roman"/>
          <w:color w:val="000000"/>
          <w:spacing w:val="0"/>
          <w:w w:val="100"/>
          <w:position w:val="0"/>
          <w:sz w:val="20"/>
          <w:szCs w:val="20"/>
        </w:rPr>
        <w:t>251,115,244</w:t>
      </w:r>
      <w:r>
        <w:rPr>
          <w:color w:val="000000"/>
          <w:spacing w:val="0"/>
          <w:w w:val="100"/>
          <w:position w:val="0"/>
          <w:sz w:val="20"/>
          <w:szCs w:val="20"/>
        </w:rPr>
        <w:t xml:space="preserve">股股份，占本公司总股本的 </w:t>
      </w:r>
      <w:r>
        <w:rPr>
          <w:rFonts w:ascii="Times New Roman" w:eastAsia="Times New Roman" w:hAnsi="Times New Roman" w:cs="Times New Roman"/>
          <w:color w:val="000000"/>
          <w:spacing w:val="0"/>
          <w:w w:val="100"/>
          <w:position w:val="0"/>
          <w:sz w:val="20"/>
          <w:szCs w:val="20"/>
        </w:rPr>
        <w:t>41.38%</w:t>
      </w:r>
      <w:r>
        <w:rPr>
          <w:color w:val="000000"/>
          <w:spacing w:val="0"/>
          <w:w w:val="100"/>
          <w:position w:val="0"/>
          <w:sz w:val="20"/>
          <w:szCs w:val="20"/>
        </w:rPr>
        <w:t>。公司实际控制人未发生变化，仍为清华控股有限公司，最终控制方为教育部。</w:t>
      </w:r>
    </w:p>
    <w:p>
      <w:pPr>
        <w:pStyle w:val="Style31"/>
        <w:keepNext w:val="0"/>
        <w:keepLines w:val="0"/>
        <w:widowControl w:val="0"/>
        <w:shd w:val="clear" w:color="auto" w:fill="auto"/>
        <w:bidi w:val="0"/>
        <w:spacing w:before="0" w:after="140" w:line="269" w:lineRule="exact"/>
        <w:ind w:left="320" w:right="0" w:firstLine="420"/>
        <w:jc w:val="left"/>
        <w:rPr>
          <w:sz w:val="20"/>
          <w:szCs w:val="20"/>
        </w:rPr>
      </w:pPr>
      <w:r>
        <w:rPr>
          <w:color w:val="000000"/>
          <w:spacing w:val="0"/>
          <w:w w:val="100"/>
          <w:position w:val="0"/>
          <w:sz w:val="20"/>
          <w:szCs w:val="20"/>
        </w:rPr>
        <w:t>鉴于公司控股股东已发生变化，经公司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年第一次临时股东大会决议审议通过，公司更名为紫光国 芯股份有限公司，并已于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日完成工商变更登记。</w:t>
      </w:r>
    </w:p>
    <w:p>
      <w:pPr>
        <w:pStyle w:val="Style31"/>
        <w:keepNext w:val="0"/>
        <w:keepLines w:val="0"/>
        <w:widowControl w:val="0"/>
        <w:shd w:val="clear" w:color="auto" w:fill="auto"/>
        <w:bidi w:val="0"/>
        <w:spacing w:before="0" w:after="140" w:line="274" w:lineRule="exact"/>
        <w:ind w:left="320" w:right="0" w:firstLine="42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日期间，霍尔果斯国微股权投资管理合伙企业（有限合伙）通过大宗交易方式 减持本公司股票</w:t>
      </w:r>
      <w:r>
        <w:rPr>
          <w:rFonts w:ascii="Times New Roman" w:eastAsia="Times New Roman" w:hAnsi="Times New Roman" w:cs="Times New Roman"/>
          <w:color w:val="000000"/>
          <w:spacing w:val="0"/>
          <w:w w:val="100"/>
          <w:position w:val="0"/>
          <w:sz w:val="20"/>
          <w:szCs w:val="20"/>
        </w:rPr>
        <w:t>900</w:t>
      </w:r>
      <w:r>
        <w:rPr>
          <w:color w:val="000000"/>
          <w:spacing w:val="0"/>
          <w:w w:val="100"/>
          <w:position w:val="0"/>
          <w:sz w:val="20"/>
          <w:szCs w:val="20"/>
        </w:rPr>
        <w:t xml:space="preserve">万股。本次减持后，霍尔果斯国微股权投资管理合伙企业（有限合伙）持有本公司 </w:t>
      </w:r>
      <w:r>
        <w:rPr>
          <w:rFonts w:ascii="Times New Roman" w:eastAsia="Times New Roman" w:hAnsi="Times New Roman" w:cs="Times New Roman"/>
          <w:color w:val="000000"/>
          <w:spacing w:val="0"/>
          <w:w w:val="100"/>
          <w:position w:val="0"/>
          <w:sz w:val="20"/>
          <w:szCs w:val="20"/>
        </w:rPr>
        <w:t>30,282,522</w:t>
      </w:r>
      <w:r>
        <w:rPr>
          <w:color w:val="000000"/>
          <w:spacing w:val="0"/>
          <w:w w:val="100"/>
          <w:position w:val="0"/>
          <w:sz w:val="20"/>
          <w:szCs w:val="20"/>
        </w:rPr>
        <w:t>股股份，占公司总股本的</w:t>
      </w:r>
      <w:r>
        <w:rPr>
          <w:rFonts w:ascii="Times New Roman" w:eastAsia="Times New Roman" w:hAnsi="Times New Roman" w:cs="Times New Roman"/>
          <w:color w:val="000000"/>
          <w:spacing w:val="0"/>
          <w:w w:val="100"/>
          <w:position w:val="0"/>
          <w:sz w:val="20"/>
          <w:szCs w:val="20"/>
        </w:rPr>
        <w:t>4.99%</w:t>
      </w:r>
      <w:r>
        <w:rPr>
          <w:color w:val="000000"/>
          <w:spacing w:val="0"/>
          <w:w w:val="100"/>
          <w:position w:val="0"/>
          <w:sz w:val="20"/>
          <w:szCs w:val="20"/>
        </w:rPr>
        <w:t>，不再是本公司持股</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以上的股东。</w:t>
      </w:r>
    </w:p>
    <w:p>
      <w:pPr>
        <w:pStyle w:val="Style31"/>
        <w:keepNext w:val="0"/>
        <w:keepLines w:val="0"/>
        <w:widowControl w:val="0"/>
        <w:shd w:val="clear" w:color="auto" w:fill="auto"/>
        <w:tabs>
          <w:tab w:pos="1118" w:val="left"/>
        </w:tabs>
        <w:bidi w:val="0"/>
        <w:spacing w:before="0" w:after="140" w:line="271" w:lineRule="exact"/>
        <w:ind w:left="320" w:right="0" w:firstLine="420"/>
        <w:jc w:val="left"/>
        <w:rPr>
          <w:sz w:val="20"/>
          <w:szCs w:val="20"/>
        </w:rPr>
      </w:pPr>
      <w:bookmarkStart w:id="1193" w:name="bookmark1193"/>
      <w:r>
        <w:rPr>
          <w:rFonts w:ascii="Times New Roman" w:eastAsia="Times New Roman" w:hAnsi="Times New Roman" w:cs="Times New Roman"/>
          <w:b/>
          <w:bCs/>
          <w:color w:val="000000"/>
          <w:spacing w:val="0"/>
          <w:w w:val="100"/>
          <w:position w:val="0"/>
          <w:sz w:val="20"/>
          <w:szCs w:val="20"/>
        </w:rPr>
        <w:t>2</w:t>
      </w:r>
      <w:bookmarkEnd w:id="1193"/>
      <w:r>
        <w:rPr>
          <w:b/>
          <w:bCs/>
          <w:color w:val="000000"/>
          <w:spacing w:val="0"/>
          <w:w w:val="100"/>
          <w:position w:val="0"/>
          <w:sz w:val="20"/>
          <w:szCs w:val="20"/>
        </w:rPr>
        <w:t>、</w:t>
        <w:tab/>
        <w:t>非公开发行</w:t>
      </w:r>
      <w:r>
        <w:rPr>
          <w:rFonts w:ascii="Times New Roman" w:eastAsia="Times New Roman" w:hAnsi="Times New Roman" w:cs="Times New Roman"/>
          <w:b/>
          <w:bCs/>
          <w:color w:val="000000"/>
          <w:spacing w:val="0"/>
          <w:w w:val="100"/>
          <w:position w:val="0"/>
          <w:sz w:val="20"/>
          <w:szCs w:val="20"/>
        </w:rPr>
        <w:t>A</w:t>
      </w:r>
      <w:r>
        <w:rPr>
          <w:b/>
          <w:bCs/>
          <w:color w:val="000000"/>
          <w:spacing w:val="0"/>
          <w:w w:val="100"/>
          <w:position w:val="0"/>
          <w:sz w:val="20"/>
          <w:szCs w:val="20"/>
        </w:rPr>
        <w:t>股股票</w:t>
      </w:r>
    </w:p>
    <w:p>
      <w:pPr>
        <w:pStyle w:val="Style31"/>
        <w:keepNext w:val="0"/>
        <w:keepLines w:val="0"/>
        <w:widowControl w:val="0"/>
        <w:shd w:val="clear" w:color="auto" w:fill="auto"/>
        <w:bidi w:val="0"/>
        <w:spacing w:before="0" w:line="271" w:lineRule="exact"/>
        <w:ind w:left="220" w:right="0" w:firstLine="460"/>
        <w:jc w:val="both"/>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日，本公司第五届董事会第十七次会议审议通过了公司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年度非公开发行</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股股票预案, 本次非公开发行股票数量为</w:t>
      </w:r>
      <w:r>
        <w:rPr>
          <w:rFonts w:ascii="Times New Roman" w:eastAsia="Times New Roman" w:hAnsi="Times New Roman" w:cs="Times New Roman"/>
          <w:color w:val="000000"/>
          <w:spacing w:val="0"/>
          <w:w w:val="100"/>
          <w:position w:val="0"/>
          <w:sz w:val="20"/>
          <w:szCs w:val="20"/>
        </w:rPr>
        <w:t>2,958,579,878</w:t>
      </w:r>
      <w:r>
        <w:rPr>
          <w:color w:val="000000"/>
          <w:spacing w:val="0"/>
          <w:w w:val="100"/>
          <w:position w:val="0"/>
          <w:sz w:val="20"/>
          <w:szCs w:val="20"/>
        </w:rPr>
        <w:t>股，非公开发行股票价格为</w:t>
      </w:r>
      <w:r>
        <w:rPr>
          <w:rFonts w:ascii="Times New Roman" w:eastAsia="Times New Roman" w:hAnsi="Times New Roman" w:cs="Times New Roman"/>
          <w:color w:val="000000"/>
          <w:spacing w:val="0"/>
          <w:w w:val="100"/>
          <w:position w:val="0"/>
          <w:sz w:val="20"/>
          <w:szCs w:val="20"/>
        </w:rPr>
        <w:t>27.04</w:t>
      </w:r>
      <w:r>
        <w:rPr>
          <w:color w:val="000000"/>
          <w:spacing w:val="0"/>
          <w:w w:val="100"/>
          <w:position w:val="0"/>
          <w:sz w:val="20"/>
          <w:szCs w:val="20"/>
        </w:rPr>
        <w:t xml:space="preserve">元，募集资金总额为不超过 </w:t>
      </w:r>
      <w:r>
        <w:rPr>
          <w:rFonts w:ascii="Times New Roman" w:eastAsia="Times New Roman" w:hAnsi="Times New Roman" w:cs="Times New Roman"/>
          <w:color w:val="000000"/>
          <w:spacing w:val="0"/>
          <w:w w:val="100"/>
          <w:position w:val="0"/>
          <w:sz w:val="20"/>
          <w:szCs w:val="20"/>
        </w:rPr>
        <w:t>8,000,000</w:t>
      </w:r>
      <w:r>
        <w:rPr>
          <w:color w:val="000000"/>
          <w:spacing w:val="0"/>
          <w:w w:val="100"/>
          <w:position w:val="0"/>
          <w:sz w:val="20"/>
          <w:szCs w:val="20"/>
        </w:rPr>
        <w:t>万元，扣除发行费用后拟全部用于如下项目：</w:t>
      </w:r>
    </w:p>
    <w:tbl>
      <w:tblPr>
        <w:tblOverlap w:val="never"/>
        <w:jc w:val="center"/>
        <w:tblLayout w:type="fixed"/>
      </w:tblPr>
      <w:tblGrid>
        <w:gridCol w:w="878"/>
        <w:gridCol w:w="3835"/>
        <w:gridCol w:w="2179"/>
        <w:gridCol w:w="2755"/>
      </w:tblGrid>
      <w:tr>
        <w:trPr>
          <w:trHeight w:val="43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序号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投资总额（万元）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拟投入募集资金净额（万元）</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存储芯片工厂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9,324,264.63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0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收购台湾力成</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6"/>
                <w:szCs w:val="16"/>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379,833.98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379,000.00</w:t>
            </w:r>
          </w:p>
        </w:tc>
      </w:tr>
      <w:tr>
        <w:trPr>
          <w:trHeight w:val="41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对芯片产业上下游核心资产的公司的收购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1,621,000.00</w:t>
            </w:r>
          </w:p>
        </w:tc>
      </w:tr>
      <w:tr>
        <w:trPr>
          <w:trHeight w:val="437" w:hRule="exact"/>
        </w:trPr>
        <w:tc>
          <w:tcPr>
            <w:gridSpan w:val="2"/>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11,325,098.61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b/>
                <w:bCs/>
                <w:color w:val="000000"/>
                <w:spacing w:val="0"/>
                <w:w w:val="100"/>
                <w:position w:val="0"/>
                <w:sz w:val="18"/>
                <w:szCs w:val="18"/>
              </w:rPr>
              <w:t>8,000,000.00</w:t>
            </w:r>
          </w:p>
        </w:tc>
      </w:tr>
    </w:tbl>
    <w:p>
      <w:pPr>
        <w:widowControl w:val="0"/>
        <w:spacing w:after="119" w:line="1" w:lineRule="exact"/>
      </w:pPr>
    </w:p>
    <w:p>
      <w:pPr>
        <w:pStyle w:val="Style31"/>
        <w:keepNext w:val="0"/>
        <w:keepLines w:val="0"/>
        <w:widowControl w:val="0"/>
        <w:shd w:val="clear" w:color="auto" w:fill="auto"/>
        <w:bidi w:val="0"/>
        <w:spacing w:before="0" w:line="266" w:lineRule="exact"/>
        <w:ind w:left="220" w:right="0" w:firstLine="460"/>
        <w:jc w:val="both"/>
        <w:rPr>
          <w:sz w:val="20"/>
          <w:szCs w:val="20"/>
        </w:rPr>
      </w:pPr>
      <w:r>
        <w:rPr>
          <w:color w:val="000000"/>
          <w:spacing w:val="0"/>
          <w:w w:val="100"/>
          <w:position w:val="0"/>
          <w:sz w:val="20"/>
          <w:szCs w:val="20"/>
        </w:rPr>
        <w:t>截止目前，本次非公开发行的募投项目中认购南茂科技股份有限公司（以下简称“南茂科技”）和力 成科技股份有限公司（以下简称“力成科技”）私募股份事项的重大资产重组已终止，具体详见本附注十 五（七）</w:t>
      </w: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“重大资产重组”。</w:t>
      </w:r>
    </w:p>
    <w:p>
      <w:pPr>
        <w:pStyle w:val="Style31"/>
        <w:keepNext w:val="0"/>
        <w:keepLines w:val="0"/>
        <w:widowControl w:val="0"/>
        <w:shd w:val="clear" w:color="auto" w:fill="auto"/>
        <w:tabs>
          <w:tab w:pos="1017" w:val="left"/>
        </w:tabs>
        <w:bidi w:val="0"/>
        <w:spacing w:before="0" w:line="275" w:lineRule="exact"/>
        <w:ind w:left="220" w:right="0" w:firstLine="460"/>
        <w:jc w:val="both"/>
        <w:rPr>
          <w:sz w:val="20"/>
          <w:szCs w:val="20"/>
        </w:rPr>
      </w:pPr>
      <w:bookmarkStart w:id="1194" w:name="bookmark1194"/>
      <w:r>
        <w:rPr>
          <w:rFonts w:ascii="Times New Roman" w:eastAsia="Times New Roman" w:hAnsi="Times New Roman" w:cs="Times New Roman"/>
          <w:b/>
          <w:bCs/>
          <w:color w:val="000000"/>
          <w:spacing w:val="0"/>
          <w:w w:val="100"/>
          <w:position w:val="0"/>
          <w:sz w:val="20"/>
          <w:szCs w:val="20"/>
        </w:rPr>
        <w:t>3</w:t>
      </w:r>
      <w:bookmarkEnd w:id="1194"/>
      <w:r>
        <w:rPr>
          <w:b/>
          <w:bCs/>
          <w:color w:val="000000"/>
          <w:spacing w:val="0"/>
          <w:w w:val="100"/>
          <w:position w:val="0"/>
          <w:sz w:val="20"/>
          <w:szCs w:val="20"/>
        </w:rPr>
        <w:t>、</w:t>
        <w:tab/>
        <w:t>重大资产重组</w:t>
      </w:r>
    </w:p>
    <w:p>
      <w:pPr>
        <w:pStyle w:val="Style31"/>
        <w:keepNext w:val="0"/>
        <w:keepLines w:val="0"/>
        <w:widowControl w:val="0"/>
        <w:shd w:val="clear" w:color="auto" w:fill="auto"/>
        <w:bidi w:val="0"/>
        <w:spacing w:before="0" w:line="278" w:lineRule="exact"/>
        <w:ind w:left="220" w:right="0" w:firstLine="46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日，本公司全资子公司西藏拓展创芯投资有限公司与力成科技签订了《认股协议书》，并 已经公司第五届董事会第二十一次会议审议通过。</w:t>
      </w:r>
    </w:p>
    <w:p>
      <w:pPr>
        <w:pStyle w:val="Style31"/>
        <w:keepNext w:val="0"/>
        <w:keepLines w:val="0"/>
        <w:widowControl w:val="0"/>
        <w:shd w:val="clear" w:color="auto" w:fill="auto"/>
        <w:bidi w:val="0"/>
        <w:spacing w:before="0" w:line="283" w:lineRule="exact"/>
        <w:ind w:left="220" w:right="0" w:firstLine="460"/>
        <w:jc w:val="both"/>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日，本公司全资子公司西藏茂业创芯投资有限公司与南茂科技签订了《认股协议书》，并 已经公司第五届董事会第二十二次会议审议通过。</w:t>
      </w:r>
    </w:p>
    <w:p>
      <w:pPr>
        <w:pStyle w:val="Style31"/>
        <w:keepNext w:val="0"/>
        <w:keepLines w:val="0"/>
        <w:widowControl w:val="0"/>
        <w:shd w:val="clear" w:color="auto" w:fill="auto"/>
        <w:bidi w:val="0"/>
        <w:spacing w:before="0" w:line="269" w:lineRule="exact"/>
        <w:ind w:left="220" w:right="0" w:firstLine="460"/>
        <w:jc w:val="both"/>
        <w:rPr>
          <w:sz w:val="20"/>
          <w:szCs w:val="20"/>
        </w:rPr>
      </w:pPr>
      <w:r>
        <w:rPr>
          <w:color w:val="000000"/>
          <w:spacing w:val="0"/>
          <w:w w:val="100"/>
          <w:position w:val="0"/>
          <w:sz w:val="20"/>
          <w:szCs w:val="20"/>
        </w:rPr>
        <w:t>鉴于台湾投审会对公司认购南茂科技以私募方式发行的股份事项审核的不确定性风险，且相关行业及 资本市场环境均已经出现了较大变化，</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日，公司第五届董事会第三十一次会议审议通过了《关 于终止与南茂科技签署的</w:t>
      </w:r>
      <w:r>
        <w:rPr>
          <w:color w:val="000000"/>
          <w:spacing w:val="0"/>
          <w:w w:val="100"/>
          <w:position w:val="0"/>
          <w:sz w:val="20"/>
          <w:szCs w:val="20"/>
        </w:rPr>
        <w:t>〈</w:t>
      </w:r>
      <w:r>
        <w:rPr>
          <w:color w:val="000000"/>
          <w:spacing w:val="0"/>
          <w:w w:val="100"/>
          <w:position w:val="0"/>
          <w:sz w:val="20"/>
          <w:szCs w:val="20"/>
        </w:rPr>
        <w:t>认股协议书</w:t>
      </w:r>
      <w:r>
        <w:rPr>
          <w:color w:val="000000"/>
          <w:spacing w:val="0"/>
          <w:w w:val="100"/>
          <w:position w:val="0"/>
          <w:sz w:val="20"/>
          <w:szCs w:val="20"/>
        </w:rPr>
        <w:t>〉</w:t>
      </w:r>
      <w:r>
        <w:rPr>
          <w:color w:val="000000"/>
          <w:spacing w:val="0"/>
          <w:w w:val="100"/>
          <w:position w:val="0"/>
          <w:sz w:val="20"/>
          <w:szCs w:val="20"/>
        </w:rPr>
        <w:t>的议案》，至此，公司终止了收购南茂科技</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股权事项。</w:t>
      </w:r>
    </w:p>
    <w:p>
      <w:pPr>
        <w:pStyle w:val="Style31"/>
        <w:keepNext w:val="0"/>
        <w:keepLines w:val="0"/>
        <w:widowControl w:val="0"/>
        <w:shd w:val="clear" w:color="auto" w:fill="auto"/>
        <w:bidi w:val="0"/>
        <w:spacing w:before="0" w:line="272" w:lineRule="exact"/>
        <w:ind w:left="220" w:right="0" w:firstLine="460"/>
        <w:jc w:val="both"/>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日，公司收到力成科技股份有限公司的《通知函》，鉴于公司在其授权的一年期限内尚未 取得台湾经济部投资审议委员会的核准，其董事会决议通过不继续本次私募股份发行事项。</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23 </w:t>
      </w:r>
      <w:r>
        <w:rPr>
          <w:color w:val="000000"/>
          <w:spacing w:val="0"/>
          <w:w w:val="100"/>
          <w:position w:val="0"/>
          <w:sz w:val="20"/>
          <w:szCs w:val="20"/>
        </w:rPr>
        <w:t>日，公司第五届董事会第三十三次会议审议通过了《关于终止与力成科技签署的</w:t>
      </w:r>
      <w:r>
        <w:rPr>
          <w:color w:val="000000"/>
          <w:spacing w:val="0"/>
          <w:w w:val="100"/>
          <w:position w:val="0"/>
          <w:sz w:val="20"/>
          <w:szCs w:val="20"/>
        </w:rPr>
        <w:t>〈</w:t>
      </w:r>
      <w:r>
        <w:rPr>
          <w:color w:val="000000"/>
          <w:spacing w:val="0"/>
          <w:w w:val="100"/>
          <w:position w:val="0"/>
          <w:sz w:val="20"/>
          <w:szCs w:val="20"/>
        </w:rPr>
        <w:t>认股协议书</w:t>
      </w:r>
      <w:r>
        <w:rPr>
          <w:color w:val="000000"/>
          <w:spacing w:val="0"/>
          <w:w w:val="100"/>
          <w:position w:val="0"/>
          <w:sz w:val="20"/>
          <w:szCs w:val="20"/>
        </w:rPr>
        <w:t>〉</w:t>
      </w:r>
      <w:r>
        <w:rPr>
          <w:color w:val="000000"/>
          <w:spacing w:val="0"/>
          <w:w w:val="100"/>
          <w:position w:val="0"/>
          <w:sz w:val="20"/>
          <w:szCs w:val="20"/>
        </w:rPr>
        <w:t>暨终止重大 资产重组的议案》，至此，公司终止了收购力成科技</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股权事项，并同时终止了本次重大资产重组。</w:t>
      </w:r>
    </w:p>
    <w:p>
      <w:pPr>
        <w:pStyle w:val="Style31"/>
        <w:keepNext w:val="0"/>
        <w:keepLines w:val="0"/>
        <w:widowControl w:val="0"/>
        <w:shd w:val="clear" w:color="auto" w:fill="auto"/>
        <w:tabs>
          <w:tab w:pos="1017" w:val="left"/>
        </w:tabs>
        <w:bidi w:val="0"/>
        <w:spacing w:before="0" w:line="275" w:lineRule="exact"/>
        <w:ind w:left="0" w:right="0" w:firstLine="680"/>
        <w:jc w:val="left"/>
        <w:rPr>
          <w:sz w:val="20"/>
          <w:szCs w:val="20"/>
        </w:rPr>
      </w:pPr>
      <w:bookmarkStart w:id="1195" w:name="bookmark1195"/>
      <w:r>
        <w:rPr>
          <w:rFonts w:ascii="Times New Roman" w:eastAsia="Times New Roman" w:hAnsi="Times New Roman" w:cs="Times New Roman"/>
          <w:b/>
          <w:bCs/>
          <w:color w:val="000000"/>
          <w:spacing w:val="0"/>
          <w:w w:val="100"/>
          <w:position w:val="0"/>
          <w:sz w:val="20"/>
          <w:szCs w:val="20"/>
        </w:rPr>
        <w:t>4</w:t>
      </w:r>
      <w:bookmarkEnd w:id="1195"/>
      <w:r>
        <w:rPr>
          <w:b/>
          <w:bCs/>
          <w:color w:val="000000"/>
          <w:spacing w:val="0"/>
          <w:w w:val="100"/>
          <w:position w:val="0"/>
          <w:sz w:val="20"/>
          <w:szCs w:val="20"/>
        </w:rPr>
        <w:t>、</w:t>
        <w:tab/>
        <w:t>内部业务调整</w:t>
      </w:r>
    </w:p>
    <w:p>
      <w:pPr>
        <w:pStyle w:val="Style31"/>
        <w:keepNext w:val="0"/>
        <w:keepLines w:val="0"/>
        <w:widowControl w:val="0"/>
        <w:shd w:val="clear" w:color="auto" w:fill="auto"/>
        <w:bidi w:val="0"/>
        <w:spacing w:before="0" w:after="260" w:line="275" w:lineRule="exact"/>
        <w:ind w:left="220" w:right="0" w:firstLine="460"/>
        <w:jc w:val="both"/>
        <w:rPr>
          <w:sz w:val="20"/>
          <w:szCs w:val="20"/>
        </w:rPr>
      </w:pPr>
      <w:r>
        <w:rPr>
          <w:color w:val="000000"/>
          <w:spacing w:val="0"/>
          <w:w w:val="100"/>
          <w:position w:val="0"/>
          <w:sz w:val="20"/>
          <w:szCs w:val="20"/>
        </w:rPr>
        <w:t>为提升公司管理效率，理顺公司架构，整合内部资源，</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日，经公司第五届董事会第二十八 次会议审议，同意公司将上市公司母公司中的晶体业务相关的资产、人员调整至全资子公司国芯晶源。</w:t>
      </w: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日，调整资产交割完毕，交割资产账面价值为</w:t>
      </w:r>
      <w:r>
        <w:rPr>
          <w:rFonts w:ascii="Times New Roman" w:eastAsia="Times New Roman" w:hAnsi="Times New Roman" w:cs="Times New Roman"/>
          <w:color w:val="000000"/>
          <w:spacing w:val="0"/>
          <w:w w:val="100"/>
          <w:position w:val="0"/>
          <w:sz w:val="20"/>
          <w:szCs w:val="20"/>
        </w:rPr>
        <w:t>36,406.08</w:t>
      </w:r>
      <w:r>
        <w:rPr>
          <w:color w:val="000000"/>
          <w:spacing w:val="0"/>
          <w:w w:val="100"/>
          <w:position w:val="0"/>
          <w:sz w:val="20"/>
          <w:szCs w:val="20"/>
        </w:rPr>
        <w:t>万元。本次调整后，母公司不再直接经营 晶体相关业务。本次业务调整为公司合并报表范围之内的业务整合，不会对公司的正常经营、未来财务状 况和经营成果产生重大影响。</w:t>
      </w:r>
    </w:p>
    <w:p>
      <w:pPr>
        <w:pStyle w:val="Style23"/>
        <w:keepNext/>
        <w:keepLines/>
        <w:widowControl w:val="0"/>
        <w:shd w:val="clear" w:color="auto" w:fill="auto"/>
        <w:bidi w:val="0"/>
        <w:spacing w:before="0" w:after="260" w:line="240" w:lineRule="auto"/>
        <w:ind w:left="0" w:right="0" w:firstLine="220"/>
        <w:jc w:val="left"/>
      </w:pPr>
      <w:bookmarkStart w:id="1196" w:name="bookmark1196"/>
      <w:bookmarkStart w:id="1197" w:name="bookmark1197"/>
      <w:bookmarkStart w:id="1198" w:name="bookmark1198"/>
      <w:r>
        <w:rPr>
          <w:color w:val="000000"/>
          <w:spacing w:val="0"/>
          <w:w w:val="100"/>
          <w:position w:val="0"/>
        </w:rPr>
        <w:t>十六、母公司财务报表主要项目注释</w:t>
      </w:r>
      <w:bookmarkEnd w:id="1196"/>
      <w:bookmarkEnd w:id="1197"/>
      <w:bookmarkEnd w:id="1198"/>
    </w:p>
    <w:p>
      <w:pPr>
        <w:pStyle w:val="Style28"/>
        <w:keepNext/>
        <w:keepLines/>
        <w:widowControl w:val="0"/>
        <w:shd w:val="clear" w:color="auto" w:fill="auto"/>
        <w:bidi w:val="0"/>
        <w:spacing w:before="0" w:after="120" w:line="275" w:lineRule="exact"/>
        <w:ind w:left="0" w:right="0" w:firstLine="220"/>
        <w:jc w:val="left"/>
      </w:pPr>
      <w:bookmarkStart w:id="1199" w:name="bookmark1199"/>
      <w:bookmarkStart w:id="1200" w:name="bookmark1200"/>
      <w:bookmarkStart w:id="1201" w:name="bookmark1201"/>
      <w:r>
        <w:rPr>
          <w:color w:val="000000"/>
          <w:spacing w:val="0"/>
          <w:w w:val="100"/>
          <w:position w:val="0"/>
        </w:rPr>
        <w:t>（一）应收账款</w:t>
      </w:r>
      <w:bookmarkEnd w:id="1199"/>
      <w:bookmarkEnd w:id="1200"/>
      <w:bookmarkEnd w:id="1201"/>
    </w:p>
    <w:p>
      <w:pPr>
        <w:pStyle w:val="Style33"/>
        <w:keepNext w:val="0"/>
        <w:keepLines w:val="0"/>
        <w:widowControl w:val="0"/>
        <w:shd w:val="clear" w:color="auto" w:fill="auto"/>
        <w:bidi w:val="0"/>
        <w:spacing w:before="0" w:after="0" w:line="240" w:lineRule="auto"/>
        <w:ind w:left="451" w:right="0" w:firstLine="0"/>
        <w:jc w:val="left"/>
        <w:rPr>
          <w:sz w:val="20"/>
          <w:szCs w:val="20"/>
        </w:rPr>
      </w:pPr>
      <w:r>
        <w:rPr>
          <w:b/>
          <w:bCs/>
          <w:color w:val="222222"/>
          <w:spacing w:val="0"/>
          <w:w w:val="100"/>
          <w:position w:val="0"/>
          <w:sz w:val="20"/>
          <w:szCs w:val="20"/>
        </w:rPr>
        <w:t>1、</w:t>
      </w:r>
      <w:r>
        <w:rPr>
          <w:b/>
          <w:bCs/>
          <w:color w:val="000000"/>
          <w:spacing w:val="0"/>
          <w:w w:val="100"/>
          <w:position w:val="0"/>
          <w:sz w:val="20"/>
          <w:szCs w:val="20"/>
        </w:rPr>
        <w:t>应收账款分类披露</w:t>
      </w:r>
    </w:p>
    <w:tbl>
      <w:tblPr>
        <w:tblOverlap w:val="never"/>
        <w:jc w:val="center"/>
        <w:tblLayout w:type="fixed"/>
      </w:tblPr>
      <w:tblGrid>
        <w:gridCol w:w="2693"/>
        <w:gridCol w:w="1560"/>
        <w:gridCol w:w="1416"/>
        <w:gridCol w:w="1421"/>
        <w:gridCol w:w="1421"/>
        <w:gridCol w:w="1406"/>
      </w:tblGrid>
      <w:tr>
        <w:trPr>
          <w:trHeight w:val="26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种类</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r>
      <w:tr>
        <w:trPr>
          <w:trHeight w:val="264"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账面价值</w:t>
            </w:r>
          </w:p>
        </w:tc>
      </w:tr>
      <w:tr>
        <w:trPr>
          <w:trHeight w:val="269"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6"/>
                <w:szCs w:val="16"/>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6"/>
                <w:szCs w:val="16"/>
              </w:rPr>
              <w:t>计提比例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vMerge/>
            <w:tcBorders>
              <w:left w:val="single" w:sz="4"/>
            </w:tcBorders>
            <w:shd w:val="clear" w:color="auto" w:fill="FFFFFF"/>
            <w:vAlign w:val="center"/>
          </w:tcPr>
          <w:p>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单项金额重大并单独计提坏账</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0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按信用风险特征组合计提坏账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9,638,443.95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96,384.44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9,542,059.51</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单项金额不重大但单独计提坏 账准备的应收账款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07"/>
        <w:gridCol w:w="1555"/>
        <w:gridCol w:w="1421"/>
        <w:gridCol w:w="1416"/>
        <w:gridCol w:w="1421"/>
        <w:gridCol w:w="1411"/>
      </w:tblGrid>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b/>
                <w:bCs/>
                <w:color w:val="000000"/>
                <w:spacing w:val="0"/>
                <w:w w:val="100"/>
                <w:position w:val="0"/>
                <w:sz w:val="16"/>
                <w:szCs w:val="16"/>
              </w:rPr>
              <w:t>合计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b/>
                <w:bCs/>
                <w:color w:val="000000"/>
                <w:spacing w:val="0"/>
                <w:w w:val="100"/>
                <w:position w:val="0"/>
                <w:sz w:val="18"/>
                <w:szCs w:val="18"/>
              </w:rPr>
              <w:t>9,638,443.95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96,384.44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9,542,059.51</w:t>
            </w:r>
          </w:p>
        </w:tc>
      </w:tr>
      <w:tr>
        <w:trPr>
          <w:trHeight w:val="643"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（续）</w:t>
            </w:r>
          </w:p>
        </w:tc>
      </w:tr>
      <w:tr>
        <w:trPr>
          <w:trHeight w:val="25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b/>
                <w:bCs/>
                <w:color w:val="000000"/>
                <w:spacing w:val="0"/>
                <w:w w:val="100"/>
                <w:position w:val="0"/>
                <w:sz w:val="16"/>
                <w:szCs w:val="16"/>
              </w:rPr>
              <w:t>种类</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264"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账面价值</w:t>
            </w:r>
          </w:p>
        </w:tc>
      </w:tr>
      <w:tr>
        <w:trPr>
          <w:trHeight w:val="269"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6"/>
                <w:szCs w:val="16"/>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6"/>
                <w:szCs w:val="16"/>
              </w:rPr>
              <w:t>计提比例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vMerge/>
            <w:tcBorders>
              <w:left w:val="single" w:sz="4"/>
            </w:tcBorders>
            <w:shd w:val="clear" w:color="auto" w:fill="FFFFFF"/>
            <w:vAlign w:val="center"/>
          </w:tcPr>
          <w:p>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单项金额重大并单独计提坏账</w:t>
            </w:r>
          </w:p>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0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40" w:right="0" w:firstLine="0"/>
              <w:jc w:val="left"/>
              <w:rPr>
                <w:sz w:val="16"/>
                <w:szCs w:val="16"/>
              </w:rPr>
            </w:pPr>
            <w:r>
              <w:rPr>
                <w:color w:val="000000"/>
                <w:spacing w:val="0"/>
                <w:w w:val="100"/>
                <w:position w:val="0"/>
                <w:sz w:val="16"/>
                <w:szCs w:val="16"/>
              </w:rPr>
              <w:t>按信用风险特征组合计提坏账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38,318,505.06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643,109.43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37,675,395.63</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0" w:lineRule="exact"/>
              <w:ind w:left="140" w:right="0" w:firstLine="0"/>
              <w:jc w:val="left"/>
              <w:rPr>
                <w:sz w:val="16"/>
                <w:szCs w:val="16"/>
              </w:rPr>
            </w:pPr>
            <w:r>
              <w:rPr>
                <w:color w:val="000000"/>
                <w:spacing w:val="0"/>
                <w:w w:val="100"/>
                <w:position w:val="0"/>
                <w:sz w:val="16"/>
                <w:szCs w:val="16"/>
              </w:rPr>
              <w:t>单项金额不重大但单独计提坏 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2,376,587.54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974,806.05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1,401,781.49</w:t>
            </w:r>
          </w:p>
        </w:tc>
      </w:tr>
      <w:tr>
        <w:trPr>
          <w:trHeight w:val="35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40,695,092.60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1,617,915.48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b/>
                <w:bCs/>
                <w:color w:val="000000"/>
                <w:spacing w:val="0"/>
                <w:w w:val="100"/>
                <w:position w:val="0"/>
                <w:sz w:val="18"/>
                <w:szCs w:val="18"/>
              </w:rPr>
              <w:t>3.98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39,077,177.12</w:t>
            </w:r>
          </w:p>
        </w:tc>
      </w:tr>
    </w:tbl>
    <w:p>
      <w:pPr>
        <w:widowControl w:val="0"/>
        <w:spacing w:after="119" w:line="1" w:lineRule="exact"/>
      </w:pPr>
    </w:p>
    <w:p>
      <w:pPr>
        <w:pStyle w:val="Style31"/>
        <w:keepNext w:val="0"/>
        <w:keepLines w:val="0"/>
        <w:widowControl w:val="0"/>
        <w:shd w:val="clear" w:color="auto" w:fill="auto"/>
        <w:bidi w:val="0"/>
        <w:spacing w:before="0" w:line="240" w:lineRule="auto"/>
        <w:ind w:left="0" w:right="0" w:firstLine="560"/>
        <w:jc w:val="left"/>
        <w:rPr>
          <w:sz w:val="20"/>
          <w:szCs w:val="20"/>
        </w:rPr>
      </w:pPr>
      <w:r>
        <w:rPr>
          <w:color w:val="000000"/>
          <w:spacing w:val="0"/>
          <w:w w:val="100"/>
          <w:position w:val="0"/>
          <w:sz w:val="20"/>
          <w:szCs w:val="20"/>
        </w:rPr>
        <w:t>组合中，按账龄分析法计提坏账准备的应收账款:</w:t>
      </w:r>
    </w:p>
    <w:tbl>
      <w:tblPr>
        <w:tblOverlap w:val="never"/>
        <w:jc w:val="center"/>
        <w:tblLayout w:type="fixed"/>
      </w:tblPr>
      <w:tblGrid>
        <w:gridCol w:w="2952"/>
        <w:gridCol w:w="2784"/>
        <w:gridCol w:w="2453"/>
        <w:gridCol w:w="1493"/>
      </w:tblGrid>
      <w:tr>
        <w:trPr>
          <w:trHeight w:val="39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b/>
                <w:bCs/>
                <w:color w:val="000000"/>
                <w:spacing w:val="0"/>
                <w:w w:val="100"/>
                <w:position w:val="0"/>
                <w:sz w:val="16"/>
                <w:szCs w:val="16"/>
              </w:rPr>
              <w:t>账龄</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计提比例（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9,638,443.95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96,384.44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9,638,443.95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b/>
                <w:bCs/>
                <w:color w:val="000000"/>
                <w:spacing w:val="0"/>
                <w:w w:val="100"/>
                <w:position w:val="0"/>
                <w:sz w:val="18"/>
                <w:szCs w:val="18"/>
              </w:rPr>
              <w:t>96,384.44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b/>
                <w:bCs/>
                <w:color w:val="000000"/>
                <w:spacing w:val="0"/>
                <w:w w:val="100"/>
                <w:position w:val="0"/>
                <w:sz w:val="18"/>
                <w:szCs w:val="18"/>
              </w:rPr>
              <w:t>1</w:t>
            </w:r>
          </w:p>
        </w:tc>
      </w:tr>
    </w:tbl>
    <w:p>
      <w:pPr>
        <w:widowControl w:val="0"/>
        <w:spacing w:after="25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470" w:right="0" w:firstLine="0"/>
        <w:jc w:val="left"/>
      </w:pPr>
      <w:r>
        <w:rPr>
          <w:color w:val="000000"/>
          <w:spacing w:val="0"/>
          <w:w w:val="100"/>
          <w:position w:val="0"/>
        </w:rPr>
        <w:t>（续）</w:t>
      </w:r>
    </w:p>
    <w:tbl>
      <w:tblPr>
        <w:tblOverlap w:val="never"/>
        <w:jc w:val="center"/>
        <w:tblLayout w:type="fixed"/>
      </w:tblPr>
      <w:tblGrid>
        <w:gridCol w:w="2952"/>
        <w:gridCol w:w="2784"/>
        <w:gridCol w:w="2453"/>
        <w:gridCol w:w="1493"/>
      </w:tblGrid>
      <w:tr>
        <w:trPr>
          <w:trHeight w:val="37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b/>
                <w:bCs/>
                <w:color w:val="000000"/>
                <w:spacing w:val="0"/>
                <w:w w:val="100"/>
                <w:position w:val="0"/>
                <w:sz w:val="16"/>
                <w:szCs w:val="16"/>
              </w:rPr>
              <w:t>账龄</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计提比例（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37,809,334.00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378,093.34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年</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70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89,594.08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13,439.11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168,000.00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83,576.98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83,576.98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38,318,505.06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b/>
                <w:bCs/>
                <w:color w:val="000000"/>
                <w:spacing w:val="0"/>
                <w:w w:val="100"/>
                <w:position w:val="0"/>
                <w:sz w:val="18"/>
                <w:szCs w:val="18"/>
              </w:rPr>
              <w:t>643,109.43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1.68</w:t>
            </w:r>
          </w:p>
        </w:tc>
      </w:tr>
    </w:tbl>
    <w:p>
      <w:pPr>
        <w:widowControl w:val="0"/>
        <w:spacing w:after="119" w:line="1" w:lineRule="exact"/>
      </w:pPr>
    </w:p>
    <w:p>
      <w:pPr>
        <w:pStyle w:val="Style31"/>
        <w:keepNext w:val="0"/>
        <w:keepLines w:val="0"/>
        <w:widowControl w:val="0"/>
        <w:shd w:val="clear" w:color="auto" w:fill="auto"/>
        <w:tabs>
          <w:tab w:pos="833" w:val="left"/>
        </w:tabs>
        <w:bidi w:val="0"/>
        <w:spacing w:before="0" w:line="262" w:lineRule="exact"/>
        <w:ind w:left="0" w:right="0" w:firstLine="460"/>
        <w:jc w:val="left"/>
        <w:rPr>
          <w:sz w:val="20"/>
          <w:szCs w:val="20"/>
        </w:rPr>
      </w:pPr>
      <w:bookmarkStart w:id="1202" w:name="bookmark1202"/>
      <w:r>
        <w:rPr>
          <w:b/>
          <w:bCs/>
          <w:color w:val="222222"/>
          <w:spacing w:val="0"/>
          <w:w w:val="100"/>
          <w:position w:val="0"/>
          <w:sz w:val="20"/>
          <w:szCs w:val="20"/>
        </w:rPr>
        <w:t>2</w:t>
      </w:r>
      <w:bookmarkEnd w:id="1202"/>
      <w:r>
        <w:rPr>
          <w:b/>
          <w:bCs/>
          <w:color w:val="222222"/>
          <w:spacing w:val="0"/>
          <w:w w:val="100"/>
          <w:position w:val="0"/>
          <w:sz w:val="20"/>
          <w:szCs w:val="20"/>
        </w:rPr>
        <w:t>、</w:t>
        <w:tab/>
      </w:r>
      <w:r>
        <w:rPr>
          <w:b/>
          <w:bCs/>
          <w:color w:val="000000"/>
          <w:spacing w:val="0"/>
          <w:w w:val="100"/>
          <w:position w:val="0"/>
          <w:sz w:val="20"/>
          <w:szCs w:val="20"/>
        </w:rPr>
        <w:t>本期计提、收回或转回的坏账准备情况：</w:t>
      </w:r>
    </w:p>
    <w:p>
      <w:pPr>
        <w:pStyle w:val="Style31"/>
        <w:keepNext w:val="0"/>
        <w:keepLines w:val="0"/>
        <w:widowControl w:val="0"/>
        <w:shd w:val="clear" w:color="auto" w:fill="auto"/>
        <w:tabs>
          <w:tab w:pos="1971" w:val="left"/>
        </w:tabs>
        <w:bidi w:val="0"/>
        <w:spacing w:before="0" w:line="264" w:lineRule="exact"/>
        <w:ind w:left="0" w:right="0" w:firstLine="560"/>
        <w:jc w:val="both"/>
        <w:rPr>
          <w:sz w:val="20"/>
          <w:szCs w:val="20"/>
        </w:rPr>
      </w:pPr>
      <w:r>
        <w:rPr>
          <w:color w:val="000000"/>
          <w:spacing w:val="0"/>
          <w:w w:val="100"/>
          <w:position w:val="0"/>
          <w:sz w:val="20"/>
          <w:szCs w:val="20"/>
        </w:rPr>
        <w:t>本期计提坏账准备金额</w:t>
      </w:r>
      <w:r>
        <w:rPr>
          <w:rFonts w:ascii="Times New Roman" w:eastAsia="Times New Roman" w:hAnsi="Times New Roman" w:cs="Times New Roman"/>
          <w:color w:val="000000"/>
          <w:spacing w:val="0"/>
          <w:w w:val="100"/>
          <w:position w:val="0"/>
          <w:sz w:val="20"/>
          <w:szCs w:val="20"/>
        </w:rPr>
        <w:t>317,509.87</w:t>
      </w:r>
      <w:r>
        <w:rPr>
          <w:color w:val="000000"/>
          <w:spacing w:val="0"/>
          <w:w w:val="100"/>
          <w:position w:val="0"/>
          <w:sz w:val="20"/>
          <w:szCs w:val="20"/>
        </w:rPr>
        <w:t>元；本期无收回或转回坏账准备金额；本期因内部业务调整（详见 本附注十五（七）</w:t>
      </w:r>
      <w:r>
        <w:rPr>
          <w:rFonts w:ascii="Times New Roman" w:eastAsia="Times New Roman" w:hAnsi="Times New Roman" w:cs="Times New Roman"/>
          <w:color w:val="000000"/>
          <w:spacing w:val="0"/>
          <w:w w:val="100"/>
          <w:position w:val="0"/>
          <w:sz w:val="20"/>
          <w:szCs w:val="20"/>
        </w:rPr>
        <w:t>4</w:t>
        <w:tab/>
      </w:r>
      <w:r>
        <w:rPr>
          <w:color w:val="000000"/>
          <w:spacing w:val="0"/>
          <w:w w:val="100"/>
          <w:position w:val="0"/>
          <w:sz w:val="20"/>
          <w:szCs w:val="20"/>
        </w:rPr>
        <w:t>“内部业务调整”）转出坏账准备金额为</w:t>
      </w:r>
      <w:r>
        <w:rPr>
          <w:rFonts w:ascii="Times New Roman" w:eastAsia="Times New Roman" w:hAnsi="Times New Roman" w:cs="Times New Roman"/>
          <w:color w:val="000000"/>
          <w:spacing w:val="0"/>
          <w:w w:val="100"/>
          <w:position w:val="0"/>
          <w:sz w:val="20"/>
          <w:szCs w:val="20"/>
        </w:rPr>
        <w:t>1,839,040.91</w:t>
      </w:r>
      <w:r>
        <w:rPr>
          <w:color w:val="000000"/>
          <w:spacing w:val="0"/>
          <w:w w:val="100"/>
          <w:position w:val="0"/>
          <w:sz w:val="20"/>
          <w:szCs w:val="20"/>
        </w:rPr>
        <w:t>元。</w:t>
      </w:r>
    </w:p>
    <w:p>
      <w:pPr>
        <w:pStyle w:val="Style31"/>
        <w:keepNext w:val="0"/>
        <w:keepLines w:val="0"/>
        <w:widowControl w:val="0"/>
        <w:shd w:val="clear" w:color="auto" w:fill="auto"/>
        <w:tabs>
          <w:tab w:pos="833" w:val="left"/>
        </w:tabs>
        <w:bidi w:val="0"/>
        <w:spacing w:before="0" w:line="262" w:lineRule="exact"/>
        <w:ind w:left="0" w:right="0" w:firstLine="460"/>
        <w:jc w:val="left"/>
        <w:rPr>
          <w:sz w:val="20"/>
          <w:szCs w:val="20"/>
        </w:rPr>
      </w:pPr>
      <w:bookmarkStart w:id="1203" w:name="bookmark1203"/>
      <w:r>
        <w:rPr>
          <w:b/>
          <w:bCs/>
          <w:color w:val="222222"/>
          <w:spacing w:val="0"/>
          <w:w w:val="100"/>
          <w:position w:val="0"/>
          <w:sz w:val="20"/>
          <w:szCs w:val="20"/>
        </w:rPr>
        <w:t>3</w:t>
      </w:r>
      <w:bookmarkEnd w:id="1203"/>
      <w:r>
        <w:rPr>
          <w:b/>
          <w:bCs/>
          <w:color w:val="222222"/>
          <w:spacing w:val="0"/>
          <w:w w:val="100"/>
          <w:position w:val="0"/>
          <w:sz w:val="20"/>
          <w:szCs w:val="20"/>
        </w:rPr>
        <w:t>、</w:t>
        <w:tab/>
      </w:r>
      <w:r>
        <w:rPr>
          <w:b/>
          <w:bCs/>
          <w:color w:val="000000"/>
          <w:spacing w:val="0"/>
          <w:w w:val="100"/>
          <w:position w:val="0"/>
          <w:sz w:val="20"/>
          <w:szCs w:val="20"/>
        </w:rPr>
        <w:t>本期无实际核销的应收账款情况。</w:t>
      </w:r>
    </w:p>
    <w:p>
      <w:pPr>
        <w:pStyle w:val="Style31"/>
        <w:keepNext w:val="0"/>
        <w:keepLines w:val="0"/>
        <w:widowControl w:val="0"/>
        <w:shd w:val="clear" w:color="auto" w:fill="auto"/>
        <w:tabs>
          <w:tab w:pos="838" w:val="left"/>
        </w:tabs>
        <w:bidi w:val="0"/>
        <w:spacing w:before="0" w:line="262" w:lineRule="exact"/>
        <w:ind w:left="0" w:right="0" w:firstLine="460"/>
        <w:jc w:val="left"/>
        <w:rPr>
          <w:sz w:val="20"/>
          <w:szCs w:val="20"/>
        </w:rPr>
      </w:pPr>
      <w:bookmarkStart w:id="1204" w:name="bookmark1204"/>
      <w:r>
        <w:rPr>
          <w:b/>
          <w:bCs/>
          <w:color w:val="222222"/>
          <w:spacing w:val="0"/>
          <w:w w:val="100"/>
          <w:position w:val="0"/>
          <w:sz w:val="20"/>
          <w:szCs w:val="20"/>
        </w:rPr>
        <w:t>4</w:t>
      </w:r>
      <w:bookmarkEnd w:id="1204"/>
      <w:r>
        <w:rPr>
          <w:b/>
          <w:bCs/>
          <w:color w:val="222222"/>
          <w:spacing w:val="0"/>
          <w:w w:val="100"/>
          <w:position w:val="0"/>
          <w:sz w:val="20"/>
          <w:szCs w:val="20"/>
        </w:rPr>
        <w:t>、</w:t>
        <w:tab/>
      </w:r>
      <w:r>
        <w:rPr>
          <w:b/>
          <w:bCs/>
          <w:color w:val="000000"/>
          <w:spacing w:val="0"/>
          <w:w w:val="100"/>
          <w:position w:val="0"/>
          <w:sz w:val="20"/>
          <w:szCs w:val="20"/>
        </w:rPr>
        <w:t>按欠款方归集的期末余额前五名的应收账款情况：</w:t>
      </w:r>
    </w:p>
    <w:p>
      <w:pPr>
        <w:pStyle w:val="Style31"/>
        <w:keepNext w:val="0"/>
        <w:keepLines w:val="0"/>
        <w:widowControl w:val="0"/>
        <w:shd w:val="clear" w:color="auto" w:fill="auto"/>
        <w:bidi w:val="0"/>
        <w:spacing w:before="0" w:line="259" w:lineRule="exact"/>
        <w:ind w:left="0" w:right="0" w:firstLine="560"/>
        <w:jc w:val="left"/>
        <w:rPr>
          <w:sz w:val="20"/>
          <w:szCs w:val="20"/>
        </w:rPr>
      </w:pPr>
      <w:r>
        <w:rPr>
          <w:color w:val="000000"/>
          <w:spacing w:val="0"/>
          <w:w w:val="100"/>
          <w:position w:val="0"/>
          <w:sz w:val="20"/>
          <w:szCs w:val="20"/>
        </w:rPr>
        <w:t>本报告期按欠款方归集的期末余额前五名应收账款汇总金额</w:t>
      </w:r>
      <w:r>
        <w:rPr>
          <w:rFonts w:ascii="Times New Roman" w:eastAsia="Times New Roman" w:hAnsi="Times New Roman" w:cs="Times New Roman"/>
          <w:color w:val="000000"/>
          <w:spacing w:val="0"/>
          <w:w w:val="100"/>
          <w:position w:val="0"/>
          <w:sz w:val="20"/>
          <w:szCs w:val="20"/>
        </w:rPr>
        <w:t>5,432,310.73</w:t>
      </w:r>
      <w:r>
        <w:rPr>
          <w:color w:val="000000"/>
          <w:spacing w:val="0"/>
          <w:w w:val="100"/>
          <w:position w:val="0"/>
          <w:sz w:val="20"/>
          <w:szCs w:val="20"/>
        </w:rPr>
        <w:t>元，占应收账款期末余额合 计数的比例</w:t>
      </w:r>
      <w:r>
        <w:rPr>
          <w:rFonts w:ascii="Times New Roman" w:eastAsia="Times New Roman" w:hAnsi="Times New Roman" w:cs="Times New Roman"/>
          <w:color w:val="000000"/>
          <w:spacing w:val="0"/>
          <w:w w:val="100"/>
          <w:position w:val="0"/>
          <w:sz w:val="20"/>
          <w:szCs w:val="20"/>
        </w:rPr>
        <w:t xml:space="preserve">56.36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，相应计提的坏账准备期末余额</w:t>
      </w:r>
      <w:r>
        <w:rPr>
          <w:rFonts w:ascii="Times New Roman" w:eastAsia="Times New Roman" w:hAnsi="Times New Roman" w:cs="Times New Roman"/>
          <w:color w:val="000000"/>
          <w:spacing w:val="0"/>
          <w:w w:val="100"/>
          <w:position w:val="0"/>
          <w:sz w:val="20"/>
          <w:szCs w:val="20"/>
        </w:rPr>
        <w:t>54,323.10</w:t>
      </w:r>
      <w:r>
        <w:rPr>
          <w:color w:val="000000"/>
          <w:spacing w:val="0"/>
          <w:w w:val="100"/>
          <w:position w:val="0"/>
          <w:sz w:val="20"/>
          <w:szCs w:val="20"/>
        </w:rPr>
        <w:t>元。</w:t>
      </w:r>
    </w:p>
    <w:p>
      <w:pPr>
        <w:pStyle w:val="Style28"/>
        <w:keepNext/>
        <w:keepLines/>
        <w:widowControl w:val="0"/>
        <w:shd w:val="clear" w:color="auto" w:fill="auto"/>
        <w:bidi w:val="0"/>
        <w:spacing w:before="0" w:after="120" w:line="262" w:lineRule="exact"/>
        <w:ind w:left="0" w:right="0" w:firstLine="0"/>
        <w:jc w:val="left"/>
      </w:pPr>
      <w:bookmarkStart w:id="1205" w:name="bookmark1205"/>
      <w:bookmarkStart w:id="1206" w:name="bookmark1206"/>
      <w:bookmarkStart w:id="1207" w:name="bookmark1207"/>
      <w:r>
        <w:rPr>
          <w:color w:val="000000"/>
          <w:spacing w:val="0"/>
          <w:w w:val="100"/>
          <w:position w:val="0"/>
        </w:rPr>
        <w:t>（二）其他应收款</w:t>
      </w:r>
      <w:bookmarkEnd w:id="1205"/>
      <w:bookmarkEnd w:id="1206"/>
      <w:bookmarkEnd w:id="1207"/>
    </w:p>
    <w:p>
      <w:pPr>
        <w:pStyle w:val="Style28"/>
        <w:keepNext/>
        <w:keepLines/>
        <w:widowControl w:val="0"/>
        <w:shd w:val="clear" w:color="auto" w:fill="auto"/>
        <w:bidi w:val="0"/>
        <w:spacing w:before="0" w:after="40" w:line="262" w:lineRule="exact"/>
        <w:ind w:left="0" w:right="0" w:firstLine="460"/>
        <w:jc w:val="left"/>
      </w:pPr>
      <w:bookmarkStart w:id="1205" w:name="bookmark1205"/>
      <w:bookmarkStart w:id="1206" w:name="bookmark1206"/>
      <w:r>
        <w:rPr>
          <w:color w:val="222222"/>
          <w:spacing w:val="0"/>
          <w:w w:val="100"/>
          <w:position w:val="0"/>
        </w:rPr>
        <w:t>1、</w:t>
      </w:r>
      <w:r>
        <w:rPr>
          <w:color w:val="000000"/>
          <w:spacing w:val="0"/>
          <w:w w:val="100"/>
          <w:position w:val="0"/>
        </w:rPr>
        <w:t>其他应收款分类披露</w:t>
      </w:r>
      <w:bookmarkEnd w:id="1205"/>
      <w:bookmarkEnd w:id="1206"/>
    </w:p>
    <w:p>
      <w:pPr>
        <w:pStyle w:val="Style59"/>
        <w:keepNext w:val="0"/>
        <w:keepLines w:val="0"/>
        <w:widowControl w:val="0"/>
        <w:shd w:val="clear" w:color="auto" w:fill="auto"/>
        <w:tabs>
          <w:tab w:pos="5529" w:val="left"/>
          <w:tab w:leader="dot" w:pos="8322" w:val="left"/>
        </w:tabs>
        <w:bidi w:val="0"/>
        <w:spacing w:before="0" w:after="0" w:line="240" w:lineRule="auto"/>
        <w:ind w:left="1180" w:right="0" w:firstLine="0"/>
        <w:jc w:val="left"/>
      </w:pPr>
      <w:r>
        <w:rPr>
          <w:rFonts w:ascii="Arial" w:eastAsia="Arial" w:hAnsi="Arial" w:cs="Arial"/>
          <w:b w:val="0"/>
          <w:bCs w:val="0"/>
          <w:color w:val="000000"/>
          <w:spacing w:val="0"/>
          <w:w w:val="100"/>
          <w:position w:val="0"/>
          <w:sz w:val="38"/>
          <w:szCs w:val="38"/>
        </w:rPr>
        <w:t>ZZ</w:t>
        <w:tab/>
      </w:r>
      <w:r>
        <w:rPr>
          <w:color w:val="000000"/>
          <w:spacing w:val="0"/>
          <w:w w:val="100"/>
          <w:position w:val="0"/>
        </w:rPr>
        <w:t>―期末余额</w:t>
      </w:r>
      <w:r>
        <w:rPr>
          <w:color w:val="000000"/>
          <w:spacing w:val="0"/>
          <w:w w:val="100"/>
          <w:position w:val="0"/>
        </w:rPr>
        <w:tab/>
      </w:r>
    </w:p>
    <w:p>
      <w:pPr>
        <w:pStyle w:val="Style59"/>
        <w:keepNext w:val="0"/>
        <w:keepLines w:val="0"/>
        <w:widowControl w:val="0"/>
        <w:shd w:val="clear" w:color="auto" w:fill="auto"/>
        <w:tabs>
          <w:tab w:pos="3748" w:val="left"/>
          <w:tab w:pos="5529" w:val="left"/>
          <w:tab w:pos="6542" w:val="left"/>
          <w:tab w:pos="8322" w:val="left"/>
          <w:tab w:pos="8721" w:val="left"/>
        </w:tabs>
        <w:bidi w:val="0"/>
        <w:spacing w:before="0" w:after="120" w:line="240" w:lineRule="auto"/>
        <w:ind w:left="1180" w:right="0" w:firstLine="0"/>
        <w:jc w:val="left"/>
      </w:pPr>
      <w:r>
        <w:rPr>
          <w:color w:val="000000"/>
          <w:spacing w:val="0"/>
          <w:w w:val="100"/>
          <w:position w:val="0"/>
        </w:rPr>
        <w:t>类别</w:t>
        <w:tab/>
        <w:t>账面余额</w:t>
        <w:tab/>
      </w:r>
      <w:r>
        <w:rPr>
          <w:rFonts w:ascii="Arial" w:eastAsia="Arial" w:hAnsi="Arial" w:cs="Arial"/>
          <w:b w:val="0"/>
          <w:bCs w:val="0"/>
          <w:color w:val="000000"/>
          <w:spacing w:val="0"/>
          <w:w w:val="100"/>
          <w:position w:val="0"/>
          <w:sz w:val="24"/>
          <w:szCs w:val="24"/>
        </w:rPr>
        <w:t>I</w:t>
        <w:tab/>
      </w:r>
      <w:r>
        <w:rPr>
          <w:color w:val="000000"/>
          <w:spacing w:val="0"/>
          <w:w w:val="100"/>
          <w:position w:val="0"/>
        </w:rPr>
        <w:t>坏账准备</w:t>
        <w:tab/>
      </w:r>
      <w:r>
        <w:rPr>
          <w:rFonts w:ascii="Arial" w:eastAsia="Arial" w:hAnsi="Arial" w:cs="Arial"/>
          <w:b w:val="0"/>
          <w:bCs w:val="0"/>
          <w:color w:val="000000"/>
          <w:spacing w:val="0"/>
          <w:w w:val="100"/>
          <w:position w:val="0"/>
          <w:sz w:val="24"/>
          <w:szCs w:val="24"/>
        </w:rPr>
        <w:t>I</w:t>
        <w:tab/>
      </w:r>
      <w:r>
        <w:rPr>
          <w:color w:val="000000"/>
          <w:spacing w:val="0"/>
          <w:w w:val="100"/>
          <w:position w:val="0"/>
        </w:rPr>
        <w:t>账面价值</w:t>
      </w:r>
      <w:r>
        <w:br w:type="page"/>
      </w:r>
    </w:p>
    <w:tbl>
      <w:tblPr>
        <w:tblOverlap w:val="never"/>
        <w:jc w:val="center"/>
        <w:tblLayout w:type="fixed"/>
      </w:tblPr>
      <w:tblGrid>
        <w:gridCol w:w="2707"/>
        <w:gridCol w:w="1560"/>
        <w:gridCol w:w="1277"/>
        <w:gridCol w:w="1416"/>
        <w:gridCol w:w="1421"/>
        <w:gridCol w:w="1550"/>
      </w:tblGrid>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6"/>
                <w:szCs w:val="16"/>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6"/>
                <w:szCs w:val="16"/>
              </w:rPr>
              <w:t>计提比例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40" w:right="0" w:firstLine="0"/>
              <w:jc w:val="left"/>
              <w:rPr>
                <w:sz w:val="16"/>
                <w:szCs w:val="16"/>
              </w:rPr>
            </w:pPr>
            <w:r>
              <w:rPr>
                <w:color w:val="000000"/>
                <w:spacing w:val="0"/>
                <w:w w:val="100"/>
                <w:position w:val="0"/>
                <w:sz w:val="16"/>
                <w:szCs w:val="16"/>
              </w:rPr>
              <w:t>单项金额重大并单独计提坏账 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140" w:right="0" w:firstLine="0"/>
              <w:jc w:val="left"/>
              <w:rPr>
                <w:sz w:val="16"/>
                <w:szCs w:val="16"/>
              </w:rPr>
            </w:pPr>
            <w:r>
              <w:rPr>
                <w:color w:val="000000"/>
                <w:spacing w:val="0"/>
                <w:w w:val="100"/>
                <w:position w:val="0"/>
                <w:sz w:val="16"/>
                <w:szCs w:val="16"/>
              </w:rPr>
              <w:t>按信用风险特征组合计提坏账 准备的其他应收款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9,500,000.00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140" w:right="0" w:firstLine="0"/>
              <w:jc w:val="left"/>
              <w:rPr>
                <w:sz w:val="16"/>
                <w:szCs w:val="16"/>
              </w:rPr>
            </w:pPr>
            <w:r>
              <w:rPr>
                <w:color w:val="000000"/>
                <w:spacing w:val="0"/>
                <w:w w:val="100"/>
                <w:position w:val="0"/>
                <w:sz w:val="16"/>
                <w:szCs w:val="16"/>
              </w:rPr>
              <w:t>单项金额不重大但单独计提坏 账准备的其他应收款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48,446.00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48,446.00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10,048,446.00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b/>
                <w:bCs/>
                <w:color w:val="000000"/>
                <w:spacing w:val="0"/>
                <w:w w:val="100"/>
                <w:position w:val="0"/>
                <w:sz w:val="18"/>
                <w:szCs w:val="18"/>
              </w:rPr>
              <w:t>4.98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b/>
                <w:bCs/>
                <w:color w:val="000000"/>
                <w:spacing w:val="0"/>
                <w:w w:val="100"/>
                <w:position w:val="0"/>
                <w:sz w:val="18"/>
                <w:szCs w:val="18"/>
              </w:rPr>
              <w:t>9,548,446.00</w:t>
            </w:r>
          </w:p>
        </w:tc>
      </w:tr>
    </w:tbl>
    <w:p>
      <w:pPr>
        <w:widowControl w:val="0"/>
        <w:spacing w:after="239" w:line="1" w:lineRule="exact"/>
      </w:pPr>
    </w:p>
    <w:p>
      <w:pPr>
        <w:pStyle w:val="Style31"/>
        <w:keepNext w:val="0"/>
        <w:keepLines w:val="0"/>
        <w:widowControl w:val="0"/>
        <w:shd w:val="clear" w:color="auto" w:fill="auto"/>
        <w:bidi w:val="0"/>
        <w:spacing w:before="0" w:line="240" w:lineRule="auto"/>
        <w:ind w:left="0" w:right="0" w:firstLine="680"/>
        <w:jc w:val="left"/>
        <w:rPr>
          <w:sz w:val="20"/>
          <w:szCs w:val="20"/>
        </w:rPr>
      </w:pPr>
      <w:r>
        <w:rPr>
          <w:color w:val="000000"/>
          <w:spacing w:val="0"/>
          <w:w w:val="100"/>
          <w:position w:val="0"/>
          <w:sz w:val="20"/>
          <w:szCs w:val="20"/>
        </w:rPr>
        <w:t>（续）</w:t>
      </w:r>
    </w:p>
    <w:tbl>
      <w:tblPr>
        <w:tblOverlap w:val="never"/>
        <w:jc w:val="center"/>
        <w:tblLayout w:type="fixed"/>
      </w:tblPr>
      <w:tblGrid>
        <w:gridCol w:w="2683"/>
        <w:gridCol w:w="7234"/>
      </w:tblGrid>
      <w:tr>
        <w:trPr>
          <w:trHeight w:val="26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 w:right="0" w:firstLine="0"/>
              <w:jc w:val="center"/>
              <w:rPr>
                <w:sz w:val="16"/>
                <w:szCs w:val="16"/>
              </w:rPr>
            </w:pPr>
            <w:r>
              <w:rPr>
                <w:b/>
                <w:bCs/>
                <w:color w:val="000000"/>
                <w:spacing w:val="0"/>
                <w:w w:val="100"/>
                <w:position w:val="0"/>
                <w:sz w:val="16"/>
                <w:szCs w:val="16"/>
              </w:rPr>
              <w:t>期初余额</w:t>
            </w:r>
          </w:p>
        </w:tc>
      </w:tr>
      <w:tr>
        <w:trPr>
          <w:trHeight w:val="494" w:hRule="exact"/>
        </w:trPr>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类别</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 w:right="0" w:firstLine="0"/>
              <w:jc w:val="center"/>
              <w:rPr>
                <w:sz w:val="16"/>
                <w:szCs w:val="16"/>
              </w:rPr>
            </w:pPr>
            <w:r>
              <w:rPr>
                <w:b/>
                <w:bCs/>
                <w:color w:val="000000"/>
                <w:spacing w:val="0"/>
                <w:w w:val="100"/>
                <w:position w:val="0"/>
                <w:sz w:val="16"/>
                <w:szCs w:val="16"/>
              </w:rPr>
              <w:t>一</w:t>
            </w:r>
            <w:r>
              <w:rPr>
                <w:b/>
                <w:bCs/>
                <w:color w:val="000000"/>
                <w:spacing w:val="0"/>
                <w:w w:val="100"/>
                <w:position w:val="0"/>
                <w:sz w:val="16"/>
                <w:szCs w:val="16"/>
              </w:rPr>
              <w:t>金额―账面余额-比例（而…</w:t>
            </w:r>
            <w:r>
              <w:rPr>
                <w:b/>
                <w:bCs/>
                <w:color w:val="000000"/>
                <w:spacing w:val="0"/>
                <w:w w:val="100"/>
                <w:position w:val="0"/>
                <w:sz w:val="16"/>
                <w:szCs w:val="16"/>
                <w:vertAlign w:val="superscript"/>
              </w:rPr>
              <w:t>1</w:t>
            </w:r>
            <w:r>
              <w:rPr>
                <w:b/>
                <w:bCs/>
                <w:color w:val="000000"/>
                <w:spacing w:val="0"/>
                <w:w w:val="100"/>
                <w:position w:val="0"/>
                <w:sz w:val="16"/>
                <w:szCs w:val="16"/>
              </w:rPr>
              <w:t>一</w:t>
            </w:r>
            <w:r>
              <w:rPr>
                <w:b/>
                <w:bCs/>
                <w:color w:val="000000"/>
                <w:spacing w:val="0"/>
                <w:w w:val="100"/>
                <w:position w:val="0"/>
                <w:sz w:val="16"/>
                <w:szCs w:val="16"/>
              </w:rPr>
              <w:t>金额…坏账准计提比例啊</w:t>
            </w:r>
            <w:r>
              <w:rPr>
                <w:b/>
                <w:bCs/>
                <w:color w:val="000000"/>
                <w:spacing w:val="0"/>
                <w:w w:val="100"/>
                <w:position w:val="0"/>
                <w:sz w:val="16"/>
                <w:szCs w:val="16"/>
              </w:rPr>
              <w:t>—</w:t>
            </w:r>
            <w:r>
              <w:rPr>
                <w:b/>
                <w:bCs/>
                <w:color w:val="000000"/>
                <w:spacing w:val="0"/>
                <w:w w:val="100"/>
                <w:position w:val="0"/>
                <w:sz w:val="16"/>
                <w:szCs w:val="16"/>
              </w:rPr>
              <w:t>「账面价值</w:t>
            </w:r>
          </w:p>
        </w:tc>
      </w:tr>
    </w:tbl>
    <w:p>
      <w:pPr>
        <w:pStyle w:val="Style33"/>
        <w:keepNext w:val="0"/>
        <w:keepLines w:val="0"/>
        <w:widowControl w:val="0"/>
        <w:shd w:val="clear" w:color="auto" w:fill="auto"/>
        <w:bidi w:val="0"/>
        <w:spacing w:before="0" w:after="0" w:line="240" w:lineRule="exact"/>
        <w:ind w:left="0" w:right="0" w:firstLine="0"/>
        <w:jc w:val="distribute"/>
      </w:pPr>
      <w:r>
        <w:rPr>
          <w:color w:val="000000"/>
          <w:spacing w:val="0"/>
          <w:w w:val="100"/>
          <w:position w:val="0"/>
        </w:rPr>
        <w:t>单项金额重大并单独计提坏账 准备的其他应收款</w:t>
      </w:r>
    </w:p>
    <w:p>
      <w:pPr>
        <w:widowControl w:val="0"/>
        <w:spacing w:line="1" w:lineRule="exact"/>
      </w:pPr>
    </w:p>
    <w:tbl>
      <w:tblPr>
        <w:tblOverlap w:val="never"/>
        <w:jc w:val="center"/>
        <w:tblLayout w:type="fixed"/>
      </w:tblPr>
      <w:tblGrid>
        <w:gridCol w:w="2698"/>
        <w:gridCol w:w="1570"/>
        <w:gridCol w:w="1277"/>
        <w:gridCol w:w="1416"/>
        <w:gridCol w:w="1421"/>
        <w:gridCol w:w="1550"/>
      </w:tblGrid>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40" w:right="0" w:firstLine="0"/>
              <w:jc w:val="left"/>
              <w:rPr>
                <w:sz w:val="16"/>
                <w:szCs w:val="16"/>
              </w:rPr>
            </w:pPr>
            <w:r>
              <w:rPr>
                <w:color w:val="000000"/>
                <w:spacing w:val="0"/>
                <w:w w:val="100"/>
                <w:position w:val="0"/>
                <w:sz w:val="16"/>
                <w:szCs w:val="16"/>
              </w:rPr>
              <w:t>按信用风险特征组合计提坏账 准备的其他应收款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10,003,973.40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100,039.73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9,903,933.67</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0" w:lineRule="exact"/>
              <w:ind w:left="140" w:right="0" w:firstLine="0"/>
              <w:jc w:val="left"/>
              <w:rPr>
                <w:sz w:val="16"/>
                <w:szCs w:val="16"/>
              </w:rPr>
            </w:pPr>
            <w:r>
              <w:rPr>
                <w:color w:val="000000"/>
                <w:spacing w:val="0"/>
                <w:w w:val="100"/>
                <w:position w:val="0"/>
                <w:sz w:val="16"/>
                <w:szCs w:val="16"/>
              </w:rPr>
              <w:t>单项金额不重大但单独计提坏 账准备的其他应收款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566,365.05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566,365.05</w:t>
            </w:r>
          </w:p>
        </w:tc>
      </w:tr>
      <w:tr>
        <w:trPr>
          <w:trHeight w:val="35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10,570,338.45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100,039.73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b/>
                <w:bCs/>
                <w:color w:val="000000"/>
                <w:spacing w:val="0"/>
                <w:w w:val="100"/>
                <w:position w:val="0"/>
                <w:sz w:val="18"/>
                <w:szCs w:val="18"/>
              </w:rPr>
              <w:t>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10,470,298.72</w:t>
            </w:r>
          </w:p>
        </w:tc>
      </w:tr>
    </w:tbl>
    <w:p>
      <w:pPr>
        <w:widowControl w:val="0"/>
        <w:spacing w:after="119" w:line="1" w:lineRule="exact"/>
      </w:pPr>
    </w:p>
    <w:p>
      <w:pPr>
        <w:pStyle w:val="Style31"/>
        <w:keepNext w:val="0"/>
        <w:keepLines w:val="0"/>
        <w:widowControl w:val="0"/>
        <w:shd w:val="clear" w:color="auto" w:fill="auto"/>
        <w:bidi w:val="0"/>
        <w:spacing w:before="0" w:line="240" w:lineRule="auto"/>
        <w:ind w:left="0" w:right="0" w:firstLine="68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）本公司期末无单项金额重大并单项计提坏账准备的其他应收款。</w:t>
      </w:r>
    </w:p>
    <w:p>
      <w:pPr>
        <w:pStyle w:val="Style31"/>
        <w:keepNext w:val="0"/>
        <w:keepLines w:val="0"/>
        <w:widowControl w:val="0"/>
        <w:shd w:val="clear" w:color="auto" w:fill="auto"/>
        <w:bidi w:val="0"/>
        <w:spacing w:before="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）组合中，按账龄分析法计提坏账准备的其他应收款:</w:t>
      </w:r>
    </w:p>
    <w:tbl>
      <w:tblPr>
        <w:tblOverlap w:val="never"/>
        <w:jc w:val="left"/>
        <w:tblLayout w:type="fixed"/>
      </w:tblPr>
      <w:tblGrid>
        <w:gridCol w:w="3605"/>
        <w:gridCol w:w="1982"/>
        <w:gridCol w:w="1704"/>
        <w:gridCol w:w="1589"/>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6"/>
                <w:szCs w:val="16"/>
              </w:rPr>
            </w:pPr>
            <w:r>
              <w:rPr>
                <w:b/>
                <w:bCs/>
                <w:color w:val="000000"/>
                <w:spacing w:val="0"/>
                <w:w w:val="100"/>
                <w:position w:val="0"/>
                <w:sz w:val="16"/>
                <w:szCs w:val="16"/>
              </w:rPr>
              <w:t>账龄</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r>
      <w:tr>
        <w:trPr>
          <w:trHeight w:val="38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计提比例（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b/>
                <w:bCs/>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b/>
                <w:bCs/>
                <w:color w:val="000000"/>
                <w:spacing w:val="0"/>
                <w:w w:val="100"/>
                <w:position w:val="0"/>
                <w:sz w:val="18"/>
                <w:szCs w:val="18"/>
              </w:rPr>
              <w:t>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b/>
                <w:bCs/>
                <w:color w:val="000000"/>
                <w:spacing w:val="0"/>
                <w:w w:val="100"/>
                <w:position w:val="0"/>
                <w:sz w:val="18"/>
                <w:szCs w:val="18"/>
              </w:rPr>
              <w:t>5</w:t>
            </w:r>
          </w:p>
        </w:tc>
      </w:tr>
    </w:tbl>
    <w:p>
      <w:pPr>
        <w:widowControl w:val="0"/>
        <w:spacing w:after="23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499" w:right="0" w:firstLine="0"/>
        <w:jc w:val="left"/>
      </w:pPr>
      <w:r>
        <w:rPr>
          <w:color w:val="000000"/>
          <w:spacing w:val="0"/>
          <w:w w:val="100"/>
          <w:position w:val="0"/>
        </w:rPr>
        <w:t>（续）</w:t>
      </w:r>
    </w:p>
    <w:tbl>
      <w:tblPr>
        <w:tblOverlap w:val="never"/>
        <w:jc w:val="left"/>
        <w:tblLayout w:type="fixed"/>
      </w:tblPr>
      <w:tblGrid>
        <w:gridCol w:w="3605"/>
        <w:gridCol w:w="2266"/>
        <w:gridCol w:w="1421"/>
        <w:gridCol w:w="1589"/>
      </w:tblGrid>
      <w:tr>
        <w:trPr>
          <w:trHeight w:val="38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6"/>
                <w:szCs w:val="16"/>
              </w:rPr>
            </w:pPr>
            <w:r>
              <w:rPr>
                <w:b/>
                <w:bCs/>
                <w:color w:val="000000"/>
                <w:spacing w:val="0"/>
                <w:w w:val="100"/>
                <w:position w:val="0"/>
                <w:sz w:val="16"/>
                <w:szCs w:val="16"/>
              </w:rPr>
              <w:t>账龄</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37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计提比例（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w:t>
            </w:r>
          </w:p>
        </w:tc>
      </w:tr>
      <w:tr>
        <w:trPr>
          <w:trHeight w:val="36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10,003,973.40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100,039.73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10,003,973.40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100,039.73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b/>
                <w:bCs/>
                <w:color w:val="000000"/>
                <w:spacing w:val="0"/>
                <w:w w:val="100"/>
                <w:position w:val="0"/>
                <w:sz w:val="18"/>
                <w:szCs w:val="18"/>
              </w:rPr>
              <w:t>1</w:t>
            </w:r>
          </w:p>
        </w:tc>
      </w:tr>
    </w:tbl>
    <w:p>
      <w:pPr>
        <w:widowControl w:val="0"/>
        <w:spacing w:after="119" w:line="1" w:lineRule="exact"/>
      </w:pPr>
    </w:p>
    <w:p>
      <w:pPr>
        <w:pStyle w:val="Style31"/>
        <w:keepNext w:val="0"/>
        <w:keepLines w:val="0"/>
        <w:widowControl w:val="0"/>
        <w:shd w:val="clear" w:color="auto" w:fill="auto"/>
        <w:bidi w:val="0"/>
        <w:spacing w:before="0" w:line="240" w:lineRule="auto"/>
        <w:ind w:left="0" w:right="0" w:firstLine="680"/>
        <w:jc w:val="left"/>
        <w:rPr>
          <w:sz w:val="20"/>
          <w:szCs w:val="20"/>
        </w:rPr>
      </w:pPr>
      <w:bookmarkStart w:id="1208" w:name="bookmark1208"/>
      <w:r>
        <w:rPr>
          <w:color w:val="000000"/>
          <w:spacing w:val="0"/>
          <w:w w:val="100"/>
          <w:position w:val="0"/>
          <w:sz w:val="20"/>
          <w:szCs w:val="20"/>
        </w:rPr>
        <w:t>（</w:t>
      </w:r>
      <w:bookmarkEnd w:id="1208"/>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）期末单项金额不重大但单独计提坏账准备的其他应收款:</w:t>
      </w:r>
    </w:p>
    <w:tbl>
      <w:tblPr>
        <w:tblOverlap w:val="never"/>
        <w:jc w:val="center"/>
        <w:tblLayout w:type="fixed"/>
      </w:tblPr>
      <w:tblGrid>
        <w:gridCol w:w="1949"/>
        <w:gridCol w:w="2006"/>
        <w:gridCol w:w="1656"/>
        <w:gridCol w:w="1555"/>
        <w:gridCol w:w="2765"/>
      </w:tblGrid>
      <w:tr>
        <w:trPr>
          <w:trHeight w:val="34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540"/>
              <w:jc w:val="left"/>
              <w:rPr>
                <w:sz w:val="16"/>
                <w:szCs w:val="16"/>
              </w:rPr>
            </w:pPr>
            <w:r>
              <w:rPr>
                <w:b/>
                <w:bCs/>
                <w:color w:val="000000"/>
                <w:spacing w:val="0"/>
                <w:w w:val="100"/>
                <w:position w:val="0"/>
                <w:sz w:val="16"/>
                <w:szCs w:val="16"/>
              </w:rPr>
              <w:t>其他应收款</w:t>
            </w:r>
          </w:p>
          <w:p>
            <w:pPr>
              <w:pStyle w:val="Style2"/>
              <w:keepNext w:val="0"/>
              <w:keepLines w:val="0"/>
              <w:widowControl w:val="0"/>
              <w:shd w:val="clear" w:color="auto" w:fill="auto"/>
              <w:bidi w:val="0"/>
              <w:spacing w:before="0" w:after="0" w:line="240" w:lineRule="auto"/>
              <w:ind w:left="0" w:right="0" w:firstLine="540"/>
              <w:jc w:val="left"/>
              <w:rPr>
                <w:sz w:val="16"/>
                <w:szCs w:val="16"/>
              </w:rPr>
            </w:pPr>
            <w:r>
              <w:rPr>
                <w:b/>
                <w:bCs/>
                <w:color w:val="000000"/>
                <w:spacing w:val="0"/>
                <w:w w:val="100"/>
                <w:position w:val="0"/>
                <w:sz w:val="16"/>
                <w:szCs w:val="16"/>
              </w:rPr>
              <w:t>（按单位）</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r>
      <w:tr>
        <w:trPr>
          <w:trHeight w:val="38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b/>
                <w:bCs/>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计提比例（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不计提理由</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48,446.00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关联往来，可以收回</w:t>
            </w:r>
          </w:p>
        </w:tc>
      </w:tr>
      <w:tr>
        <w:trPr>
          <w:trHeight w:val="4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b/>
                <w:bCs/>
                <w:color w:val="000000"/>
                <w:spacing w:val="0"/>
                <w:w w:val="100"/>
                <w:position w:val="0"/>
                <w:sz w:val="18"/>
                <w:szCs w:val="18"/>
              </w:rPr>
              <w:t>48,446.00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line="269" w:lineRule="exact"/>
        <w:ind w:left="0" w:right="0" w:firstLine="480"/>
        <w:jc w:val="left"/>
        <w:rPr>
          <w:sz w:val="20"/>
          <w:szCs w:val="20"/>
        </w:rPr>
      </w:pPr>
      <w:r>
        <w:rPr>
          <w:b/>
          <w:bCs/>
          <w:color w:val="222222"/>
          <w:spacing w:val="0"/>
          <w:w w:val="100"/>
          <w:position w:val="0"/>
          <w:sz w:val="20"/>
          <w:szCs w:val="20"/>
        </w:rPr>
        <w:t>2、</w:t>
      </w:r>
      <w:r>
        <w:rPr>
          <w:b/>
          <w:bCs/>
          <w:color w:val="000000"/>
          <w:spacing w:val="0"/>
          <w:w w:val="100"/>
          <w:position w:val="0"/>
          <w:sz w:val="20"/>
          <w:szCs w:val="20"/>
        </w:rPr>
        <w:t>本期计提、收回或转回的坏账准备情况</w:t>
      </w:r>
    </w:p>
    <w:p>
      <w:pPr>
        <w:pStyle w:val="Style31"/>
        <w:keepNext w:val="0"/>
        <w:keepLines w:val="0"/>
        <w:widowControl w:val="0"/>
        <w:shd w:val="clear" w:color="auto" w:fill="auto"/>
        <w:bidi w:val="0"/>
        <w:spacing w:before="0" w:line="269" w:lineRule="exact"/>
        <w:ind w:left="0" w:right="0" w:firstLine="560"/>
        <w:jc w:val="left"/>
        <w:rPr>
          <w:sz w:val="20"/>
          <w:szCs w:val="20"/>
        </w:rPr>
      </w:pPr>
      <w:r>
        <w:rPr>
          <w:color w:val="000000"/>
          <w:spacing w:val="0"/>
          <w:w w:val="100"/>
          <w:position w:val="0"/>
          <w:sz w:val="20"/>
          <w:szCs w:val="20"/>
        </w:rPr>
        <w:t>本期计提坏账准备金额为</w:t>
      </w:r>
      <w:r>
        <w:rPr>
          <w:rFonts w:ascii="Times New Roman" w:eastAsia="Times New Roman" w:hAnsi="Times New Roman" w:cs="Times New Roman"/>
          <w:color w:val="000000"/>
          <w:spacing w:val="0"/>
          <w:w w:val="100"/>
          <w:position w:val="0"/>
          <w:sz w:val="20"/>
          <w:szCs w:val="20"/>
        </w:rPr>
        <w:t>400,477.36</w:t>
      </w:r>
      <w:r>
        <w:rPr>
          <w:color w:val="000000"/>
          <w:spacing w:val="0"/>
          <w:w w:val="100"/>
          <w:position w:val="0"/>
          <w:sz w:val="20"/>
          <w:szCs w:val="20"/>
        </w:rPr>
        <w:t>元；本期无收回或转回坏账准备金额；本期因内部业务调整（详 见本附注十五（七）</w:t>
      </w: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sz w:val="20"/>
          <w:szCs w:val="20"/>
        </w:rPr>
        <w:t>“内部业务调整”）转出坏账准备金额为</w:t>
      </w:r>
      <w:r>
        <w:rPr>
          <w:rFonts w:ascii="Times New Roman" w:eastAsia="Times New Roman" w:hAnsi="Times New Roman" w:cs="Times New Roman"/>
          <w:color w:val="000000"/>
          <w:spacing w:val="0"/>
          <w:w w:val="100"/>
          <w:position w:val="0"/>
          <w:sz w:val="20"/>
          <w:szCs w:val="20"/>
        </w:rPr>
        <w:t>517.09</w:t>
      </w:r>
      <w:r>
        <w:rPr>
          <w:color w:val="000000"/>
          <w:spacing w:val="0"/>
          <w:w w:val="100"/>
          <w:position w:val="0"/>
          <w:sz w:val="20"/>
          <w:szCs w:val="20"/>
        </w:rPr>
        <w:t>元。</w:t>
      </w:r>
      <w:r>
        <w:br w:type="page"/>
      </w:r>
    </w:p>
    <w:p>
      <w:pPr>
        <w:pStyle w:val="Style31"/>
        <w:keepNext w:val="0"/>
        <w:keepLines w:val="0"/>
        <w:widowControl w:val="0"/>
        <w:shd w:val="clear" w:color="auto" w:fill="auto"/>
        <w:tabs>
          <w:tab w:pos="1128" w:val="left"/>
        </w:tabs>
        <w:bidi w:val="0"/>
        <w:spacing w:before="0" w:line="240" w:lineRule="auto"/>
        <w:ind w:left="0" w:right="0" w:firstLine="760"/>
        <w:jc w:val="both"/>
        <w:rPr>
          <w:sz w:val="20"/>
          <w:szCs w:val="20"/>
        </w:rPr>
      </w:pPr>
      <w:bookmarkStart w:id="1209" w:name="bookmark1209"/>
      <w:r>
        <w:rPr>
          <w:b/>
          <w:bCs/>
          <w:color w:val="222222"/>
          <w:spacing w:val="0"/>
          <w:w w:val="100"/>
          <w:position w:val="0"/>
          <w:sz w:val="20"/>
          <w:szCs w:val="20"/>
        </w:rPr>
        <w:t>3</w:t>
      </w:r>
      <w:bookmarkEnd w:id="1209"/>
      <w:r>
        <w:rPr>
          <w:b/>
          <w:bCs/>
          <w:color w:val="222222"/>
          <w:spacing w:val="0"/>
          <w:w w:val="100"/>
          <w:position w:val="0"/>
          <w:sz w:val="20"/>
          <w:szCs w:val="20"/>
        </w:rPr>
        <w:t>、</w:t>
        <w:tab/>
      </w:r>
      <w:r>
        <w:rPr>
          <w:b/>
          <w:bCs/>
          <w:color w:val="000000"/>
          <w:spacing w:val="0"/>
          <w:w w:val="100"/>
          <w:position w:val="0"/>
          <w:sz w:val="20"/>
          <w:szCs w:val="20"/>
        </w:rPr>
        <w:t>本期无实际核销的其他应收款情况</w:t>
      </w:r>
    </w:p>
    <w:p>
      <w:pPr>
        <w:pStyle w:val="Style31"/>
        <w:keepNext w:val="0"/>
        <w:keepLines w:val="0"/>
        <w:widowControl w:val="0"/>
        <w:shd w:val="clear" w:color="auto" w:fill="auto"/>
        <w:tabs>
          <w:tab w:pos="1138" w:val="left"/>
        </w:tabs>
        <w:bidi w:val="0"/>
        <w:spacing w:before="0" w:line="240" w:lineRule="auto"/>
        <w:ind w:left="0" w:right="0" w:firstLine="760"/>
        <w:jc w:val="both"/>
        <w:rPr>
          <w:sz w:val="20"/>
          <w:szCs w:val="20"/>
        </w:rPr>
      </w:pPr>
      <w:bookmarkStart w:id="1210" w:name="bookmark1210"/>
      <w:r>
        <w:rPr>
          <w:b/>
          <w:bCs/>
          <w:color w:val="222222"/>
          <w:spacing w:val="0"/>
          <w:w w:val="100"/>
          <w:position w:val="0"/>
          <w:sz w:val="20"/>
          <w:szCs w:val="20"/>
        </w:rPr>
        <w:t>4</w:t>
      </w:r>
      <w:bookmarkEnd w:id="1210"/>
      <w:r>
        <w:rPr>
          <w:b/>
          <w:bCs/>
          <w:color w:val="222222"/>
          <w:spacing w:val="0"/>
          <w:w w:val="100"/>
          <w:position w:val="0"/>
          <w:sz w:val="20"/>
          <w:szCs w:val="20"/>
        </w:rPr>
        <w:t>、</w:t>
        <w:tab/>
      </w:r>
      <w:r>
        <w:rPr>
          <w:b/>
          <w:bCs/>
          <w:color w:val="000000"/>
          <w:spacing w:val="0"/>
          <w:w w:val="100"/>
          <w:position w:val="0"/>
          <w:sz w:val="20"/>
          <w:szCs w:val="20"/>
        </w:rPr>
        <w:t>其他应收款按款项性质分类情况</w:t>
      </w:r>
    </w:p>
    <w:tbl>
      <w:tblPr>
        <w:tblOverlap w:val="never"/>
        <w:jc w:val="center"/>
        <w:tblLayout w:type="fixed"/>
      </w:tblPr>
      <w:tblGrid>
        <w:gridCol w:w="3312"/>
        <w:gridCol w:w="3264"/>
        <w:gridCol w:w="3144"/>
      </w:tblGrid>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期初账面余额</w:t>
            </w: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押金、保证金及其他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出口退税款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413,514.05</w:t>
            </w:r>
          </w:p>
        </w:tc>
      </w:tr>
      <w:tr>
        <w:trPr>
          <w:trHeight w:val="3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156,824.40</w:t>
            </w: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10,048,446.00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10,570,338.45</w:t>
            </w:r>
          </w:p>
        </w:tc>
      </w:tr>
    </w:tbl>
    <w:p>
      <w:pPr>
        <w:widowControl w:val="0"/>
        <w:spacing w:after="119" w:line="1" w:lineRule="exact"/>
      </w:pPr>
    </w:p>
    <w:p>
      <w:pPr>
        <w:pStyle w:val="Style31"/>
        <w:keepNext w:val="0"/>
        <w:keepLines w:val="0"/>
        <w:widowControl w:val="0"/>
        <w:shd w:val="clear" w:color="auto" w:fill="auto"/>
        <w:bidi w:val="0"/>
        <w:spacing w:before="0" w:line="264" w:lineRule="exact"/>
        <w:ind w:left="0" w:right="0" w:firstLine="760"/>
        <w:jc w:val="both"/>
        <w:rPr>
          <w:sz w:val="20"/>
          <w:szCs w:val="20"/>
        </w:rPr>
      </w:pPr>
      <w:bookmarkStart w:id="1211" w:name="bookmark1211"/>
      <w:r>
        <w:rPr>
          <w:b/>
          <w:bCs/>
          <w:color w:val="222222"/>
          <w:spacing w:val="0"/>
          <w:w w:val="100"/>
          <w:position w:val="0"/>
          <w:sz w:val="20"/>
          <w:szCs w:val="20"/>
        </w:rPr>
        <w:t>5</w:t>
      </w:r>
      <w:bookmarkEnd w:id="1211"/>
      <w:r>
        <w:rPr>
          <w:b/>
          <w:bCs/>
          <w:color w:val="222222"/>
          <w:spacing w:val="0"/>
          <w:w w:val="100"/>
          <w:position w:val="0"/>
          <w:sz w:val="20"/>
          <w:szCs w:val="20"/>
        </w:rPr>
        <w:t>、</w:t>
      </w:r>
      <w:r>
        <w:rPr>
          <w:b/>
          <w:bCs/>
          <w:color w:val="000000"/>
          <w:spacing w:val="0"/>
          <w:w w:val="100"/>
          <w:position w:val="0"/>
          <w:sz w:val="20"/>
          <w:szCs w:val="20"/>
        </w:rPr>
        <w:t>按欠款方归集的期末余额前五名的其他应收款情况</w:t>
      </w:r>
    </w:p>
    <w:p>
      <w:pPr>
        <w:pStyle w:val="Style31"/>
        <w:keepNext w:val="0"/>
        <w:keepLines w:val="0"/>
        <w:widowControl w:val="0"/>
        <w:shd w:val="clear" w:color="auto" w:fill="auto"/>
        <w:bidi w:val="0"/>
        <w:spacing w:before="0" w:line="264" w:lineRule="exact"/>
        <w:ind w:left="380" w:right="0" w:firstLine="480"/>
        <w:jc w:val="both"/>
        <w:rPr>
          <w:sz w:val="20"/>
          <w:szCs w:val="20"/>
        </w:rPr>
      </w:pPr>
      <w:r>
        <w:rPr>
          <w:color w:val="000000"/>
          <w:spacing w:val="0"/>
          <w:w w:val="100"/>
          <w:position w:val="0"/>
          <w:sz w:val="20"/>
          <w:szCs w:val="20"/>
        </w:rPr>
        <w:t>本报告期按欠款方归集的期末余额前五名其他应收款汇总金额</w:t>
      </w:r>
      <w:r>
        <w:rPr>
          <w:rFonts w:ascii="Times New Roman" w:eastAsia="Times New Roman" w:hAnsi="Times New Roman" w:cs="Times New Roman"/>
          <w:color w:val="000000"/>
          <w:spacing w:val="0"/>
          <w:w w:val="100"/>
          <w:position w:val="0"/>
          <w:sz w:val="20"/>
          <w:szCs w:val="20"/>
        </w:rPr>
        <w:t>10,048,446.00</w:t>
      </w:r>
      <w:r>
        <w:rPr>
          <w:color w:val="000000"/>
          <w:spacing w:val="0"/>
          <w:w w:val="100"/>
          <w:position w:val="0"/>
          <w:sz w:val="20"/>
          <w:szCs w:val="20"/>
        </w:rPr>
        <w:t>元，占其他应收款期末余 额合计数的比例</w:t>
      </w:r>
      <w:r>
        <w:rPr>
          <w:rFonts w:ascii="Times New Roman" w:eastAsia="Times New Roman" w:hAnsi="Times New Roman" w:cs="Times New Roman"/>
          <w:color w:val="000000"/>
          <w:spacing w:val="0"/>
          <w:w w:val="100"/>
          <w:position w:val="0"/>
          <w:sz w:val="20"/>
          <w:szCs w:val="20"/>
        </w:rPr>
        <w:t xml:space="preserve">100.00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，相应计提的坏账准备期末余额</w:t>
      </w:r>
      <w:r>
        <w:rPr>
          <w:rFonts w:ascii="Times New Roman" w:eastAsia="Times New Roman" w:hAnsi="Times New Roman" w:cs="Times New Roman"/>
          <w:color w:val="000000"/>
          <w:spacing w:val="0"/>
          <w:w w:val="100"/>
          <w:position w:val="0"/>
          <w:sz w:val="20"/>
          <w:szCs w:val="20"/>
        </w:rPr>
        <w:t>500,000.00</w:t>
      </w:r>
      <w:r>
        <w:rPr>
          <w:color w:val="000000"/>
          <w:spacing w:val="0"/>
          <w:w w:val="100"/>
          <w:position w:val="0"/>
          <w:sz w:val="20"/>
          <w:szCs w:val="20"/>
        </w:rPr>
        <w:t>元。</w:t>
      </w:r>
    </w:p>
    <w:p>
      <w:pPr>
        <w:pStyle w:val="Style28"/>
        <w:keepNext/>
        <w:keepLines/>
        <w:widowControl w:val="0"/>
        <w:shd w:val="clear" w:color="auto" w:fill="auto"/>
        <w:bidi w:val="0"/>
        <w:spacing w:before="0" w:after="120" w:line="264" w:lineRule="exact"/>
        <w:ind w:left="0" w:right="0" w:firstLine="380"/>
        <w:jc w:val="both"/>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color w:val="000000"/>
          <w:spacing w:val="0"/>
          <w:w w:val="100"/>
          <w:position w:val="0"/>
        </w:rPr>
        <w:t>三）长期股权投资</w:t>
      </w:r>
      <w:bookmarkEnd w:id="1212"/>
      <w:bookmarkEnd w:id="1213"/>
      <w:bookmarkEnd w:id="1215"/>
    </w:p>
    <w:tbl>
      <w:tblPr>
        <w:tblOverlap w:val="never"/>
        <w:jc w:val="center"/>
        <w:tblLayout w:type="fixed"/>
      </w:tblPr>
      <w:tblGrid>
        <w:gridCol w:w="1574"/>
        <w:gridCol w:w="1699"/>
        <w:gridCol w:w="1133"/>
        <w:gridCol w:w="1502"/>
        <w:gridCol w:w="1474"/>
        <w:gridCol w:w="1277"/>
        <w:gridCol w:w="1589"/>
      </w:tblGrid>
      <w:tr>
        <w:trPr>
          <w:trHeight w:val="26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26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账面价值</w:t>
            </w:r>
          </w:p>
        </w:tc>
      </w:tr>
      <w:tr>
        <w:trPr>
          <w:trHeight w:val="24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对子公司投资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2,290,511,980.32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2,290,511,980.32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1,924,885,100.36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1,924,885,100.36</w:t>
            </w:r>
          </w:p>
        </w:tc>
      </w:tr>
      <w:tr>
        <w:trPr>
          <w:trHeight w:val="48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对联营、合营企</w:t>
            </w:r>
          </w:p>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1,473,934.90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1,473,934.90</w:t>
            </w:r>
          </w:p>
        </w:tc>
        <w:tc>
          <w:tcPr>
            <w:tcBorders>
              <w:top w:val="single" w:sz="4"/>
              <w:left w:val="single" w:sz="4"/>
            </w:tcBorders>
            <w:shd w:val="clear" w:color="auto" w:fill="FFFFFF"/>
            <w:vAlign w:val="top"/>
          </w:tcPr>
          <w:p>
            <w:pPr>
              <w:widowControl w:val="0"/>
              <w:rPr>
                <w:sz w:val="10"/>
                <w:szCs w:val="10"/>
              </w:rPr>
            </w:pPr>
          </w:p>
        </w:tc>
      </w:tr>
      <w:tr>
        <w:trPr>
          <w:trHeight w:val="2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2,290,511,980.32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2,290,511,980.32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1,926,359,035.26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1,473,934.90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1,924,885,100.36</w:t>
            </w:r>
          </w:p>
        </w:tc>
      </w:tr>
    </w:tbl>
    <w:p>
      <w:pPr>
        <w:widowControl w:val="0"/>
        <w:spacing w:after="119" w:line="1" w:lineRule="exact"/>
      </w:pPr>
    </w:p>
    <w:p>
      <w:pPr>
        <w:pStyle w:val="Style31"/>
        <w:keepNext w:val="0"/>
        <w:keepLines w:val="0"/>
        <w:widowControl w:val="0"/>
        <w:shd w:val="clear" w:color="auto" w:fill="auto"/>
        <w:bidi w:val="0"/>
        <w:spacing w:before="0" w:line="240" w:lineRule="auto"/>
        <w:ind w:left="0" w:right="0" w:firstLine="840"/>
        <w:jc w:val="both"/>
        <w:rPr>
          <w:sz w:val="20"/>
          <w:szCs w:val="20"/>
        </w:rPr>
      </w:pPr>
      <w:r>
        <w:rPr>
          <w:b/>
          <w:bCs/>
          <w:color w:val="222222"/>
          <w:spacing w:val="0"/>
          <w:w w:val="100"/>
          <w:position w:val="0"/>
          <w:sz w:val="20"/>
          <w:szCs w:val="20"/>
        </w:rPr>
        <w:t>1、</w:t>
      </w:r>
      <w:r>
        <w:rPr>
          <w:b/>
          <w:bCs/>
          <w:color w:val="000000"/>
          <w:spacing w:val="0"/>
          <w:w w:val="100"/>
          <w:position w:val="0"/>
          <w:sz w:val="20"/>
          <w:szCs w:val="20"/>
        </w:rPr>
        <w:t>对子公司投资</w:t>
      </w:r>
    </w:p>
    <w:tbl>
      <w:tblPr>
        <w:tblOverlap w:val="never"/>
        <w:jc w:val="center"/>
        <w:tblLayout w:type="fixed"/>
      </w:tblPr>
      <w:tblGrid>
        <w:gridCol w:w="2462"/>
        <w:gridCol w:w="1421"/>
        <w:gridCol w:w="1421"/>
        <w:gridCol w:w="1272"/>
        <w:gridCol w:w="1421"/>
        <w:gridCol w:w="984"/>
        <w:gridCol w:w="1022"/>
      </w:tblGrid>
      <w:tr>
        <w:trPr>
          <w:trHeight w:val="58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被投资单位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6"/>
                <w:szCs w:val="16"/>
              </w:rPr>
            </w:pPr>
            <w:r>
              <w:rPr>
                <w:b/>
                <w:bCs/>
                <w:color w:val="000000"/>
                <w:spacing w:val="0"/>
                <w:w w:val="100"/>
                <w:position w:val="0"/>
                <w:sz w:val="16"/>
                <w:szCs w:val="16"/>
              </w:rPr>
              <w:t>本期计提 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b/>
                <w:bCs/>
                <w:color w:val="000000"/>
                <w:spacing w:val="0"/>
                <w:w w:val="100"/>
                <w:position w:val="0"/>
                <w:sz w:val="16"/>
                <w:szCs w:val="16"/>
              </w:rPr>
              <w:t>减值准备 期末余额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唐山晶源电子有限公司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29,403,614.13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9,171,210.34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38,574,824.47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北京晶源裕丰光学电子器件有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5,330,454.67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7,330,454.67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北京同方微电子有限公司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592,459,079.47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592,459,079.47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深圳市国微电子有限公司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988,293,976.09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988,293,976.09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成都国微科技有限公司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80,567,926.00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81,567,926.00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香港同芯投资有限公司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139,560,050.00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1,969,680.00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141,529,730.00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西安紫光国芯半导体有限公司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唐山国芯晶源电子有限公司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364,060,814.09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364,060,814.09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西藏拓展创芯投资有限公司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西藏茂业创芯投资有限公司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西藏微纳芯业投资有限公司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北京同芯创展投资有限公司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1,924,885,100.36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404,201,704.43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38,574,824.47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2,290,511,980.32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line="274" w:lineRule="exact"/>
        <w:ind w:left="380" w:right="0" w:firstLine="480"/>
        <w:jc w:val="both"/>
        <w:rPr>
          <w:sz w:val="20"/>
          <w:szCs w:val="20"/>
        </w:rPr>
      </w:pPr>
      <w:r>
        <w:rPr>
          <w:color w:val="000000"/>
          <w:spacing w:val="0"/>
          <w:w w:val="100"/>
          <w:position w:val="0"/>
          <w:sz w:val="20"/>
          <w:szCs w:val="20"/>
        </w:rPr>
        <w:t>注：本期香港同芯投资有限公司增加注册资本</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万美元，截至期末本公司实际出资</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万美元；本 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月设立的子公司西藏拓展创芯投资有限公司、西藏茂业创芯投资有限公司、西藏微纳芯业 投资有限公司注册资本均为人民币</w:t>
      </w:r>
      <w:r>
        <w:rPr>
          <w:rFonts w:ascii="Times New Roman" w:eastAsia="Times New Roman" w:hAnsi="Times New Roman" w:cs="Times New Roman"/>
          <w:color w:val="000000"/>
          <w:spacing w:val="0"/>
          <w:w w:val="100"/>
          <w:position w:val="0"/>
          <w:sz w:val="20"/>
          <w:szCs w:val="20"/>
        </w:rPr>
        <w:t>3,000.00</w:t>
      </w:r>
      <w:r>
        <w:rPr>
          <w:color w:val="000000"/>
          <w:spacing w:val="0"/>
          <w:w w:val="100"/>
          <w:position w:val="0"/>
          <w:sz w:val="20"/>
          <w:szCs w:val="20"/>
        </w:rPr>
        <w:t>万元，其中西藏拓展创芯投资有限公司、西藏茂业创芯投资有 限公司本期实际出资均为人民币</w:t>
      </w:r>
      <w:r>
        <w:rPr>
          <w:rFonts w:ascii="Times New Roman" w:eastAsia="Times New Roman" w:hAnsi="Times New Roman" w:cs="Times New Roman"/>
          <w:color w:val="000000"/>
          <w:spacing w:val="0"/>
          <w:w w:val="100"/>
          <w:position w:val="0"/>
          <w:sz w:val="20"/>
          <w:szCs w:val="20"/>
        </w:rPr>
        <w:t>1,300.00</w:t>
      </w:r>
      <w:r>
        <w:rPr>
          <w:color w:val="000000"/>
          <w:spacing w:val="0"/>
          <w:w w:val="100"/>
          <w:position w:val="0"/>
          <w:sz w:val="20"/>
          <w:szCs w:val="20"/>
        </w:rPr>
        <w:t>万元，西藏微纳芯业投资有限公司截至本期末尚未出资。</w:t>
      </w:r>
    </w:p>
    <w:p>
      <w:pPr>
        <w:pStyle w:val="Style31"/>
        <w:keepNext w:val="0"/>
        <w:keepLines w:val="0"/>
        <w:widowControl w:val="0"/>
        <w:shd w:val="clear" w:color="auto" w:fill="auto"/>
        <w:bidi w:val="0"/>
        <w:spacing w:before="0" w:line="274" w:lineRule="exact"/>
        <w:ind w:left="0" w:right="0" w:firstLine="840"/>
        <w:jc w:val="both"/>
        <w:rPr>
          <w:sz w:val="20"/>
          <w:szCs w:val="20"/>
        </w:rPr>
      </w:pPr>
      <w:r>
        <w:rPr>
          <w:b/>
          <w:bCs/>
          <w:color w:val="222222"/>
          <w:spacing w:val="0"/>
          <w:w w:val="100"/>
          <w:position w:val="0"/>
          <w:sz w:val="20"/>
          <w:szCs w:val="20"/>
        </w:rPr>
        <w:t>2、</w:t>
      </w:r>
      <w:r>
        <w:rPr>
          <w:b/>
          <w:bCs/>
          <w:color w:val="000000"/>
          <w:spacing w:val="0"/>
          <w:w w:val="100"/>
          <w:position w:val="0"/>
          <w:sz w:val="20"/>
          <w:szCs w:val="20"/>
        </w:rPr>
        <w:t>对联营企业投资</w:t>
      </w:r>
      <w:r>
        <w:br w:type="page"/>
      </w:r>
    </w:p>
    <w:tbl>
      <w:tblPr>
        <w:tblOverlap w:val="never"/>
        <w:jc w:val="center"/>
        <w:tblLayout w:type="fixed"/>
      </w:tblPr>
      <w:tblGrid>
        <w:gridCol w:w="3744"/>
        <w:gridCol w:w="2683"/>
        <w:gridCol w:w="2438"/>
      </w:tblGrid>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被投资单位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初始投资成本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43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九江佳华压电晶体材料有限公司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1,473,934.90</w:t>
            </w:r>
          </w:p>
        </w:tc>
      </w:tr>
      <w:tr>
        <w:trPr>
          <w:trHeight w:val="46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b/>
                <w:bCs/>
                <w:color w:val="000000"/>
                <w:spacing w:val="0"/>
                <w:w w:val="100"/>
                <w:position w:val="0"/>
                <w:sz w:val="18"/>
                <w:szCs w:val="18"/>
              </w:rPr>
              <w:t>2,550,000.00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1,473,934.90</w:t>
            </w:r>
          </w:p>
        </w:tc>
      </w:tr>
    </w:tbl>
    <w:p>
      <w:pPr>
        <w:widowControl w:val="0"/>
        <w:spacing w:after="119" w:line="1" w:lineRule="exact"/>
      </w:pPr>
    </w:p>
    <w:p>
      <w:pPr>
        <w:pStyle w:val="Style31"/>
        <w:keepNext w:val="0"/>
        <w:keepLines w:val="0"/>
        <w:widowControl w:val="0"/>
        <w:shd w:val="clear" w:color="auto" w:fill="auto"/>
        <w:bidi w:val="0"/>
        <w:spacing w:before="0" w:line="240" w:lineRule="auto"/>
        <w:ind w:left="0" w:right="0" w:firstLine="680"/>
        <w:jc w:val="left"/>
        <w:rPr>
          <w:sz w:val="20"/>
          <w:szCs w:val="20"/>
        </w:rPr>
      </w:pPr>
      <w:r>
        <w:rPr>
          <w:color w:val="000000"/>
          <w:spacing w:val="0"/>
          <w:w w:val="100"/>
          <w:position w:val="0"/>
          <w:sz w:val="20"/>
          <w:szCs w:val="20"/>
        </w:rPr>
        <w:t>（续表一）</w:t>
      </w:r>
    </w:p>
    <w:tbl>
      <w:tblPr>
        <w:tblOverlap w:val="never"/>
        <w:jc w:val="center"/>
        <w:tblLayout w:type="fixed"/>
      </w:tblPr>
      <w:tblGrid>
        <w:gridCol w:w="1886"/>
        <w:gridCol w:w="854"/>
        <w:gridCol w:w="1358"/>
        <w:gridCol w:w="1008"/>
        <w:gridCol w:w="1123"/>
        <w:gridCol w:w="1406"/>
        <w:gridCol w:w="1406"/>
      </w:tblGrid>
      <w:tr>
        <w:trPr>
          <w:trHeight w:val="41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被投资单位</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本期减少</w:t>
            </w: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b/>
                <w:bCs/>
                <w:color w:val="000000"/>
                <w:spacing w:val="0"/>
                <w:w w:val="100"/>
                <w:position w:val="0"/>
                <w:sz w:val="16"/>
                <w:szCs w:val="16"/>
              </w:rPr>
              <w:t>减少投 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center"/>
              <w:rPr>
                <w:sz w:val="16"/>
                <w:szCs w:val="16"/>
              </w:rPr>
            </w:pPr>
            <w:r>
              <w:rPr>
                <w:b/>
                <w:bCs/>
                <w:color w:val="000000"/>
                <w:spacing w:val="0"/>
                <w:w w:val="100"/>
                <w:position w:val="0"/>
                <w:sz w:val="16"/>
                <w:szCs w:val="16"/>
              </w:rPr>
              <w:t>权益法下确认 的投资损失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140" w:right="0" w:firstLine="0"/>
              <w:jc w:val="left"/>
              <w:rPr>
                <w:sz w:val="16"/>
                <w:szCs w:val="16"/>
              </w:rPr>
            </w:pPr>
            <w:r>
              <w:rPr>
                <w:b/>
                <w:bCs/>
                <w:color w:val="000000"/>
                <w:spacing w:val="0"/>
                <w:w w:val="100"/>
                <w:position w:val="0"/>
                <w:sz w:val="16"/>
                <w:szCs w:val="16"/>
              </w:rPr>
              <w:t>其他综合 收益调整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center"/>
              <w:rPr>
                <w:sz w:val="16"/>
                <w:szCs w:val="16"/>
              </w:rPr>
            </w:pPr>
            <w:r>
              <w:rPr>
                <w:b/>
                <w:bCs/>
                <w:color w:val="000000"/>
                <w:spacing w:val="0"/>
                <w:w w:val="100"/>
                <w:position w:val="0"/>
                <w:sz w:val="16"/>
                <w:szCs w:val="16"/>
              </w:rPr>
              <w:t>其他权益 变动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b/>
                <w:bCs/>
                <w:color w:val="000000"/>
                <w:spacing w:val="0"/>
                <w:w w:val="100"/>
                <w:position w:val="0"/>
                <w:sz w:val="16"/>
                <w:szCs w:val="16"/>
              </w:rPr>
              <w:t>宣告发放现金 股利或利润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其他</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九江佳华压电晶</w:t>
            </w:r>
          </w:p>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体材料有限公司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1,473,934.90</w:t>
            </w:r>
          </w:p>
        </w:tc>
      </w:tr>
      <w:tr>
        <w:trPr>
          <w:trHeight w:val="35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1,473,934.90</w:t>
            </w:r>
          </w:p>
        </w:tc>
      </w:tr>
    </w:tbl>
    <w:p>
      <w:pPr>
        <w:widowControl w:val="0"/>
        <w:spacing w:after="119" w:line="1" w:lineRule="exact"/>
      </w:pPr>
    </w:p>
    <w:p>
      <w:pPr>
        <w:pStyle w:val="Style31"/>
        <w:keepNext w:val="0"/>
        <w:keepLines w:val="0"/>
        <w:widowControl w:val="0"/>
        <w:shd w:val="clear" w:color="auto" w:fill="auto"/>
        <w:bidi w:val="0"/>
        <w:spacing w:before="0" w:line="240" w:lineRule="auto"/>
        <w:ind w:left="0" w:right="0" w:firstLine="680"/>
        <w:jc w:val="left"/>
        <w:rPr>
          <w:sz w:val="20"/>
          <w:szCs w:val="20"/>
        </w:rPr>
      </w:pPr>
      <w:r>
        <w:rPr>
          <w:color w:val="000000"/>
          <w:spacing w:val="0"/>
          <w:w w:val="100"/>
          <w:position w:val="0"/>
          <w:sz w:val="20"/>
          <w:szCs w:val="20"/>
        </w:rPr>
        <w:t>（续表二）</w:t>
      </w:r>
    </w:p>
    <w:tbl>
      <w:tblPr>
        <w:tblOverlap w:val="never"/>
        <w:jc w:val="center"/>
        <w:tblLayout w:type="fixed"/>
      </w:tblPr>
      <w:tblGrid>
        <w:gridCol w:w="3605"/>
        <w:gridCol w:w="1699"/>
        <w:gridCol w:w="1843"/>
        <w:gridCol w:w="2016"/>
      </w:tblGrid>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被投资单位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本期计提减值准备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减值准备期末余额</w:t>
            </w:r>
          </w:p>
        </w:tc>
      </w:tr>
      <w:tr>
        <w:trPr>
          <w:trHeight w:val="4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九江佳华压电晶体材料有限公司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line="240" w:lineRule="auto"/>
        <w:ind w:left="0" w:right="0" w:firstLine="520"/>
        <w:jc w:val="left"/>
        <w:rPr>
          <w:sz w:val="20"/>
          <w:szCs w:val="20"/>
        </w:rPr>
      </w:pPr>
      <w:r>
        <w:rPr>
          <w:color w:val="000000"/>
          <w:spacing w:val="0"/>
          <w:w w:val="100"/>
          <w:position w:val="0"/>
          <w:sz w:val="20"/>
          <w:szCs w:val="20"/>
        </w:rPr>
        <w:t>注：其他减少系本公司内部业务调整（详见本附注十五（七）</w:t>
      </w: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sz w:val="20"/>
          <w:szCs w:val="20"/>
        </w:rPr>
        <w:t>“内部业务调整”）所致。</w:t>
      </w:r>
    </w:p>
    <w:p>
      <w:pPr>
        <w:pStyle w:val="Style28"/>
        <w:keepNext/>
        <w:keepLines/>
        <w:widowControl w:val="0"/>
        <w:shd w:val="clear" w:color="auto" w:fill="auto"/>
        <w:bidi w:val="0"/>
        <w:spacing w:before="0" w:after="120" w:line="240" w:lineRule="auto"/>
        <w:ind w:left="0" w:right="0" w:firstLine="260"/>
        <w:jc w:val="left"/>
      </w:pPr>
      <w:bookmarkStart w:id="1216" w:name="bookmark1216"/>
      <w:bookmarkStart w:id="1217" w:name="bookmark1217"/>
      <w:bookmarkStart w:id="1218" w:name="bookmark1218"/>
      <w:bookmarkStart w:id="1219" w:name="bookmark1219"/>
      <w:r>
        <w:rPr>
          <w:color w:val="000000"/>
          <w:spacing w:val="0"/>
          <w:w w:val="100"/>
          <w:position w:val="0"/>
        </w:rPr>
        <w:t>（</w:t>
      </w:r>
      <w:bookmarkEnd w:id="1218"/>
      <w:r>
        <w:rPr>
          <w:color w:val="000000"/>
          <w:spacing w:val="0"/>
          <w:w w:val="100"/>
          <w:position w:val="0"/>
        </w:rPr>
        <w:t>四）营业收入和营业成本</w:t>
      </w:r>
      <w:bookmarkEnd w:id="1216"/>
      <w:bookmarkEnd w:id="1217"/>
      <w:bookmarkEnd w:id="1219"/>
    </w:p>
    <w:tbl>
      <w:tblPr>
        <w:tblOverlap w:val="never"/>
        <w:jc w:val="left"/>
        <w:tblLayout w:type="fixed"/>
      </w:tblPr>
      <w:tblGrid>
        <w:gridCol w:w="1334"/>
        <w:gridCol w:w="1704"/>
        <w:gridCol w:w="1843"/>
        <w:gridCol w:w="2050"/>
        <w:gridCol w:w="1949"/>
      </w:tblGrid>
      <w:tr>
        <w:trPr>
          <w:trHeight w:val="35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b/>
                <w:bCs/>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上期发生额</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b/>
                <w:bCs/>
                <w:color w:val="000000"/>
                <w:spacing w:val="0"/>
                <w:w w:val="100"/>
                <w:position w:val="0"/>
                <w:sz w:val="16"/>
                <w:szCs w:val="16"/>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成本</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123,708,157.22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111,937,936.23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171,034,941.07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145,721,885.36</w:t>
            </w:r>
          </w:p>
        </w:tc>
      </w:tr>
      <w:tr>
        <w:trPr>
          <w:trHeight w:val="36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5,055,204.25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3,945,270.56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2,255,654.13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1,479,085.11</w:t>
            </w:r>
          </w:p>
        </w:tc>
      </w:tr>
      <w:tr>
        <w:trPr>
          <w:trHeight w:val="35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b/>
                <w:bCs/>
                <w:color w:val="000000"/>
                <w:spacing w:val="0"/>
                <w:w w:val="100"/>
                <w:position w:val="0"/>
                <w:sz w:val="18"/>
                <w:szCs w:val="18"/>
              </w:rPr>
              <w:t>128,763,361.47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b/>
                <w:bCs/>
                <w:color w:val="000000"/>
                <w:spacing w:val="0"/>
                <w:w w:val="100"/>
                <w:position w:val="0"/>
                <w:sz w:val="18"/>
                <w:szCs w:val="18"/>
              </w:rPr>
              <w:t>115,883,206.79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173,290,595.20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b/>
                <w:bCs/>
                <w:color w:val="000000"/>
                <w:spacing w:val="0"/>
                <w:w w:val="100"/>
                <w:position w:val="0"/>
                <w:sz w:val="18"/>
                <w:szCs w:val="18"/>
              </w:rPr>
              <w:t>147,200,970.47</w:t>
            </w:r>
          </w:p>
        </w:tc>
      </w:tr>
    </w:tbl>
    <w:p>
      <w:pPr>
        <w:widowControl w:val="0"/>
        <w:spacing w:after="119" w:line="1" w:lineRule="exact"/>
      </w:pPr>
    </w:p>
    <w:p>
      <w:pPr>
        <w:pStyle w:val="Style28"/>
        <w:keepNext/>
        <w:keepLines/>
        <w:widowControl w:val="0"/>
        <w:shd w:val="clear" w:color="auto" w:fill="auto"/>
        <w:bidi w:val="0"/>
        <w:spacing w:before="0" w:after="120" w:line="240" w:lineRule="auto"/>
        <w:ind w:left="0" w:right="0" w:firstLine="260"/>
        <w:jc w:val="both"/>
      </w:pPr>
      <w:bookmarkStart w:id="1220" w:name="bookmark1220"/>
      <w:bookmarkStart w:id="1221" w:name="bookmark1221"/>
      <w:bookmarkStart w:id="1222" w:name="bookmark1222"/>
      <w:bookmarkStart w:id="1223" w:name="bookmark1223"/>
      <w:r>
        <w:rPr>
          <w:color w:val="000000"/>
          <w:spacing w:val="0"/>
          <w:w w:val="100"/>
          <w:position w:val="0"/>
        </w:rPr>
        <w:t>（</w:t>
      </w:r>
      <w:bookmarkEnd w:id="1222"/>
      <w:r>
        <w:rPr>
          <w:color w:val="000000"/>
          <w:spacing w:val="0"/>
          <w:w w:val="100"/>
          <w:position w:val="0"/>
        </w:rPr>
        <w:t>五）投资收益</w:t>
      </w:r>
      <w:bookmarkEnd w:id="1220"/>
      <w:bookmarkEnd w:id="1221"/>
      <w:bookmarkEnd w:id="1223"/>
    </w:p>
    <w:tbl>
      <w:tblPr>
        <w:tblOverlap w:val="never"/>
        <w:jc w:val="left"/>
        <w:tblLayout w:type="fixed"/>
      </w:tblPr>
      <w:tblGrid>
        <w:gridCol w:w="4944"/>
        <w:gridCol w:w="1920"/>
        <w:gridCol w:w="2016"/>
      </w:tblGrid>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上期发生额</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180,000,000.00</w:t>
            </w:r>
          </w:p>
        </w:tc>
      </w:tr>
      <w:tr>
        <w:trPr>
          <w:trHeight w:val="35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b/>
                <w:bCs/>
                <w:color w:val="000000"/>
                <w:spacing w:val="0"/>
                <w:w w:val="100"/>
                <w:position w:val="0"/>
                <w:sz w:val="18"/>
                <w:szCs w:val="18"/>
              </w:rPr>
              <w:t>130,000,000.00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b/>
                <w:bCs/>
                <w:color w:val="000000"/>
                <w:spacing w:val="0"/>
                <w:w w:val="100"/>
                <w:position w:val="0"/>
                <w:sz w:val="18"/>
                <w:szCs w:val="18"/>
              </w:rPr>
              <w:t>180,000,000.00</w:t>
            </w:r>
          </w:p>
        </w:tc>
      </w:tr>
    </w:tbl>
    <w:p>
      <w:pPr>
        <w:widowControl w:val="0"/>
        <w:spacing w:after="259" w:line="1" w:lineRule="exact"/>
      </w:pPr>
    </w:p>
    <w:p>
      <w:pPr>
        <w:pStyle w:val="Style23"/>
        <w:keepNext/>
        <w:keepLines/>
        <w:widowControl w:val="0"/>
        <w:shd w:val="clear" w:color="auto" w:fill="auto"/>
        <w:bidi w:val="0"/>
        <w:spacing w:before="0" w:after="260" w:line="240" w:lineRule="auto"/>
        <w:ind w:left="0" w:right="0" w:firstLine="0"/>
        <w:jc w:val="left"/>
      </w:pPr>
      <w:bookmarkStart w:id="1224" w:name="bookmark1224"/>
      <w:bookmarkStart w:id="1225" w:name="bookmark1225"/>
      <w:bookmarkStart w:id="1226" w:name="bookmark1226"/>
      <w:r>
        <w:rPr>
          <w:color w:val="000000"/>
          <w:spacing w:val="0"/>
          <w:w w:val="100"/>
          <w:position w:val="0"/>
        </w:rPr>
        <w:t>十七、补充资料</w:t>
      </w:r>
      <w:bookmarkEnd w:id="1224"/>
      <w:bookmarkEnd w:id="1225"/>
      <w:bookmarkEnd w:id="1226"/>
    </w:p>
    <w:p>
      <w:pPr>
        <w:pStyle w:val="Style28"/>
        <w:keepNext/>
        <w:keepLines/>
        <w:widowControl w:val="0"/>
        <w:shd w:val="clear" w:color="auto" w:fill="auto"/>
        <w:bidi w:val="0"/>
        <w:spacing w:before="0" w:after="120" w:line="240" w:lineRule="auto"/>
        <w:ind w:left="0" w:right="0" w:firstLine="0"/>
        <w:jc w:val="left"/>
      </w:pPr>
      <w:bookmarkStart w:id="1227" w:name="bookmark1227"/>
      <w:bookmarkStart w:id="1228" w:name="bookmark1228"/>
      <w:bookmarkStart w:id="1229" w:name="bookmark1229"/>
      <w:r>
        <w:rPr>
          <w:color w:val="000000"/>
          <w:spacing w:val="0"/>
          <w:w w:val="100"/>
          <w:position w:val="0"/>
        </w:rPr>
        <w:t>（一）当期非经常性损益明细表</w:t>
      </w:r>
      <w:bookmarkEnd w:id="1227"/>
      <w:bookmarkEnd w:id="1228"/>
      <w:bookmarkEnd w:id="1229"/>
    </w:p>
    <w:tbl>
      <w:tblPr>
        <w:tblOverlap w:val="never"/>
        <w:jc w:val="center"/>
        <w:tblLayout w:type="fixed"/>
      </w:tblPr>
      <w:tblGrid>
        <w:gridCol w:w="5453"/>
        <w:gridCol w:w="2227"/>
        <w:gridCol w:w="2251"/>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上期发生额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-184,451.41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15,967.68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140" w:right="0" w:firstLine="0"/>
              <w:jc w:val="left"/>
              <w:rPr>
                <w:sz w:val="16"/>
                <w:szCs w:val="16"/>
              </w:rPr>
            </w:pPr>
            <w:r>
              <w:rPr>
                <w:color w:val="000000"/>
                <w:spacing w:val="0"/>
                <w:w w:val="100"/>
                <w:position w:val="0"/>
                <w:sz w:val="16"/>
                <w:szCs w:val="16"/>
              </w:rPr>
              <w:t>计入当期损益的政府补助（与企业业务密切相关，按照国家统一标 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120,901,928.10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94,687,926.16</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40" w:right="0" w:firstLine="0"/>
              <w:jc w:val="left"/>
              <w:rPr>
                <w:sz w:val="16"/>
                <w:szCs w:val="16"/>
              </w:rPr>
            </w:pPr>
            <w:r>
              <w:rPr>
                <w:color w:val="000000"/>
                <w:spacing w:val="0"/>
                <w:w w:val="100"/>
                <w:position w:val="0"/>
                <w:sz w:val="16"/>
                <w:szCs w:val="16"/>
              </w:rPr>
              <w:t>企业取得子公司、联营企业及合营企业的投资成本小于取得投资时 应享有被投资单位可辨认净资产公允价值产生的收益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453"/>
        <w:gridCol w:w="2227"/>
        <w:gridCol w:w="2251"/>
      </w:tblGrid>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上期发生额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9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8" w:lineRule="exact"/>
              <w:ind w:left="140" w:right="0" w:firstLine="0"/>
              <w:jc w:val="left"/>
              <w:rPr>
                <w:sz w:val="16"/>
                <w:szCs w:val="16"/>
              </w:rPr>
            </w:pPr>
            <w:r>
              <w:rPr>
                <w:color w:val="000000"/>
                <w:spacing w:val="0"/>
                <w:w w:val="100"/>
                <w:position w:val="0"/>
                <w:sz w:val="16"/>
                <w:szCs w:val="16"/>
              </w:rPr>
              <w:t>除同公司正常经营业务相关的有效套期保值业务外，持有交易性金 融资产、交易性金融负债产生的公允价值变动损益，以及处置交易 性金融资产、交易性金融负债和可供出售金融资产取得的投资收益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0" w:lineRule="exact"/>
              <w:ind w:left="140" w:right="0" w:firstLine="0"/>
              <w:jc w:val="left"/>
              <w:rPr>
                <w:sz w:val="16"/>
                <w:szCs w:val="16"/>
              </w:rPr>
            </w:pPr>
            <w:r>
              <w:rPr>
                <w:color w:val="000000"/>
                <w:spacing w:val="0"/>
                <w:w w:val="100"/>
                <w:position w:val="0"/>
                <w:sz w:val="16"/>
                <w:szCs w:val="16"/>
              </w:rPr>
              <w:t>采用公允价值模式进行后续计量的投资性房地产公允价值变动产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140" w:right="0" w:firstLine="0"/>
              <w:jc w:val="left"/>
              <w:rPr>
                <w:sz w:val="16"/>
                <w:szCs w:val="16"/>
              </w:rPr>
            </w:pPr>
            <w:r>
              <w:rPr>
                <w:color w:val="000000"/>
                <w:spacing w:val="0"/>
                <w:w w:val="100"/>
                <w:position w:val="0"/>
                <w:sz w:val="16"/>
                <w:szCs w:val="16"/>
              </w:rPr>
              <w:t>根据税收、会计等法律、法规的要求对当期损益进行一次性调整对 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-7,653,807.36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-5,504,263.36</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11,748,091.98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13,297,368.73</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3,197,848.07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3,423.48</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b/>
                <w:bCs/>
                <w:color w:val="000000"/>
                <w:spacing w:val="0"/>
                <w:w w:val="100"/>
                <w:position w:val="0"/>
                <w:sz w:val="18"/>
                <w:szCs w:val="18"/>
              </w:rPr>
              <w:t>98,117,729.28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75,898,838.27</w:t>
            </w:r>
          </w:p>
        </w:tc>
      </w:tr>
    </w:tbl>
    <w:p>
      <w:pPr>
        <w:widowControl w:val="0"/>
        <w:spacing w:after="119" w:line="1" w:lineRule="exact"/>
      </w:pPr>
    </w:p>
    <w:p>
      <w:pPr>
        <w:pStyle w:val="Style31"/>
        <w:keepNext w:val="0"/>
        <w:keepLines w:val="0"/>
        <w:widowControl w:val="0"/>
        <w:shd w:val="clear" w:color="auto" w:fill="auto"/>
        <w:bidi w:val="0"/>
        <w:spacing w:before="0" w:line="264" w:lineRule="exact"/>
        <w:ind w:left="0" w:right="0" w:firstLine="560"/>
        <w:jc w:val="both"/>
        <w:rPr>
          <w:sz w:val="20"/>
          <w:szCs w:val="20"/>
        </w:rPr>
      </w:pPr>
      <w:r>
        <w:rPr>
          <w:color w:val="000000"/>
          <w:spacing w:val="0"/>
          <w:w w:val="100"/>
          <w:position w:val="0"/>
          <w:sz w:val="20"/>
          <w:szCs w:val="20"/>
        </w:rPr>
        <w:t>本公司对非经常性损益项目的确认依照《公开发行证券的公司信息披露解释性公告第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号一非经常 性损益》（证监会公告</w:t>
      </w:r>
      <w:r>
        <w:rPr>
          <w:rFonts w:ascii="Times New Roman" w:eastAsia="Times New Roman" w:hAnsi="Times New Roman" w:cs="Times New Roman"/>
          <w:color w:val="000000"/>
          <w:spacing w:val="0"/>
          <w:w w:val="100"/>
          <w:position w:val="0"/>
          <w:sz w:val="20"/>
          <w:szCs w:val="20"/>
        </w:rPr>
        <w:t>[2008]43</w:t>
      </w:r>
      <w:r>
        <w:rPr>
          <w:color w:val="000000"/>
          <w:spacing w:val="0"/>
          <w:w w:val="100"/>
          <w:position w:val="0"/>
          <w:sz w:val="20"/>
          <w:szCs w:val="20"/>
        </w:rPr>
        <w:t>号）的规定执行。</w:t>
      </w:r>
    </w:p>
    <w:p>
      <w:pPr>
        <w:pStyle w:val="Style28"/>
        <w:keepNext/>
        <w:keepLines/>
        <w:widowControl w:val="0"/>
        <w:shd w:val="clear" w:color="auto" w:fill="auto"/>
        <w:bidi w:val="0"/>
        <w:spacing w:before="0" w:after="120" w:line="240" w:lineRule="auto"/>
        <w:ind w:left="0" w:right="0" w:firstLine="260"/>
        <w:jc w:val="both"/>
      </w:pPr>
      <w:bookmarkStart w:id="1230" w:name="bookmark1230"/>
      <w:bookmarkStart w:id="1231" w:name="bookmark1231"/>
      <w:bookmarkStart w:id="1232" w:name="bookmark1232"/>
      <w:r>
        <w:rPr>
          <w:color w:val="000000"/>
          <w:spacing w:val="0"/>
          <w:w w:val="100"/>
          <w:position w:val="0"/>
        </w:rPr>
        <w:t>（二）净资产收益率及每股收益</w:t>
      </w:r>
      <w:bookmarkEnd w:id="1230"/>
      <w:bookmarkEnd w:id="1231"/>
      <w:bookmarkEnd w:id="1232"/>
    </w:p>
    <w:tbl>
      <w:tblPr>
        <w:tblOverlap w:val="never"/>
        <w:jc w:val="center"/>
        <w:tblLayout w:type="fixed"/>
      </w:tblPr>
      <w:tblGrid>
        <w:gridCol w:w="3312"/>
        <w:gridCol w:w="1795"/>
        <w:gridCol w:w="2338"/>
        <w:gridCol w:w="2275"/>
      </w:tblGrid>
      <w:tr>
        <w:trP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报告期利润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6"/>
                <w:szCs w:val="16"/>
              </w:rPr>
            </w:pPr>
            <w:r>
              <w:rPr>
                <w:b/>
                <w:bCs/>
                <w:color w:val="000000"/>
                <w:spacing w:val="0"/>
                <w:w w:val="100"/>
                <w:position w:val="0"/>
                <w:sz w:val="16"/>
                <w:szCs w:val="16"/>
              </w:rPr>
              <w:t>加权平均净资产收 益率</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每股收益</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稀释每股收益</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0.5539</w:t>
            </w:r>
          </w:p>
        </w:tc>
      </w:tr>
      <w:tr>
        <w:trPr>
          <w:trHeight w:val="75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40" w:right="0" w:firstLine="0"/>
              <w:jc w:val="left"/>
              <w:rPr>
                <w:sz w:val="16"/>
                <w:szCs w:val="16"/>
              </w:rPr>
            </w:pPr>
            <w:r>
              <w:rPr>
                <w:color w:val="000000"/>
                <w:spacing w:val="0"/>
                <w:w w:val="100"/>
                <w:position w:val="0"/>
                <w:sz w:val="16"/>
                <w:szCs w:val="16"/>
              </w:rPr>
              <w:t>扣除非经常性损益后归属于公司普通 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0.3922</w:t>
            </w:r>
          </w:p>
        </w:tc>
      </w:tr>
    </w:tbl>
    <w:p>
      <w:pPr>
        <w:widowControl w:val="0"/>
        <w:spacing w:after="119" w:line="1" w:lineRule="exact"/>
      </w:pPr>
    </w:p>
    <w:p>
      <w:pPr>
        <w:pStyle w:val="Style31"/>
        <w:keepNext w:val="0"/>
        <w:keepLines w:val="0"/>
        <w:widowControl w:val="0"/>
        <w:shd w:val="clear" w:color="auto" w:fill="auto"/>
        <w:bidi w:val="0"/>
        <w:spacing w:before="0" w:line="273" w:lineRule="exact"/>
        <w:ind w:left="0" w:right="0" w:firstLine="560"/>
        <w:jc w:val="both"/>
        <w:rPr>
          <w:sz w:val="20"/>
          <w:szCs w:val="20"/>
        </w:rPr>
      </w:pPr>
      <w:r>
        <w:rPr>
          <w:color w:val="000000"/>
          <w:spacing w:val="0"/>
          <w:w w:val="100"/>
          <w:position w:val="0"/>
          <w:sz w:val="20"/>
          <w:szCs w:val="20"/>
        </w:rPr>
        <w:t>注：扣除非经常性损益后归属公司普通股股东的每股收益本期为</w:t>
      </w:r>
      <w:r>
        <w:rPr>
          <w:rFonts w:ascii="Times New Roman" w:eastAsia="Times New Roman" w:hAnsi="Times New Roman" w:cs="Times New Roman"/>
          <w:color w:val="000000"/>
          <w:spacing w:val="0"/>
          <w:w w:val="100"/>
          <w:position w:val="0"/>
          <w:sz w:val="20"/>
          <w:szCs w:val="20"/>
        </w:rPr>
        <w:t>0.3922</w:t>
      </w:r>
      <w:r>
        <w:rPr>
          <w:color w:val="000000"/>
          <w:spacing w:val="0"/>
          <w:w w:val="100"/>
          <w:position w:val="0"/>
          <w:sz w:val="20"/>
          <w:szCs w:val="20"/>
        </w:rPr>
        <w:t>，</w:t>
      </w:r>
      <w:r>
        <w:rPr>
          <w:color w:val="000000"/>
          <w:spacing w:val="0"/>
          <w:w w:val="100"/>
          <w:position w:val="0"/>
          <w:sz w:val="20"/>
          <w:szCs w:val="20"/>
        </w:rPr>
        <w:t>比去年同期降低</w:t>
      </w:r>
      <w:r>
        <w:rPr>
          <w:rFonts w:ascii="Times New Roman" w:eastAsia="Times New Roman" w:hAnsi="Times New Roman" w:cs="Times New Roman"/>
          <w:color w:val="000000"/>
          <w:spacing w:val="0"/>
          <w:w w:val="100"/>
          <w:position w:val="0"/>
          <w:sz w:val="20"/>
          <w:szCs w:val="20"/>
        </w:rPr>
        <w:t>8.32%</w:t>
      </w:r>
      <w:r>
        <w:rPr>
          <w:color w:val="000000"/>
          <w:spacing w:val="0"/>
          <w:w w:val="100"/>
          <w:position w:val="0"/>
          <w:sz w:val="20"/>
          <w:szCs w:val="20"/>
        </w:rPr>
        <w:t>。主 要原因为本公司之子公司同方微电子业务下滑所致。根据财税【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49</w:t>
      </w:r>
      <w:r>
        <w:rPr>
          <w:color w:val="000000"/>
          <w:spacing w:val="0"/>
          <w:w w:val="100"/>
          <w:position w:val="0"/>
          <w:sz w:val="20"/>
          <w:szCs w:val="20"/>
        </w:rPr>
        <w:t>号文件规定，本公司的子公司同 方微电子、国微电子、西安紫光国芯符合国家规划布局内的集成电路设计企业资质，享受所得税率</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的 优惠政策，三家公司将</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年度按</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税率多计提缴纳的所得税冲减本期所得税费用</w:t>
      </w:r>
      <w:r>
        <w:rPr>
          <w:rFonts w:ascii="Times New Roman" w:eastAsia="Times New Roman" w:hAnsi="Times New Roman" w:cs="Times New Roman"/>
          <w:color w:val="000000"/>
          <w:spacing w:val="0"/>
          <w:w w:val="100"/>
          <w:position w:val="0"/>
          <w:sz w:val="20"/>
          <w:szCs w:val="20"/>
        </w:rPr>
        <w:t>19,705,396.36</w:t>
      </w:r>
      <w:r>
        <w:rPr>
          <w:color w:val="000000"/>
          <w:spacing w:val="0"/>
          <w:w w:val="100"/>
          <w:position w:val="0"/>
          <w:sz w:val="20"/>
          <w:szCs w:val="20"/>
        </w:rPr>
        <w:t>元， 增加归属于公司普通股股东的净利润</w:t>
      </w:r>
      <w:r>
        <w:rPr>
          <w:rFonts w:ascii="Times New Roman" w:eastAsia="Times New Roman" w:hAnsi="Times New Roman" w:cs="Times New Roman"/>
          <w:color w:val="000000"/>
          <w:spacing w:val="0"/>
          <w:w w:val="100"/>
          <w:position w:val="0"/>
          <w:sz w:val="20"/>
          <w:szCs w:val="20"/>
        </w:rPr>
        <w:t>19,693,011.43</w:t>
      </w:r>
      <w:r>
        <w:rPr>
          <w:color w:val="000000"/>
          <w:spacing w:val="0"/>
          <w:w w:val="100"/>
          <w:position w:val="0"/>
          <w:sz w:val="20"/>
          <w:szCs w:val="20"/>
        </w:rPr>
        <w:t>元。若不考虑该因素，扣除非经常性损益后归属公司普 通股股东的基本每股收益为</w:t>
      </w:r>
      <w:r>
        <w:rPr>
          <w:rFonts w:ascii="Times New Roman" w:eastAsia="Times New Roman" w:hAnsi="Times New Roman" w:cs="Times New Roman"/>
          <w:color w:val="000000"/>
          <w:spacing w:val="0"/>
          <w:w w:val="100"/>
          <w:position w:val="0"/>
          <w:sz w:val="20"/>
          <w:szCs w:val="20"/>
        </w:rPr>
        <w:t>0.3597</w:t>
      </w:r>
      <w:r>
        <w:rPr>
          <w:color w:val="000000"/>
          <w:spacing w:val="0"/>
          <w:w w:val="100"/>
          <w:position w:val="0"/>
          <w:sz w:val="20"/>
          <w:szCs w:val="20"/>
        </w:rPr>
        <w:t>，比去年同期降低</w:t>
      </w:r>
      <w:r>
        <w:rPr>
          <w:rFonts w:ascii="Times New Roman" w:eastAsia="Times New Roman" w:hAnsi="Times New Roman" w:cs="Times New Roman"/>
          <w:color w:val="000000"/>
          <w:spacing w:val="0"/>
          <w:w w:val="100"/>
          <w:position w:val="0"/>
          <w:sz w:val="20"/>
          <w:szCs w:val="20"/>
        </w:rPr>
        <w:t>15.92%</w:t>
      </w:r>
      <w:r>
        <w:rPr>
          <w:color w:val="000000"/>
          <w:spacing w:val="0"/>
          <w:w w:val="100"/>
          <w:position w:val="0"/>
          <w:sz w:val="20"/>
          <w:szCs w:val="20"/>
        </w:rPr>
        <w:t>。</w:t>
      </w:r>
    </w:p>
    <w:p>
      <w:pPr>
        <w:pStyle w:val="Style28"/>
        <w:keepNext/>
        <w:keepLines/>
        <w:widowControl w:val="0"/>
        <w:shd w:val="clear" w:color="auto" w:fill="auto"/>
        <w:bidi w:val="0"/>
        <w:spacing w:before="0" w:after="120" w:line="240" w:lineRule="auto"/>
        <w:ind w:left="0" w:right="0" w:firstLine="260"/>
        <w:jc w:val="both"/>
      </w:pPr>
      <w:bookmarkStart w:id="1233" w:name="bookmark1233"/>
      <w:bookmarkStart w:id="1234" w:name="bookmark1234"/>
      <w:bookmarkStart w:id="1235" w:name="bookmark1235"/>
      <w:bookmarkStart w:id="1236" w:name="bookmark1236"/>
      <w:r>
        <w:rPr>
          <w:color w:val="000000"/>
          <w:spacing w:val="0"/>
          <w:w w:val="100"/>
          <w:position w:val="0"/>
        </w:rPr>
        <w:t>（</w:t>
      </w:r>
      <w:bookmarkEnd w:id="1235"/>
      <w:r>
        <w:rPr>
          <w:color w:val="000000"/>
          <w:spacing w:val="0"/>
          <w:w w:val="100"/>
          <w:position w:val="0"/>
        </w:rPr>
        <w:t>三）公司主要会计报表项目的变动情况</w:t>
      </w:r>
      <w:bookmarkEnd w:id="1233"/>
      <w:bookmarkEnd w:id="1234"/>
      <w:bookmarkEnd w:id="1236"/>
    </w:p>
    <w:p>
      <w:pPr>
        <w:widowControl w:val="0"/>
        <w:spacing w:line="1" w:lineRule="exact"/>
      </w:pPr>
      <w:r>
        <mc:AlternateContent>
          <mc:Choice Requires="wps">
            <w:drawing>
              <wp:anchor distT="131445" distB="100330" distL="0" distR="0" simplePos="0" relativeHeight="125829412" behindDoc="0" locked="0" layoutInCell="1" allowOverlap="1">
                <wp:simplePos x="0" y="0"/>
                <wp:positionH relativeFrom="page">
                  <wp:posOffset>779780</wp:posOffset>
                </wp:positionH>
                <wp:positionV relativeFrom="paragraph">
                  <wp:posOffset>131445</wp:posOffset>
                </wp:positionV>
                <wp:extent cx="487680" cy="155575"/>
                <wp:wrapTopAndBottom/>
                <wp:docPr id="72" name="Shape 72"/>
                <a:graphic xmlns:a="http://schemas.openxmlformats.org/drawingml/2006/main">
                  <a:graphicData uri="http://schemas.microsoft.com/office/word/2010/wordprocessingShape">
                    <wps:wsp>
                      <wps:cNvSpPr txBox="1"/>
                      <wps:spPr>
                        <a:xfrm>
                          <a:ext cx="487680" cy="1555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报表项目</w:t>
                            </w:r>
                          </w:p>
                        </w:txbxContent>
                      </wps:txbx>
                      <wps:bodyPr wrap="none" lIns="0" tIns="0" rIns="0" bIns="0">
                        <a:noAutoFit/>
                      </wps:bodyPr>
                    </wps:wsp>
                  </a:graphicData>
                </a:graphic>
              </wp:anchor>
            </w:drawing>
          </mc:Choice>
          <mc:Fallback>
            <w:pict>
              <v:shape id="_x0000_s1098" type="#_x0000_t202" style="position:absolute;margin-left:61.399999999999999pt;margin-top:10.35pt;width:38.399999999999999pt;height:12.25pt;z-index:-125829341;mso-wrap-distance-left:0;mso-wrap-distance-top:10.35pt;mso-wrap-distance-right:0;mso-wrap-distance-bottom:7.9000000000000004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报表项目</w:t>
                      </w:r>
                    </w:p>
                  </w:txbxContent>
                </v:textbox>
                <w10:wrap type="topAndBottom" anchorx="page"/>
              </v:shape>
            </w:pict>
          </mc:Fallback>
        </mc:AlternateContent>
      </w:r>
      <w:r>
        <mc:AlternateContent>
          <mc:Choice Requires="wps">
            <w:drawing>
              <wp:anchor distT="12700" distB="0" distL="0" distR="0" simplePos="0" relativeHeight="125829414" behindDoc="0" locked="0" layoutInCell="1" allowOverlap="1">
                <wp:simplePos x="0" y="0"/>
                <wp:positionH relativeFrom="page">
                  <wp:posOffset>1938020</wp:posOffset>
                </wp:positionH>
                <wp:positionV relativeFrom="paragraph">
                  <wp:posOffset>12700</wp:posOffset>
                </wp:positionV>
                <wp:extent cx="2804160" cy="374650"/>
                <wp:wrapTopAndBottom/>
                <wp:docPr id="74" name="Shape 74"/>
                <a:graphic xmlns:a="http://schemas.openxmlformats.org/drawingml/2006/main">
                  <a:graphicData uri="http://schemas.microsoft.com/office/word/2010/wordprocessingShape">
                    <wps:wsp>
                      <wps:cNvSpPr txBox="1"/>
                      <wps:spPr>
                        <a:xfrm>
                          <a:ext cx="2804160" cy="374650"/>
                        </a:xfrm>
                        <a:prstGeom prst="rect"/>
                        <a:noFill/>
                      </wps:spPr>
                      <wps:txbx>
                        <w:txbxContent>
                          <w:tbl>
                            <w:tblPr>
                              <w:tblOverlap w:val="never"/>
                              <w:jc w:val="left"/>
                              <w:tblLayout w:type="fixed"/>
                            </w:tblPr>
                            <w:tblGrid>
                              <w:gridCol w:w="1603"/>
                              <w:gridCol w:w="1454"/>
                              <w:gridCol w:w="1358"/>
                            </w:tblGrid>
                            <w:tr>
                              <w:trPr>
                                <w:tblHeader/>
                                <w:trHeight w:val="2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b/>
                                      <w:bCs/>
                                      <w:color w:val="000000"/>
                                      <w:spacing w:val="0"/>
                                      <w:w w:val="100"/>
                                      <w:position w:val="0"/>
                                      <w:sz w:val="18"/>
                                      <w:szCs w:val="18"/>
                                    </w:rPr>
                                    <w:t xml:space="preserve">2016/12/31 </w:t>
                                  </w:r>
                                  <w:r>
                                    <w:rPr>
                                      <w:b/>
                                      <w:bCs/>
                                      <w:color w:val="000000"/>
                                      <w:spacing w:val="0"/>
                                      <w:w w:val="100"/>
                                      <w:position w:val="0"/>
                                      <w:sz w:val="16"/>
                                      <w:szCs w:val="16"/>
                                    </w:rPr>
                                    <w:t>(或</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8"/>
                                      <w:szCs w:val="18"/>
                                    </w:rPr>
                                    <w:t xml:space="preserve">2015/12/31 </w:t>
                                  </w:r>
                                  <w:r>
                                    <w:rPr>
                                      <w:b/>
                                      <w:bCs/>
                                      <w:color w:val="000000"/>
                                      <w:spacing w:val="0"/>
                                      <w:w w:val="100"/>
                                      <w:position w:val="0"/>
                                      <w:sz w:val="16"/>
                                      <w:szCs w:val="16"/>
                                    </w:rPr>
                                    <w:t>(或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变动比率</w:t>
                                  </w:r>
                                </w:p>
                              </w:tc>
                            </w:tr>
                            <w:tr>
                              <w:trPr>
                                <w:trHeight w:val="293" w:hRule="exact"/>
                              </w:trPr>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sz w:val="16"/>
                                      <w:szCs w:val="16"/>
                                    </w:rPr>
                                    <w:t>年度）</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8"/>
                                      <w:szCs w:val="18"/>
                                    </w:rPr>
                                    <w:t>2015</w:t>
                                  </w:r>
                                  <w:r>
                                    <w:rPr>
                                      <w:b/>
                                      <w:bCs/>
                                      <w:color w:val="000000"/>
                                      <w:spacing w:val="0"/>
                                      <w:w w:val="100"/>
                                      <w:position w:val="0"/>
                                      <w:sz w:val="16"/>
                                      <w:szCs w:val="16"/>
                                    </w:rPr>
                                    <w:t>年度）</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w:t>
                                  </w:r>
                                </w:p>
                              </w:tc>
                            </w:tr>
                          </w:tbl>
                          <w:p>
                            <w:pPr>
                              <w:widowControl w:val="0"/>
                              <w:spacing w:line="1" w:lineRule="exact"/>
                            </w:pPr>
                          </w:p>
                        </w:txbxContent>
                      </wps:txbx>
                      <wps:bodyPr lIns="0" tIns="0" rIns="0" bIns="0">
                        <a:noAutoFit/>
                      </wps:bodyPr>
                    </wps:wsp>
                  </a:graphicData>
                </a:graphic>
              </wp:anchor>
            </w:drawing>
          </mc:Choice>
          <mc:Fallback>
            <w:pict>
              <v:shape id="_x0000_s1100" type="#_x0000_t202" style="position:absolute;margin-left:152.59999999999999pt;margin-top:1.pt;width:220.80000000000001pt;height:29.5pt;z-index:-125829339;mso-wrap-distance-left:0;mso-wrap-distance-top:1.pt;mso-wrap-distance-right:0;mso-position-horizontal-relative:page" filled="f" stroked="f">
                <v:textbox inset="0,0,0,0">
                  <w:txbxContent>
                    <w:tbl>
                      <w:tblPr>
                        <w:tblOverlap w:val="never"/>
                        <w:jc w:val="left"/>
                        <w:tblLayout w:type="fixed"/>
                      </w:tblPr>
                      <w:tblGrid>
                        <w:gridCol w:w="1603"/>
                        <w:gridCol w:w="1454"/>
                        <w:gridCol w:w="1358"/>
                      </w:tblGrid>
                      <w:tr>
                        <w:trPr>
                          <w:tblHeader/>
                          <w:trHeight w:val="2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b/>
                                <w:bCs/>
                                <w:color w:val="000000"/>
                                <w:spacing w:val="0"/>
                                <w:w w:val="100"/>
                                <w:position w:val="0"/>
                                <w:sz w:val="18"/>
                                <w:szCs w:val="18"/>
                              </w:rPr>
                              <w:t xml:space="preserve">2016/12/31 </w:t>
                            </w:r>
                            <w:r>
                              <w:rPr>
                                <w:b/>
                                <w:bCs/>
                                <w:color w:val="000000"/>
                                <w:spacing w:val="0"/>
                                <w:w w:val="100"/>
                                <w:position w:val="0"/>
                                <w:sz w:val="16"/>
                                <w:szCs w:val="16"/>
                              </w:rPr>
                              <w:t>(或</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8"/>
                                <w:szCs w:val="18"/>
                              </w:rPr>
                              <w:t xml:space="preserve">2015/12/31 </w:t>
                            </w:r>
                            <w:r>
                              <w:rPr>
                                <w:b/>
                                <w:bCs/>
                                <w:color w:val="000000"/>
                                <w:spacing w:val="0"/>
                                <w:w w:val="100"/>
                                <w:position w:val="0"/>
                                <w:sz w:val="16"/>
                                <w:szCs w:val="16"/>
                              </w:rPr>
                              <w:t>(或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变动比率</w:t>
                            </w:r>
                          </w:p>
                        </w:tc>
                      </w:tr>
                      <w:tr>
                        <w:trPr>
                          <w:trHeight w:val="293" w:hRule="exact"/>
                        </w:trPr>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sz w:val="16"/>
                                <w:szCs w:val="16"/>
                              </w:rPr>
                              <w:t>年度）</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8"/>
                                <w:szCs w:val="18"/>
                              </w:rPr>
                              <w:t>2015</w:t>
                            </w:r>
                            <w:r>
                              <w:rPr>
                                <w:b/>
                                <w:bCs/>
                                <w:color w:val="000000"/>
                                <w:spacing w:val="0"/>
                                <w:w w:val="100"/>
                                <w:position w:val="0"/>
                                <w:sz w:val="16"/>
                                <w:szCs w:val="16"/>
                              </w:rPr>
                              <w:t>年度）</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w:t>
                            </w:r>
                          </w:p>
                        </w:tc>
                      </w:tr>
                    </w:tbl>
                    <w:p>
                      <w:pPr>
                        <w:widowControl w:val="0"/>
                        <w:spacing w:line="1" w:lineRule="exact"/>
                      </w:pPr>
                    </w:p>
                  </w:txbxContent>
                </v:textbox>
                <w10:wrap type="topAndBottom" anchorx="page"/>
              </v:shape>
            </w:pict>
          </mc:Fallback>
        </mc:AlternateContent>
      </w:r>
      <w:r>
        <mc:AlternateContent>
          <mc:Choice Requires="wps">
            <w:drawing>
              <wp:anchor distT="131445" distB="103505" distL="0" distR="0" simplePos="0" relativeHeight="125829416" behindDoc="0" locked="0" layoutInCell="1" allowOverlap="1">
                <wp:simplePos x="0" y="0"/>
                <wp:positionH relativeFrom="page">
                  <wp:posOffset>5440045</wp:posOffset>
                </wp:positionH>
                <wp:positionV relativeFrom="paragraph">
                  <wp:posOffset>131445</wp:posOffset>
                </wp:positionV>
                <wp:extent cx="716280" cy="152400"/>
                <wp:wrapTopAndBottom/>
                <wp:docPr id="76" name="Shape 76"/>
                <a:graphic xmlns:a="http://schemas.openxmlformats.org/drawingml/2006/main">
                  <a:graphicData uri="http://schemas.microsoft.com/office/word/2010/wordprocessingShape">
                    <wps:wsp>
                      <wps:cNvSpPr txBox="1"/>
                      <wps:spPr>
                        <a:xfrm>
                          <a:ext cx="716280" cy="15240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变动原因说明</w:t>
                            </w:r>
                          </w:p>
                        </w:txbxContent>
                      </wps:txbx>
                      <wps:bodyPr wrap="none" lIns="0" tIns="0" rIns="0" bIns="0">
                        <a:noAutoFit/>
                      </wps:bodyPr>
                    </wps:wsp>
                  </a:graphicData>
                </a:graphic>
              </wp:anchor>
            </w:drawing>
          </mc:Choice>
          <mc:Fallback>
            <w:pict>
              <v:shape id="_x0000_s1102" type="#_x0000_t202" style="position:absolute;margin-left:428.35000000000002pt;margin-top:10.35pt;width:56.399999999999999pt;height:12.pt;z-index:-125829337;mso-wrap-distance-left:0;mso-wrap-distance-top:10.35pt;mso-wrap-distance-right:0;mso-wrap-distance-bottom:8.1500000000000004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变动原因说明</w:t>
                      </w:r>
                    </w:p>
                  </w:txbxContent>
                </v:textbox>
                <w10:wrap type="topAndBottom" anchorx="page"/>
              </v:shape>
            </w:pict>
          </mc:Fallback>
        </mc:AlternateContent>
      </w:r>
      <w:r>
        <w:br w:type="page"/>
      </w:r>
    </w:p>
    <w:tbl>
      <w:tblPr>
        <w:tblOverlap w:val="never"/>
        <w:jc w:val="center"/>
        <w:tblLayout w:type="fixed"/>
      </w:tblPr>
      <w:tblGrid>
        <w:gridCol w:w="2030"/>
        <w:gridCol w:w="1560"/>
        <w:gridCol w:w="1416"/>
        <w:gridCol w:w="1277"/>
        <w:gridCol w:w="3528"/>
      </w:tblGrid>
      <w:tr>
        <w:trPr>
          <w:trHeight w:val="58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报表项目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8"/>
                <w:szCs w:val="18"/>
              </w:rPr>
              <w:t xml:space="preserve">2016/12/31 </w:t>
            </w:r>
            <w:r>
              <w:rPr>
                <w:b/>
                <w:bCs/>
                <w:color w:val="000000"/>
                <w:spacing w:val="0"/>
                <w:w w:val="100"/>
                <w:position w:val="0"/>
                <w:sz w:val="16"/>
                <w:szCs w:val="16"/>
              </w:rPr>
              <w:t>（或</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sz w:val="16"/>
                <w:szCs w:val="16"/>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8"/>
                <w:szCs w:val="18"/>
              </w:rPr>
              <w:t xml:space="preserve">2015/12/31 </w:t>
            </w:r>
            <w:r>
              <w:rPr>
                <w:b/>
                <w:bCs/>
                <w:color w:val="000000"/>
                <w:spacing w:val="0"/>
                <w:w w:val="100"/>
                <w:position w:val="0"/>
                <w:sz w:val="16"/>
                <w:szCs w:val="16"/>
              </w:rPr>
              <w:t>（或</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8"/>
                <w:szCs w:val="18"/>
              </w:rPr>
              <w:t>2015</w:t>
            </w:r>
            <w:r>
              <w:rPr>
                <w:b/>
                <w:bCs/>
                <w:color w:val="000000"/>
                <w:spacing w:val="0"/>
                <w:w w:val="100"/>
                <w:position w:val="0"/>
                <w:sz w:val="16"/>
                <w:szCs w:val="16"/>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center"/>
              <w:rPr>
                <w:sz w:val="16"/>
                <w:szCs w:val="16"/>
              </w:rPr>
            </w:pPr>
            <w:r>
              <w:rPr>
                <w:b/>
                <w:bCs/>
                <w:color w:val="000000"/>
                <w:spacing w:val="0"/>
                <w:w w:val="100"/>
                <w:position w:val="0"/>
                <w:sz w:val="16"/>
                <w:szCs w:val="16"/>
              </w:rPr>
              <w:t>变动比率</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变动原因说明</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302,484,599.28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157,878,755.40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主要系公司特种集成电路产品本年销量增 加，且加大了票据结算比例所致。</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567,879,694.53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319,446,944.47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主要系公司集成电路重大研发项目投入增 加所致。</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主要系公司特种集成电路业务和存储业务 增长，资金需求增加所致。</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148,201,971.23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283,454,542.29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主要系公司智能芯片业务下滑，期初结存 的应付票据到期集中兑付所致。</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103,283,453.58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73,100,363.57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主要系公司因人员增加及工资增长致计提 年终奖金额度增加所致。</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27,641,807.86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43,714,380.91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主要系本年缴纳上年所得税及本期所得税 率降低计提所得税减少所致。</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主要系公司子公司西安紫光国芯收到的明 股实债性质的政府资助贷款。</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-11,973,222.16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-27,547,980.74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主要系公司作为战略性投资的华虹半导体 股价上升所致。</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82,988,983.99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59,116,681.41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主要系公司下属非全资子公司紫光同创本 年收到其少数股东投资款</w:t>
            </w:r>
            <w:r>
              <w:rPr>
                <w:rFonts w:ascii="Times New Roman" w:eastAsia="Times New Roman" w:hAnsi="Times New Roman" w:cs="Times New Roman"/>
                <w:color w:val="000000"/>
                <w:spacing w:val="0"/>
                <w:w w:val="100"/>
                <w:position w:val="0"/>
                <w:sz w:val="18"/>
                <w:szCs w:val="18"/>
              </w:rPr>
              <w:t>2700</w:t>
            </w:r>
            <w:r>
              <w:rPr>
                <w:color w:val="000000"/>
                <w:spacing w:val="0"/>
                <w:w w:val="100"/>
                <w:position w:val="0"/>
                <w:sz w:val="16"/>
                <w:szCs w:val="16"/>
              </w:rPr>
              <w:t>万元所致。</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231,784,667.42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166,457,345.71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主要系薪金增长以及无形资产摊销和研发 费用增加所致。</w:t>
            </w:r>
          </w:p>
        </w:tc>
      </w:tr>
      <w:tr>
        <w:trPr>
          <w:trHeight w:val="79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19,380,508.32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61,277,811.29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 xml:space="preserve">主要系集成电路业务所得税政策变动导致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6"/>
                <w:szCs w:val="16"/>
              </w:rPr>
              <w:t>年所得税汇算清缴调整及本期所得税 费用降低所致。</w:t>
            </w:r>
          </w:p>
        </w:tc>
      </w:tr>
      <w:tr>
        <w:trPr>
          <w:trHeight w:val="78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经营活动净现金流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129,983,021.66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403,034,480.39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6"/>
                <w:szCs w:val="16"/>
              </w:rPr>
            </w:pPr>
            <w:r>
              <w:rPr>
                <w:color w:val="000000"/>
                <w:spacing w:val="0"/>
                <w:w w:val="100"/>
                <w:position w:val="0"/>
                <w:sz w:val="16"/>
                <w:szCs w:val="16"/>
              </w:rPr>
              <w:t>主要系本年收到的委托及合作研发款项低 于上年以及本年使用供应商信用额度下降 使购买商品支付现金增加所致。</w:t>
            </w:r>
          </w:p>
        </w:tc>
      </w:tr>
      <w:tr>
        <w:trPr>
          <w:trHeight w:val="79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投资活动净现金流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-259,720,996.11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-421,499,890.09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主要系公司上年收购西安紫光国芯支付投 资款及保证金，而本年无收购业务形成的 投资支出所致。</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筹资活动净现金流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104,316,047.28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-22,780,716.34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主要系公司本年银行借款增加以及控股子 公司紫光同创吸收少数股东投资所致。</w:t>
            </w:r>
          </w:p>
        </w:tc>
      </w:tr>
      <w:tr>
        <w:trPr>
          <w:trHeight w:val="58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汇率变动对现金影响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9,105,123.27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5,585,839.15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主要系公司美元货币性资产增加而美元兑 人民币汇率增加所致。</w:t>
            </w:r>
          </w:p>
        </w:tc>
      </w:tr>
    </w:tbl>
    <w:p>
      <w:pPr>
        <w:sectPr>
          <w:headerReference w:type="default" r:id="rId19"/>
          <w:footerReference w:type="default" r:id="rId20"/>
          <w:footnotePr>
            <w:pos w:val="pageBottom"/>
            <w:numFmt w:val="decimal"/>
            <w:numRestart w:val="continuous"/>
          </w:footnotePr>
          <w:pgSz w:w="11900" w:h="16840"/>
          <w:pgMar w:top="1292" w:right="818" w:bottom="1455" w:left="835" w:header="0" w:footer="3" w:gutter="0"/>
          <w:cols w:space="720"/>
          <w:noEndnote/>
          <w:rtlGutter w:val="0"/>
          <w:docGrid w:linePitch="360"/>
        </w:sectPr>
      </w:pPr>
    </w:p>
    <w:p>
      <w:pPr>
        <w:pStyle w:val="Style15"/>
        <w:keepNext/>
        <w:keepLines/>
        <w:widowControl w:val="0"/>
        <w:shd w:val="clear" w:color="auto" w:fill="auto"/>
        <w:bidi w:val="0"/>
        <w:spacing w:before="0" w:after="900" w:line="240" w:lineRule="auto"/>
        <w:ind w:left="0" w:right="0" w:firstLine="0"/>
        <w:jc w:val="center"/>
      </w:pPr>
      <w:bookmarkStart w:id="1237" w:name="bookmark1237"/>
      <w:bookmarkStart w:id="1238" w:name="bookmark1238"/>
      <w:bookmarkStart w:id="1239" w:name="bookmark1239"/>
      <w:r>
        <w:rPr>
          <w:color w:val="000000"/>
          <w:spacing w:val="0"/>
          <w:w w:val="100"/>
          <w:position w:val="0"/>
        </w:rPr>
        <w:t>第十一节备查文件目录</w:t>
      </w:r>
      <w:bookmarkEnd w:id="1237"/>
      <w:bookmarkEnd w:id="1238"/>
      <w:bookmarkEnd w:id="1239"/>
    </w:p>
    <w:p>
      <w:pPr>
        <w:pStyle w:val="Style31"/>
        <w:keepNext w:val="0"/>
        <w:keepLines w:val="0"/>
        <w:widowControl w:val="0"/>
        <w:shd w:val="clear" w:color="auto" w:fill="auto"/>
        <w:tabs>
          <w:tab w:pos="1198" w:val="left"/>
        </w:tabs>
        <w:bidi w:val="0"/>
        <w:spacing w:before="0" w:after="100" w:line="322" w:lineRule="exact"/>
        <w:ind w:left="0" w:right="0" w:firstLine="440"/>
        <w:jc w:val="both"/>
      </w:pPr>
      <w:bookmarkStart w:id="1240" w:name="bookmark1240"/>
      <w:bookmarkStart w:id="1241" w:name="bookmark1241"/>
      <w:r>
        <w:rPr>
          <w:color w:val="000000"/>
          <w:spacing w:val="0"/>
          <w:w w:val="100"/>
          <w:position w:val="0"/>
        </w:rPr>
        <w:t>（</w:t>
      </w:r>
      <w:bookmarkEnd w:id="1241"/>
      <w:r>
        <w:rPr>
          <w:color w:val="000000"/>
          <w:spacing w:val="0"/>
          <w:w w:val="100"/>
          <w:position w:val="0"/>
        </w:rPr>
        <w:t>一）</w:t>
        <w:tab/>
        <w:t>载有公司负责人、主管会计工作负责人、会计机构负责人（会计主管人员）签名 并盖章的财务报表。</w:t>
      </w:r>
      <w:bookmarkEnd w:id="1240"/>
    </w:p>
    <w:p>
      <w:pPr>
        <w:pStyle w:val="Style31"/>
        <w:keepNext w:val="0"/>
        <w:keepLines w:val="0"/>
        <w:widowControl w:val="0"/>
        <w:shd w:val="clear" w:color="auto" w:fill="auto"/>
        <w:tabs>
          <w:tab w:pos="1107" w:val="left"/>
        </w:tabs>
        <w:bidi w:val="0"/>
        <w:spacing w:before="0" w:after="100" w:line="322" w:lineRule="exact"/>
        <w:ind w:left="0" w:right="0" w:firstLine="440"/>
        <w:jc w:val="left"/>
      </w:pPr>
      <w:bookmarkStart w:id="1242" w:name="bookmark1242"/>
      <w:r>
        <w:rPr>
          <w:color w:val="000000"/>
          <w:spacing w:val="0"/>
          <w:w w:val="100"/>
          <w:position w:val="0"/>
        </w:rPr>
        <w:t>（</w:t>
      </w:r>
      <w:bookmarkEnd w:id="1242"/>
      <w:r>
        <w:rPr>
          <w:color w:val="000000"/>
          <w:spacing w:val="0"/>
          <w:w w:val="100"/>
          <w:position w:val="0"/>
        </w:rPr>
        <w:t>二）</w:t>
        <w:tab/>
        <w:t>载有会计师事务所盖章、注册会计师签名并盖章的审计报告原件。</w:t>
      </w:r>
    </w:p>
    <w:p>
      <w:pPr>
        <w:pStyle w:val="Style31"/>
        <w:keepNext w:val="0"/>
        <w:keepLines w:val="0"/>
        <w:widowControl w:val="0"/>
        <w:shd w:val="clear" w:color="auto" w:fill="auto"/>
        <w:tabs>
          <w:tab w:pos="1203" w:val="left"/>
        </w:tabs>
        <w:bidi w:val="0"/>
        <w:spacing w:before="0" w:after="100" w:line="322" w:lineRule="exact"/>
        <w:ind w:left="0" w:right="0" w:firstLine="440"/>
        <w:jc w:val="both"/>
      </w:pPr>
      <w:bookmarkStart w:id="1243" w:name="bookmark1243"/>
      <w:r>
        <w:rPr>
          <w:color w:val="000000"/>
          <w:spacing w:val="0"/>
          <w:w w:val="100"/>
          <w:position w:val="0"/>
        </w:rPr>
        <w:t>（</w:t>
      </w:r>
      <w:bookmarkEnd w:id="1243"/>
      <w:r>
        <w:rPr>
          <w:color w:val="000000"/>
          <w:spacing w:val="0"/>
          <w:w w:val="100"/>
          <w:position w:val="0"/>
        </w:rPr>
        <w:t>三）</w:t>
        <w:tab/>
        <w:t>报告期内在中国证监会指定网站上公开披露过的所有公司文件的正本及公告的原 稿。</w:t>
      </w:r>
    </w:p>
    <w:p>
      <w:pPr>
        <w:pStyle w:val="Style31"/>
        <w:keepNext w:val="0"/>
        <w:keepLines w:val="0"/>
        <w:widowControl w:val="0"/>
        <w:shd w:val="clear" w:color="auto" w:fill="auto"/>
        <w:bidi w:val="0"/>
        <w:spacing w:before="0" w:after="1740" w:line="322" w:lineRule="exact"/>
        <w:ind w:left="0" w:right="0" w:firstLine="440"/>
        <w:jc w:val="both"/>
      </w:pPr>
      <w:r>
        <w:rPr>
          <w:color w:val="000000"/>
          <w:spacing w:val="0"/>
          <w:w w:val="100"/>
          <w:position w:val="0"/>
        </w:rPr>
        <w:t>以上文件均完整备置于公司董事会办公室。</w:t>
      </w:r>
    </w:p>
    <w:p>
      <w:pPr>
        <w:pStyle w:val="Style31"/>
        <w:keepNext w:val="0"/>
        <w:keepLines w:val="0"/>
        <w:widowControl w:val="0"/>
        <w:shd w:val="clear" w:color="auto" w:fill="auto"/>
        <w:bidi w:val="0"/>
        <w:spacing w:before="0" w:after="580" w:line="240" w:lineRule="auto"/>
        <w:ind w:left="0" w:right="1520" w:firstLine="0"/>
        <w:jc w:val="right"/>
        <w:rPr>
          <w:sz w:val="20"/>
          <w:szCs w:val="20"/>
        </w:rPr>
      </w:pPr>
      <w:r>
        <w:rPr>
          <w:color w:val="000000"/>
          <w:spacing w:val="0"/>
          <w:w w:val="100"/>
          <w:position w:val="0"/>
          <w:sz w:val="20"/>
          <w:szCs w:val="20"/>
        </w:rPr>
        <w:t>紫光国芯股份有限公司</w:t>
      </w:r>
    </w:p>
    <w:p>
      <w:pPr>
        <w:pStyle w:val="Style31"/>
        <w:keepNext w:val="0"/>
        <w:keepLines w:val="0"/>
        <w:widowControl w:val="0"/>
        <w:shd w:val="clear" w:color="auto" w:fill="auto"/>
        <w:bidi w:val="0"/>
        <w:spacing w:before="0" w:after="620" w:line="240" w:lineRule="auto"/>
        <w:ind w:left="6120" w:right="0" w:firstLine="0"/>
        <w:jc w:val="left"/>
        <w:rPr>
          <w:sz w:val="20"/>
          <w:szCs w:val="20"/>
        </w:rPr>
      </w:pPr>
      <w:r>
        <w:rPr>
          <w:color w:val="000000"/>
          <w:spacing w:val="0"/>
          <w:w w:val="100"/>
          <w:position w:val="0"/>
          <w:sz w:val="20"/>
          <w:szCs w:val="20"/>
        </w:rPr>
        <w:t>董事长：赵伟国</w:t>
      </w:r>
    </w:p>
    <w:p>
      <w:pPr>
        <w:pStyle w:val="Style100"/>
        <w:keepNext w:val="0"/>
        <w:keepLines w:val="0"/>
        <w:widowControl w:val="0"/>
        <w:shd w:val="clear" w:color="auto" w:fill="auto"/>
        <w:bidi w:val="0"/>
        <w:spacing w:before="0" w:after="0" w:line="240" w:lineRule="auto"/>
        <w:ind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sectPr>
      <w:footnotePr>
        <w:pos w:val="pageBottom"/>
        <w:numFmt w:val="decimal"/>
        <w:numRestart w:val="continuous"/>
      </w:footnotePr>
      <w:pgSz w:w="11900" w:h="16840"/>
      <w:pgMar w:top="1460" w:right="1123" w:bottom="1460"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6794500</wp:posOffset>
              </wp:positionH>
              <wp:positionV relativeFrom="page">
                <wp:posOffset>10128885</wp:posOffset>
              </wp:positionV>
              <wp:extent cx="21590" cy="76200"/>
              <wp:wrapNone/>
              <wp:docPr id="4" name="Shape 4"/>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rPr>
                              <w:t>#</w:t>
                            </w:r>
                          </w:fldSimple>
                        </w:p>
                      </w:txbxContent>
                    </wps:txbx>
                    <wps:bodyPr wrap="none" lIns="0" tIns="0" rIns="0" bIns="0">
                      <a:spAutoFit/>
                    </wps:bodyPr>
                  </wps:wsp>
                </a:graphicData>
              </a:graphic>
            </wp:anchor>
          </w:drawing>
        </mc:Choice>
        <mc:Fallback>
          <w:pict>
            <v:shape id="_x0000_s1030" type="#_x0000_t202" style="position:absolute;margin-left:535.pt;margin-top:797.55000000000007pt;width:1.7pt;height:6.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6726555</wp:posOffset>
              </wp:positionH>
              <wp:positionV relativeFrom="page">
                <wp:posOffset>9958070</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9.64999999999998pt;margin-top:784.10000000000002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719455</wp:posOffset>
              </wp:positionH>
              <wp:positionV relativeFrom="page">
                <wp:posOffset>9377680</wp:posOffset>
              </wp:positionV>
              <wp:extent cx="5757545" cy="109855"/>
              <wp:wrapNone/>
              <wp:docPr id="15" name="Shape 15"/>
              <a:graphic xmlns:a="http://schemas.openxmlformats.org/drawingml/2006/main">
                <a:graphicData uri="http://schemas.microsoft.com/office/word/2010/wordprocessingShape">
                  <wps:wsp>
                    <wps:cNvSpPr txBox="1"/>
                    <wps:spPr>
                      <a:xfrm>
                        <a:ext cx="5757545" cy="109855"/>
                      </a:xfrm>
                      <a:prstGeom prst="rect"/>
                      <a:noFill/>
                    </wps:spPr>
                    <wps:txbx>
                      <w:txbxContent>
                        <w:p>
                          <w:pPr>
                            <w:pStyle w:val="Style68"/>
                            <w:keepNext w:val="0"/>
                            <w:keepLines w:val="0"/>
                            <w:widowControl w:val="0"/>
                            <w:shd w:val="clear" w:color="auto" w:fill="auto"/>
                            <w:tabs>
                              <w:tab w:pos="5741" w:val="right"/>
                              <w:tab w:pos="9067" w:val="right"/>
                            </w:tabs>
                            <w:bidi w:val="0"/>
                            <w:spacing w:before="0" w:after="0" w:line="240" w:lineRule="auto"/>
                            <w:ind w:left="0" w:right="0" w:firstLine="0"/>
                            <w:jc w:val="left"/>
                          </w:pPr>
                          <w:r>
                            <w:rPr>
                              <w:b/>
                              <w:bCs/>
                              <w:color w:val="000000"/>
                              <w:spacing w:val="0"/>
                              <w:w w:val="100"/>
                              <w:position w:val="0"/>
                            </w:rPr>
                            <w:t>法定代表人：赵伟国</w:t>
                            <w:tab/>
                            <w:t>主管会计工作负责人：杨秋平</w:t>
                            <w:tab/>
                            <w:t>会计机构负责人：张典洪</w:t>
                          </w:r>
                        </w:p>
                      </w:txbxContent>
                    </wps:txbx>
                    <wps:bodyPr lIns="0" tIns="0" rIns="0" bIns="0">
                      <a:spAutoFit/>
                    </wps:bodyPr>
                  </wps:wsp>
                </a:graphicData>
              </a:graphic>
            </wp:anchor>
          </w:drawing>
        </mc:Choice>
        <mc:Fallback>
          <w:pict>
            <v:shape id="_x0000_s1041" type="#_x0000_t202" style="position:absolute;margin-left:56.649999999999999pt;margin-top:738.39999999999998pt;width:453.35000000000002pt;height:8.6500000000000004pt;z-index:-188744053;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tabs>
                        <w:tab w:pos="5741" w:val="right"/>
                        <w:tab w:pos="9067" w:val="right"/>
                      </w:tabs>
                      <w:bidi w:val="0"/>
                      <w:spacing w:before="0" w:after="0" w:line="240" w:lineRule="auto"/>
                      <w:ind w:left="0" w:right="0" w:firstLine="0"/>
                      <w:jc w:val="left"/>
                    </w:pPr>
                    <w:r>
                      <w:rPr>
                        <w:b/>
                        <w:bCs/>
                        <w:color w:val="000000"/>
                        <w:spacing w:val="0"/>
                        <w:w w:val="100"/>
                        <w:position w:val="0"/>
                      </w:rPr>
                      <w:t>法定代表人：赵伟国</w:t>
                      <w:tab/>
                      <w:t>主管会计工作负责人：杨秋平</w:t>
                      <w:tab/>
                      <w:t>会计机构负责人：张典洪</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6730365</wp:posOffset>
              </wp:positionH>
              <wp:positionV relativeFrom="page">
                <wp:posOffset>9978390</wp:posOffset>
              </wp:positionV>
              <wp:extent cx="103505" cy="79375"/>
              <wp:wrapNone/>
              <wp:docPr id="17" name="Shape 1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3" type="#_x0000_t202" style="position:absolute;margin-left:529.95000000000005pt;margin-top:785.70000000000005pt;width:8.1500000000000004pt;height:6.25pt;z-index:-188744051;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6726555</wp:posOffset>
              </wp:positionH>
              <wp:positionV relativeFrom="page">
                <wp:posOffset>9958070</wp:posOffset>
              </wp:positionV>
              <wp:extent cx="97790" cy="79375"/>
              <wp:wrapNone/>
              <wp:docPr id="26" name="Shape 2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2" type="#_x0000_t202" style="position:absolute;margin-left:529.64999999999998pt;margin-top:784.10000000000002pt;width:7.7000000000000002pt;height:6.25pt;z-index:-18874404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719455</wp:posOffset>
              </wp:positionH>
              <wp:positionV relativeFrom="page">
                <wp:posOffset>9377680</wp:posOffset>
              </wp:positionV>
              <wp:extent cx="5757545" cy="109855"/>
              <wp:wrapNone/>
              <wp:docPr id="35" name="Shape 35"/>
              <a:graphic xmlns:a="http://schemas.openxmlformats.org/drawingml/2006/main">
                <a:graphicData uri="http://schemas.microsoft.com/office/word/2010/wordprocessingShape">
                  <wps:wsp>
                    <wps:cNvSpPr txBox="1"/>
                    <wps:spPr>
                      <a:xfrm>
                        <a:ext cx="5757545" cy="109855"/>
                      </a:xfrm>
                      <a:prstGeom prst="rect"/>
                      <a:noFill/>
                    </wps:spPr>
                    <wps:txbx>
                      <w:txbxContent>
                        <w:p>
                          <w:pPr>
                            <w:pStyle w:val="Style68"/>
                            <w:keepNext w:val="0"/>
                            <w:keepLines w:val="0"/>
                            <w:widowControl w:val="0"/>
                            <w:shd w:val="clear" w:color="auto" w:fill="auto"/>
                            <w:tabs>
                              <w:tab w:pos="5741" w:val="right"/>
                              <w:tab w:pos="9067" w:val="right"/>
                            </w:tabs>
                            <w:bidi w:val="0"/>
                            <w:spacing w:before="0" w:after="0" w:line="240" w:lineRule="auto"/>
                            <w:ind w:left="0" w:right="0" w:firstLine="0"/>
                            <w:jc w:val="left"/>
                          </w:pPr>
                          <w:r>
                            <w:rPr>
                              <w:b/>
                              <w:bCs/>
                              <w:color w:val="000000"/>
                              <w:spacing w:val="0"/>
                              <w:w w:val="100"/>
                              <w:position w:val="0"/>
                            </w:rPr>
                            <w:t>法定代表人：赵伟国</w:t>
                            <w:tab/>
                            <w:t>主管会计工作负责人：杨秋平</w:t>
                            <w:tab/>
                            <w:t>会计机构负责人：张典洪</w:t>
                          </w:r>
                        </w:p>
                      </w:txbxContent>
                    </wps:txbx>
                    <wps:bodyPr lIns="0" tIns="0" rIns="0" bIns="0">
                      <a:spAutoFit/>
                    </wps:bodyPr>
                  </wps:wsp>
                </a:graphicData>
              </a:graphic>
            </wp:anchor>
          </w:drawing>
        </mc:Choice>
        <mc:Fallback>
          <w:pict>
            <v:shape id="_x0000_s1061" type="#_x0000_t202" style="position:absolute;margin-left:56.649999999999999pt;margin-top:738.39999999999998pt;width:453.35000000000002pt;height:8.6500000000000004pt;z-index:-188744043;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tabs>
                        <w:tab w:pos="5741" w:val="right"/>
                        <w:tab w:pos="9067" w:val="right"/>
                      </w:tabs>
                      <w:bidi w:val="0"/>
                      <w:spacing w:before="0" w:after="0" w:line="240" w:lineRule="auto"/>
                      <w:ind w:left="0" w:right="0" w:firstLine="0"/>
                      <w:jc w:val="left"/>
                    </w:pPr>
                    <w:r>
                      <w:rPr>
                        <w:b/>
                        <w:bCs/>
                        <w:color w:val="000000"/>
                        <w:spacing w:val="0"/>
                        <w:w w:val="100"/>
                        <w:position w:val="0"/>
                      </w:rPr>
                      <w:t>法定代表人：赵伟国</w:t>
                      <w:tab/>
                      <w:t>主管会计工作负责人：杨秋平</w:t>
                      <w:tab/>
                      <w:t>会计机构负责人：张典洪</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6730365</wp:posOffset>
              </wp:positionH>
              <wp:positionV relativeFrom="page">
                <wp:posOffset>9978390</wp:posOffset>
              </wp:positionV>
              <wp:extent cx="103505" cy="79375"/>
              <wp:wrapNone/>
              <wp:docPr id="37" name="Shape 3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3" type="#_x0000_t202" style="position:absolute;margin-left:529.95000000000005pt;margin-top:785.70000000000005pt;width:8.1500000000000004pt;height:6.25pt;z-index:-188744041;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9671685</wp:posOffset>
              </wp:positionH>
              <wp:positionV relativeFrom="page">
                <wp:posOffset>6824345</wp:posOffset>
              </wp:positionV>
              <wp:extent cx="103505" cy="79375"/>
              <wp:wrapNone/>
              <wp:docPr id="42" name="Shape 4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8" type="#_x0000_t202" style="position:absolute;margin-left:761.55000000000007pt;margin-top:537.35000000000002pt;width:8.1500000000000004pt;height:6.25pt;z-index:-188744037;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6726555</wp:posOffset>
              </wp:positionH>
              <wp:positionV relativeFrom="page">
                <wp:posOffset>9958070</wp:posOffset>
              </wp:positionV>
              <wp:extent cx="97790" cy="79375"/>
              <wp:wrapNone/>
              <wp:docPr id="81" name="Shape 8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529.64999999999998pt;margin-top:784.10000000000002pt;width:7.7000000000000002pt;height:6.25pt;z-index:-18874403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4617720</wp:posOffset>
              </wp:positionH>
              <wp:positionV relativeFrom="page">
                <wp:posOffset>478790</wp:posOffset>
              </wp:positionV>
              <wp:extent cx="2216150" cy="106680"/>
              <wp:wrapNone/>
              <wp:docPr id="1" name="Shape 1"/>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紫光国芯股份有限公司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3.60000000000002pt;margin-top:37.700000000000003pt;width:174.5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紫光国芯股份有限公司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4617720</wp:posOffset>
              </wp:positionH>
              <wp:positionV relativeFrom="page">
                <wp:posOffset>561340</wp:posOffset>
              </wp:positionV>
              <wp:extent cx="2216150" cy="106680"/>
              <wp:wrapNone/>
              <wp:docPr id="6" name="Shape 6"/>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紫光国芯股份有限公司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32" type="#_x0000_t202" style="position:absolute;margin-left:363.60000000000002pt;margin-top:44.200000000000003pt;width:174.5pt;height:8.4000000000000004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紫光国芯股份有限公司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4617720</wp:posOffset>
              </wp:positionH>
              <wp:positionV relativeFrom="page">
                <wp:posOffset>551180</wp:posOffset>
              </wp:positionV>
              <wp:extent cx="2216150" cy="106680"/>
              <wp:wrapNone/>
              <wp:docPr id="12" name="Shape 12"/>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紫光国芯股份有限公司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38" type="#_x0000_t202" style="position:absolute;margin-left:363.60000000000002pt;margin-top:43.399999999999999pt;width:174.5pt;height:8.4000000000000004pt;z-index:-188744055;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紫光国芯股份有限公司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4" name="Shape 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4617720</wp:posOffset>
              </wp:positionH>
              <wp:positionV relativeFrom="page">
                <wp:posOffset>561340</wp:posOffset>
              </wp:positionV>
              <wp:extent cx="2216150" cy="106680"/>
              <wp:wrapNone/>
              <wp:docPr id="23" name="Shape 23"/>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紫光国芯股份有限公司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49" type="#_x0000_t202" style="position:absolute;margin-left:363.60000000000002pt;margin-top:44.200000000000003pt;width:174.5pt;height:8.4000000000000004pt;z-index:-18874404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紫光国芯股份有限公司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25" name="Shape 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4617720</wp:posOffset>
              </wp:positionH>
              <wp:positionV relativeFrom="page">
                <wp:posOffset>551180</wp:posOffset>
              </wp:positionV>
              <wp:extent cx="2216150" cy="106680"/>
              <wp:wrapNone/>
              <wp:docPr id="32" name="Shape 32"/>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紫光国芯股份有限公司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8" type="#_x0000_t202" style="position:absolute;margin-left:363.60000000000002pt;margin-top:43.399999999999999pt;width:174.5pt;height:8.4000000000000004pt;z-index:-188744045;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紫光国芯股份有限公司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34" name="Shape 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7559675</wp:posOffset>
              </wp:positionH>
              <wp:positionV relativeFrom="page">
                <wp:posOffset>558165</wp:posOffset>
              </wp:positionV>
              <wp:extent cx="2216150" cy="106680"/>
              <wp:wrapNone/>
              <wp:docPr id="39" name="Shape 39"/>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紫光国芯股份有限公司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5" type="#_x0000_t202" style="position:absolute;margin-left:595.25pt;margin-top:43.950000000000003pt;width:174.5pt;height:8.4000000000000004pt;z-index:-188744039;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紫光国芯股份有限公司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41" name="Shape 4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4617720</wp:posOffset>
              </wp:positionH>
              <wp:positionV relativeFrom="page">
                <wp:posOffset>561340</wp:posOffset>
              </wp:positionV>
              <wp:extent cx="2216150" cy="106680"/>
              <wp:wrapNone/>
              <wp:docPr id="78" name="Shape 78"/>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紫光国芯股份有限公司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04" type="#_x0000_t202" style="position:absolute;margin-left:363.60000000000002pt;margin-top:44.200000000000003pt;width:174.5pt;height:8.4000000000000004pt;z-index:-18874403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紫光国芯股份有限公司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80" name="Shape 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22"/>
      <w:szCs w:val="22"/>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6">
    <w:name w:val="标题 #1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2)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sz w:val="20"/>
      <w:szCs w:val="20"/>
      <w:u w:val="none"/>
      <w:shd w:val="clear" w:color="auto" w:fill="auto"/>
    </w:rPr>
  </w:style>
  <w:style w:type="character" w:customStyle="1" w:styleId="CharStyle24">
    <w:name w:val="标题 #2_"/>
    <w:basedOn w:val="DefaultParagraphFont"/>
    <w:link w:val="Style23"/>
    <w:rPr>
      <w:rFonts w:ascii="SimSun" w:eastAsia="SimSun" w:hAnsi="SimSun" w:cs="SimSun"/>
      <w:b/>
      <w:bCs/>
      <w:i w:val="0"/>
      <w:iCs w:val="0"/>
      <w:smallCaps w:val="0"/>
      <w:strike w:val="0"/>
      <w:sz w:val="22"/>
      <w:szCs w:val="22"/>
      <w:u w:val="none"/>
      <w:shd w:val="clear" w:color="auto" w:fill="auto"/>
    </w:rPr>
  </w:style>
  <w:style w:type="character" w:customStyle="1" w:styleId="CharStyle29">
    <w:name w:val="标题 #3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22"/>
      <w:szCs w:val="22"/>
      <w:u w:val="none"/>
      <w:shd w:val="clear" w:color="auto" w:fill="auto"/>
    </w:rPr>
  </w:style>
  <w:style w:type="character" w:customStyle="1" w:styleId="CharStyle34">
    <w:name w:val="表格标题_"/>
    <w:basedOn w:val="DefaultParagraphFont"/>
    <w:link w:val="Style33"/>
    <w:rPr>
      <w:rFonts w:ascii="SimSun" w:eastAsia="SimSun" w:hAnsi="SimSun" w:cs="SimSun"/>
      <w:b w:val="0"/>
      <w:bCs w:val="0"/>
      <w:i w:val="0"/>
      <w:iCs w:val="0"/>
      <w:smallCaps w:val="0"/>
      <w:strike w:val="0"/>
      <w:sz w:val="16"/>
      <w:szCs w:val="16"/>
      <w:u w:val="none"/>
      <w:shd w:val="clear" w:color="auto" w:fill="auto"/>
    </w:rPr>
  </w:style>
  <w:style w:type="character" w:customStyle="1" w:styleId="CharStyle45">
    <w:name w:val="标题 #4_"/>
    <w:basedOn w:val="DefaultParagraphFont"/>
    <w:link w:val="Style44"/>
    <w:rPr>
      <w:rFonts w:ascii="SimSun" w:eastAsia="SimSun" w:hAnsi="SimSun" w:cs="SimSun"/>
      <w:b/>
      <w:bCs/>
      <w:i w:val="0"/>
      <w:iCs w:val="0"/>
      <w:smallCaps w:val="0"/>
      <w:strike w:val="0"/>
      <w:sz w:val="22"/>
      <w:szCs w:val="22"/>
      <w:u w:val="none"/>
      <w:shd w:val="clear" w:color="auto" w:fill="auto"/>
    </w:rPr>
  </w:style>
  <w:style w:type="character" w:customStyle="1" w:styleId="CharStyle60">
    <w:name w:val="正文文本 (5)_"/>
    <w:basedOn w:val="DefaultParagraphFont"/>
    <w:link w:val="Style59"/>
    <w:rPr>
      <w:rFonts w:ascii="SimSun" w:eastAsia="SimSun" w:hAnsi="SimSun" w:cs="SimSun"/>
      <w:b/>
      <w:bCs/>
      <w:i w:val="0"/>
      <w:iCs w:val="0"/>
      <w:smallCaps w:val="0"/>
      <w:strike w:val="0"/>
      <w:sz w:val="16"/>
      <w:szCs w:val="16"/>
      <w:u w:val="none"/>
      <w:shd w:val="clear" w:color="auto" w:fill="auto"/>
    </w:rPr>
  </w:style>
  <w:style w:type="character" w:customStyle="1" w:styleId="CharStyle69">
    <w:name w:val="页眉或页脚_"/>
    <w:basedOn w:val="DefaultParagraphFont"/>
    <w:link w:val="Style68"/>
    <w:rPr>
      <w:rFonts w:ascii="SimSun" w:eastAsia="SimSun" w:hAnsi="SimSun" w:cs="SimSun"/>
      <w:b w:val="0"/>
      <w:bCs w:val="0"/>
      <w:i w:val="0"/>
      <w:iCs w:val="0"/>
      <w:smallCaps w:val="0"/>
      <w:strike w:val="0"/>
      <w:sz w:val="16"/>
      <w:szCs w:val="16"/>
      <w:u w:val="none"/>
      <w:shd w:val="clear" w:color="auto" w:fill="auto"/>
    </w:rPr>
  </w:style>
  <w:style w:type="character" w:customStyle="1" w:styleId="CharStyle77">
    <w:name w:val="正文文本 (6)_"/>
    <w:basedOn w:val="DefaultParagraphFont"/>
    <w:link w:val="Style76"/>
    <w:rPr>
      <w:rFonts w:ascii="Times New Roman" w:eastAsia="Times New Roman" w:hAnsi="Times New Roman" w:cs="Times New Roman"/>
      <w:b/>
      <w:bCs/>
      <w:i w:val="0"/>
      <w:iCs w:val="0"/>
      <w:smallCaps w:val="0"/>
      <w:strike w:val="0"/>
      <w:sz w:val="18"/>
      <w:szCs w:val="18"/>
      <w:u w:val="none"/>
      <w:shd w:val="clear" w:color="auto" w:fill="auto"/>
    </w:rPr>
  </w:style>
  <w:style w:type="character" w:customStyle="1" w:styleId="CharStyle89">
    <w:name w:val="其他 (3)_"/>
    <w:basedOn w:val="DefaultParagraphFont"/>
    <w:link w:val="Style88"/>
    <w:rPr>
      <w:rFonts w:ascii="SimSun" w:eastAsia="SimSun" w:hAnsi="SimSun" w:cs="SimSun"/>
      <w:b w:val="0"/>
      <w:bCs w:val="0"/>
      <w:i w:val="0"/>
      <w:iCs w:val="0"/>
      <w:smallCaps w:val="0"/>
      <w:strike w:val="0"/>
      <w:sz w:val="19"/>
      <w:szCs w:val="19"/>
      <w:u w:val="none"/>
      <w:shd w:val="clear" w:color="auto" w:fill="auto"/>
    </w:rPr>
  </w:style>
  <w:style w:type="character" w:customStyle="1" w:styleId="CharStyle101">
    <w:name w:val="正文文本 (7)_"/>
    <w:basedOn w:val="DefaultParagraphFont"/>
    <w:link w:val="Style100"/>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spacing w:after="120" w:line="293"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5">
    <w:name w:val="标题 #1"/>
    <w:basedOn w:val="Normal"/>
    <w:link w:val="CharStyle16"/>
    <w:pPr>
      <w:widowControl w:val="0"/>
      <w:shd w:val="clear" w:color="auto" w:fill="auto"/>
      <w:spacing w:before="260" w:after="52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2)"/>
    <w:basedOn w:val="Normal"/>
    <w:link w:val="CharStyle18"/>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220"/>
    </w:pPr>
    <w:rPr>
      <w:rFonts w:ascii="SimSun" w:eastAsia="SimSun" w:hAnsi="SimSun" w:cs="SimSun"/>
      <w:b/>
      <w:bCs/>
      <w:i w:val="0"/>
      <w:iCs w:val="0"/>
      <w:smallCaps w:val="0"/>
      <w:strike w:val="0"/>
      <w:sz w:val="20"/>
      <w:szCs w:val="20"/>
      <w:u w:val="none"/>
      <w:shd w:val="clear" w:color="auto" w:fill="auto"/>
    </w:rPr>
  </w:style>
  <w:style w:type="paragraph" w:customStyle="1" w:styleId="Style23">
    <w:name w:val="标题 #2"/>
    <w:basedOn w:val="Normal"/>
    <w:link w:val="CharStyle24"/>
    <w:pPr>
      <w:widowControl w:val="0"/>
      <w:shd w:val="clear" w:color="auto" w:fill="auto"/>
      <w:spacing w:after="32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8">
    <w:name w:val="标题 #3"/>
    <w:basedOn w:val="Normal"/>
    <w:link w:val="CharStyle29"/>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1">
    <w:name w:val="正文文本"/>
    <w:basedOn w:val="Normal"/>
    <w:link w:val="CharStyle32"/>
    <w:pPr>
      <w:widowControl w:val="0"/>
      <w:shd w:val="clear" w:color="auto" w:fill="auto"/>
      <w:spacing w:after="120" w:line="293"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33">
    <w:name w:val="表格标题"/>
    <w:basedOn w:val="Normal"/>
    <w:link w:val="CharStyle34"/>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44">
    <w:name w:val="标题 #4"/>
    <w:basedOn w:val="Normal"/>
    <w:link w:val="CharStyle45"/>
    <w:pPr>
      <w:widowControl w:val="0"/>
      <w:shd w:val="clear" w:color="auto" w:fill="auto"/>
      <w:spacing w:after="280"/>
      <w:ind w:firstLine="70"/>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59">
    <w:name w:val="正文文本 (5)"/>
    <w:basedOn w:val="Normal"/>
    <w:link w:val="CharStyle60"/>
    <w:pPr>
      <w:widowControl w:val="0"/>
      <w:shd w:val="clear" w:color="auto" w:fill="auto"/>
      <w:spacing w:after="140"/>
    </w:pPr>
    <w:rPr>
      <w:rFonts w:ascii="SimSun" w:eastAsia="SimSun" w:hAnsi="SimSun" w:cs="SimSun"/>
      <w:b/>
      <w:bCs/>
      <w:i w:val="0"/>
      <w:iCs w:val="0"/>
      <w:smallCaps w:val="0"/>
      <w:strike w:val="0"/>
      <w:sz w:val="16"/>
      <w:szCs w:val="16"/>
      <w:u w:val="none"/>
      <w:shd w:val="clear" w:color="auto" w:fill="auto"/>
    </w:rPr>
  </w:style>
  <w:style w:type="paragraph" w:customStyle="1" w:styleId="Style68">
    <w:name w:val="页眉或页脚"/>
    <w:basedOn w:val="Normal"/>
    <w:link w:val="CharStyle69"/>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76">
    <w:name w:val="正文文本 (6)"/>
    <w:basedOn w:val="Normal"/>
    <w:link w:val="CharStyle77"/>
    <w:pPr>
      <w:widowControl w:val="0"/>
      <w:shd w:val="clear" w:color="auto" w:fill="auto"/>
    </w:pPr>
    <w:rPr>
      <w:rFonts w:ascii="Times New Roman" w:eastAsia="Times New Roman" w:hAnsi="Times New Roman" w:cs="Times New Roman"/>
      <w:b/>
      <w:bCs/>
      <w:i w:val="0"/>
      <w:iCs w:val="0"/>
      <w:smallCaps w:val="0"/>
      <w:strike w:val="0"/>
      <w:sz w:val="18"/>
      <w:szCs w:val="18"/>
      <w:u w:val="none"/>
      <w:shd w:val="clear" w:color="auto" w:fill="auto"/>
    </w:rPr>
  </w:style>
  <w:style w:type="paragraph" w:customStyle="1" w:styleId="Style88">
    <w:name w:val="其他 (3)"/>
    <w:basedOn w:val="Normal"/>
    <w:link w:val="CharStyle89"/>
    <w:pPr>
      <w:widowControl w:val="0"/>
      <w:shd w:val="clear" w:color="auto" w:fill="auto"/>
      <w:spacing w:before="60"/>
    </w:pPr>
    <w:rPr>
      <w:rFonts w:ascii="SimSun" w:eastAsia="SimSun" w:hAnsi="SimSun" w:cs="SimSun"/>
      <w:b w:val="0"/>
      <w:bCs w:val="0"/>
      <w:i w:val="0"/>
      <w:iCs w:val="0"/>
      <w:smallCaps w:val="0"/>
      <w:strike w:val="0"/>
      <w:sz w:val="19"/>
      <w:szCs w:val="19"/>
      <w:u w:val="none"/>
      <w:shd w:val="clear" w:color="auto" w:fill="auto"/>
    </w:rPr>
  </w:style>
  <w:style w:type="paragraph" w:customStyle="1" w:styleId="Style100">
    <w:name w:val="正文文本 (7)"/>
    <w:basedOn w:val="Normal"/>
    <w:link w:val="CharStyle101"/>
    <w:pPr>
      <w:widowControl w:val="0"/>
      <w:shd w:val="clear" w:color="auto" w:fill="auto"/>
      <w:ind w:left="626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s>
</file>

<file path=docProps/core.xml><?xml version="1.0" encoding="utf-8"?>
<cp:coreProperties xmlns:cp="http://schemas.openxmlformats.org/package/2006/metadata/core-properties" xmlns:dc="http://purl.org/dc/elements/1.1/">
  <dc:title/>
  <dc:subject/>
  <dc:creator>broad</dc:creator>
  <cp:keywords/>
</cp:coreProperties>
</file>