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header1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2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0" w:right="979"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远光软件股份有限公司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公司负责人陈利浩、主管会计工作负责人毛华夏及会计机构负责人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毛华夏声明：保证年度报告中财务报告的真实、准确、完整。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2013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04</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7"/>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line="475" w:lineRule="auto" w:before="236"/>
        <w:ind w:left="714" w:right="1133" w:hanging="563"/>
        <w:jc w:val="left"/>
        <w:rPr>
          <w:rFonts w:ascii="宋体" w:hAnsi="宋体" w:cs="宋体" w:eastAsia="宋体" w:hint="default"/>
          <w:sz w:val="28"/>
          <w:szCs w:val="28"/>
        </w:rPr>
      </w:pPr>
      <w:r>
        <w:rPr>
          <w:rFonts w:ascii="宋体" w:hAnsi="宋体" w:cs="宋体" w:eastAsia="宋体" w:hint="default"/>
          <w:b/>
          <w:bCs/>
          <w:spacing w:val="-10"/>
          <w:w w:val="99"/>
          <w:sz w:val="28"/>
          <w:szCs w:val="28"/>
        </w:rPr>
        <w:t>（含税），不以公积金转增股本。</w:t>
      </w:r>
      <w:r>
        <w:rPr>
          <w:rFonts w:ascii="宋体" w:hAnsi="宋体" w:cs="宋体" w:eastAsia="宋体" w:hint="default"/>
          <w:b/>
          <w:bCs/>
          <w:spacing w:val="-127"/>
          <w:w w:val="99"/>
          <w:sz w:val="28"/>
          <w:szCs w:val="28"/>
        </w:rPr>
        <w:t> </w:t>
      </w:r>
      <w:r>
        <w:rPr>
          <w:rFonts w:ascii="宋体" w:hAnsi="宋体" w:cs="宋体" w:eastAsia="宋体" w:hint="default"/>
          <w:b/>
          <w:bCs/>
          <w:spacing w:val="-127"/>
          <w:w w:val="99"/>
          <w:sz w:val="28"/>
          <w:szCs w:val="28"/>
        </w:rPr>
      </w:r>
      <w:r>
        <w:rPr>
          <w:rFonts w:ascii="宋体" w:hAnsi="宋体" w:cs="宋体" w:eastAsia="宋体" w:hint="default"/>
          <w:b/>
          <w:bCs/>
          <w:spacing w:val="2"/>
          <w:sz w:val="28"/>
          <w:szCs w:val="28"/>
        </w:rPr>
        <w:t>本报告中涉及未来计划等前瞻性陈述，不构成公司对投资者的实质承诺，</w:t>
      </w:r>
      <w:r>
        <w:rPr>
          <w:rFonts w:ascii="宋体" w:hAnsi="宋体" w:cs="宋体" w:eastAsia="宋体" w:hint="default"/>
          <w:spacing w:val="2"/>
          <w:sz w:val="28"/>
          <w:szCs w:val="28"/>
        </w:rPr>
      </w:r>
    </w:p>
    <w:p>
      <w:pPr>
        <w:spacing w:line="350" w:lineRule="exact" w:before="0"/>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7"/>
          <w:pgSz w:w="11910" w:h="16840"/>
          <w:pgMar w:footer="1272" w:header="745" w:top="1060" w:bottom="14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tabs>
          <w:tab w:pos="904" w:val="left" w:leader="none"/>
        </w:tabs>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4" w:val="right" w:leader="dot"/>
            </w:tabs>
            <w:spacing w:line="240" w:lineRule="auto" w:before="815"/>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31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40</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公司治理</w:t>
            </w:r>
            <w:r>
              <w:rPr>
                <w:rFonts w:ascii="Times New Roman" w:hAnsi="Times New Roman" w:cs="Times New Roman" w:eastAsia="Times New Roman" w:hint="default"/>
              </w:rPr>
              <w:tab/>
              <w:t>53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第九节</w:t>
            </w:r>
            <w:r>
              <w:rPr>
                <w:spacing w:val="-1"/>
              </w:rPr>
              <w:t> </w:t>
            </w:r>
            <w:r>
              <w:rPr/>
              <w:t>内部控制</w:t>
            </w:r>
            <w:r>
              <w:rPr>
                <w:rFonts w:ascii="Times New Roman" w:hAnsi="Times New Roman" w:cs="Times New Roman" w:eastAsia="Times New Roman" w:hint="default"/>
              </w:rPr>
              <w:tab/>
              <w:t>59</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61</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157</w:t>
            </w:r>
          </w:hyperlink>
        </w:p>
        <w:p>
          <w:pPr/>
          <w:r>
            <w:fldChar w:fldCharType="end"/>
          </w:r>
        </w:p>
      </w:sdtContent>
    </w:sdt>
    <w:p>
      <w:pPr>
        <w:spacing w:after="0"/>
        <w:sectPr>
          <w:pgSz w:w="11910" w:h="16840"/>
          <w:pgMar w:header="745" w:footer="1272" w:top="1060" w:bottom="154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11"/>
        <w:gridCol w:w="5424"/>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广东证监局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中国证券监督管理委员会广东监管局</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国家电网、国网</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南方电网、南网</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中国南方电网有限公司</w:t>
            </w:r>
          </w:p>
        </w:tc>
      </w:tr>
    </w:tbl>
    <w:p>
      <w:pPr>
        <w:spacing w:after="0" w:line="240" w:lineRule="auto"/>
        <w:jc w:val="left"/>
        <w:rPr>
          <w:rFonts w:ascii="宋体" w:hAnsi="宋体" w:cs="宋体" w:eastAsia="宋体" w:hint="default"/>
          <w:sz w:val="18"/>
          <w:szCs w:val="18"/>
        </w:rPr>
        <w:sectPr>
          <w:pgSz w:w="11910" w:h="16840"/>
          <w:pgMar w:header="745" w:footer="1272"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0" w:right="97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2"/>
        <w:rPr>
          <w:rFonts w:ascii="宋体" w:hAnsi="宋体" w:cs="宋体" w:eastAsia="宋体" w:hint="default"/>
          <w:b/>
          <w:bCs/>
          <w:sz w:val="24"/>
          <w:szCs w:val="24"/>
        </w:rPr>
      </w:pPr>
    </w:p>
    <w:p>
      <w:pPr>
        <w:spacing w:line="446" w:lineRule="auto" w:before="14"/>
        <w:ind w:left="714" w:right="112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、高端人才流失的风险。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公司最大的资源是人才的资源，如果公司的核心研发、销售和管理人才流</w:t>
      </w:r>
      <w:r>
        <w:rPr>
          <w:rFonts w:ascii="宋体" w:hAnsi="宋体" w:cs="宋体" w:eastAsia="宋体" w:hint="default"/>
          <w:spacing w:val="2"/>
          <w:sz w:val="28"/>
          <w:szCs w:val="28"/>
        </w:rPr>
      </w:r>
    </w:p>
    <w:p>
      <w:pPr>
        <w:spacing w:before="16"/>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失，且不能及时补充，将对公司业务产生较大影响。</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8" w:lineRule="auto" w:before="0"/>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、市场经营风险。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电力体制改革，将对电力市场信息化的格局产生影响，在产生新的市场机</w:t>
      </w:r>
      <w:r>
        <w:rPr>
          <w:rFonts w:ascii="宋体" w:hAnsi="宋体" w:cs="宋体" w:eastAsia="宋体" w:hint="default"/>
          <w:spacing w:val="2"/>
          <w:sz w:val="28"/>
          <w:szCs w:val="28"/>
        </w:rPr>
      </w:r>
    </w:p>
    <w:p>
      <w:pPr>
        <w:spacing w:before="14"/>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遇的同时也不排除有新的竞争者进入。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1272"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897280"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97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6"/>
        <w:gridCol w:w="217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002063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YGSOFT</w:t>
            </w:r>
            <w:r>
              <w:rPr>
                <w:rFonts w:ascii="Times New Roman"/>
                <w:spacing w:val="-9"/>
                <w:sz w:val="18"/>
              </w:rPr>
              <w:t> </w:t>
            </w:r>
            <w:r>
              <w:rPr>
                <w:rFonts w:ascii="Times New Roman"/>
                <w:sz w:val="18"/>
              </w:rPr>
              <w:t>Inc.</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YGSOFT</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陈利浩</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http://www.ygsoft.com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79"/>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朱安</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彭家辉</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0756-3399888</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0756-3399888</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0756-3399666</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0756-3399666</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8"/>
        <w:gridCol w:w="5841"/>
      </w:tblGrid>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公司证券及法律事务部</w:t>
            </w:r>
          </w:p>
        </w:tc>
      </w:tr>
    </w:tbl>
    <w:p>
      <w:pPr>
        <w:spacing w:after="0" w:line="240" w:lineRule="auto"/>
        <w:jc w:val="left"/>
        <w:rPr>
          <w:rFonts w:ascii="宋体" w:hAnsi="宋体" w:cs="宋体" w:eastAsia="宋体" w:hint="default"/>
          <w:sz w:val="18"/>
          <w:szCs w:val="18"/>
        </w:rPr>
        <w:sectPr>
          <w:pgSz w:w="11910" w:h="16840"/>
          <w:pgMar w:header="745" w:footer="1272"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5"/>
        <w:gridCol w:w="1592"/>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4400001009932</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4404011707956364</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70795636-4</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314"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广东省珠海市工商 行政管理局</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440000000039294</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4404011707956364</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70795636-4</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715" w:hRule="exact"/>
        </w:trPr>
        <w:tc>
          <w:tcPr>
            <w:tcW w:w="31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1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7" w:type="dxa"/>
            <w:gridSpan w:val="4"/>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日公司上市时，控股股东为珠海市东区荣光科技有限公司；</w:t>
            </w:r>
            <w:r>
              <w:rPr>
                <w:rFonts w:ascii="Times New Roman" w:hAnsi="Times New Roman" w:cs="Times New Roman" w:eastAsia="Times New Roman" w:hint="default"/>
                <w:sz w:val="18"/>
                <w:szCs w:val="18"/>
              </w:rPr>
              <w:t>2011</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日，控股股东由珠海市东区荣光科技有限公司变更为陈利浩。</w:t>
            </w:r>
          </w:p>
        </w:tc>
      </w:tr>
      <w:tr>
        <w:trPr>
          <w:trHeight w:val="392" w:hRule="exact"/>
        </w:trPr>
        <w:tc>
          <w:tcPr>
            <w:tcW w:w="31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10" w:space="0" w:color="D2D2D2"/>
              <w:right w:val="single" w:sz="4" w:space="0" w:color="000000"/>
            </w:tcBorders>
            <w:shd w:val="clear" w:color="auto" w:fill="C6ECCC"/>
          </w:tcPr>
          <w:p>
            <w:pPr/>
          </w:p>
        </w:tc>
      </w:tr>
      <w:tr>
        <w:trPr>
          <w:trHeight w:val="161" w:hRule="exact"/>
        </w:trPr>
        <w:tc>
          <w:tcPr>
            <w:tcW w:w="31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7" w:type="dxa"/>
            <w:gridSpan w:val="4"/>
            <w:vMerge/>
            <w:tcBorders>
              <w:left w:val="single" w:sz="10" w:space="0" w:color="D2D2D2"/>
              <w:bottom w:val="single" w:sz="4" w:space="0" w:color="000000"/>
              <w:right w:val="single" w:sz="4" w:space="0" w:color="000000"/>
            </w:tcBorders>
            <w:shd w:val="clear" w:color="auto" w:fill="C6ECCC"/>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马桂琴、樊文景</w:t>
            </w:r>
          </w:p>
        </w:tc>
      </w:tr>
    </w:tbl>
    <w:p>
      <w:pPr>
        <w:pStyle w:val="BodyText"/>
        <w:spacing w:line="240" w:lineRule="auto" w:before="49"/>
        <w:ind w:right="112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72"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公司是否因会计政策变更及会计差错更正等追溯调整或重述以前年度会计数据</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779,780,492.44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642,410,646.15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478,785,737.54</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288,004,446.86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211,760,832.75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191,299,828.83</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270,097,223.02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202,531,739.56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187,948,916.19</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287,515,458.64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112,943,618.61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246,191,087.69</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0.6516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0.4409</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0.6516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0.4832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0.4409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31.03%</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1,379,989,433.48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1,104,136,625.89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915,937,326.25</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1,238,675,671.64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975,365,750.24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730,479,019.24</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7"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288,004,446.86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211,760,832.75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1,238,675,671.64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975,365,750.24</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after="0" w:line="240" w:lineRule="auto"/>
        <w:jc w:val="right"/>
        <w:sectPr>
          <w:pgSz w:w="11910" w:h="16840"/>
          <w:pgMar w:header="745"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288,004,446.86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211,760,832.75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1,238,675,671.64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975,365,750.24</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3"/>
        <w:gridCol w:w="1710"/>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136,622.98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406,431.19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158,097.26</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10,202,261.32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6,847,474.59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2,290,587.11</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5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9,300,577.94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2,833,252.01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995,382.39</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293,011.93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166,078.84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278,741.62</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2,025,250.33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1,025,944.83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372,483.52</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-1,801.39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-587.78</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17,907,223.84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9,229,093.19</w:t>
            </w:r>
          </w:p>
        </w:tc>
        <w:tc>
          <w:tcPr>
            <w:tcW w:w="15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3,350,912.64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3"/>
        <w:jc w:val="left"/>
      </w:pPr>
      <w:r>
        <w:rPr/>
        <w:t>□ 适用 √</w:t>
      </w:r>
      <w:r>
        <w:rPr>
          <w:spacing w:val="3"/>
        </w:rPr>
        <w:t> </w:t>
      </w:r>
      <w:r>
        <w:rPr/>
        <w:t>不适用</w:t>
      </w:r>
    </w:p>
    <w:p>
      <w:pPr>
        <w:spacing w:after="0" w:line="240" w:lineRule="auto"/>
        <w:jc w:val="left"/>
        <w:sectPr>
          <w:pgSz w:w="11910" w:h="16840"/>
          <w:pgMar w:header="745" w:footer="1272"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9" w:firstLine="360"/>
        <w:jc w:val="both"/>
      </w:pPr>
      <w:r>
        <w:rPr>
          <w:rFonts w:ascii="Times New Roman" w:hAnsi="Times New Roman" w:cs="Times New Roman" w:eastAsia="Times New Roman" w:hint="default"/>
        </w:rPr>
        <w:t>2012</w:t>
      </w:r>
      <w:r>
        <w:rPr/>
        <w:t>年国内经济运行总体平稳，全社会用电量累计</w:t>
      </w:r>
      <w:r>
        <w:rPr>
          <w:rFonts w:ascii="Times New Roman" w:hAnsi="Times New Roman" w:cs="Times New Roman" w:eastAsia="Times New Roman" w:hint="default"/>
        </w:rPr>
        <w:t>49,591</w:t>
      </w:r>
      <w:r>
        <w:rPr>
          <w:rFonts w:ascii="Times New Roman" w:hAnsi="Times New Roman" w:cs="Times New Roman" w:eastAsia="Times New Roman" w:hint="default"/>
          <w:spacing w:val="24"/>
        </w:rPr>
        <w:t> </w:t>
      </w:r>
      <w:r>
        <w:rPr/>
        <w:t>亿千瓦时，同比增长</w:t>
      </w:r>
      <w:r>
        <w:rPr>
          <w:rFonts w:ascii="Times New Roman" w:hAnsi="Times New Roman" w:cs="Times New Roman" w:eastAsia="Times New Roman" w:hint="default"/>
        </w:rPr>
        <w:t>5.5%</w:t>
      </w:r>
      <w:r>
        <w:rPr/>
        <w:t>，电力市场增长趋缓，总体平衡宽 </w:t>
      </w:r>
      <w:r>
        <w:rPr>
          <w:spacing w:val="-2"/>
        </w:rPr>
        <w:t>松。电网企业经营效益稳定增长；发电企业受</w:t>
      </w:r>
      <w:r>
        <w:rPr>
          <w:rFonts w:ascii="Times New Roman" w:hAnsi="Times New Roman" w:cs="Times New Roman" w:eastAsia="Times New Roman" w:hint="default"/>
          <w:spacing w:val="-2"/>
        </w:rPr>
        <w:t>2011</w:t>
      </w:r>
      <w:r>
        <w:rPr>
          <w:spacing w:val="-2"/>
        </w:rPr>
        <w:t>年底电价调增翘尾和</w:t>
      </w:r>
      <w:r>
        <w:rPr>
          <w:rFonts w:ascii="Times New Roman" w:hAnsi="Times New Roman" w:cs="Times New Roman" w:eastAsia="Times New Roman" w:hint="default"/>
          <w:spacing w:val="-2"/>
        </w:rPr>
        <w:t>2012</w:t>
      </w:r>
      <w:r>
        <w:rPr>
          <w:spacing w:val="-2"/>
        </w:rPr>
        <w:t>年煤价下跌的影响，经营状况改善明显，总体经</w:t>
      </w:r>
      <w:r>
        <w:rPr>
          <w:spacing w:val="-58"/>
        </w:rPr>
        <w:t> </w:t>
      </w:r>
      <w:r>
        <w:rPr>
          <w:spacing w:val="-58"/>
        </w:rPr>
      </w:r>
      <w:r>
        <w:rPr/>
        <w:t>营形势转折向好。电力企业加快企业信息化建设，加快电力产业与信息化的两化融合。</w:t>
      </w:r>
    </w:p>
    <w:p>
      <w:pPr>
        <w:pStyle w:val="BodyText"/>
        <w:spacing w:line="316" w:lineRule="auto" w:before="72"/>
        <w:ind w:right="1034" w:firstLine="360"/>
        <w:jc w:val="left"/>
      </w:pPr>
      <w:r>
        <w:rPr>
          <w:spacing w:val="-2"/>
        </w:rPr>
        <w:t>随着电力企业呈现出集团化、产业化、市场化、智能化的发展趋势，电力企业的管理模式向集中化、集约化、精细化转</w:t>
      </w:r>
      <w:r>
        <w:rPr/>
        <w:t> 变。电力企业通过加强对集团资源集约化管控，提高对核心资源的控制能力，实现核心资源的管理协同，提高集团的生产、 经营、管理以及决策的效率，增强企业的核心竞争力。</w:t>
      </w:r>
    </w:p>
    <w:p>
      <w:pPr>
        <w:pStyle w:val="BodyText"/>
        <w:spacing w:line="316" w:lineRule="auto" w:before="58"/>
        <w:ind w:right="1130" w:firstLine="360"/>
        <w:jc w:val="both"/>
      </w:pPr>
      <w:r>
        <w:rPr>
          <w:spacing w:val="-2"/>
        </w:rPr>
        <w:t>报告期内，公司凭借在电力行业深耕多年的行业专业能力，紧抓电力企业提高集团管控能力的市场机遇，以客户需求为</w:t>
      </w:r>
      <w:r>
        <w:rPr/>
        <w:t> </w:t>
      </w:r>
      <w:r>
        <w:rPr>
          <w:spacing w:val="-2"/>
        </w:rPr>
        <w:t>重点，大力开展产品创新和服务，不断提升企业竞争优势；同时，公司在管理上注重能力提升，减少管理层级，提高决策效</w:t>
      </w:r>
      <w:r>
        <w:rPr>
          <w:spacing w:val="-68"/>
        </w:rPr>
        <w:t> </w:t>
      </w:r>
      <w:r>
        <w:rPr>
          <w:spacing w:val="-68"/>
        </w:rPr>
      </w:r>
      <w:r>
        <w:rPr/>
        <w:t>率，以效率提升效益，实现内涵式增长。</w:t>
      </w:r>
    </w:p>
    <w:p>
      <w:pPr>
        <w:pStyle w:val="BodyText"/>
        <w:spacing w:line="240" w:lineRule="auto" w:before="59"/>
        <w:ind w:left="513" w:right="1123"/>
        <w:jc w:val="left"/>
      </w:pPr>
      <w:r>
        <w:rPr>
          <w:rFonts w:ascii="Times New Roman" w:hAnsi="Times New Roman" w:cs="Times New Roman" w:eastAsia="Times New Roman" w:hint="default"/>
        </w:rPr>
        <w:t>2012</w:t>
      </w:r>
      <w:r>
        <w:rPr/>
        <w:t>年，公司实现营业收入</w:t>
      </w:r>
      <w:r>
        <w:rPr>
          <w:rFonts w:ascii="Times New Roman" w:hAnsi="Times New Roman" w:cs="Times New Roman" w:eastAsia="Times New Roman" w:hint="default"/>
        </w:rPr>
        <w:t>77,978.05</w:t>
      </w:r>
      <w:r>
        <w:rPr/>
        <w:t>万元，同比增长</w:t>
      </w:r>
      <w:r>
        <w:rPr>
          <w:rFonts w:ascii="Times New Roman" w:hAnsi="Times New Roman" w:cs="Times New Roman" w:eastAsia="Times New Roman" w:hint="default"/>
        </w:rPr>
        <w:t>21.38%</w:t>
      </w:r>
      <w:r>
        <w:rPr/>
        <w:t>，归属于母公司所有者的净利润</w:t>
      </w:r>
      <w:r>
        <w:rPr>
          <w:rFonts w:ascii="Times New Roman" w:hAnsi="Times New Roman" w:cs="Times New Roman" w:eastAsia="Times New Roman" w:hint="default"/>
        </w:rPr>
        <w:t>28,800.44</w:t>
      </w:r>
      <w:r>
        <w:rPr/>
        <w:t>万元，同比增长</w:t>
      </w:r>
    </w:p>
    <w:p>
      <w:pPr>
        <w:pStyle w:val="BodyText"/>
        <w:spacing w:line="240" w:lineRule="auto" w:before="63"/>
        <w:ind w:right="1123"/>
        <w:jc w:val="left"/>
      </w:pPr>
      <w:r>
        <w:rPr>
          <w:rFonts w:ascii="Times New Roman" w:hAnsi="Times New Roman" w:cs="Times New Roman" w:eastAsia="Times New Roman" w:hint="default"/>
        </w:rPr>
        <w:t>36%</w:t>
      </w:r>
      <w:r>
        <w:rPr/>
        <w:t>。</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3"/>
        <w:jc w:val="left"/>
      </w:pPr>
      <w:r>
        <w:rPr>
          <w:spacing w:val="-2"/>
        </w:rPr>
        <w:t>报告期内，公司经营情况良好，营业收入同比增长</w:t>
      </w:r>
      <w:r>
        <w:rPr>
          <w:rFonts w:ascii="Times New Roman" w:hAnsi="Times New Roman" w:cs="Times New Roman" w:eastAsia="Times New Roman" w:hint="default"/>
          <w:spacing w:val="-2"/>
        </w:rPr>
        <w:t>21.38%</w:t>
      </w:r>
      <w:r>
        <w:rPr>
          <w:spacing w:val="-2"/>
        </w:rPr>
        <w:t>，归属于母公司所有者的净利润同比增长</w:t>
      </w:r>
      <w:r>
        <w:rPr>
          <w:rFonts w:ascii="Times New Roman" w:hAnsi="Times New Roman" w:cs="Times New Roman" w:eastAsia="Times New Roman" w:hint="default"/>
          <w:spacing w:val="-2"/>
        </w:rPr>
        <w:t>36%</w:t>
      </w:r>
      <w:r>
        <w:rPr>
          <w:spacing w:val="-2"/>
        </w:rPr>
        <w:t>，其他各项指标详细</w:t>
      </w:r>
      <w:r>
        <w:rPr>
          <w:spacing w:val="-43"/>
        </w:rPr>
        <w:t> </w:t>
      </w:r>
      <w:r>
        <w:rPr>
          <w:spacing w:val="-43"/>
        </w:rPr>
      </w:r>
      <w:r>
        <w:rPr/>
        <w:t>情况及说明如下：</w:t>
      </w:r>
    </w:p>
    <w:tbl>
      <w:tblPr>
        <w:tblW w:w="0" w:type="auto"/>
        <w:jc w:val="left"/>
        <w:tblInd w:w="145" w:type="dxa"/>
        <w:tblLayout w:type="fixed"/>
        <w:tblCellMar>
          <w:top w:w="0" w:type="dxa"/>
          <w:left w:w="0" w:type="dxa"/>
          <w:bottom w:w="0" w:type="dxa"/>
          <w:right w:w="0" w:type="dxa"/>
        </w:tblCellMar>
        <w:tblLook w:val="01E0"/>
      </w:tblPr>
      <w:tblGrid>
        <w:gridCol w:w="3661"/>
        <w:gridCol w:w="1961"/>
        <w:gridCol w:w="2050"/>
        <w:gridCol w:w="1985"/>
      </w:tblGrid>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tabs>
                <w:tab w:pos="470"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本年金额（元）</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上年金额（元）</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779,780,492.44</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642,410,646.15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21.38%</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179,240,888.87</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147,106,266.25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21.84%</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6" w:right="0"/>
              <w:jc w:val="left"/>
              <w:rPr>
                <w:rFonts w:ascii="Times New Roman" w:hAnsi="Times New Roman" w:cs="Times New Roman" w:eastAsia="Times New Roman" w:hint="default"/>
                <w:sz w:val="18"/>
                <w:szCs w:val="18"/>
              </w:rPr>
            </w:pPr>
            <w:r>
              <w:rPr>
                <w:rFonts w:ascii="Times New Roman"/>
                <w:sz w:val="18"/>
              </w:rPr>
              <w:t>22,790,262.59</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4" w:right="0"/>
              <w:jc w:val="left"/>
              <w:rPr>
                <w:rFonts w:ascii="Times New Roman" w:hAnsi="Times New Roman" w:cs="Times New Roman" w:eastAsia="Times New Roman" w:hint="default"/>
                <w:sz w:val="18"/>
                <w:szCs w:val="18"/>
              </w:rPr>
            </w:pPr>
            <w:r>
              <w:rPr>
                <w:rFonts w:ascii="Times New Roman"/>
                <w:sz w:val="18"/>
              </w:rPr>
              <w:t>13,792,149.06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65.24%</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6" w:right="0"/>
              <w:jc w:val="left"/>
              <w:rPr>
                <w:rFonts w:ascii="Times New Roman" w:hAnsi="Times New Roman" w:cs="Times New Roman" w:eastAsia="Times New Roman" w:hint="default"/>
                <w:sz w:val="18"/>
                <w:szCs w:val="18"/>
              </w:rPr>
            </w:pPr>
            <w:r>
              <w:rPr>
                <w:rFonts w:ascii="Times New Roman"/>
                <w:sz w:val="18"/>
              </w:rPr>
              <w:t>94,125,008.29</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4" w:right="0"/>
              <w:jc w:val="left"/>
              <w:rPr>
                <w:rFonts w:ascii="Times New Roman" w:hAnsi="Times New Roman" w:cs="Times New Roman" w:eastAsia="Times New Roman" w:hint="default"/>
                <w:sz w:val="18"/>
                <w:szCs w:val="18"/>
              </w:rPr>
            </w:pPr>
            <w:r>
              <w:rPr>
                <w:rFonts w:ascii="Times New Roman"/>
                <w:sz w:val="18"/>
              </w:rPr>
              <w:t>85,907,540.38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9.57%</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238,545,513.82</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192,217,924.88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24.10%</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6" w:right="0"/>
              <w:jc w:val="left"/>
              <w:rPr>
                <w:rFonts w:ascii="Times New Roman" w:hAnsi="Times New Roman" w:cs="Times New Roman" w:eastAsia="Times New Roman" w:hint="default"/>
                <w:sz w:val="18"/>
                <w:szCs w:val="18"/>
              </w:rPr>
            </w:pPr>
            <w:r>
              <w:rPr>
                <w:rFonts w:ascii="Times New Roman"/>
                <w:sz w:val="18"/>
              </w:rPr>
              <w:t>-7,577,735.63</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4" w:right="0"/>
              <w:jc w:val="left"/>
              <w:rPr>
                <w:rFonts w:ascii="Times New Roman" w:hAnsi="Times New Roman" w:cs="Times New Roman" w:eastAsia="Times New Roman" w:hint="default"/>
                <w:sz w:val="18"/>
                <w:szCs w:val="18"/>
              </w:rPr>
            </w:pPr>
            <w:r>
              <w:rPr>
                <w:rFonts w:ascii="Times New Roman"/>
                <w:sz w:val="18"/>
              </w:rPr>
              <w:t>-5,319,386.65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-42.46%</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2" w:right="0"/>
              <w:jc w:val="left"/>
              <w:rPr>
                <w:rFonts w:ascii="Times New Roman" w:hAnsi="Times New Roman" w:cs="Times New Roman" w:eastAsia="Times New Roman" w:hint="default"/>
                <w:sz w:val="18"/>
                <w:szCs w:val="18"/>
              </w:rPr>
            </w:pPr>
            <w:r>
              <w:rPr>
                <w:rFonts w:ascii="Times New Roman"/>
                <w:sz w:val="18"/>
              </w:rPr>
              <w:t>965,432.67</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6" w:right="0"/>
              <w:jc w:val="left"/>
              <w:rPr>
                <w:rFonts w:ascii="Times New Roman" w:hAnsi="Times New Roman" w:cs="Times New Roman" w:eastAsia="Times New Roman" w:hint="default"/>
                <w:sz w:val="18"/>
                <w:szCs w:val="18"/>
              </w:rPr>
            </w:pPr>
            <w:r>
              <w:rPr>
                <w:rFonts w:ascii="Times New Roman"/>
                <w:sz w:val="18"/>
              </w:rPr>
              <w:t>5,580,435.93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-82.70%</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8" w:right="0"/>
              <w:jc w:val="left"/>
              <w:rPr>
                <w:rFonts w:ascii="Times New Roman" w:hAnsi="Times New Roman" w:cs="Times New Roman" w:eastAsia="Times New Roman" w:hint="default"/>
                <w:sz w:val="18"/>
                <w:szCs w:val="18"/>
              </w:rPr>
            </w:pPr>
            <w:r>
              <w:rPr>
                <w:rFonts w:ascii="Times New Roman"/>
                <w:sz w:val="18"/>
              </w:rPr>
              <w:t>3,949,613.08</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50" w:right="0"/>
              <w:jc w:val="left"/>
              <w:rPr>
                <w:rFonts w:ascii="Times New Roman" w:hAnsi="Times New Roman" w:cs="Times New Roman" w:eastAsia="Times New Roman" w:hint="default"/>
                <w:sz w:val="18"/>
                <w:szCs w:val="18"/>
              </w:rPr>
            </w:pPr>
            <w:r>
              <w:rPr>
                <w:rFonts w:ascii="Times New Roman"/>
                <w:sz w:val="18"/>
              </w:rPr>
              <w:t>-43,224.08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9,237.53%</w:t>
            </w:r>
          </w:p>
        </w:tc>
      </w:tr>
      <w:tr>
        <w:trPr>
          <w:trHeight w:val="349"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6" w:right="0"/>
              <w:jc w:val="left"/>
              <w:rPr>
                <w:rFonts w:ascii="Times New Roman" w:hAnsi="Times New Roman" w:cs="Times New Roman" w:eastAsia="Times New Roman" w:hint="default"/>
                <w:sz w:val="18"/>
                <w:szCs w:val="18"/>
              </w:rPr>
            </w:pPr>
            <w:r>
              <w:rPr>
                <w:rFonts w:ascii="Times New Roman"/>
                <w:sz w:val="18"/>
              </w:rPr>
              <w:t>40,948,898.41</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4" w:right="0"/>
              <w:jc w:val="left"/>
              <w:rPr>
                <w:rFonts w:ascii="Times New Roman" w:hAnsi="Times New Roman" w:cs="Times New Roman" w:eastAsia="Times New Roman" w:hint="default"/>
                <w:sz w:val="18"/>
                <w:szCs w:val="18"/>
              </w:rPr>
            </w:pPr>
            <w:r>
              <w:rPr>
                <w:rFonts w:ascii="Times New Roman"/>
                <w:sz w:val="18"/>
              </w:rPr>
              <w:t>16,092,847.12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154.45%</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296,589,633.32</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219,175,339.34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35.32%</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6" w:right="0"/>
              <w:jc w:val="left"/>
              <w:rPr>
                <w:rFonts w:ascii="Times New Roman" w:hAnsi="Times New Roman" w:cs="Times New Roman" w:eastAsia="Times New Roman" w:hint="default"/>
                <w:sz w:val="18"/>
                <w:szCs w:val="18"/>
              </w:rPr>
            </w:pPr>
            <w:r>
              <w:rPr>
                <w:rFonts w:ascii="Times New Roman"/>
                <w:sz w:val="18"/>
              </w:rPr>
              <w:t>19,616,992.82</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34" w:right="0"/>
              <w:jc w:val="left"/>
              <w:rPr>
                <w:rFonts w:ascii="Times New Roman" w:hAnsi="Times New Roman" w:cs="Times New Roman" w:eastAsia="Times New Roman" w:hint="default"/>
                <w:sz w:val="18"/>
                <w:szCs w:val="18"/>
              </w:rPr>
            </w:pPr>
            <w:r>
              <w:rPr>
                <w:rFonts w:ascii="Times New Roman"/>
                <w:sz w:val="18"/>
              </w:rPr>
              <w:t>14,788,163.01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32.65%</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315,804,350.97</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233,606,801.64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35.19%</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288,004,446.86</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211,560,002.36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36.13%</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288,004,446.86</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211,760,832.75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36.00%</w:t>
            </w:r>
          </w:p>
        </w:tc>
      </w:tr>
      <w:tr>
        <w:trPr>
          <w:trHeight w:val="346"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40" w:right="0"/>
              <w:jc w:val="left"/>
              <w:rPr>
                <w:rFonts w:ascii="Times New Roman" w:hAnsi="Times New Roman" w:cs="Times New Roman" w:eastAsia="Times New Roman" w:hint="default"/>
                <w:sz w:val="18"/>
                <w:szCs w:val="18"/>
              </w:rPr>
            </w:pPr>
            <w:r>
              <w:rPr>
                <w:rFonts w:ascii="Times New Roman"/>
                <w:sz w:val="18"/>
              </w:rPr>
              <w:t>0.6516</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8" w:right="0"/>
              <w:jc w:val="left"/>
              <w:rPr>
                <w:rFonts w:ascii="Times New Roman" w:hAnsi="Times New Roman" w:cs="Times New Roman" w:eastAsia="Times New Roman" w:hint="default"/>
                <w:sz w:val="18"/>
                <w:szCs w:val="18"/>
              </w:rPr>
            </w:pPr>
            <w:r>
              <w:rPr>
                <w:rFonts w:ascii="Times New Roman"/>
                <w:sz w:val="18"/>
              </w:rPr>
              <w:t>0.4832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34.85%</w:t>
            </w:r>
          </w:p>
        </w:tc>
      </w:tr>
      <w:tr>
        <w:trPr>
          <w:trHeight w:val="348" w:hRule="exact"/>
        </w:trPr>
        <w:tc>
          <w:tcPr>
            <w:tcW w:w="3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40" w:right="0"/>
              <w:jc w:val="left"/>
              <w:rPr>
                <w:rFonts w:ascii="Times New Roman" w:hAnsi="Times New Roman" w:cs="Times New Roman" w:eastAsia="Times New Roman" w:hint="default"/>
                <w:sz w:val="18"/>
                <w:szCs w:val="18"/>
              </w:rPr>
            </w:pPr>
            <w:r>
              <w:rPr>
                <w:rFonts w:ascii="Times New Roman"/>
                <w:sz w:val="18"/>
              </w:rPr>
              <w:t>0.6516</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38" w:right="0"/>
              <w:jc w:val="left"/>
              <w:rPr>
                <w:rFonts w:ascii="Times New Roman" w:hAnsi="Times New Roman" w:cs="Times New Roman" w:eastAsia="Times New Roman" w:hint="default"/>
                <w:sz w:val="18"/>
                <w:szCs w:val="18"/>
              </w:rPr>
            </w:pPr>
            <w:r>
              <w:rPr>
                <w:rFonts w:ascii="Times New Roman"/>
                <w:sz w:val="18"/>
              </w:rPr>
              <w:t>0.4832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34.85%</w:t>
            </w:r>
          </w:p>
        </w:tc>
      </w:tr>
    </w:tbl>
    <w:p>
      <w:pPr>
        <w:pStyle w:val="BodyText"/>
        <w:spacing w:line="240" w:lineRule="auto" w:before="72"/>
        <w:ind w:right="1123"/>
        <w:jc w:val="left"/>
      </w:pPr>
      <w:r>
        <w:rPr/>
        <w:t>营业税金及附加同比增长</w:t>
      </w:r>
      <w:r>
        <w:rPr>
          <w:rFonts w:ascii="Times New Roman" w:hAnsi="Times New Roman" w:cs="Times New Roman" w:eastAsia="Times New Roman" w:hint="default"/>
        </w:rPr>
        <w:t>65.24%</w:t>
      </w:r>
      <w:r>
        <w:rPr/>
        <w:t>，主要原因为：报告期营业税应税服务收入增长。</w:t>
      </w:r>
    </w:p>
    <w:p>
      <w:pPr>
        <w:spacing w:after="0" w:line="240" w:lineRule="auto"/>
        <w:jc w:val="left"/>
        <w:sectPr>
          <w:pgSz w:w="11910" w:h="16840"/>
          <w:pgMar w:header="745" w:footer="1272" w:top="1060" w:bottom="1460" w:left="980" w:right="0"/>
        </w:sectPr>
      </w:pPr>
    </w:p>
    <w:p>
      <w:pPr>
        <w:spacing w:line="240" w:lineRule="auto" w:before="9"/>
        <w:rPr>
          <w:rFonts w:ascii="宋体" w:hAnsi="宋体" w:cs="宋体" w:eastAsia="宋体" w:hint="default"/>
          <w:sz w:val="25"/>
          <w:szCs w:val="25"/>
        </w:rPr>
      </w:pPr>
    </w:p>
    <w:p>
      <w:pPr>
        <w:pStyle w:val="BodyText"/>
        <w:spacing w:line="338" w:lineRule="auto"/>
        <w:ind w:right="1123"/>
        <w:jc w:val="left"/>
      </w:pPr>
      <w:r>
        <w:rPr/>
        <w:t>财务费用同比减少</w:t>
      </w:r>
      <w:r>
        <w:rPr>
          <w:rFonts w:ascii="Times New Roman" w:hAnsi="Times New Roman" w:cs="Times New Roman" w:eastAsia="Times New Roman" w:hint="default"/>
        </w:rPr>
        <w:t>42.46%</w:t>
      </w:r>
      <w:r>
        <w:rPr/>
        <w:t>，主要原因为：报告期强化货币资金收益管理，银行利息收入增加所致。 资产减值损失同比减少</w:t>
      </w:r>
      <w:r>
        <w:rPr>
          <w:rFonts w:ascii="Times New Roman" w:hAnsi="Times New Roman" w:cs="Times New Roman" w:eastAsia="Times New Roman" w:hint="default"/>
        </w:rPr>
        <w:t>82.70%</w:t>
      </w:r>
      <w:r>
        <w:rPr/>
        <w:t>，主要原因为：报告期应收账款控制良好，计提的坏账准备减少所致。 公允价值变动收益同比增长</w:t>
      </w:r>
      <w:r>
        <w:rPr>
          <w:rFonts w:ascii="Times New Roman" w:hAnsi="Times New Roman" w:cs="Times New Roman" w:eastAsia="Times New Roman" w:hint="default"/>
        </w:rPr>
        <w:t>9,237.53%</w:t>
      </w:r>
      <w:r>
        <w:rPr/>
        <w:t>，主要原因为：报告期持仓基金市值增长、上期公允价值变动收益基数很小所致。 投资收益同比增长</w:t>
      </w:r>
      <w:r>
        <w:rPr>
          <w:rFonts w:ascii="Times New Roman" w:hAnsi="Times New Roman" w:cs="Times New Roman" w:eastAsia="Times New Roman" w:hint="default"/>
        </w:rPr>
        <w:t>154.45%</w:t>
      </w:r>
      <w:r>
        <w:rPr/>
        <w:t>，主要原因为：报告期投资企业华凯集团经营良好、营业收入与净利润大幅增加所致。 营业外收入同比增长</w:t>
      </w:r>
      <w:r>
        <w:rPr>
          <w:rFonts w:ascii="Times New Roman" w:hAnsi="Times New Roman" w:cs="Times New Roman" w:eastAsia="Times New Roman" w:hint="default"/>
        </w:rPr>
        <w:t>32.65%</w:t>
      </w:r>
      <w:r>
        <w:rPr/>
        <w:t>，主要原因为：报告期政府补助收入增加所致。</w:t>
      </w:r>
    </w:p>
    <w:p>
      <w:pPr>
        <w:pStyle w:val="BodyText"/>
        <w:spacing w:line="300" w:lineRule="auto" w:before="19"/>
        <w:ind w:right="1123"/>
        <w:jc w:val="left"/>
      </w:pPr>
      <w:r>
        <w:rPr/>
        <w:t>营业利润同比增长</w:t>
      </w:r>
      <w:r>
        <w:rPr>
          <w:rFonts w:ascii="Times New Roman" w:hAnsi="Times New Roman" w:cs="Times New Roman" w:eastAsia="Times New Roman" w:hint="default"/>
        </w:rPr>
        <w:t>35.32%</w:t>
      </w:r>
      <w:r>
        <w:rPr/>
        <w:t>、利润总额同比增长</w:t>
      </w:r>
      <w:r>
        <w:rPr>
          <w:rFonts w:ascii="Times New Roman" w:hAnsi="Times New Roman" w:cs="Times New Roman" w:eastAsia="Times New Roman" w:hint="default"/>
        </w:rPr>
        <w:t>35.19%</w:t>
      </w:r>
      <w:r>
        <w:rPr/>
        <w:t>、净利润同比增长</w:t>
      </w:r>
      <w:r>
        <w:rPr>
          <w:rFonts w:ascii="Times New Roman" w:hAnsi="Times New Roman" w:cs="Times New Roman" w:eastAsia="Times New Roman" w:hint="default"/>
        </w:rPr>
        <w:t>36.13%</w:t>
      </w:r>
      <w:r>
        <w:rPr/>
        <w:t>、每股收益增长</w:t>
      </w:r>
      <w:r>
        <w:rPr>
          <w:rFonts w:ascii="Times New Roman" w:hAnsi="Times New Roman" w:cs="Times New Roman" w:eastAsia="Times New Roman" w:hint="default"/>
        </w:rPr>
        <w:t>34.85%</w:t>
      </w:r>
      <w:r>
        <w:rPr/>
        <w:t>，主要原因为：报告</w:t>
      </w:r>
      <w:r>
        <w:rPr>
          <w:spacing w:val="-63"/>
        </w:rPr>
        <w:t> </w:t>
      </w:r>
      <w:r>
        <w:rPr>
          <w:spacing w:val="-63"/>
        </w:rPr>
      </w:r>
      <w:r>
        <w:rPr/>
        <w:t>期收入增长、成本费用控制良好、对华凯集团投资收益增加等共同影响所致。</w:t>
      </w:r>
    </w:p>
    <w:p>
      <w:pPr>
        <w:pStyle w:val="BodyText"/>
        <w:spacing w:line="240" w:lineRule="auto" w:before="72"/>
        <w:ind w:right="1123"/>
        <w:jc w:val="left"/>
      </w:pPr>
      <w:r>
        <w:rPr/>
        <w:t>公司回顾总结前期披露的发展战略和经营计划在报告期内的进展情况</w:t>
      </w:r>
    </w:p>
    <w:p>
      <w:pPr>
        <w:pStyle w:val="BodyText"/>
        <w:spacing w:line="240" w:lineRule="auto" w:before="117"/>
        <w:ind w:left="513" w:right="1123"/>
        <w:jc w:val="left"/>
      </w:pPr>
      <w:r>
        <w:rPr>
          <w:rFonts w:ascii="Times New Roman" w:hAnsi="Times New Roman" w:cs="Times New Roman" w:eastAsia="Times New Roman" w:hint="default"/>
        </w:rPr>
        <w:t>1</w:t>
      </w:r>
      <w:r>
        <w:rPr/>
        <w:t>、产品推广</w:t>
      </w:r>
    </w:p>
    <w:p>
      <w:pPr>
        <w:pStyle w:val="BodyText"/>
        <w:spacing w:line="340" w:lineRule="auto" w:before="101"/>
        <w:ind w:left="513" w:right="1123"/>
        <w:jc w:val="left"/>
      </w:pPr>
      <w:r>
        <w:rPr/>
        <w:t>（</w:t>
      </w:r>
      <w:r>
        <w:rPr>
          <w:rFonts w:ascii="Times New Roman" w:hAnsi="Times New Roman" w:cs="Times New Roman" w:eastAsia="Times New Roman" w:hint="default"/>
        </w:rPr>
        <w:t>1</w:t>
      </w:r>
      <w:r>
        <w:rPr/>
        <w:t>）远光集团资源管理软件（</w:t>
      </w:r>
      <w:r>
        <w:rPr>
          <w:rFonts w:ascii="Times New Roman" w:hAnsi="Times New Roman" w:cs="Times New Roman" w:eastAsia="Times New Roman" w:hint="default"/>
        </w:rPr>
        <w:t>GRIS</w:t>
      </w:r>
      <w:r>
        <w:rPr/>
        <w:t>） </w:t>
      </w:r>
      <w:r>
        <w:rPr>
          <w:spacing w:val="-2"/>
        </w:rPr>
        <w:t>在电网侧，公司依据国网</w:t>
      </w:r>
      <w:r>
        <w:rPr>
          <w:rFonts w:ascii="Times New Roman" w:hAnsi="Times New Roman" w:cs="Times New Roman" w:eastAsia="Times New Roman" w:hint="default"/>
          <w:spacing w:val="-2"/>
        </w:rPr>
        <w:t>“</w:t>
      </w:r>
      <w:r>
        <w:rPr>
          <w:spacing w:val="-2"/>
        </w:rPr>
        <w:t>三集五大</w:t>
      </w:r>
      <w:r>
        <w:rPr>
          <w:rFonts w:ascii="Times New Roman" w:hAnsi="Times New Roman" w:cs="Times New Roman" w:eastAsia="Times New Roman" w:hint="default"/>
          <w:spacing w:val="-2"/>
        </w:rPr>
        <w:t>”</w:t>
      </w:r>
      <w:r>
        <w:rPr>
          <w:spacing w:val="-2"/>
        </w:rPr>
        <w:t>的部署，顺利推进国网财务集约化管理的深化应用工作。根据国网启动信息化建设</w:t>
      </w:r>
    </w:p>
    <w:p>
      <w:pPr>
        <w:pStyle w:val="BodyText"/>
        <w:spacing w:line="215" w:lineRule="exact" w:before="0"/>
        <w:ind w:right="0"/>
        <w:jc w:val="left"/>
      </w:pPr>
      <w:r>
        <w:rPr/>
        <w:t>一级部署的要求，公司启动大集中与一级部署的前期研发工作。在南方电网市场，树立样板、梳理区域延伸项目，组织延伸</w:t>
      </w:r>
    </w:p>
    <w:p>
      <w:pPr>
        <w:pStyle w:val="BodyText"/>
        <w:spacing w:line="360" w:lineRule="auto" w:before="76"/>
        <w:ind w:left="513" w:right="1123" w:hanging="361"/>
        <w:jc w:val="left"/>
      </w:pPr>
      <w:r>
        <w:rPr/>
        <w:t>项目方案，为即将到来的广泛推广打下扎实基础。 </w:t>
      </w:r>
      <w:r>
        <w:rPr>
          <w:spacing w:val="-2"/>
        </w:rPr>
        <w:t>在发电侧市场，公司已全面实施国电集团财务信息化二期、三期项目，并实现在国电集团基建管控、燃料管理、资金管</w:t>
      </w:r>
    </w:p>
    <w:p>
      <w:pPr>
        <w:pStyle w:val="BodyText"/>
        <w:spacing w:line="222" w:lineRule="exact" w:before="0"/>
        <w:ind w:right="0"/>
        <w:jc w:val="left"/>
      </w:pPr>
      <w:r>
        <w:rPr/>
        <w:t>理等业务领域的项目试点工作</w:t>
      </w:r>
      <w:r>
        <w:rPr>
          <w:spacing w:val="-87"/>
        </w:rPr>
        <w:t>。</w:t>
      </w:r>
      <w:r>
        <w:rPr/>
        <w:t>公司在华能风险管控的项目进入一期试点部署</w:t>
      </w:r>
      <w:r>
        <w:rPr>
          <w:spacing w:val="-85"/>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2</w:t>
      </w:r>
      <w:r>
        <w:rPr/>
        <w:t>年公司</w:t>
      </w:r>
      <w:r>
        <w:rPr>
          <w:spacing w:val="-3"/>
        </w:rPr>
        <w:t>来</w:t>
      </w:r>
      <w:r>
        <w:rPr/>
        <w:t>自发电侧的收入增长超过</w:t>
      </w:r>
      <w:r>
        <w:rPr>
          <w:rFonts w:ascii="宋体" w:hAnsi="宋体" w:cs="宋体" w:eastAsia="宋体" w:hint="default"/>
          <w:spacing w:val="1"/>
        </w:rPr>
        <w:t>10</w:t>
      </w:r>
      <w:r>
        <w:rPr>
          <w:rFonts w:ascii="宋体" w:hAnsi="宋体" w:cs="宋体" w:eastAsia="宋体" w:hint="default"/>
          <w:spacing w:val="-2"/>
        </w:rPr>
        <w:t>0</w:t>
      </w:r>
      <w:r>
        <w:rPr>
          <w:rFonts w:ascii="宋体" w:hAnsi="宋体" w:cs="宋体" w:eastAsia="宋体" w:hint="default"/>
          <w:spacing w:val="1"/>
        </w:rPr>
        <w:t>%</w:t>
      </w:r>
      <w:r>
        <w:rPr/>
        <w:t>。</w:t>
      </w:r>
    </w:p>
    <w:p>
      <w:pPr>
        <w:pStyle w:val="BodyText"/>
        <w:spacing w:line="316" w:lineRule="auto" w:before="115"/>
        <w:ind w:right="1123" w:firstLine="360"/>
        <w:jc w:val="left"/>
      </w:pPr>
      <w:r>
        <w:rPr>
          <w:spacing w:val="-2"/>
        </w:rPr>
        <w:t>报告期内，公司推出了集团监督系列解决方案，该产品基于对集团企业运营风险管理需求的精准把握，可广泛适用于国</w:t>
      </w:r>
      <w:r>
        <w:rPr/>
        <w:t> 内大中型企业市场。目前该产品已开始在多地使用。</w:t>
      </w:r>
    </w:p>
    <w:p>
      <w:pPr>
        <w:pStyle w:val="BodyText"/>
        <w:spacing w:line="340" w:lineRule="auto" w:before="59"/>
        <w:ind w:left="513" w:right="1123"/>
        <w:jc w:val="left"/>
      </w:pPr>
      <w:r>
        <w:rPr/>
        <w:t>（</w:t>
      </w:r>
      <w:r>
        <w:rPr>
          <w:rFonts w:ascii="Times New Roman" w:hAnsi="Times New Roman" w:cs="Times New Roman" w:eastAsia="Times New Roman" w:hint="default"/>
        </w:rPr>
        <w:t>2</w:t>
      </w:r>
      <w:r>
        <w:rPr/>
        <w:t>）新产品 </w:t>
      </w:r>
      <w:r>
        <w:rPr>
          <w:spacing w:val="-2"/>
        </w:rPr>
        <w:t>在高端企业大数据量管理方面，公司推出贴近电力行业业务的高端</w:t>
      </w:r>
      <w:r>
        <w:rPr>
          <w:rFonts w:ascii="Times New Roman" w:hAnsi="Times New Roman" w:cs="Times New Roman" w:eastAsia="Times New Roman" w:hint="default"/>
          <w:spacing w:val="-2"/>
        </w:rPr>
        <w:t>BI</w:t>
      </w:r>
      <w:r>
        <w:rPr>
          <w:spacing w:val="-2"/>
        </w:rPr>
        <w:t>解决方案，包括预算、资金、燃料等领域，以增强</w:t>
      </w:r>
    </w:p>
    <w:p>
      <w:pPr>
        <w:pStyle w:val="BodyText"/>
        <w:spacing w:line="215" w:lineRule="exact" w:before="0"/>
        <w:ind w:right="0"/>
        <w:jc w:val="left"/>
      </w:pPr>
      <w:r>
        <w:rPr/>
        <w:t>自身的专业发展优势。同时，公司充分应用大数据管理、移动互联等新技术，不断推出安全生产管理和风险与内控管理、成</w:t>
      </w:r>
    </w:p>
    <w:p>
      <w:pPr>
        <w:pStyle w:val="BodyText"/>
        <w:spacing w:line="348" w:lineRule="auto" w:before="76"/>
        <w:ind w:left="513" w:right="1034" w:hanging="361"/>
        <w:jc w:val="left"/>
      </w:pPr>
      <w:r>
        <w:rPr/>
        <w:t>本管理等新产品及升级产品，更好满足电力企业的管理需求，不断提升在发电市场的运营能力，实现主营业务结构的均衡。 </w:t>
      </w:r>
      <w:r>
        <w:rPr>
          <w:rFonts w:ascii="Times New Roman" w:hAnsi="Times New Roman" w:cs="Times New Roman" w:eastAsia="Times New Roman" w:hint="default"/>
        </w:rPr>
        <w:t>2</w:t>
      </w:r>
      <w:r>
        <w:rPr/>
        <w:t>、服务管理 </w:t>
      </w:r>
      <w:r>
        <w:rPr>
          <w:spacing w:val="-2"/>
        </w:rPr>
        <w:t>截止报告期末，公司来自服务方面的收入已连续三年增长，其中主要来自于软件运行服务、定制开发服务和业务支持服</w:t>
      </w:r>
    </w:p>
    <w:p>
      <w:pPr>
        <w:pStyle w:val="BodyText"/>
        <w:spacing w:line="231" w:lineRule="exact" w:before="0"/>
        <w:ind w:right="1123"/>
        <w:jc w:val="left"/>
      </w:pPr>
      <w:r>
        <w:rPr/>
        <w:t>务。在电网企业和发电企业的服务收入较快增长的同时，来自多经企业、地方发电、农电的服务收入也大幅增长。</w:t>
      </w:r>
    </w:p>
    <w:p>
      <w:pPr>
        <w:pStyle w:val="BodyText"/>
        <w:spacing w:line="309" w:lineRule="auto" w:before="117"/>
        <w:ind w:right="0" w:firstLine="360"/>
        <w:jc w:val="left"/>
      </w:pPr>
      <w:r>
        <w:rPr>
          <w:rFonts w:ascii="Times New Roman" w:hAnsi="Times New Roman" w:cs="Times New Roman" w:eastAsia="Times New Roman" w:hint="default"/>
        </w:rPr>
        <w:t>2012</w:t>
      </w:r>
      <w:r>
        <w:rPr/>
        <w:t>年，公司遵照</w:t>
      </w:r>
      <w:r>
        <w:rPr>
          <w:rFonts w:ascii="Times New Roman" w:hAnsi="Times New Roman" w:cs="Times New Roman" w:eastAsia="Times New Roman" w:hint="default"/>
        </w:rPr>
        <w:t>ISO20000</w:t>
      </w:r>
      <w:r>
        <w:rPr/>
        <w:t>服务管理的国际标准，制定了完善的服务管理体系，涵盖业务关系管理、服务级别管理、 </w:t>
      </w:r>
      <w:r>
        <w:rPr>
          <w:spacing w:val="-4"/>
        </w:rPr>
        <w:t>服务能力管理、服务可用性管理、服务持续性管理、信息安全管理、事件管理、问题管理、变更管理、配置管理、发布管理、</w:t>
      </w:r>
      <w:r>
        <w:rPr>
          <w:spacing w:val="-46"/>
        </w:rPr>
        <w:t> </w:t>
      </w:r>
      <w:r>
        <w:rPr>
          <w:spacing w:val="-46"/>
        </w:rPr>
      </w:r>
      <w:r>
        <w:rPr/>
        <w:t>知识管理、服务报告管理等多个方面。</w:t>
      </w:r>
    </w:p>
    <w:p>
      <w:pPr>
        <w:pStyle w:val="BodyText"/>
        <w:spacing w:line="309" w:lineRule="auto" w:before="62"/>
        <w:ind w:right="1133" w:firstLine="360"/>
        <w:jc w:val="both"/>
      </w:pPr>
      <w:r>
        <w:rPr>
          <w:spacing w:val="-2"/>
        </w:rPr>
        <w:t>公司建立了以</w:t>
      </w:r>
      <w:r>
        <w:rPr>
          <w:rFonts w:ascii="Times New Roman" w:hAnsi="Times New Roman" w:cs="Times New Roman" w:eastAsia="Times New Roman" w:hint="default"/>
          <w:spacing w:val="-2"/>
        </w:rPr>
        <w:t>“</w:t>
      </w:r>
      <w:r>
        <w:rPr>
          <w:spacing w:val="-2"/>
        </w:rPr>
        <w:t>一线呼叫中心热线服务、二线现场运行维护服务、三线后台技术支持服务</w:t>
      </w:r>
      <w:r>
        <w:rPr>
          <w:rFonts w:ascii="Times New Roman" w:hAnsi="Times New Roman" w:cs="Times New Roman" w:eastAsia="Times New Roman" w:hint="default"/>
          <w:spacing w:val="-2"/>
        </w:rPr>
        <w:t>”</w:t>
      </w:r>
      <w:r>
        <w:rPr>
          <w:spacing w:val="-2"/>
        </w:rPr>
        <w:t>的三线运维服务体系；坚持抓</w:t>
      </w:r>
      <w:r>
        <w:rPr/>
        <w:t> </w:t>
      </w:r>
      <w:r>
        <w:rPr>
          <w:spacing w:val="-2"/>
        </w:rPr>
        <w:t>牢电网、发电等主业客户，积极拓展电力辅业、多经、农电等客户；坚持开展服务创新，通过加强定制开发服务管理，深入</w:t>
      </w:r>
      <w:r>
        <w:rPr>
          <w:spacing w:val="-73"/>
        </w:rPr>
        <w:t> </w:t>
      </w:r>
      <w:r>
        <w:rPr>
          <w:spacing w:val="-73"/>
        </w:rPr>
      </w:r>
      <w:r>
        <w:rPr/>
        <w:t>分析挖掘客户需求，大力推广定制开发服务，积极实现服务产品化，帮助客户提升信息化管理水平。</w:t>
      </w:r>
    </w:p>
    <w:p>
      <w:pPr>
        <w:pStyle w:val="BodyText"/>
        <w:spacing w:line="300" w:lineRule="auto" w:before="65"/>
        <w:ind w:right="1131" w:firstLine="569"/>
        <w:jc w:val="both"/>
      </w:pPr>
      <w:r>
        <w:rPr>
          <w:spacing w:val="-1"/>
        </w:rPr>
        <w:t>公司继</w:t>
      </w:r>
      <w:r>
        <w:rPr>
          <w:rFonts w:ascii="Times New Roman" w:hAnsi="Times New Roman" w:cs="Times New Roman" w:eastAsia="Times New Roman" w:hint="default"/>
          <w:spacing w:val="-1"/>
        </w:rPr>
        <w:t>2011</w:t>
      </w:r>
      <w:r>
        <w:rPr>
          <w:spacing w:val="-1"/>
        </w:rPr>
        <w:t>年通过</w:t>
      </w:r>
      <w:r>
        <w:rPr>
          <w:rFonts w:ascii="Times New Roman" w:hAnsi="Times New Roman" w:cs="Times New Roman" w:eastAsia="Times New Roman" w:hint="default"/>
          <w:spacing w:val="-1"/>
        </w:rPr>
        <w:t>ISO20000(IT</w:t>
      </w:r>
      <w:r>
        <w:rPr>
          <w:spacing w:val="-1"/>
        </w:rPr>
        <w:t>服务管理体系</w:t>
      </w:r>
      <w:r>
        <w:rPr>
          <w:rFonts w:ascii="Times New Roman" w:hAnsi="Times New Roman" w:cs="Times New Roman" w:eastAsia="Times New Roman" w:hint="default"/>
          <w:spacing w:val="-1"/>
        </w:rPr>
        <w:t>)</w:t>
      </w:r>
      <w:r>
        <w:rPr>
          <w:spacing w:val="-1"/>
        </w:rPr>
        <w:t>的企业认证后，于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月获得</w:t>
      </w:r>
      <w:r>
        <w:rPr>
          <w:rFonts w:ascii="Times New Roman" w:hAnsi="Times New Roman" w:cs="Times New Roman" w:eastAsia="Times New Roman" w:hint="default"/>
          <w:spacing w:val="-1"/>
        </w:rPr>
        <w:t>ITIL®</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ATO</w:t>
      </w:r>
      <w:r>
        <w:rPr>
          <w:spacing w:val="-2"/>
        </w:rPr>
        <w:t>资质。该认证是目前国际</w:t>
      </w:r>
      <w:r>
        <w:rPr/>
        <w:t> </w:t>
      </w:r>
      <w:r>
        <w:rPr>
          <w:spacing w:val="-1"/>
        </w:rPr>
        <w:t>上对</w:t>
      </w:r>
      <w:r>
        <w:rPr>
          <w:rFonts w:ascii="Times New Roman" w:hAnsi="Times New Roman" w:cs="Times New Roman" w:eastAsia="Times New Roman" w:hint="default"/>
          <w:spacing w:val="-1"/>
        </w:rPr>
        <w:t>IT</w:t>
      </w:r>
      <w:r>
        <w:rPr>
          <w:spacing w:val="-1"/>
        </w:rPr>
        <w:t>运营、</w:t>
      </w:r>
      <w:r>
        <w:rPr>
          <w:rFonts w:ascii="Times New Roman" w:hAnsi="Times New Roman" w:cs="Times New Roman" w:eastAsia="Times New Roman" w:hint="default"/>
          <w:spacing w:val="-1"/>
        </w:rPr>
        <w:t>IT</w:t>
      </w:r>
      <w:r>
        <w:rPr>
          <w:spacing w:val="-1"/>
        </w:rPr>
        <w:t>服务管理、</w:t>
      </w:r>
      <w:r>
        <w:rPr>
          <w:rFonts w:ascii="Times New Roman" w:hAnsi="Times New Roman" w:cs="Times New Roman" w:eastAsia="Times New Roman" w:hint="default"/>
          <w:spacing w:val="-1"/>
        </w:rPr>
        <w:t>IT</w:t>
      </w:r>
      <w:r>
        <w:rPr>
          <w:spacing w:val="-1"/>
        </w:rPr>
        <w:t>流程管理、</w:t>
      </w:r>
      <w:r>
        <w:rPr>
          <w:rFonts w:ascii="Times New Roman" w:hAnsi="Times New Roman" w:cs="Times New Roman" w:eastAsia="Times New Roman" w:hint="default"/>
          <w:spacing w:val="-1"/>
        </w:rPr>
        <w:t>IT</w:t>
      </w:r>
      <w:r>
        <w:rPr>
          <w:spacing w:val="-1"/>
        </w:rPr>
        <w:t>支持维护等职位</w:t>
      </w:r>
      <w:r>
        <w:rPr>
          <w:rFonts w:ascii="Times New Roman" w:hAnsi="Times New Roman" w:cs="Times New Roman" w:eastAsia="Times New Roman" w:hint="default"/>
          <w:spacing w:val="-1"/>
        </w:rPr>
        <w:t>IT</w:t>
      </w:r>
      <w:r>
        <w:rPr>
          <w:spacing w:val="-1"/>
        </w:rPr>
        <w:t>经理的权威认证。公司获得该认证后，可整体提升公司的服务</w:t>
      </w:r>
      <w:r>
        <w:rPr>
          <w:spacing w:val="-70"/>
        </w:rPr>
        <w:t> </w:t>
      </w:r>
      <w:r>
        <w:rPr>
          <w:spacing w:val="-70"/>
        </w:rPr>
      </w:r>
      <w:r>
        <w:rPr/>
        <w:t>水平，实现公司服务运营与客户服务运营的有效衔接，保障客户利益与价值增值。</w:t>
      </w:r>
    </w:p>
    <w:p>
      <w:pPr>
        <w:pStyle w:val="BodyText"/>
        <w:spacing w:line="338" w:lineRule="auto" w:before="73"/>
        <w:ind w:left="513" w:right="1163"/>
        <w:jc w:val="left"/>
      </w:pPr>
      <w:r>
        <w:rPr>
          <w:rFonts w:ascii="Times New Roman" w:hAnsi="Times New Roman" w:cs="Times New Roman" w:eastAsia="Times New Roman" w:hint="default"/>
        </w:rPr>
        <w:t>3</w:t>
      </w:r>
      <w:r>
        <w:rPr/>
        <w:t>、研发成果 报告期内，公司大力推广研发精细化管理，取得良好成果。</w:t>
      </w:r>
      <w:r>
        <w:rPr>
          <w:rFonts w:ascii="Times New Roman" w:hAnsi="Times New Roman" w:cs="Times New Roman" w:eastAsia="Times New Roman" w:hint="default"/>
        </w:rPr>
        <w:t>GRIS</w:t>
      </w:r>
      <w:r>
        <w:rPr/>
        <w:t>产品不断优化，圆满完成了国网深化应用需求的研发</w:t>
      </w:r>
    </w:p>
    <w:p>
      <w:pPr>
        <w:pStyle w:val="BodyText"/>
        <w:spacing w:line="230" w:lineRule="exact" w:before="0"/>
        <w:ind w:right="1123"/>
        <w:jc w:val="left"/>
      </w:pPr>
      <w:r>
        <w:rPr/>
        <w:t>任务；新一代</w:t>
      </w:r>
      <w:r>
        <w:rPr>
          <w:rFonts w:ascii="Times New Roman" w:hAnsi="Times New Roman" w:cs="Times New Roman" w:eastAsia="Times New Roman" w:hint="default"/>
        </w:rPr>
        <w:t>GRIS</w:t>
      </w:r>
      <w:r>
        <w:rPr/>
        <w:t>平台在</w:t>
      </w:r>
      <w:r>
        <w:rPr>
          <w:rFonts w:ascii="Times New Roman" w:hAnsi="Times New Roman" w:cs="Times New Roman" w:eastAsia="Times New Roman" w:hint="default"/>
        </w:rPr>
        <w:t>2012</w:t>
      </w:r>
      <w:r>
        <w:rPr/>
        <w:t>年底已经正式发布，并已在燃料智能化项目中得到部分应用；燃料智能化项目的启动为公司</w:t>
      </w:r>
    </w:p>
    <w:p>
      <w:pPr>
        <w:pStyle w:val="BodyText"/>
        <w:spacing w:line="300" w:lineRule="auto" w:before="63"/>
        <w:ind w:right="1123"/>
        <w:jc w:val="left"/>
      </w:pPr>
      <w:r>
        <w:rPr>
          <w:spacing w:val="-2"/>
        </w:rPr>
        <w:t>业务开辟了新的领域；面向中小型企业集团、符合市场需求的</w:t>
      </w:r>
      <w:r>
        <w:rPr>
          <w:rFonts w:ascii="Times New Roman" w:hAnsi="Times New Roman" w:cs="Times New Roman" w:eastAsia="Times New Roman" w:hint="default"/>
          <w:spacing w:val="-2"/>
        </w:rPr>
        <w:t>EAP</w:t>
      </w:r>
      <w:r>
        <w:rPr>
          <w:spacing w:val="-2"/>
        </w:rPr>
        <w:t>系列产品不断推出；武汉研发中心初具规模，队伍不断发</w:t>
      </w:r>
      <w:r>
        <w:rPr>
          <w:spacing w:val="-43"/>
        </w:rPr>
        <w:t> </w:t>
      </w:r>
      <w:r>
        <w:rPr>
          <w:spacing w:val="-43"/>
        </w:rPr>
      </w:r>
      <w:r>
        <w:rPr/>
        <w:t>展壮大，有力地增强了公司的研发实力。</w:t>
      </w:r>
    </w:p>
    <w:p>
      <w:pPr>
        <w:pStyle w:val="BodyText"/>
        <w:spacing w:line="316" w:lineRule="auto" w:before="72"/>
        <w:ind w:right="0" w:firstLine="360"/>
        <w:jc w:val="left"/>
      </w:pPr>
      <w:r>
        <w:rPr>
          <w:spacing w:val="-2"/>
        </w:rPr>
        <w:t>同时，公司加大了对大数据、云计算、移动智能等新兴技术的研发投入，已经取得了阶段性成果。在大数据方面，公司</w:t>
      </w:r>
      <w:r>
        <w:rPr/>
        <w:t> </w:t>
      </w:r>
      <w:r>
        <w:rPr>
          <w:spacing w:val="-4"/>
        </w:rPr>
        <w:t>已实现了在软件部分基础架构的突破，并在燃料智能化管理系统、集团生产管理系统、数据质量管控系统等产品上得到应用。</w:t>
      </w:r>
      <w:r>
        <w:rPr>
          <w:spacing w:val="-44"/>
        </w:rPr>
        <w:t> </w:t>
      </w:r>
      <w:r>
        <w:rPr>
          <w:spacing w:val="-44"/>
        </w:rPr>
      </w:r>
      <w:r>
        <w:rPr>
          <w:spacing w:val="-4"/>
        </w:rPr>
        <w:t>在云计算方面，公司与武汉大学共建的软件工程国家重点实验室珠海研发中心，正在研究面向电力行业信息化的云计算平台，</w:t>
      </w:r>
      <w:r>
        <w:rPr>
          <w:spacing w:val="-43"/>
        </w:rPr>
        <w:t> </w:t>
      </w:r>
      <w:r>
        <w:rPr>
          <w:spacing w:val="-43"/>
        </w:rPr>
      </w:r>
      <w:r>
        <w:rPr/>
        <w:t>未来将逐渐全面提供基于云计算的产品。</w:t>
      </w:r>
      <w:r>
        <w:rPr>
          <w:spacing w:val="-44"/>
        </w:rPr>
        <w:t> </w:t>
      </w:r>
      <w:r>
        <w:rPr/>
        <w:t>在移动智能方面，公司目前研发的重点项目，如燃料智能化管理系统、应急管理</w:t>
      </w:r>
    </w:p>
    <w:p>
      <w:pPr>
        <w:spacing w:after="0" w:line="316" w:lineRule="auto"/>
        <w:jc w:val="left"/>
        <w:sectPr>
          <w:footerReference w:type="default" r:id="rId11"/>
          <w:pgSz w:w="11910" w:h="16840"/>
          <w:pgMar w:footer="1272" w:header="745" w:top="1060" w:bottom="1460" w:left="980" w:right="0"/>
          <w:pgNumType w:start="11"/>
        </w:sectPr>
      </w:pPr>
    </w:p>
    <w:p>
      <w:pPr>
        <w:spacing w:line="240" w:lineRule="auto" w:before="9"/>
        <w:rPr>
          <w:rFonts w:ascii="宋体" w:hAnsi="宋体" w:cs="宋体" w:eastAsia="宋体" w:hint="default"/>
          <w:sz w:val="25"/>
          <w:szCs w:val="25"/>
        </w:rPr>
      </w:pPr>
    </w:p>
    <w:p>
      <w:pPr>
        <w:pStyle w:val="BodyText"/>
        <w:spacing w:line="357" w:lineRule="auto"/>
        <w:ind w:left="513" w:right="3193" w:hanging="361"/>
        <w:jc w:val="left"/>
      </w:pPr>
      <w:r>
        <w:rPr/>
        <w:t>的移动信息采集系统等，均支持移动终端应用。 公司电力企业集团集约化管理信息系统项目获批入选国家科技部十二五国家科技支撑计划。 </w:t>
      </w:r>
      <w:r>
        <w:rPr>
          <w:rFonts w:ascii="Times New Roman" w:hAnsi="Times New Roman" w:cs="Times New Roman" w:eastAsia="Times New Roman" w:hint="default"/>
        </w:rPr>
        <w:t>4</w:t>
      </w:r>
      <w:r>
        <w:rPr/>
        <w:t>、营销管理</w:t>
      </w:r>
    </w:p>
    <w:p>
      <w:pPr>
        <w:pStyle w:val="BodyText"/>
        <w:spacing w:line="316" w:lineRule="auto" w:before="6"/>
        <w:ind w:right="1132" w:firstLine="360"/>
        <w:jc w:val="both"/>
      </w:pPr>
      <w:r>
        <w:rPr>
          <w:spacing w:val="-2"/>
        </w:rPr>
        <w:t>报告期内，公司在针对营销机构的管理上，业务上划分为成熟市场和开拓市场。在成熟市场采用全员销售模式，深度挖</w:t>
      </w:r>
      <w:r>
        <w:rPr/>
        <w:t> 掘，主动出击，全周期经营客户；在开拓市场采取主导销售模式，建立标杆客户。</w:t>
      </w:r>
    </w:p>
    <w:p>
      <w:pPr>
        <w:pStyle w:val="BodyText"/>
        <w:spacing w:line="316" w:lineRule="auto" w:before="59"/>
        <w:ind w:right="1130" w:firstLine="360"/>
        <w:jc w:val="both"/>
      </w:pPr>
      <w:r>
        <w:rPr>
          <w:spacing w:val="-2"/>
        </w:rPr>
        <w:t>在产品推广上实现横向贯通，纵向联动。产品发版发布及时传递一线机构，一线需求及时拉动产品研发，拉通前端市场</w:t>
      </w:r>
      <w:r>
        <w:rPr/>
        <w:t> </w:t>
      </w:r>
      <w:r>
        <w:rPr>
          <w:spacing w:val="-2"/>
        </w:rPr>
        <w:t>与后端研发。按产品线设置产品推广专责，按区域市场设置区域专责，通过协同整合信息，实现拉通。公司总部负责各大电</w:t>
      </w:r>
      <w:r>
        <w:rPr>
          <w:spacing w:val="-67"/>
        </w:rPr>
        <w:t> </w:t>
      </w:r>
      <w:r>
        <w:rPr>
          <w:spacing w:val="-67"/>
        </w:rPr>
      </w:r>
      <w:r>
        <w:rPr>
          <w:spacing w:val="-2"/>
        </w:rPr>
        <w:t>力集团企业统推大项目的发掘和经营，区域及机构负责当地市场相关业务的延伸和深化，实现总部带动机构，大项目带动小</w:t>
      </w:r>
      <w:r>
        <w:rPr>
          <w:spacing w:val="-63"/>
        </w:rPr>
        <w:t> </w:t>
      </w:r>
      <w:r>
        <w:rPr>
          <w:spacing w:val="-63"/>
        </w:rPr>
      </w:r>
      <w:r>
        <w:rPr/>
        <w:t>项目，小项目影响大项目，上下联动，良性发展。</w:t>
      </w:r>
    </w:p>
    <w:p>
      <w:pPr>
        <w:pStyle w:val="BodyText"/>
        <w:spacing w:line="316" w:lineRule="auto" w:before="57"/>
        <w:ind w:right="1132" w:firstLine="360"/>
        <w:jc w:val="both"/>
      </w:pPr>
      <w:r>
        <w:rPr>
          <w:spacing w:val="-2"/>
        </w:rPr>
        <w:t>公司样板客户单个包装及整体案例集的汇编工作正在有效推进中，销售工具、报价体系得到了全面的梳理，营销金点子</w:t>
      </w:r>
      <w:r>
        <w:rPr/>
        <w:t> 取得了良好的效果并将进一步常态化。</w:t>
      </w:r>
    </w:p>
    <w:p>
      <w:pPr>
        <w:pStyle w:val="BodyText"/>
        <w:spacing w:line="357" w:lineRule="auto" w:before="59"/>
        <w:ind w:left="513" w:right="1034"/>
        <w:jc w:val="left"/>
      </w:pPr>
      <w:r>
        <w:rPr>
          <w:spacing w:val="-4"/>
        </w:rPr>
        <w:t>同时，公司加大在农电、多经、集体企业等市场的开拓力度，通过研讨会、培训会等方式推广公司产品，取得良好效果。</w:t>
      </w:r>
      <w:r>
        <w:rPr>
          <w:spacing w:val="-52"/>
        </w:rPr>
        <w:t> </w:t>
      </w:r>
      <w:r>
        <w:rPr>
          <w:spacing w:val="-52"/>
        </w:rPr>
      </w:r>
      <w:r>
        <w:rPr>
          <w:rFonts w:ascii="宋体" w:hAnsi="宋体" w:cs="宋体" w:eastAsia="宋体" w:hint="default"/>
        </w:rPr>
        <w:t>5</w:t>
      </w:r>
      <w:r>
        <w:rPr/>
        <w:t>、市场推广 </w:t>
      </w:r>
      <w:r>
        <w:rPr>
          <w:spacing w:val="-2"/>
        </w:rPr>
        <w:t>报告期内，公司在不断加强媒体宣传、品牌宣传力度的基础上，积极拓展网络推广渠道和第三方市场活动，进一步提升</w:t>
      </w:r>
    </w:p>
    <w:p>
      <w:pPr>
        <w:pStyle w:val="BodyText"/>
        <w:spacing w:line="224" w:lineRule="exact" w:before="0"/>
        <w:ind w:right="1123"/>
        <w:jc w:val="left"/>
      </w:pPr>
      <w:r>
        <w:rPr/>
        <w:t>了公司品牌的美誉度和影响力。</w:t>
      </w:r>
    </w:p>
    <w:p>
      <w:pPr>
        <w:pStyle w:val="BodyText"/>
        <w:spacing w:line="316" w:lineRule="auto" w:before="117"/>
        <w:ind w:right="1132" w:firstLine="360"/>
        <w:jc w:val="both"/>
      </w:pPr>
      <w:r>
        <w:rPr>
          <w:spacing w:val="-2"/>
        </w:rPr>
        <w:t>公司已连续十年被认定为“国家规划布局内重点软件企业”，连续三年入围国家火炬计划重点高新技术企业，连续三年</w:t>
      </w:r>
      <w:r>
        <w:rPr/>
        <w:t> 荣膺福布斯中小企业上市潜力榜。</w:t>
      </w:r>
    </w:p>
    <w:p>
      <w:pPr>
        <w:pStyle w:val="BodyText"/>
        <w:spacing w:line="316" w:lineRule="auto" w:before="59"/>
        <w:ind w:right="1128" w:firstLine="360"/>
        <w:jc w:val="both"/>
      </w:pPr>
      <w:r>
        <w:rPr/>
        <w:t>公司</w:t>
      </w:r>
      <w:r>
        <w:rPr>
          <w:rFonts w:ascii="宋体" w:hAnsi="宋体" w:cs="宋体" w:eastAsia="宋体" w:hint="default"/>
        </w:rPr>
        <w:t>2012</w:t>
      </w:r>
      <w:r>
        <w:rPr/>
        <w:t>年荣获中国软件产业发展暨企业创新高峰会“</w:t>
      </w:r>
      <w:r>
        <w:rPr>
          <w:rFonts w:ascii="宋体" w:hAnsi="宋体" w:cs="宋体" w:eastAsia="宋体" w:hint="default"/>
        </w:rPr>
        <w:t>2012</w:t>
      </w:r>
      <w:r>
        <w:rPr/>
        <w:t>年度创新企业”</w:t>
      </w:r>
      <w:r>
        <w:rPr>
          <w:spacing w:val="-3"/>
        </w:rPr>
        <w:t> </w:t>
      </w:r>
      <w:r>
        <w:rPr/>
        <w:t>、</w:t>
      </w:r>
      <w:r>
        <w:rPr>
          <w:rFonts w:ascii="宋体" w:hAnsi="宋体" w:cs="宋体" w:eastAsia="宋体" w:hint="default"/>
        </w:rPr>
        <w:t>2012</w:t>
      </w:r>
      <w:r>
        <w:rPr/>
        <w:t>中国信息产业经济年会“</w:t>
      </w:r>
      <w:r>
        <w:rPr>
          <w:rFonts w:ascii="宋体" w:hAnsi="宋体" w:cs="宋体" w:eastAsia="宋体" w:hint="default"/>
        </w:rPr>
        <w:t>2012</w:t>
      </w:r>
      <w:r>
        <w:rPr/>
        <w:t>中国 信息产业年度影响力企业”</w:t>
      </w:r>
      <w:r>
        <w:rPr>
          <w:spacing w:val="18"/>
        </w:rPr>
        <w:t> </w:t>
      </w:r>
      <w:r>
        <w:rPr>
          <w:spacing w:val="-4"/>
        </w:rPr>
        <w:t>、</w:t>
      </w:r>
      <w:r>
        <w:rPr>
          <w:rFonts w:ascii="宋体" w:hAnsi="宋体" w:cs="宋体" w:eastAsia="宋体" w:hint="default"/>
          <w:spacing w:val="-4"/>
        </w:rPr>
        <w:t>2012</w:t>
      </w:r>
      <w:r>
        <w:rPr>
          <w:spacing w:val="-4"/>
        </w:rPr>
        <w:t>年度中国企业级</w:t>
      </w:r>
      <w:r>
        <w:rPr>
          <w:rFonts w:ascii="宋体" w:hAnsi="宋体" w:cs="宋体" w:eastAsia="宋体" w:hint="default"/>
          <w:spacing w:val="-4"/>
        </w:rPr>
        <w:t>IT</w:t>
      </w:r>
      <w:r>
        <w:rPr>
          <w:spacing w:val="-4"/>
        </w:rPr>
        <w:t>应用评选“</w:t>
      </w:r>
      <w:r>
        <w:rPr>
          <w:rFonts w:ascii="宋体" w:hAnsi="宋体" w:cs="宋体" w:eastAsia="宋体" w:hint="default"/>
          <w:spacing w:val="-4"/>
        </w:rPr>
        <w:t>2012</w:t>
      </w:r>
      <w:r>
        <w:rPr>
          <w:spacing w:val="-4"/>
        </w:rPr>
        <w:t>年度集团管控领域领先企业”。</w:t>
      </w:r>
      <w:r>
        <w:rPr>
          <w:rFonts w:ascii="宋体" w:hAnsi="宋体" w:cs="宋体" w:eastAsia="宋体" w:hint="default"/>
          <w:spacing w:val="-4"/>
        </w:rPr>
        <w:t>2012</w:t>
      </w:r>
      <w:r>
        <w:rPr>
          <w:spacing w:val="-4"/>
        </w:rPr>
        <w:t>年</w:t>
      </w:r>
      <w:r>
        <w:rPr>
          <w:rFonts w:ascii="宋体" w:hAnsi="宋体" w:cs="宋体" w:eastAsia="宋体" w:hint="default"/>
          <w:spacing w:val="-4"/>
        </w:rPr>
        <w:t>IT</w:t>
      </w:r>
      <w:r>
        <w:rPr>
          <w:spacing w:val="-4"/>
        </w:rPr>
        <w:t>产业年会“远</w:t>
      </w:r>
      <w:r>
        <w:rPr>
          <w:spacing w:val="-87"/>
        </w:rPr>
        <w:t> </w:t>
      </w:r>
      <w:r>
        <w:rPr>
          <w:spacing w:val="-2"/>
        </w:rPr>
        <w:t>光</w:t>
      </w:r>
      <w:r>
        <w:rPr>
          <w:rFonts w:ascii="宋体" w:hAnsi="宋体" w:cs="宋体" w:eastAsia="宋体" w:hint="default"/>
          <w:spacing w:val="-2"/>
        </w:rPr>
        <w:t>GRIS-</w:t>
      </w:r>
      <w:r>
        <w:rPr>
          <w:spacing w:val="-2"/>
        </w:rPr>
        <w:t>基建管控系统”荣获“</w:t>
      </w:r>
      <w:r>
        <w:rPr>
          <w:rFonts w:ascii="宋体" w:hAnsi="宋体" w:cs="宋体" w:eastAsia="宋体" w:hint="default"/>
          <w:spacing w:val="-2"/>
        </w:rPr>
        <w:t>2011-2012</w:t>
      </w:r>
      <w:r>
        <w:rPr>
          <w:spacing w:val="-2"/>
        </w:rPr>
        <w:t>中国项目管理软件市场年度创新产品”，</w:t>
      </w:r>
      <w:r>
        <w:rPr>
          <w:rFonts w:ascii="宋体" w:hAnsi="宋体" w:cs="宋体" w:eastAsia="宋体" w:hint="default"/>
          <w:spacing w:val="-2"/>
        </w:rPr>
        <w:t>2012</w:t>
      </w:r>
      <w:r>
        <w:rPr>
          <w:spacing w:val="-2"/>
        </w:rPr>
        <w:t>中国电力信息化推进大会“远光发电</w:t>
      </w:r>
      <w:r>
        <w:rPr>
          <w:spacing w:val="-53"/>
        </w:rPr>
        <w:t> </w:t>
      </w:r>
      <w:r>
        <w:rPr>
          <w:spacing w:val="-53"/>
        </w:rPr>
      </w:r>
      <w:r>
        <w:rPr>
          <w:spacing w:val="-2"/>
        </w:rPr>
        <w:t>企业安全生产解决方案”荣获“电力信息化推进优秀解决方案”。公司董事长陈利浩先生荣获中国经济发展论坛“</w:t>
      </w:r>
      <w:r>
        <w:rPr>
          <w:rFonts w:ascii="宋体" w:hAnsi="宋体" w:cs="宋体" w:eastAsia="宋体" w:hint="default"/>
          <w:spacing w:val="-2"/>
        </w:rPr>
        <w:t>2012</w:t>
      </w:r>
      <w:r>
        <w:rPr>
          <w:spacing w:val="-2"/>
        </w:rPr>
        <w:t>中国</w:t>
      </w:r>
      <w:r>
        <w:rPr>
          <w:spacing w:val="-65"/>
        </w:rPr>
        <w:t> </w:t>
      </w:r>
      <w:r>
        <w:rPr/>
        <w:t>经济优秀人物”、</w:t>
      </w:r>
      <w:r>
        <w:rPr>
          <w:rFonts w:ascii="宋体" w:hAnsi="宋体" w:cs="宋体" w:eastAsia="宋体" w:hint="default"/>
        </w:rPr>
        <w:t>2012</w:t>
      </w:r>
      <w:r>
        <w:rPr/>
        <w:t>中国</w:t>
      </w:r>
      <w:r>
        <w:rPr>
          <w:rFonts w:ascii="宋体" w:hAnsi="宋体" w:cs="宋体" w:eastAsia="宋体" w:hint="default"/>
        </w:rPr>
        <w:t>IT</w:t>
      </w:r>
      <w:r>
        <w:rPr/>
        <w:t>两会“</w:t>
      </w:r>
      <w:r>
        <w:rPr>
          <w:rFonts w:ascii="宋体" w:hAnsi="宋体" w:cs="宋体" w:eastAsia="宋体" w:hint="default"/>
        </w:rPr>
        <w:t>2012</w:t>
      </w:r>
      <w:r>
        <w:rPr/>
        <w:t>中国信息产业领军人物奖”。</w:t>
      </w:r>
    </w:p>
    <w:p>
      <w:pPr>
        <w:pStyle w:val="BodyText"/>
        <w:spacing w:line="340" w:lineRule="auto" w:before="57"/>
        <w:ind w:left="513" w:right="2493"/>
        <w:jc w:val="left"/>
      </w:pPr>
      <w:r>
        <w:rPr>
          <w:rFonts w:ascii="Times New Roman" w:hAnsi="Times New Roman" w:cs="Times New Roman" w:eastAsia="Times New Roman" w:hint="default"/>
        </w:rPr>
        <w:t>6</w:t>
      </w:r>
      <w:r>
        <w:rPr/>
        <w:t>、内部管理 报告期内，公司强调</w:t>
      </w:r>
      <w:r>
        <w:rPr>
          <w:rFonts w:ascii="Times New Roman" w:hAnsi="Times New Roman" w:cs="Times New Roman" w:eastAsia="Times New Roman" w:hint="default"/>
        </w:rPr>
        <w:t>“</w:t>
      </w:r>
      <w:r>
        <w:rPr/>
        <w:t>练内功</w:t>
      </w:r>
      <w:r>
        <w:rPr>
          <w:rFonts w:ascii="Times New Roman" w:hAnsi="Times New Roman" w:cs="Times New Roman" w:eastAsia="Times New Roman" w:hint="default"/>
        </w:rPr>
        <w:t>”</w:t>
      </w:r>
      <w:r>
        <w:rPr/>
        <w:t>，向管理、向创新、向效率要效益，努力构建企业内部良好的软环境。</w:t>
      </w:r>
    </w:p>
    <w:p>
      <w:pPr>
        <w:pStyle w:val="BodyText"/>
        <w:spacing w:line="307" w:lineRule="auto" w:before="20"/>
        <w:ind w:right="1123" w:firstLine="360"/>
        <w:jc w:val="left"/>
      </w:pPr>
      <w:r>
        <w:rPr>
          <w:spacing w:val="-2"/>
        </w:rPr>
        <w:t>公司先后启动了全员提能计划和技术业务线的能力认证活动。全员提能计划旨在加强员工在职培训，推动各业务线标准</w:t>
      </w:r>
      <w:r>
        <w:rPr/>
        <w:t> </w:t>
      </w:r>
      <w:r>
        <w:rPr>
          <w:spacing w:val="-2"/>
        </w:rPr>
        <w:t>化建设、优秀经验分享和公司知识管理；能力认证活动一方面进一步明确了员工的专业技术能力要求、营造了积极向上的学</w:t>
      </w:r>
      <w:r>
        <w:rPr>
          <w:spacing w:val="-63"/>
        </w:rPr>
        <w:t> </w:t>
      </w:r>
      <w:r>
        <w:rPr>
          <w:spacing w:val="-63"/>
        </w:rPr>
      </w:r>
      <w:r>
        <w:rPr/>
        <w:t>习氛围，另一方面为公司已施行数年的专业技术职级评审工作增加了量化评审指标，使</w:t>
      </w:r>
      <w:r>
        <w:rPr>
          <w:rFonts w:ascii="Times New Roman" w:hAnsi="Times New Roman" w:cs="Times New Roman" w:eastAsia="Times New Roman" w:hint="default"/>
        </w:rPr>
        <w:t>“</w:t>
      </w:r>
      <w:r>
        <w:rPr/>
        <w:t>建设学习型组织、促进员工和企业 共同、持续成长</w:t>
      </w:r>
      <w:r>
        <w:rPr>
          <w:rFonts w:ascii="Times New Roman" w:hAnsi="Times New Roman" w:cs="Times New Roman" w:eastAsia="Times New Roman" w:hint="default"/>
        </w:rPr>
        <w:t>”</w:t>
      </w:r>
      <w:r>
        <w:rPr/>
        <w:t>这一管理理念落到了实处。同时为鼓励员工参与公司管理优化，激发员工的创意，提升公司凝聚力和软实 力，公司还开展了面向全员的</w:t>
      </w:r>
      <w:r>
        <w:rPr>
          <w:rFonts w:ascii="Times New Roman" w:hAnsi="Times New Roman" w:cs="Times New Roman" w:eastAsia="Times New Roman" w:hint="default"/>
        </w:rPr>
        <w:t>“</w:t>
      </w:r>
      <w:r>
        <w:rPr/>
        <w:t>金点子</w:t>
      </w:r>
      <w:r>
        <w:rPr>
          <w:rFonts w:ascii="Times New Roman" w:hAnsi="Times New Roman" w:cs="Times New Roman" w:eastAsia="Times New Roman" w:hint="default"/>
        </w:rPr>
        <w:t>·</w:t>
      </w:r>
      <w:r>
        <w:rPr/>
        <w:t>亮远光</w:t>
      </w:r>
      <w:r>
        <w:rPr>
          <w:rFonts w:ascii="Times New Roman" w:hAnsi="Times New Roman" w:cs="Times New Roman" w:eastAsia="Times New Roman" w:hint="default"/>
        </w:rPr>
        <w:t>”</w:t>
      </w:r>
      <w:r>
        <w:rPr/>
        <w:t>调研活动，广泛征集员工对于公司管理、产品、研发、市场等诸多方面的合 理化建议和创新思路，取得较好效果。</w:t>
      </w:r>
    </w:p>
    <w:p>
      <w:pPr>
        <w:pStyle w:val="BodyText"/>
        <w:spacing w:line="307" w:lineRule="auto" w:before="64"/>
        <w:ind w:right="1129" w:firstLine="360"/>
        <w:jc w:val="both"/>
      </w:pPr>
      <w:r>
        <w:rPr>
          <w:spacing w:val="-2"/>
        </w:rPr>
        <w:t>与此同时，公司十分重视内部信息化建设，将之视为企业内部管理的另一个重要平台。公司内网</w:t>
      </w:r>
      <w:r>
        <w:rPr>
          <w:rFonts w:ascii="Times New Roman" w:hAnsi="Times New Roman" w:cs="Times New Roman" w:eastAsia="Times New Roman" w:hint="default"/>
          <w:spacing w:val="-2"/>
        </w:rPr>
        <w:t>“</w:t>
      </w:r>
      <w:r>
        <w:rPr>
          <w:spacing w:val="-2"/>
        </w:rPr>
        <w:t>远光</w:t>
      </w:r>
      <w:r>
        <w:rPr>
          <w:rFonts w:ascii="Times New Roman" w:hAnsi="Times New Roman" w:cs="Times New Roman" w:eastAsia="Times New Roman" w:hint="default"/>
          <w:spacing w:val="-2"/>
        </w:rPr>
        <w:t>E</w:t>
      </w:r>
      <w:r>
        <w:rPr>
          <w:spacing w:val="-2"/>
        </w:rPr>
        <w:t>家</w:t>
      </w:r>
      <w:r>
        <w:rPr>
          <w:rFonts w:ascii="Times New Roman" w:hAnsi="Times New Roman" w:cs="Times New Roman" w:eastAsia="Times New Roman" w:hint="default"/>
          <w:spacing w:val="-2"/>
        </w:rPr>
        <w:t>”</w:t>
      </w:r>
      <w:r>
        <w:rPr>
          <w:spacing w:val="-2"/>
        </w:rPr>
        <w:t>定位为</w:t>
      </w:r>
      <w:r>
        <w:rPr>
          <w:rFonts w:ascii="Times New Roman" w:hAnsi="Times New Roman" w:cs="Times New Roman" w:eastAsia="Times New Roman" w:hint="default"/>
          <w:spacing w:val="-2"/>
        </w:rPr>
        <w:t>“</w:t>
      </w:r>
      <w:r>
        <w:rPr>
          <w:spacing w:val="-2"/>
        </w:rPr>
        <w:t>远光</w:t>
      </w:r>
      <w:r>
        <w:rPr/>
        <w:t> 人的精神家园，企业的内部门户</w:t>
      </w:r>
      <w:r>
        <w:rPr>
          <w:rFonts w:ascii="Times New Roman" w:hAnsi="Times New Roman" w:cs="Times New Roman" w:eastAsia="Times New Roman" w:hint="default"/>
        </w:rPr>
        <w:t>”</w:t>
      </w:r>
      <w:r>
        <w:rPr/>
        <w:t>，先后推出多个业务频道供知识与信息共享，设置网络社区和专家博客便于员工交流，整 </w:t>
      </w:r>
      <w:r>
        <w:rPr>
          <w:spacing w:val="-2"/>
        </w:rPr>
        <w:t>合链接其他内部管理模块优化工作流程。较之传统管理，信息化手段更加节约成本、提高效率，其在内部管理上将持续发挥</w:t>
      </w:r>
      <w:r>
        <w:rPr>
          <w:spacing w:val="-63"/>
        </w:rPr>
        <w:t> </w:t>
      </w:r>
      <w:r>
        <w:rPr>
          <w:spacing w:val="-63"/>
        </w:rPr>
      </w:r>
      <w:r>
        <w:rPr/>
        <w:t>影响力、传递正能量。</w:t>
      </w:r>
    </w:p>
    <w:p>
      <w:pPr>
        <w:pStyle w:val="BodyText"/>
        <w:spacing w:line="240" w:lineRule="auto" w:before="67"/>
        <w:ind w:right="1123"/>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3"/>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说明</w:t>
      </w:r>
    </w:p>
    <w:p>
      <w:pPr>
        <w:pStyle w:val="BodyText"/>
        <w:spacing w:line="338" w:lineRule="auto" w:before="117"/>
        <w:ind w:right="2694"/>
        <w:jc w:val="left"/>
      </w:pPr>
      <w:r>
        <w:rPr/>
        <w:t>报告期内，电力行业信息化需求持续稳健增长，公司实现营业收入</w:t>
      </w:r>
      <w:r>
        <w:rPr>
          <w:spacing w:val="-45"/>
        </w:rPr>
        <w:t> </w:t>
      </w:r>
      <w:r>
        <w:rPr>
          <w:rFonts w:ascii="Times New Roman" w:hAnsi="Times New Roman" w:cs="Times New Roman" w:eastAsia="Times New Roman" w:hint="default"/>
        </w:rPr>
        <w:t>77,978.05</w:t>
      </w:r>
      <w:r>
        <w:rPr>
          <w:rFonts w:ascii="Times New Roman" w:hAnsi="Times New Roman" w:cs="Times New Roman" w:eastAsia="Times New Roman" w:hint="default"/>
          <w:spacing w:val="-9"/>
        </w:rPr>
        <w:t> </w:t>
      </w:r>
      <w:r>
        <w:rPr/>
        <w:t>万元，同比增长</w:t>
      </w:r>
      <w:r>
        <w:rPr>
          <w:spacing w:val="-46"/>
        </w:rPr>
        <w:t> </w:t>
      </w:r>
      <w:r>
        <w:rPr>
          <w:rFonts w:ascii="Times New Roman" w:hAnsi="Times New Roman" w:cs="Times New Roman" w:eastAsia="Times New Roman" w:hint="default"/>
        </w:rPr>
        <w:t>21.38%</w:t>
      </w:r>
      <w:r>
        <w:rPr/>
        <w:t>。 公司实物销售收入是否大于劳务收入</w:t>
      </w:r>
    </w:p>
    <w:p>
      <w:pPr>
        <w:spacing w:after="0" w:line="338" w:lineRule="auto"/>
        <w:jc w:val="left"/>
        <w:sectPr>
          <w:footerReference w:type="default" r:id="rId12"/>
          <w:pgSz w:w="11910" w:h="16840"/>
          <w:pgMar w:footer="1330" w:header="745" w:top="1060" w:bottom="1520" w:left="980" w:right="0"/>
          <w:pgNumType w:start="12"/>
        </w:sectPr>
      </w:pPr>
    </w:p>
    <w:p>
      <w:pPr>
        <w:spacing w:line="240" w:lineRule="auto" w:before="9"/>
        <w:rPr>
          <w:rFonts w:ascii="宋体" w:hAnsi="宋体" w:cs="宋体" w:eastAsia="宋体" w:hint="default"/>
          <w:sz w:val="25"/>
          <w:szCs w:val="25"/>
        </w:rPr>
      </w:pPr>
    </w:p>
    <w:p>
      <w:pPr>
        <w:pStyle w:val="BodyText"/>
        <w:spacing w:line="360" w:lineRule="auto"/>
        <w:ind w:right="8774"/>
        <w:jc w:val="left"/>
      </w:pPr>
      <w:r>
        <w:rPr/>
        <w:t>□ 是 √</w:t>
      </w:r>
      <w:r>
        <w:rPr>
          <w:spacing w:val="3"/>
        </w:rPr>
        <w:t> </w:t>
      </w:r>
      <w:r>
        <w:rPr/>
        <w:t>否</w:t>
      </w:r>
      <w:r>
        <w:rPr/>
        <w:t> 公司重大的在手订单情况</w:t>
      </w:r>
    </w:p>
    <w:p>
      <w:pPr>
        <w:pStyle w:val="BodyText"/>
        <w:spacing w:line="360" w:lineRule="auto" w:before="25"/>
        <w:ind w:right="6434"/>
        <w:jc w:val="left"/>
      </w:pPr>
      <w:r>
        <w:rPr/>
        <w:t>□ 适用 √</w:t>
      </w:r>
      <w:r>
        <w:rPr>
          <w:spacing w:val="3"/>
        </w:rPr>
        <w:t> </w:t>
      </w:r>
      <w:r>
        <w:rPr/>
        <w:t>不适用</w:t>
      </w:r>
      <w:r>
        <w:rPr/>
        <w:t> 公司报告期内产品或服务发生重大变化或调整有关情况</w:t>
      </w:r>
    </w:p>
    <w:p>
      <w:pPr>
        <w:pStyle w:val="BodyText"/>
        <w:spacing w:line="357" w:lineRule="auto" w:before="27"/>
        <w:ind w:right="8954"/>
        <w:jc w:val="left"/>
      </w:pPr>
      <w:r>
        <w:rPr/>
        <w:t>□ 适用 √</w:t>
      </w:r>
      <w:r>
        <w:rPr>
          <w:spacing w:val="3"/>
        </w:rPr>
        <w:t> </w:t>
      </w:r>
      <w:r>
        <w:rPr/>
        <w:t>不适用</w:t>
      </w:r>
      <w:r>
        <w:rPr/>
        <w:t>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84,209,265.59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10.8%</w:t>
            </w:r>
          </w:p>
        </w:tc>
      </w:tr>
    </w:tbl>
    <w:p>
      <w:pPr>
        <w:pStyle w:val="BodyText"/>
        <w:spacing w:line="240" w:lineRule="auto" w:before="70"/>
        <w:ind w:right="112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0"/>
        <w:gridCol w:w="3300"/>
        <w:gridCol w:w="2333"/>
        <w:gridCol w:w="3145"/>
      </w:tblGrid>
      <w:tr>
        <w:trPr>
          <w:trHeight w:val="404"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38,757,500.00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12,781,626.35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11,543,818.49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10,963,773.58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10,162,547.17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84,209,265.59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行业分类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176,256,982.42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144,681,567.23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2,983,906.45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2,424,699.02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23.06%</w:t>
            </w:r>
          </w:p>
        </w:tc>
      </w:tr>
    </w:tbl>
    <w:p>
      <w:pPr>
        <w:pStyle w:val="BodyText"/>
        <w:spacing w:line="240" w:lineRule="auto" w:before="49"/>
        <w:ind w:right="112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自行开发研制的 软件</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6" w:right="59"/>
              <w:jc w:val="left"/>
              <w:rPr>
                <w:rFonts w:ascii="宋体" w:hAnsi="宋体" w:cs="宋体" w:eastAsia="宋体" w:hint="default"/>
                <w:sz w:val="18"/>
                <w:szCs w:val="18"/>
              </w:rPr>
            </w:pPr>
            <w:r>
              <w:rPr>
                <w:rFonts w:ascii="宋体" w:hAnsi="宋体" w:cs="宋体" w:eastAsia="宋体" w:hint="default"/>
                <w:sz w:val="18"/>
                <w:szCs w:val="18"/>
              </w:rPr>
              <w:t>软件卡、说明书 制作成本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561,797.07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实施成本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98,875,037.88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90,293,391.11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36,485,566.39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34,732,394.32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43,297,434.60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21,518,683.75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179,240,888.87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147,106,266.25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21.84%</w:t>
            </w:r>
          </w:p>
        </w:tc>
      </w:tr>
    </w:tbl>
    <w:p>
      <w:pPr>
        <w:pStyle w:val="BodyText"/>
        <w:spacing w:line="240" w:lineRule="auto" w:before="49"/>
        <w:ind w:right="1123"/>
        <w:jc w:val="left"/>
      </w:pPr>
      <w:r>
        <w:rPr/>
        <w:t>说明</w:t>
      </w:r>
    </w:p>
    <w:p>
      <w:pPr>
        <w:pStyle w:val="BodyText"/>
        <w:spacing w:line="300" w:lineRule="auto" w:before="115"/>
        <w:ind w:right="1123"/>
        <w:jc w:val="left"/>
      </w:pPr>
      <w:r>
        <w:rPr/>
        <w:t>报告期营业成本同比增长</w:t>
      </w:r>
      <w:r>
        <w:rPr>
          <w:rFonts w:ascii="Times New Roman" w:hAnsi="Times New Roman" w:cs="Times New Roman" w:eastAsia="Times New Roman" w:hint="default"/>
        </w:rPr>
        <w:t>21.84%</w:t>
      </w:r>
      <w:r>
        <w:rPr/>
        <w:t>，略超收入增幅，主要原因为：报告期系统集成收入大幅增加，系统集成成本相应大幅增</w:t>
      </w:r>
      <w:r>
        <w:rPr>
          <w:spacing w:val="-23"/>
        </w:rPr>
        <w:t> </w:t>
      </w:r>
      <w:r>
        <w:rPr>
          <w:spacing w:val="-23"/>
        </w:rPr>
      </w:r>
      <w:r>
        <w:rPr/>
        <w:t>加，扣除系统集成影响因素后，营业成本增幅小于收入增幅，成本控制良好。</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before="0"/>
        <w:ind w:right="1123"/>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22,215,225.00</w:t>
            </w:r>
          </w:p>
        </w:tc>
      </w:tr>
      <w:tr>
        <w:trPr>
          <w:trHeight w:val="402"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52.96%</w:t>
            </w:r>
          </w:p>
        </w:tc>
      </w:tr>
    </w:tbl>
    <w:p>
      <w:pPr>
        <w:pStyle w:val="BodyText"/>
        <w:spacing w:line="240" w:lineRule="auto" w:before="49"/>
        <w:ind w:right="1123"/>
        <w:jc w:val="left"/>
      </w:pPr>
      <w:r>
        <w:rPr/>
        <w:pict>
          <v:shape style="position:absolute;margin-left:263.570007pt;margin-top:-20.038307pt;width:270.2pt;height:19.6pt;mso-position-horizontal-relative:page;mso-position-vertical-relative:paragraph;z-index:-89725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038307pt;width:262.75pt;height:19.6pt;mso-position-horizontal-relative:page;mso-position-vertical-relative:paragraph;z-index:-897232"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8,614,889.00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5,532,267.00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4,253,054.00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2,315,015.00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22,215,225.00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52.96%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3661"/>
        <w:gridCol w:w="2168"/>
        <w:gridCol w:w="1843"/>
        <w:gridCol w:w="1985"/>
      </w:tblGrid>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tabs>
                <w:tab w:pos="470"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75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94,125,008.29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85,907,540.38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9.57%</w:t>
            </w:r>
          </w:p>
        </w:tc>
      </w:tr>
      <w:tr>
        <w:trPr>
          <w:trHeight w:val="350"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238,545,513.82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192,217,924.88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24.10%</w:t>
            </w:r>
          </w:p>
        </w:tc>
      </w:tr>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-7,577,735.63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-5,319,386.65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-42.46%</w:t>
            </w:r>
          </w:p>
        </w:tc>
      </w:tr>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965,432.67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5,580,435.93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-82.70%</w:t>
            </w:r>
          </w:p>
        </w:tc>
      </w:tr>
      <w:tr>
        <w:trPr>
          <w:trHeight w:val="350"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27,799,904.11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22,046,799.28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26.09%</w:t>
            </w:r>
          </w:p>
        </w:tc>
      </w:tr>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销售费用占比</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12.07%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13.37%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-1.30%</w:t>
            </w:r>
          </w:p>
        </w:tc>
      </w:tr>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管理费用占比</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30.59%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29.92%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0.67%</w:t>
            </w:r>
          </w:p>
        </w:tc>
      </w:tr>
      <w:tr>
        <w:trPr>
          <w:trHeight w:val="350"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财务费用占比</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7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3" w:hRule="exact"/>
        </w:trPr>
        <w:tc>
          <w:tcPr>
            <w:tcW w:w="3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三项费用合计占比</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41.69%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42.47%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-0.78%</w:t>
            </w:r>
          </w:p>
        </w:tc>
      </w:tr>
    </w:tbl>
    <w:p>
      <w:pPr>
        <w:spacing w:line="240" w:lineRule="auto" w:before="5"/>
        <w:rPr>
          <w:rFonts w:ascii="宋体" w:hAnsi="宋体" w:cs="宋体" w:eastAsia="宋体" w:hint="default"/>
          <w:b/>
          <w:bCs/>
          <w:sz w:val="27"/>
          <w:szCs w:val="27"/>
        </w:rPr>
      </w:pPr>
    </w:p>
    <w:p>
      <w:pPr>
        <w:pStyle w:val="BodyText"/>
        <w:spacing w:line="338" w:lineRule="auto"/>
        <w:ind w:right="1814"/>
        <w:jc w:val="left"/>
      </w:pPr>
      <w:r>
        <w:rPr/>
        <w:t>管理费用同比增长</w:t>
      </w:r>
      <w:r>
        <w:rPr>
          <w:rFonts w:ascii="Times New Roman" w:hAnsi="Times New Roman" w:cs="Times New Roman" w:eastAsia="Times New Roman" w:hint="default"/>
        </w:rPr>
        <w:t>24.1%</w:t>
      </w:r>
      <w:r>
        <w:rPr/>
        <w:t>，超过收入增幅，主要原因为：报告期大幅增加研发投入，研发支出增幅达</w:t>
      </w:r>
      <w:r>
        <w:rPr>
          <w:rFonts w:ascii="Times New Roman" w:hAnsi="Times New Roman" w:cs="Times New Roman" w:eastAsia="Times New Roman" w:hint="default"/>
        </w:rPr>
        <w:t>46.89%</w:t>
      </w:r>
      <w:r>
        <w:rPr/>
        <w:t>所致。 财务费用同比减少</w:t>
      </w:r>
      <w:r>
        <w:rPr>
          <w:rFonts w:ascii="Times New Roman" w:hAnsi="Times New Roman" w:cs="Times New Roman" w:eastAsia="Times New Roman" w:hint="default"/>
        </w:rPr>
        <w:t>42.46%</w:t>
      </w:r>
      <w:r>
        <w:rPr/>
        <w:t>，主要原因为：报告期强化货币资金收益管理，银行利息收入增加所致。 资产减值损失同比减少</w:t>
      </w:r>
      <w:r>
        <w:rPr>
          <w:rFonts w:ascii="Times New Roman" w:hAnsi="Times New Roman" w:cs="Times New Roman" w:eastAsia="Times New Roman" w:hint="default"/>
        </w:rPr>
        <w:t>82.70%</w:t>
      </w:r>
      <w:r>
        <w:rPr/>
        <w:t>，主要原因为：报告期应收账款控制良好，计提的坏账准备减少所致。</w:t>
      </w:r>
    </w:p>
    <w:p>
      <w:pPr>
        <w:spacing w:after="0" w:line="338" w:lineRule="auto"/>
        <w:jc w:val="left"/>
        <w:sectPr>
          <w:pgSz w:w="11910" w:h="16840"/>
          <w:pgMar w:header="745" w:footer="133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rFonts w:ascii="Times New Roman" w:hAnsi="Times New Roman" w:cs="Times New Roman" w:eastAsia="Times New Roman" w:hint="default"/>
        </w:rPr>
        <w:t>(1)</w:t>
      </w:r>
      <w:r>
        <w:rPr/>
        <w:t>研发支出情况表</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480"/>
        <w:gridCol w:w="2441"/>
        <w:gridCol w:w="2081"/>
        <w:gridCol w:w="2079"/>
      </w:tblGrid>
      <w:tr>
        <w:trPr>
          <w:trHeight w:val="350" w:hRule="exact"/>
        </w:trPr>
        <w:tc>
          <w:tcPr>
            <w:tcW w:w="2480" w:type="dxa"/>
            <w:tcBorders>
              <w:top w:val="single" w:sz="8" w:space="0" w:color="000000"/>
              <w:left w:val="single" w:sz="8" w:space="0" w:color="000000"/>
              <w:bottom w:val="single" w:sz="8" w:space="0" w:color="000000"/>
              <w:right w:val="single" w:sz="8" w:space="0" w:color="000000"/>
            </w:tcBorders>
          </w:tcPr>
          <w:p>
            <w:pPr>
              <w:pStyle w:val="TableParagraph"/>
              <w:tabs>
                <w:tab w:pos="542" w:val="left" w:leader="none"/>
              </w:tabs>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上年金额</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53" w:hRule="exact"/>
        </w:trPr>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研发费用合计</w:t>
            </w:r>
          </w:p>
        </w:tc>
        <w:tc>
          <w:tcPr>
            <w:tcW w:w="2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134,028,411.82</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91,242,797.39</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46.89%</w:t>
            </w:r>
          </w:p>
        </w:tc>
      </w:tr>
      <w:tr>
        <w:trPr>
          <w:trHeight w:val="353" w:hRule="exact"/>
        </w:trPr>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779,780,492.44</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642,410,646.15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21.38%</w:t>
            </w:r>
          </w:p>
        </w:tc>
      </w:tr>
      <w:tr>
        <w:trPr>
          <w:trHeight w:val="350" w:hRule="exact"/>
        </w:trPr>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1,238,675,671.64</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975,365,750.24</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27.00%</w:t>
            </w:r>
          </w:p>
        </w:tc>
      </w:tr>
      <w:tr>
        <w:trPr>
          <w:trHeight w:val="353" w:hRule="exact"/>
        </w:trPr>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研发费用占营业收入的比例</w:t>
            </w:r>
          </w:p>
        </w:tc>
        <w:tc>
          <w:tcPr>
            <w:tcW w:w="2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17.19%</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14.20%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2.99%</w:t>
            </w:r>
          </w:p>
        </w:tc>
      </w:tr>
      <w:tr>
        <w:trPr>
          <w:trHeight w:val="353" w:hRule="exact"/>
        </w:trPr>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研发费用占净资产的比例</w:t>
            </w:r>
          </w:p>
        </w:tc>
        <w:tc>
          <w:tcPr>
            <w:tcW w:w="2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10.82%</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9.35%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1.47%</w:t>
            </w:r>
          </w:p>
        </w:tc>
      </w:tr>
    </w:tbl>
    <w:p>
      <w:pPr>
        <w:pStyle w:val="BodyText"/>
        <w:spacing w:line="300" w:lineRule="auto" w:before="8"/>
        <w:ind w:right="1199"/>
        <w:jc w:val="left"/>
      </w:pPr>
      <w:r>
        <w:rPr>
          <w:rFonts w:ascii="Times New Roman" w:hAnsi="Times New Roman" w:cs="Times New Roman" w:eastAsia="Times New Roman" w:hint="default"/>
        </w:rPr>
        <w:t>(2)</w:t>
      </w:r>
      <w:r>
        <w:rPr/>
        <w:t>情况说明</w:t>
      </w:r>
      <w:r>
        <w:rPr>
          <w:w w:val="99"/>
        </w:rPr>
        <w:t> </w:t>
      </w:r>
      <w:r>
        <w:rPr/>
        <w:t>报告期内，公司继续加大研发投入，整体研发支出较</w:t>
      </w:r>
      <w:r>
        <w:rPr>
          <w:rFonts w:ascii="Times New Roman" w:hAnsi="Times New Roman" w:cs="Times New Roman" w:eastAsia="Times New Roman" w:hint="default"/>
        </w:rPr>
        <w:t>2012</w:t>
      </w:r>
      <w:r>
        <w:rPr/>
        <w:t>年度增加了</w:t>
      </w:r>
      <w:r>
        <w:rPr>
          <w:rFonts w:ascii="Times New Roman" w:hAnsi="Times New Roman" w:cs="Times New Roman" w:eastAsia="Times New Roman" w:hint="default"/>
        </w:rPr>
        <w:t>46.89%</w:t>
      </w:r>
      <w:r>
        <w:rPr/>
        <w:t>，高于销售与管理费用的增长，将增强公司的</w:t>
      </w:r>
      <w:r>
        <w:rPr>
          <w:w w:val="99"/>
        </w:rPr>
        <w:t> </w:t>
      </w:r>
      <w:r>
        <w:rPr/>
        <w:t>核心竞争力，保持公司的竞争优势。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823,907,941.51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516,230,820.36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536,392,482.87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403,287,201.75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287,515,458.64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112,943,618.61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154.57%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191,294,722.28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69,983,145.22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149,576,573.79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162,221,219.84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41,718,148.49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-92,238,074.62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145.23%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8,697,126.36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17,866,834.32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-51.32%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74,783,633.76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26,054,346.51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-66,086,507.40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-8,187,512.19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-707.16%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263,147,099.73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12,518,031.80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2,002.14%</w:t>
            </w:r>
          </w:p>
        </w:tc>
      </w:tr>
    </w:tbl>
    <w:p>
      <w:pPr>
        <w:pStyle w:val="BodyText"/>
        <w:spacing w:line="240" w:lineRule="auto" w:before="49"/>
        <w:ind w:right="112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23"/>
        <w:jc w:val="left"/>
      </w:pPr>
      <w:r>
        <w:rPr/>
        <w:t>√ 适用 □</w:t>
      </w:r>
      <w:r>
        <w:rPr>
          <w:spacing w:val="3"/>
        </w:rPr>
        <w:t> </w:t>
      </w:r>
      <w:r>
        <w:rPr/>
        <w:t>不适用</w:t>
      </w:r>
    </w:p>
    <w:p>
      <w:pPr>
        <w:pStyle w:val="BodyText"/>
        <w:spacing w:line="307" w:lineRule="auto" w:before="117"/>
        <w:ind w:right="0"/>
        <w:jc w:val="left"/>
      </w:pPr>
      <w:r>
        <w:rPr/>
        <w:t>经营活动现金流入小计同比增长</w:t>
      </w:r>
      <w:r>
        <w:rPr>
          <w:rFonts w:ascii="Times New Roman" w:hAnsi="Times New Roman" w:cs="Times New Roman" w:eastAsia="Times New Roman" w:hint="default"/>
        </w:rPr>
        <w:t>59.6%</w:t>
      </w:r>
      <w:r>
        <w:rPr/>
        <w:t>，主要原因是报告期电力行业信息化需求持续、稳定，公司主营业务收入增加，采取 积极的催收策略并取得良好效果</w:t>
      </w:r>
      <w:r>
        <w:rPr>
          <w:rFonts w:ascii="MS UI Gothic" w:hAnsi="MS UI Gothic" w:cs="MS UI Gothic" w:eastAsia="MS UI Gothic" w:hint="default"/>
        </w:rPr>
        <w:t>｡</w:t>
      </w:r>
      <w:r>
        <w:rPr>
          <w:rFonts w:ascii="MS UI Gothic" w:hAnsi="MS UI Gothic" w:cs="MS UI Gothic" w:eastAsia="MS UI Gothic" w:hint="default"/>
          <w:spacing w:val="-45"/>
        </w:rPr>
        <w:t> </w:t>
      </w:r>
      <w:r>
        <w:rPr/>
        <w:t>经营活动现金流出小计同比增长</w:t>
      </w:r>
      <w:r>
        <w:rPr>
          <w:rFonts w:ascii="Times New Roman" w:hAnsi="Times New Roman" w:cs="Times New Roman" w:eastAsia="Times New Roman" w:hint="default"/>
        </w:rPr>
        <w:t>33.01%</w:t>
      </w:r>
      <w:r>
        <w:rPr/>
        <w:t>，主要原因是报告期公司规模扩大、研发投入增加、职工人数增加，以及工资水平 上升共同影响所致。 </w:t>
      </w:r>
      <w:r>
        <w:rPr>
          <w:spacing w:val="-2"/>
        </w:rPr>
        <w:t>经营活动产生的现金流量净额同比增长</w:t>
      </w:r>
      <w:r>
        <w:rPr>
          <w:rFonts w:ascii="Times New Roman" w:hAnsi="Times New Roman" w:cs="Times New Roman" w:eastAsia="Times New Roman" w:hint="default"/>
          <w:spacing w:val="-2"/>
        </w:rPr>
        <w:t>154.57%</w:t>
      </w:r>
      <w:r>
        <w:rPr>
          <w:spacing w:val="-2"/>
        </w:rPr>
        <w:t>，主要原因是公司主营业务收入增加，采取积极的催收策略并取得良好效果，</w:t>
      </w:r>
      <w:r>
        <w:rPr>
          <w:spacing w:val="-73"/>
        </w:rPr>
        <w:t> </w:t>
      </w:r>
      <w:r>
        <w:rPr>
          <w:spacing w:val="-73"/>
        </w:rPr>
      </w:r>
      <w:r>
        <w:rPr/>
        <w:t>现金流入大幅增加，同时进一步强化精细化管理，严格控制成本费用并取得良好效果，支出增幅小于收入增幅所致。</w:t>
      </w:r>
    </w:p>
    <w:p>
      <w:pPr>
        <w:spacing w:after="0" w:line="307" w:lineRule="auto"/>
        <w:jc w:val="left"/>
        <w:sectPr>
          <w:pgSz w:w="11910" w:h="16840"/>
          <w:pgMar w:header="745" w:footer="133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ind w:right="0"/>
        <w:jc w:val="left"/>
      </w:pPr>
      <w:r>
        <w:rPr/>
        <w:t>投资活动现金流入小计同比增长</w:t>
      </w:r>
      <w:r>
        <w:rPr>
          <w:rFonts w:ascii="Times New Roman" w:hAnsi="Times New Roman" w:cs="Times New Roman" w:eastAsia="Times New Roman" w:hint="default"/>
        </w:rPr>
        <w:t>173.34%</w:t>
      </w:r>
      <w:r>
        <w:rPr/>
        <w:t>，主要原因是报告期赎回债券基金所致。 投资活动产生的现金流量净额同比增加</w:t>
      </w:r>
      <w:r>
        <w:rPr>
          <w:rFonts w:ascii="Times New Roman" w:hAnsi="Times New Roman" w:cs="Times New Roman" w:eastAsia="Times New Roman" w:hint="default"/>
        </w:rPr>
        <w:t>145.23%</w:t>
      </w:r>
      <w:r>
        <w:rPr/>
        <w:t>，主要原因是报告期赎回债券基金，现金流入大幅增加所致。 筹资活动现金流入小计同比减少</w:t>
      </w:r>
      <w:r>
        <w:rPr>
          <w:rFonts w:ascii="Times New Roman" w:hAnsi="Times New Roman" w:cs="Times New Roman" w:eastAsia="Times New Roman" w:hint="default"/>
        </w:rPr>
        <w:t>51.32%</w:t>
      </w:r>
      <w:r>
        <w:rPr/>
        <w:t>，主要原因是报告期股权激励行权数量较少所致。 筹资活动现金流出小计同比增长</w:t>
      </w:r>
      <w:r>
        <w:rPr>
          <w:rFonts w:ascii="Times New Roman" w:hAnsi="Times New Roman" w:cs="Times New Roman" w:eastAsia="Times New Roman" w:hint="default"/>
        </w:rPr>
        <w:t>187.03%</w:t>
      </w:r>
      <w:r>
        <w:rPr/>
        <w:t>，主要原因是报告期实施</w:t>
      </w:r>
      <w:r>
        <w:rPr>
          <w:rFonts w:ascii="Times New Roman" w:hAnsi="Times New Roman" w:cs="Times New Roman" w:eastAsia="Times New Roman" w:hint="default"/>
        </w:rPr>
        <w:t>2011</w:t>
      </w:r>
      <w:r>
        <w:rPr/>
        <w:t>年度利润分配方案，支付的现金股利大幅增加所致。 </w:t>
      </w:r>
      <w:r>
        <w:rPr>
          <w:spacing w:val="-2"/>
        </w:rPr>
        <w:t>筹资活动产生的现金流量净额同比减少</w:t>
      </w:r>
      <w:r>
        <w:rPr>
          <w:rFonts w:ascii="Times New Roman" w:hAnsi="Times New Roman" w:cs="Times New Roman" w:eastAsia="Times New Roman" w:hint="default"/>
          <w:spacing w:val="-2"/>
        </w:rPr>
        <w:t>707.16%</w:t>
      </w:r>
      <w:r>
        <w:rPr>
          <w:spacing w:val="-2"/>
        </w:rPr>
        <w:t>，主要原因是报告期股权激励行权数量较少、支付的现金股利大幅增加所致。</w:t>
      </w:r>
      <w:r>
        <w:rPr>
          <w:spacing w:val="-73"/>
        </w:rPr>
        <w:t> </w:t>
      </w:r>
      <w:r>
        <w:rPr>
          <w:spacing w:val="-73"/>
        </w:rPr>
      </w:r>
      <w:r>
        <w:rPr/>
        <w:t>现金及现金等价物增加额同比增长</w:t>
      </w:r>
      <w:r>
        <w:rPr>
          <w:rFonts w:ascii="Times New Roman" w:hAnsi="Times New Roman" w:cs="Times New Roman" w:eastAsia="Times New Roman" w:hint="default"/>
        </w:rPr>
        <w:t>2,002.14%</w:t>
      </w:r>
      <w:r>
        <w:rPr/>
        <w:t>，主要原因是公司主营业务收入增加，采取积极的催收策略并取得良好效果， 强化精细化管理，严格控制成本费用并取得良好效果，以及赎回债券基金共同影响所致。</w:t>
      </w:r>
    </w:p>
    <w:p>
      <w:pPr>
        <w:spacing w:line="240" w:lineRule="auto" w:before="0"/>
        <w:rPr>
          <w:rFonts w:ascii="宋体" w:hAnsi="宋体" w:cs="宋体" w:eastAsia="宋体" w:hint="default"/>
          <w:sz w:val="18"/>
          <w:szCs w:val="18"/>
        </w:rPr>
      </w:pPr>
    </w:p>
    <w:p>
      <w:pPr>
        <w:pStyle w:val="BodyText"/>
        <w:spacing w:line="240" w:lineRule="auto" w:before="148"/>
        <w:ind w:right="1123"/>
        <w:jc w:val="left"/>
      </w:pPr>
      <w:r>
        <w:rPr/>
        <w:t>报告期内公司经营活动的现金流量与本年度净利润存在重大差异的原因说明</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768,964,203.88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176,256,982.42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10,816,288.56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2,983,906.45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自行开发研制的 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66,844,786.55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582,850.00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434,807,846.68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98,875,037.88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225,925,115.68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36,485,566.39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52,202,743.53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43,297,434.60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135,173,652.65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34,294,955.64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230,313,287.35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52,279,231.30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116,358,447.19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30,237,484.71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115,996,778.47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23,930,741.93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82,262,225.56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17,615,001.29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99,676,101.22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20,883,474.00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bl>
    <w:p>
      <w:pPr>
        <w:pStyle w:val="BodyText"/>
        <w:spacing w:line="357" w:lineRule="auto" w:before="49"/>
        <w:ind w:left="513" w:right="1123"/>
        <w:jc w:val="left"/>
      </w:pPr>
      <w:r>
        <w:rPr/>
        <w:t>分行业说明： </w:t>
      </w:r>
      <w:r>
        <w:rPr>
          <w:rFonts w:ascii="宋体" w:hAnsi="宋体" w:cs="宋体" w:eastAsia="宋体" w:hint="default"/>
        </w:rPr>
        <w:t>1</w:t>
      </w:r>
      <w:r>
        <w:rPr/>
        <w:t>、报告期电力行业收入、成本较上年分别增长</w:t>
      </w:r>
      <w:r>
        <w:rPr>
          <w:rFonts w:ascii="宋体" w:hAnsi="宋体" w:cs="宋体" w:eastAsia="宋体" w:hint="default"/>
        </w:rPr>
        <w:t>21.33%</w:t>
      </w:r>
      <w:r>
        <w:rPr/>
        <w:t>、</w:t>
      </w:r>
      <w:r>
        <w:rPr>
          <w:rFonts w:ascii="宋体" w:hAnsi="宋体" w:cs="宋体" w:eastAsia="宋体" w:hint="default"/>
        </w:rPr>
        <w:t>21.82%</w:t>
      </w:r>
      <w:r>
        <w:rPr/>
        <w:t>，收入增长的主要原因是</w:t>
      </w:r>
      <w:r>
        <w:rPr>
          <w:rFonts w:ascii="宋体" w:hAnsi="宋体" w:cs="宋体" w:eastAsia="宋体" w:hint="default"/>
        </w:rPr>
        <w:t>2012</w:t>
      </w:r>
      <w:r>
        <w:rPr/>
        <w:t>年电力行业信息化需求持</w:t>
      </w:r>
    </w:p>
    <w:p>
      <w:pPr>
        <w:pStyle w:val="BodyText"/>
        <w:spacing w:line="224" w:lineRule="exact" w:before="0"/>
        <w:ind w:right="1123"/>
        <w:jc w:val="left"/>
      </w:pPr>
      <w:r>
        <w:rPr/>
        <w:t>续稳健增长，公司来自于电网侧的收入稳健增长，来自于发电侧的收入大幅上升。收入上升的同时成本相应增加。</w:t>
      </w:r>
    </w:p>
    <w:p>
      <w:pPr>
        <w:pStyle w:val="BodyText"/>
        <w:spacing w:line="316" w:lineRule="auto" w:before="117"/>
        <w:ind w:right="1124" w:firstLine="360"/>
        <w:jc w:val="left"/>
      </w:pPr>
      <w:r>
        <w:rPr>
          <w:rFonts w:ascii="宋体" w:hAnsi="宋体" w:cs="宋体" w:eastAsia="宋体" w:hint="default"/>
        </w:rPr>
        <w:t>2</w:t>
      </w:r>
      <w:r>
        <w:rPr/>
        <w:t>、报告期其他行业收入、成本，较上年分别增长</w:t>
      </w:r>
      <w:r>
        <w:rPr>
          <w:rFonts w:ascii="宋体" w:hAnsi="宋体" w:cs="宋体" w:eastAsia="宋体" w:hint="default"/>
        </w:rPr>
        <w:t>25.02%</w:t>
      </w:r>
      <w:r>
        <w:rPr/>
        <w:t>、</w:t>
      </w:r>
      <w:r>
        <w:rPr>
          <w:rFonts w:ascii="宋体" w:hAnsi="宋体" w:cs="宋体" w:eastAsia="宋体" w:hint="default"/>
        </w:rPr>
        <w:t>23.06%</w:t>
      </w:r>
      <w:r>
        <w:rPr/>
        <w:t>，主要原因是公司加大了电力行业外市场的拓展力度 收入、成本相应增长。</w:t>
      </w:r>
    </w:p>
    <w:p>
      <w:pPr>
        <w:pStyle w:val="BodyText"/>
        <w:spacing w:line="240" w:lineRule="auto" w:before="57"/>
        <w:ind w:left="513" w:right="1123"/>
        <w:jc w:val="left"/>
      </w:pPr>
      <w:r>
        <w:rPr/>
        <w:t>分产品说明：</w:t>
      </w:r>
    </w:p>
    <w:p>
      <w:pPr>
        <w:pStyle w:val="BodyText"/>
        <w:spacing w:line="240" w:lineRule="auto" w:before="117"/>
        <w:ind w:left="513" w:right="0"/>
        <w:jc w:val="left"/>
      </w:pPr>
      <w:r>
        <w:rPr>
          <w:rFonts w:ascii="宋体" w:hAnsi="宋体" w:cs="宋体" w:eastAsia="宋体" w:hint="default"/>
        </w:rPr>
        <w:t>1</w:t>
      </w:r>
      <w:r>
        <w:rPr/>
        <w:t>、软件产品销售，报告期收入较上年增长</w:t>
      </w:r>
      <w:r>
        <w:rPr>
          <w:rFonts w:ascii="宋体" w:hAnsi="宋体" w:cs="宋体" w:eastAsia="宋体" w:hint="default"/>
        </w:rPr>
        <w:t>32.09%</w:t>
      </w:r>
      <w:r>
        <w:rPr/>
        <w:t>，主要是报告期内会计档案系统、企业资产系统的销售实现了较大增</w:t>
      </w:r>
    </w:p>
    <w:p>
      <w:pPr>
        <w:spacing w:after="0" w:line="240" w:lineRule="auto"/>
        <w:jc w:val="left"/>
        <w:sectPr>
          <w:pgSz w:w="11910" w:h="16840"/>
          <w:pgMar w:header="745" w:footer="1330"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ind w:left="212" w:right="0"/>
        <w:jc w:val="left"/>
      </w:pPr>
      <w:r>
        <w:rPr/>
        <w:t>长。</w:t>
      </w:r>
    </w:p>
    <w:p>
      <w:pPr>
        <w:pStyle w:val="BodyText"/>
        <w:spacing w:line="240" w:lineRule="auto" w:before="117"/>
        <w:ind w:left="573" w:right="0"/>
        <w:jc w:val="left"/>
      </w:pPr>
      <w:r>
        <w:rPr>
          <w:rFonts w:ascii="宋体" w:hAnsi="宋体" w:cs="宋体" w:eastAsia="宋体" w:hint="default"/>
        </w:rPr>
        <w:t>2</w:t>
      </w:r>
      <w:r>
        <w:rPr/>
        <w:t>、定制软件，报告期收入较上年增长</w:t>
      </w:r>
      <w:r>
        <w:rPr>
          <w:rFonts w:ascii="宋体" w:hAnsi="宋体" w:cs="宋体" w:eastAsia="宋体" w:hint="default"/>
        </w:rPr>
        <w:t>21.93%</w:t>
      </w:r>
      <w:r>
        <w:rPr/>
        <w:t>，主要是报告期内财务管控系统应用推广、实施进度、结算确认良好。</w:t>
      </w:r>
    </w:p>
    <w:p>
      <w:pPr>
        <w:pStyle w:val="BodyText"/>
        <w:spacing w:line="240" w:lineRule="auto" w:before="115"/>
        <w:ind w:left="573" w:right="0"/>
        <w:jc w:val="left"/>
      </w:pPr>
      <w:r>
        <w:rPr>
          <w:rFonts w:ascii="宋体" w:hAnsi="宋体" w:cs="宋体" w:eastAsia="宋体" w:hint="default"/>
        </w:rPr>
        <w:t>3</w:t>
      </w:r>
      <w:r>
        <w:rPr/>
        <w:t>、系统集成，报告期收入较上年增长</w:t>
      </w:r>
      <w:r>
        <w:rPr>
          <w:rFonts w:ascii="宋体" w:hAnsi="宋体" w:cs="宋体" w:eastAsia="宋体" w:hint="default"/>
        </w:rPr>
        <w:t>98.61%</w:t>
      </w:r>
      <w:r>
        <w:rPr/>
        <w:t>，主要是报告期内公司抓住国电集团财务管控推广实施的良机，提供软硬</w:t>
      </w:r>
    </w:p>
    <w:p>
      <w:pPr>
        <w:pStyle w:val="BodyText"/>
        <w:spacing w:line="316" w:lineRule="auto" w:before="76"/>
        <w:ind w:left="212" w:right="1124"/>
        <w:jc w:val="left"/>
      </w:pPr>
      <w:r>
        <w:rPr/>
        <w:t>件一体化的解决方案，提升了竞争优势，确保了系统集成收入高速增长；报告期公司与</w:t>
      </w:r>
      <w:r>
        <w:rPr>
          <w:rFonts w:ascii="宋体" w:hAnsi="宋体" w:cs="宋体" w:eastAsia="宋体" w:hint="default"/>
        </w:rPr>
        <w:t>Oracle</w:t>
      </w:r>
      <w:r>
        <w:rPr/>
        <w:t>、</w:t>
      </w:r>
      <w:r>
        <w:rPr>
          <w:rFonts w:ascii="宋体" w:hAnsi="宋体" w:cs="宋体" w:eastAsia="宋体" w:hint="default"/>
        </w:rPr>
        <w:t>IBM</w:t>
      </w:r>
      <w:r>
        <w:rPr/>
        <w:t>等原厂相继签署一批合 作协议，为项目销售提供了有力的工具和支持。</w:t>
      </w:r>
    </w:p>
    <w:p>
      <w:pPr>
        <w:pStyle w:val="BodyText"/>
        <w:spacing w:line="360" w:lineRule="auto" w:before="59"/>
        <w:ind w:left="573" w:right="1123"/>
        <w:jc w:val="left"/>
      </w:pPr>
      <w:r>
        <w:rPr/>
        <w:t>分地区说明： </w:t>
      </w:r>
      <w:r>
        <w:rPr>
          <w:rFonts w:ascii="宋体" w:hAnsi="宋体" w:cs="宋体" w:eastAsia="宋体" w:hint="default"/>
        </w:rPr>
        <w:t>1</w:t>
      </w:r>
      <w:r>
        <w:rPr/>
        <w:t>、东北地区报告期收入较上年增长</w:t>
      </w:r>
      <w:r>
        <w:rPr>
          <w:rFonts w:ascii="宋体" w:hAnsi="宋体" w:cs="宋体" w:eastAsia="宋体" w:hint="default"/>
        </w:rPr>
        <w:t>58.63%</w:t>
      </w:r>
      <w:r>
        <w:rPr/>
        <w:t>，主要原因为内蒙古、吉林、辽宁地区增幅较大。报告期内蒙古、辽宁地区</w:t>
      </w:r>
    </w:p>
    <w:p>
      <w:pPr>
        <w:pStyle w:val="BodyText"/>
        <w:spacing w:line="222" w:lineRule="exact" w:before="0"/>
        <w:ind w:left="212" w:right="0"/>
        <w:jc w:val="left"/>
      </w:pPr>
      <w:r>
        <w:rPr/>
        <w:t>国电客户推广国电集团财务管控并按实施进度进行了收入确认；辽宁、吉林地区则在资产盘点等产品上实现突破。</w:t>
      </w:r>
    </w:p>
    <w:p>
      <w:pPr>
        <w:pStyle w:val="BodyText"/>
        <w:spacing w:line="316" w:lineRule="auto" w:before="115"/>
        <w:ind w:left="212" w:right="1129" w:firstLine="360"/>
        <w:jc w:val="both"/>
      </w:pPr>
      <w:r>
        <w:rPr>
          <w:rFonts w:ascii="宋体" w:hAnsi="宋体" w:cs="宋体" w:eastAsia="宋体" w:hint="default"/>
          <w:spacing w:val="-2"/>
        </w:rPr>
        <w:t>2</w:t>
      </w:r>
      <w:r>
        <w:rPr>
          <w:spacing w:val="-2"/>
        </w:rPr>
        <w:t>、华北地区报告期收入较上年减少</w:t>
      </w:r>
      <w:r>
        <w:rPr>
          <w:rFonts w:ascii="宋体" w:hAnsi="宋体" w:cs="宋体" w:eastAsia="宋体" w:hint="default"/>
          <w:spacing w:val="-2"/>
        </w:rPr>
        <w:t>17.35%,</w:t>
      </w:r>
      <w:r>
        <w:rPr>
          <w:spacing w:val="-2"/>
        </w:rPr>
        <w:t>主要原因为</w:t>
      </w:r>
      <w:r>
        <w:rPr>
          <w:rFonts w:ascii="宋体" w:hAnsi="宋体" w:cs="宋体" w:eastAsia="宋体" w:hint="default"/>
          <w:spacing w:val="-2"/>
        </w:rPr>
        <w:t>2011</w:t>
      </w:r>
      <w:r>
        <w:rPr>
          <w:spacing w:val="-2"/>
        </w:rPr>
        <w:t>年度与国网客户结算较大，而报告期内此项结算较小，同时</w:t>
      </w:r>
      <w:r>
        <w:rPr/>
        <w:t> 山西地区由于部分项目收入确认时间推迟，收入降低；报告期内华北地区其他机构收入均实现了不同程度增长。</w:t>
      </w:r>
    </w:p>
    <w:p>
      <w:pPr>
        <w:pStyle w:val="BodyText"/>
        <w:spacing w:line="319" w:lineRule="auto" w:before="59"/>
        <w:ind w:left="212" w:right="1131" w:firstLine="360"/>
        <w:jc w:val="both"/>
      </w:pPr>
      <w:r>
        <w:rPr>
          <w:rFonts w:ascii="宋体" w:hAnsi="宋体" w:cs="宋体" w:eastAsia="宋体" w:hint="default"/>
          <w:spacing w:val="-2"/>
        </w:rPr>
        <w:t>3</w:t>
      </w:r>
      <w:r>
        <w:rPr>
          <w:spacing w:val="-2"/>
        </w:rPr>
        <w:t>、华东地区报告期收入实现了高速增长，增幅为</w:t>
      </w:r>
      <w:r>
        <w:rPr>
          <w:rFonts w:ascii="宋体" w:hAnsi="宋体" w:cs="宋体" w:eastAsia="宋体" w:hint="default"/>
          <w:spacing w:val="-2"/>
        </w:rPr>
        <w:t>174.86%</w:t>
      </w:r>
      <w:r>
        <w:rPr>
          <w:spacing w:val="-2"/>
        </w:rPr>
        <w:t>，报告期内华东各机构收入均实现较高增长。主要原因为报告</w:t>
      </w:r>
      <w:r>
        <w:rPr/>
        <w:t> </w:t>
      </w:r>
      <w:r>
        <w:rPr>
          <w:spacing w:val="-2"/>
        </w:rPr>
        <w:t>期江苏、安徽、福建地区国电集团客户推广财务管控系统并按实施进度进行了收入确认；浙江积极开拓农电市场，财务管控</w:t>
      </w:r>
      <w:r>
        <w:rPr>
          <w:spacing w:val="-64"/>
        </w:rPr>
        <w:t> </w:t>
      </w:r>
      <w:r>
        <w:rPr>
          <w:spacing w:val="-64"/>
        </w:rPr>
      </w:r>
      <w:r>
        <w:rPr/>
        <w:t>系统成功在农电市场应用；同时区域内各机构加大服务力度，提升服务意识，加强服务营销，服务收入大幅增长。</w:t>
      </w:r>
    </w:p>
    <w:p>
      <w:pPr>
        <w:pStyle w:val="BodyText"/>
        <w:spacing w:line="316" w:lineRule="auto" w:before="58"/>
        <w:ind w:left="212" w:right="1135" w:firstLine="360"/>
        <w:jc w:val="both"/>
      </w:pPr>
      <w:r>
        <w:rPr>
          <w:rFonts w:ascii="宋体" w:hAnsi="宋体" w:cs="宋体" w:eastAsia="宋体" w:hint="default"/>
        </w:rPr>
        <w:t>4</w:t>
      </w:r>
      <w:r>
        <w:rPr/>
        <w:t>、华中地区报告期收入增长</w:t>
      </w:r>
      <w:r>
        <w:rPr>
          <w:rFonts w:ascii="宋体" w:hAnsi="宋体" w:cs="宋体" w:eastAsia="宋体" w:hint="default"/>
        </w:rPr>
        <w:t>27.41%</w:t>
      </w:r>
      <w:r>
        <w:rPr/>
        <w:t>，主要原因为报告期内四川、湖北地区国电集团客户推广财务管控并按实施进度进 </w:t>
      </w:r>
      <w:r>
        <w:rPr>
          <w:spacing w:val="-2"/>
        </w:rPr>
        <w:t>行了收入确认；同时报告期内区域加大农电、多经及集体企业、发电侧等市场的开拓力度，河南农电、集体企业，湖南集体</w:t>
      </w:r>
      <w:r>
        <w:rPr>
          <w:spacing w:val="-70"/>
        </w:rPr>
        <w:t> </w:t>
      </w:r>
      <w:r>
        <w:rPr>
          <w:spacing w:val="-70"/>
        </w:rPr>
      </w:r>
      <w:r>
        <w:rPr/>
        <w:t>企业，江西发电侧等市场财务管控系统均实现了较好应用。</w:t>
      </w:r>
    </w:p>
    <w:p>
      <w:pPr>
        <w:pStyle w:val="BodyText"/>
        <w:spacing w:line="316" w:lineRule="auto" w:before="57"/>
        <w:ind w:left="212" w:right="0" w:firstLine="360"/>
        <w:jc w:val="left"/>
      </w:pPr>
      <w:r>
        <w:rPr>
          <w:rFonts w:ascii="宋体" w:hAnsi="宋体" w:cs="宋体" w:eastAsia="宋体" w:hint="default"/>
          <w:spacing w:val="-2"/>
        </w:rPr>
        <w:t>5</w:t>
      </w:r>
      <w:r>
        <w:rPr>
          <w:spacing w:val="-2"/>
        </w:rPr>
        <w:t>、南方地区报告期收入增长</w:t>
      </w:r>
      <w:r>
        <w:rPr>
          <w:rFonts w:ascii="宋体" w:hAnsi="宋体" w:cs="宋体" w:eastAsia="宋体" w:hint="default"/>
          <w:spacing w:val="-2"/>
        </w:rPr>
        <w:t>26.4%</w:t>
      </w:r>
      <w:r>
        <w:rPr>
          <w:spacing w:val="-2"/>
        </w:rPr>
        <w:t>，主要原因为报告期内广东、贵州、海南地区国电集团客户推广财务管控并按实施进</w:t>
      </w:r>
      <w:r>
        <w:rPr/>
        <w:t> </w:t>
      </w:r>
      <w:r>
        <w:rPr>
          <w:spacing w:val="-4"/>
        </w:rPr>
        <w:t>度进行了收入确认；同时各机构紧抓客户需求，做深客户服务，在数据质量治理、定制集成、专项服务等业务方面实现突破，</w:t>
      </w:r>
      <w:r>
        <w:rPr>
          <w:spacing w:val="-42"/>
        </w:rPr>
        <w:t> </w:t>
      </w:r>
      <w:r>
        <w:rPr>
          <w:spacing w:val="-42"/>
        </w:rPr>
      </w:r>
      <w:r>
        <w:rPr/>
        <w:t>带动了业绩增长。</w:t>
      </w:r>
    </w:p>
    <w:p>
      <w:pPr>
        <w:pStyle w:val="BodyText"/>
        <w:spacing w:line="316" w:lineRule="auto" w:before="59"/>
        <w:ind w:left="212" w:right="1139" w:firstLine="360"/>
        <w:jc w:val="both"/>
      </w:pPr>
      <w:r>
        <w:rPr>
          <w:rFonts w:ascii="宋体" w:hAnsi="宋体" w:cs="宋体" w:eastAsia="宋体" w:hint="default"/>
        </w:rPr>
        <w:t>6</w:t>
      </w:r>
      <w:r>
        <w:rPr/>
        <w:t>、西北地区报告期收入增长</w:t>
      </w:r>
      <w:r>
        <w:rPr>
          <w:rFonts w:ascii="宋体" w:hAnsi="宋体" w:cs="宋体" w:eastAsia="宋体" w:hint="default"/>
        </w:rPr>
        <w:t>24.48%</w:t>
      </w:r>
      <w:r>
        <w:rPr/>
        <w:t>，主要原因为报告期内国网、国电市场收入稳定增长；同时地方电力、发电侧、行 业外等集团客户集团资源管理实现突破，市场局面逐渐打开。</w:t>
      </w:r>
    </w:p>
    <w:p>
      <w:pPr>
        <w:pStyle w:val="BodyText"/>
        <w:spacing w:line="240" w:lineRule="auto" w:before="59"/>
        <w:ind w:left="484" w:right="0"/>
        <w:jc w:val="left"/>
      </w:pPr>
      <w:r>
        <w:rPr/>
        <w:t>分产品：</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48"/>
        <w:gridCol w:w="1508"/>
        <w:gridCol w:w="1620"/>
        <w:gridCol w:w="1080"/>
        <w:gridCol w:w="1440"/>
        <w:gridCol w:w="1441"/>
        <w:gridCol w:w="1440"/>
      </w:tblGrid>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2" w:right="170"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2" w:right="171"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0" w:right="170" w:hanging="104"/>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集团资源管理</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498,448,663.72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131,760,589.53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73.57%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17.76%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8.33%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2.30%</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财务管理系列</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188,902,896.46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6" w:right="0"/>
              <w:jc w:val="left"/>
              <w:rPr>
                <w:rFonts w:ascii="Times New Roman" w:hAnsi="Times New Roman" w:cs="Times New Roman" w:eastAsia="Times New Roman" w:hint="default"/>
                <w:sz w:val="18"/>
                <w:szCs w:val="18"/>
              </w:rPr>
            </w:pPr>
            <w:r>
              <w:rPr>
                <w:rFonts w:ascii="Times New Roman"/>
                <w:sz w:val="18"/>
              </w:rPr>
              <w:t>3,376,003.08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98.21%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15.19%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0.24%</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电力生产管理</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26,123,352.11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6" w:right="0"/>
              <w:jc w:val="left"/>
              <w:rPr>
                <w:rFonts w:ascii="Times New Roman" w:hAnsi="Times New Roman" w:cs="Times New Roman" w:eastAsia="Times New Roman" w:hint="default"/>
                <w:sz w:val="18"/>
                <w:szCs w:val="18"/>
              </w:rPr>
            </w:pPr>
            <w:r>
              <w:rPr>
                <w:rFonts w:ascii="Times New Roman"/>
                <w:sz w:val="18"/>
              </w:rPr>
              <w:t>475,445.01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98.18%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24.49%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0.29%</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52,202,743.53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43,297,434.60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17.06%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98.61%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101.21%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-1.07%</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其他产品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14,102,836.62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6" w:right="0"/>
              <w:jc w:val="left"/>
              <w:rPr>
                <w:rFonts w:ascii="Times New Roman" w:hAnsi="Times New Roman" w:cs="Times New Roman" w:eastAsia="Times New Roman" w:hint="default"/>
                <w:sz w:val="18"/>
                <w:szCs w:val="18"/>
              </w:rPr>
            </w:pPr>
            <w:r>
              <w:rPr>
                <w:rFonts w:ascii="Times New Roman"/>
                <w:sz w:val="18"/>
              </w:rPr>
              <w:t>331,416.66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97.65%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79.27%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74.42%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0.07%</w:t>
            </w:r>
          </w:p>
        </w:tc>
      </w:tr>
      <w:tr>
        <w:trPr>
          <w:trHeight w:val="32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总计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779,780,492.44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3" w:right="0"/>
              <w:jc w:val="left"/>
              <w:rPr>
                <w:rFonts w:ascii="Times New Roman" w:hAnsi="Times New Roman" w:cs="Times New Roman" w:eastAsia="Times New Roman" w:hint="default"/>
                <w:sz w:val="18"/>
                <w:szCs w:val="18"/>
              </w:rPr>
            </w:pPr>
            <w:r>
              <w:rPr>
                <w:rFonts w:ascii="Times New Roman"/>
                <w:sz w:val="18"/>
              </w:rPr>
              <w:t>179,240,888.87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77.01%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21.38%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21.84%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-0.09%</w:t>
            </w:r>
          </w:p>
        </w:tc>
      </w:tr>
    </w:tbl>
    <w:p>
      <w:pPr>
        <w:pStyle w:val="BodyText"/>
        <w:spacing w:line="357" w:lineRule="auto" w:before="49"/>
        <w:ind w:left="573" w:right="1123"/>
        <w:jc w:val="left"/>
      </w:pPr>
      <w:r>
        <w:rPr/>
        <w:t>说明： </w:t>
      </w:r>
      <w:r>
        <w:rPr>
          <w:rFonts w:ascii="宋体" w:hAnsi="宋体" w:cs="宋体" w:eastAsia="宋体" w:hint="default"/>
        </w:rPr>
        <w:t>1</w:t>
      </w:r>
      <w:r>
        <w:rPr/>
        <w:t>、集团资源管理，报告期收入较上年增长</w:t>
      </w:r>
      <w:r>
        <w:rPr>
          <w:rFonts w:ascii="宋体" w:hAnsi="宋体" w:cs="宋体" w:eastAsia="宋体" w:hint="default"/>
        </w:rPr>
        <w:t>17.76%</w:t>
      </w:r>
      <w:r>
        <w:rPr/>
        <w:t>，主要是报告期内国网集约化深化应用收入稳定，国电集团财务管控</w:t>
      </w:r>
    </w:p>
    <w:p>
      <w:pPr>
        <w:pStyle w:val="BodyText"/>
        <w:spacing w:line="224" w:lineRule="exact" w:before="0"/>
        <w:ind w:left="212" w:right="0"/>
        <w:jc w:val="left"/>
      </w:pPr>
      <w:r>
        <w:rPr/>
        <w:t>推广实施，同时公司加大产品在农电、集体企业集团的开拓，实现了良好效果。</w:t>
      </w:r>
    </w:p>
    <w:p>
      <w:pPr>
        <w:pStyle w:val="BodyText"/>
        <w:spacing w:line="316" w:lineRule="auto" w:before="118"/>
        <w:ind w:left="212" w:right="1131" w:firstLine="360"/>
        <w:jc w:val="both"/>
      </w:pPr>
      <w:r>
        <w:rPr>
          <w:rFonts w:ascii="宋体" w:hAnsi="宋体" w:cs="宋体" w:eastAsia="宋体" w:hint="default"/>
        </w:rPr>
        <w:t>2</w:t>
      </w:r>
      <w:r>
        <w:rPr/>
        <w:t>、财务管理系列，报告期收入较上年增长</w:t>
      </w:r>
      <w:r>
        <w:rPr>
          <w:rFonts w:ascii="宋体" w:hAnsi="宋体" w:cs="宋体" w:eastAsia="宋体" w:hint="default"/>
        </w:rPr>
        <w:t>15.19%</w:t>
      </w:r>
      <w:r>
        <w:rPr/>
        <w:t>，主要是报告期公司秉承“服务贴近用户”的宗旨，加强服务营销， </w:t>
      </w:r>
      <w:r>
        <w:rPr>
          <w:spacing w:val="-2"/>
        </w:rPr>
        <w:t>提升客户黏着度，服务收入实现稳定增长，同时公司在集体企业清产调查过程中，积极配合客户需要，实现集中核算系统在</w:t>
      </w:r>
      <w:r>
        <w:rPr>
          <w:spacing w:val="-65"/>
        </w:rPr>
        <w:t> </w:t>
      </w:r>
      <w:r>
        <w:rPr>
          <w:spacing w:val="-65"/>
        </w:rPr>
      </w:r>
      <w:r>
        <w:rPr/>
        <w:t>集体企业的应用。</w:t>
      </w:r>
    </w:p>
    <w:p>
      <w:pPr>
        <w:pStyle w:val="BodyText"/>
        <w:spacing w:line="316" w:lineRule="auto" w:before="57"/>
        <w:ind w:left="212" w:right="1129" w:firstLine="360"/>
        <w:jc w:val="both"/>
      </w:pPr>
      <w:r>
        <w:rPr>
          <w:rFonts w:ascii="宋体" w:hAnsi="宋体" w:cs="宋体" w:eastAsia="宋体" w:hint="default"/>
          <w:spacing w:val="-2"/>
        </w:rPr>
        <w:t>3</w:t>
      </w:r>
      <w:r>
        <w:rPr>
          <w:spacing w:val="-2"/>
        </w:rPr>
        <w:t>、电力生产管理，报告期收入较上年同期增长</w:t>
      </w:r>
      <w:r>
        <w:rPr>
          <w:rFonts w:ascii="宋体" w:hAnsi="宋体" w:cs="宋体" w:eastAsia="宋体" w:hint="default"/>
          <w:spacing w:val="-2"/>
        </w:rPr>
        <w:t>24.49%,</w:t>
      </w:r>
      <w:r>
        <w:rPr>
          <w:spacing w:val="-2"/>
        </w:rPr>
        <w:t>主要是报告期公司加强了资产盘点系统在电网侧的营销，实现了</w:t>
      </w:r>
      <w:r>
        <w:rPr/>
        <w:t> 较高增长；同时加快燃料智能化管理系统在发电市场的布局，加大产品宣传力度，树立标杆客户，实现了较好收益。</w:t>
      </w:r>
    </w:p>
    <w:p>
      <w:pPr>
        <w:pStyle w:val="BodyText"/>
        <w:spacing w:line="316" w:lineRule="auto" w:before="59"/>
        <w:ind w:left="212" w:right="1138" w:firstLine="360"/>
        <w:jc w:val="both"/>
      </w:pPr>
      <w:r>
        <w:rPr>
          <w:rFonts w:ascii="宋体" w:hAnsi="宋体" w:cs="宋体" w:eastAsia="宋体" w:hint="default"/>
        </w:rPr>
        <w:t>4</w:t>
      </w:r>
      <w:r>
        <w:rPr/>
        <w:t>、系统集成，报告期收入较上年增长</w:t>
      </w:r>
      <w:r>
        <w:rPr>
          <w:rFonts w:ascii="宋体" w:hAnsi="宋体" w:cs="宋体" w:eastAsia="宋体" w:hint="default"/>
        </w:rPr>
        <w:t>98.61%</w:t>
      </w:r>
      <w:r>
        <w:rPr/>
        <w:t>，主要是报告期内公司抓住国电集团财务管控推广实施的良机，提供软硬 件一体化的解决方案，提升了竞争优势，确保了系统集成收入高速增长；报告期公司与</w:t>
      </w:r>
      <w:r>
        <w:rPr>
          <w:rFonts w:ascii="宋体" w:hAnsi="宋体" w:cs="宋体" w:eastAsia="宋体" w:hint="default"/>
        </w:rPr>
        <w:t>Oracle</w:t>
      </w:r>
      <w:r>
        <w:rPr/>
        <w:t>、</w:t>
      </w:r>
      <w:r>
        <w:rPr>
          <w:rFonts w:ascii="宋体" w:hAnsi="宋体" w:cs="宋体" w:eastAsia="宋体" w:hint="default"/>
        </w:rPr>
        <w:t>IBM</w:t>
      </w:r>
      <w:r>
        <w:rPr/>
        <w:t>等原厂相继签署一批合 作协议，为项目销售提供了有力的工具和支持。</w:t>
      </w:r>
    </w:p>
    <w:p>
      <w:pPr>
        <w:pStyle w:val="BodyText"/>
        <w:spacing w:line="240" w:lineRule="auto" w:before="59"/>
        <w:ind w:left="573" w:right="0"/>
        <w:jc w:val="left"/>
      </w:pPr>
      <w:r>
        <w:rPr>
          <w:rFonts w:ascii="宋体" w:hAnsi="宋体" w:cs="宋体" w:eastAsia="宋体" w:hint="default"/>
        </w:rPr>
        <w:t>5</w:t>
      </w:r>
      <w:r>
        <w:rPr/>
        <w:t>、其他产品，报告期收入较上年增长</w:t>
      </w:r>
      <w:r>
        <w:rPr>
          <w:rFonts w:ascii="宋体" w:hAnsi="宋体" w:cs="宋体" w:eastAsia="宋体" w:hint="default"/>
        </w:rPr>
        <w:t>79.27%</w:t>
      </w:r>
      <w:r>
        <w:rPr/>
        <w:t>，主要是报告期公司继续部署推广电子会计档案系统，并在此基础上分析</w:t>
      </w:r>
    </w:p>
    <w:p>
      <w:pPr>
        <w:spacing w:after="0" w:line="240" w:lineRule="auto"/>
        <w:jc w:val="left"/>
        <w:sectPr>
          <w:pgSz w:w="11910" w:h="16840"/>
          <w:pgMar w:header="745" w:footer="1330" w:top="1060" w:bottom="1520" w:left="920" w:right="0"/>
        </w:sectPr>
      </w:pPr>
    </w:p>
    <w:p>
      <w:pPr>
        <w:spacing w:line="240" w:lineRule="auto" w:before="9"/>
        <w:rPr>
          <w:rFonts w:ascii="宋体" w:hAnsi="宋体" w:cs="宋体" w:eastAsia="宋体" w:hint="default"/>
          <w:sz w:val="25"/>
          <w:szCs w:val="25"/>
        </w:rPr>
      </w:pPr>
    </w:p>
    <w:p>
      <w:pPr>
        <w:pStyle w:val="BodyText"/>
        <w:spacing w:line="319" w:lineRule="auto"/>
        <w:ind w:right="1123"/>
        <w:jc w:val="left"/>
      </w:pPr>
      <w:r>
        <w:rPr>
          <w:spacing w:val="-2"/>
        </w:rPr>
        <w:t>政策要求和客户需求，研发出新产品电子会计档案盒并大力推广，获得市场认可，实现了快速增长。同时，利用集体企业清</w:t>
      </w:r>
      <w:r>
        <w:rPr>
          <w:spacing w:val="-67"/>
        </w:rPr>
        <w:t> </w:t>
      </w:r>
      <w:r>
        <w:rPr>
          <w:spacing w:val="-67"/>
        </w:rPr>
      </w:r>
      <w:r>
        <w:rPr/>
        <w:t>产调查的时机，部署了集团报表在集体企业的应用。</w:t>
      </w:r>
    </w:p>
    <w:p>
      <w:pPr>
        <w:pStyle w:val="BodyText"/>
        <w:spacing w:line="240" w:lineRule="auto" w:before="58"/>
        <w:ind w:right="112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800"/>
        <w:gridCol w:w="2918"/>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85"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840,465,444.7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60.9%</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577,318,345.02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52.29%</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8.61%</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12"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货币资金同比增长</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45.58%</w:t>
            </w:r>
            <w:r>
              <w:rPr>
                <w:rFonts w:ascii="宋体" w:hAnsi="宋体" w:cs="宋体" w:eastAsia="宋体" w:hint="default"/>
                <w:spacing w:val="-8"/>
                <w:sz w:val="18"/>
                <w:szCs w:val="18"/>
              </w:rPr>
              <w:t>、占总资产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比重增加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8.61%</w:t>
            </w:r>
            <w:r>
              <w:rPr>
                <w:rFonts w:ascii="宋体" w:hAnsi="宋体" w:cs="宋体" w:eastAsia="宋体" w:hint="default"/>
                <w:sz w:val="18"/>
                <w:szCs w:val="18"/>
              </w:rPr>
              <w:t>，原因是公司主营业 </w:t>
            </w:r>
            <w:r>
              <w:rPr>
                <w:rFonts w:ascii="宋体" w:hAnsi="宋体" w:cs="宋体" w:eastAsia="宋体" w:hint="default"/>
                <w:spacing w:val="-2"/>
                <w:sz w:val="18"/>
                <w:szCs w:val="18"/>
              </w:rPr>
              <w:t>务收入增加，采取积极的催收策略并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取得良好效果，同时强化精细化管 </w:t>
            </w:r>
            <w:r>
              <w:rPr>
                <w:rFonts w:ascii="宋体" w:hAnsi="宋体" w:cs="宋体" w:eastAsia="宋体" w:hint="default"/>
                <w:spacing w:val="-2"/>
                <w:sz w:val="18"/>
                <w:szCs w:val="18"/>
              </w:rPr>
              <w:t>理，严格控制成本费用，以及赎回债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券基金共同影响所致。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785"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167,490,253.7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12.14%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152,203,656.61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13.78%</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-1.64%</w:t>
            </w:r>
          </w:p>
        </w:tc>
        <w:tc>
          <w:tcPr>
            <w:tcW w:w="2918" w:type="dxa"/>
            <w:vMerge w:val="restart"/>
            <w:tcBorders>
              <w:top w:val="single" w:sz="4" w:space="0" w:color="000000"/>
              <w:left w:val="single" w:sz="4" w:space="0" w:color="000000"/>
              <w:right w:val="single" w:sz="4" w:space="0" w:color="000000"/>
            </w:tcBorders>
            <w:shd w:val="clear" w:color="auto" w:fill="C6ECCC"/>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6,518,436.00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0.59%</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-0.59%</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00" w:lineRule="auto" w:before="49"/>
              <w:ind w:left="22" w:right="32"/>
              <w:jc w:val="both"/>
              <w:rPr>
                <w:rFonts w:ascii="宋体" w:hAnsi="宋体" w:cs="宋体" w:eastAsia="宋体" w:hint="default"/>
                <w:sz w:val="18"/>
                <w:szCs w:val="18"/>
              </w:rPr>
            </w:pPr>
            <w:r>
              <w:rPr>
                <w:rFonts w:ascii="宋体" w:hAnsi="宋体" w:cs="宋体" w:eastAsia="宋体" w:hint="default"/>
                <w:sz w:val="18"/>
                <w:szCs w:val="18"/>
              </w:rPr>
              <w:t>存货同比减少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、占总资产比重 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0.59%</w:t>
            </w:r>
            <w:r>
              <w:rPr>
                <w:rFonts w:ascii="宋体" w:hAnsi="宋体" w:cs="宋体" w:eastAsia="宋体" w:hint="default"/>
                <w:sz w:val="18"/>
                <w:szCs w:val="18"/>
              </w:rPr>
              <w:t>，原因是本期系统集成无 发出商品所致。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159,296,310.5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11.54%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131,165,856.58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11.88%</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-0.34%</w:t>
            </w:r>
          </w:p>
        </w:tc>
        <w:tc>
          <w:tcPr>
            <w:tcW w:w="2918" w:type="dxa"/>
            <w:vMerge w:val="restart"/>
            <w:tcBorders>
              <w:top w:val="single" w:sz="4" w:space="0" w:color="000000"/>
              <w:left w:val="single" w:sz="4" w:space="0" w:color="000000"/>
              <w:right w:val="single" w:sz="4" w:space="0" w:color="000000"/>
            </w:tcBorders>
            <w:shd w:val="clear" w:color="auto" w:fill="C6ECCC"/>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112,540,882.5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8.16%</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78,779,487.30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7.13%</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1.03%</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00" w:lineRule="auto" w:before="49"/>
              <w:ind w:left="22" w:right="19"/>
              <w:jc w:val="both"/>
              <w:rPr>
                <w:rFonts w:ascii="宋体" w:hAnsi="宋体" w:cs="宋体" w:eastAsia="宋体" w:hint="default"/>
                <w:sz w:val="18"/>
                <w:szCs w:val="18"/>
              </w:rPr>
            </w:pPr>
            <w:r>
              <w:rPr>
                <w:rFonts w:ascii="宋体" w:hAnsi="宋体" w:cs="宋体" w:eastAsia="宋体" w:hint="default"/>
                <w:sz w:val="18"/>
                <w:szCs w:val="18"/>
              </w:rPr>
              <w:t>固定资产同比增长</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42.86%</w:t>
            </w:r>
            <w:r>
              <w:rPr>
                <w:rFonts w:ascii="宋体" w:hAnsi="宋体" w:cs="宋体" w:eastAsia="宋体" w:hint="default"/>
                <w:spacing w:val="-8"/>
                <w:sz w:val="18"/>
                <w:szCs w:val="18"/>
              </w:rPr>
              <w:t>、占总资产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比重增加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1.03%</w:t>
            </w:r>
            <w:r>
              <w:rPr>
                <w:rFonts w:ascii="宋体" w:hAnsi="宋体" w:cs="宋体" w:eastAsia="宋体" w:hint="default"/>
                <w:sz w:val="18"/>
                <w:szCs w:val="18"/>
              </w:rPr>
              <w:t>，主要原因是武汉研 发中心办公楼交付转资产所致。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657,976.00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3"/>
        <w:gridCol w:w="1064"/>
        <w:gridCol w:w="799"/>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13" w:space="0" w:color="C6ECCC"/>
            </w:tcBorders>
          </w:tcPr>
          <w:p>
            <w:pPr/>
          </w:p>
        </w:tc>
        <w:tc>
          <w:tcPr>
            <w:tcW w:w="291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13" w:space="0" w:color="C6ECCC"/>
            </w:tcBorders>
          </w:tcPr>
          <w:p>
            <w:pPr/>
          </w:p>
        </w:tc>
        <w:tc>
          <w:tcPr>
            <w:tcW w:w="291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5" w:footer="1330" w:top="1060" w:bottom="152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4"/>
        <w:gridCol w:w="1190"/>
        <w:gridCol w:w="1195"/>
        <w:gridCol w:w="1191"/>
        <w:gridCol w:w="1201"/>
        <w:gridCol w:w="1196"/>
        <w:gridCol w:w="1195"/>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9"/>
              <w:jc w:val="right"/>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3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3"/>
              <w:ind w:left="12" w:right="71"/>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46,637,237.00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2,786,313.00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49,423,550.00</w:t>
            </w: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46,637,237.00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2,786,313.00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49,423,550.00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报告期内公司主要资产计量属性是否发生重大变化</w:t>
      </w:r>
    </w:p>
    <w:p>
      <w:pPr>
        <w:pStyle w:val="BodyText"/>
        <w:spacing w:line="240" w:lineRule="auto" w:before="115"/>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034" w:firstLine="360"/>
        <w:jc w:val="left"/>
      </w:pPr>
      <w:r>
        <w:rPr>
          <w:spacing w:val="-2"/>
        </w:rPr>
        <w:t>公司核心团队在电力行业耕耘接近</w:t>
      </w:r>
      <w:r>
        <w:rPr>
          <w:rFonts w:ascii="Times New Roman" w:hAnsi="Times New Roman" w:cs="Times New Roman" w:eastAsia="Times New Roman" w:hint="default"/>
          <w:spacing w:val="-2"/>
        </w:rPr>
        <w:t>30</w:t>
      </w:r>
      <w:r>
        <w:rPr>
          <w:spacing w:val="-2"/>
        </w:rPr>
        <w:t>年，对电力企业经营管理和</w:t>
      </w:r>
      <w:r>
        <w:rPr>
          <w:rFonts w:ascii="Times New Roman" w:hAnsi="Times New Roman" w:cs="Times New Roman" w:eastAsia="Times New Roman" w:hint="default"/>
          <w:spacing w:val="-2"/>
        </w:rPr>
        <w:t>IT</w:t>
      </w:r>
      <w:r>
        <w:rPr>
          <w:spacing w:val="-2"/>
        </w:rPr>
        <w:t>需求有着长期、深入的了解并能够全面把握行业未来</w:t>
      </w:r>
      <w:r>
        <w:rPr/>
        <w:t> 发展趋势。凭借多年为电力行业提供信息化服务的经验积累，公司已经形成了较为稳定的盈利模式，具有较强的客户粘性， 并在较长时间内不会改变。</w:t>
      </w:r>
    </w:p>
    <w:p>
      <w:pPr>
        <w:pStyle w:val="BodyText"/>
        <w:spacing w:line="304" w:lineRule="auto" w:before="62"/>
        <w:ind w:right="1129" w:firstLine="360"/>
        <w:jc w:val="both"/>
      </w:pPr>
      <w:r>
        <w:rPr>
          <w:rFonts w:ascii="Times New Roman" w:hAnsi="Times New Roman" w:cs="Times New Roman" w:eastAsia="Times New Roman" w:hint="default"/>
        </w:rPr>
        <w:t>1</w:t>
      </w:r>
      <w:r>
        <w:rPr/>
        <w:t>、公司独特的盈利模式已对客户形成了较强的粘性。在成熟市场，随着客户信息化建设的不断深入，大量新的需求被 不断激发，公司采用</w:t>
      </w:r>
      <w:r>
        <w:rPr>
          <w:rFonts w:ascii="Times New Roman" w:hAnsi="Times New Roman" w:cs="Times New Roman" w:eastAsia="Times New Roman" w:hint="default"/>
        </w:rPr>
        <w:t>“</w:t>
      </w:r>
      <w:r>
        <w:rPr/>
        <w:t>农夫模式</w:t>
      </w:r>
      <w:r>
        <w:rPr>
          <w:rFonts w:ascii="Times New Roman" w:hAnsi="Times New Roman" w:cs="Times New Roman" w:eastAsia="Times New Roman" w:hint="default"/>
        </w:rPr>
        <w:t>”</w:t>
      </w:r>
      <w:r>
        <w:rPr/>
        <w:t>，精耕细作，协助客户不断进行管理创新，通过</w:t>
      </w:r>
      <w:r>
        <w:rPr>
          <w:rFonts w:ascii="Times New Roman" w:hAnsi="Times New Roman" w:cs="Times New Roman" w:eastAsia="Times New Roman" w:hint="default"/>
        </w:rPr>
        <w:t>“</w:t>
      </w:r>
      <w:r>
        <w:rPr/>
        <w:t>一处试点创新、两处借鉴提高、总结标准 服务、固化服务产品、多处全面推广</w:t>
      </w:r>
      <w:r>
        <w:rPr>
          <w:rFonts w:ascii="Times New Roman" w:hAnsi="Times New Roman" w:cs="Times New Roman" w:eastAsia="Times New Roman" w:hint="default"/>
        </w:rPr>
        <w:t>”</w:t>
      </w:r>
      <w:r>
        <w:rPr/>
        <w:t>的服务创新营销模式，不断在管理创新中发现服务机会，从服务机会中形成创新服务 </w:t>
      </w:r>
      <w:r>
        <w:rPr>
          <w:spacing w:val="-2"/>
        </w:rPr>
        <w:t>成果，将服务成果标准化后形成新的服务产品。公司通过推广新的服务产品获取新的服务收入机会，并由此获得持续增长的</w:t>
      </w:r>
      <w:r>
        <w:rPr>
          <w:spacing w:val="-62"/>
        </w:rPr>
        <w:t> </w:t>
      </w:r>
      <w:r>
        <w:rPr>
          <w:spacing w:val="-62"/>
        </w:rPr>
      </w:r>
      <w:r>
        <w:rPr>
          <w:spacing w:val="-2"/>
        </w:rPr>
        <w:t>服务收入。在开拓市场，公司采用</w:t>
      </w:r>
      <w:r>
        <w:rPr>
          <w:rFonts w:ascii="Times New Roman" w:hAnsi="Times New Roman" w:cs="Times New Roman" w:eastAsia="Times New Roman" w:hint="default"/>
          <w:spacing w:val="-2"/>
        </w:rPr>
        <w:t>“</w:t>
      </w:r>
      <w:r>
        <w:rPr>
          <w:spacing w:val="-2"/>
        </w:rPr>
        <w:t>猎人模式</w:t>
      </w:r>
      <w:r>
        <w:rPr>
          <w:rFonts w:ascii="Times New Roman" w:hAnsi="Times New Roman" w:cs="Times New Roman" w:eastAsia="Times New Roman" w:hint="default"/>
          <w:spacing w:val="-2"/>
        </w:rPr>
        <w:t>”</w:t>
      </w:r>
      <w:r>
        <w:rPr>
          <w:spacing w:val="-2"/>
        </w:rPr>
        <w:t>，跑马圈地，通过建立标杆客户，主导销售，积极推广公司成熟产品。公司的</w:t>
      </w:r>
      <w:r>
        <w:rPr>
          <w:spacing w:val="-46"/>
        </w:rPr>
        <w:t> </w:t>
      </w:r>
      <w:r>
        <w:rPr>
          <w:spacing w:val="-46"/>
        </w:rPr>
      </w:r>
      <w:r>
        <w:rPr/>
        <w:t>盈利模式可保证公司在不断扩大市场份额的情况下保持较高的盈利能力。</w:t>
      </w:r>
    </w:p>
    <w:p>
      <w:pPr>
        <w:pStyle w:val="BodyText"/>
        <w:spacing w:line="307" w:lineRule="auto" w:before="68"/>
        <w:ind w:right="1042" w:firstLine="360"/>
        <w:jc w:val="left"/>
      </w:pPr>
      <w:r>
        <w:rPr>
          <w:rFonts w:ascii="Times New Roman" w:hAnsi="Times New Roman" w:cs="Times New Roman" w:eastAsia="Times New Roman" w:hint="default"/>
        </w:rPr>
        <w:t>2</w:t>
      </w:r>
      <w:r>
        <w:rPr/>
        <w:t>、公司产品具有鲜明的行业特性，对管理模式有着高度的适应性。公司研发的产品包含了电力行业特有的核心业务管 </w:t>
      </w:r>
      <w:r>
        <w:rPr>
          <w:spacing w:val="-2"/>
        </w:rPr>
        <w:t>理功能，能精准把握且满足电力集团企业的现状管理或潜在管理需求。公司已经形成了从企业级应用软件到集团级管理软件</w:t>
      </w:r>
      <w:r>
        <w:rPr>
          <w:spacing w:val="-64"/>
        </w:rPr>
        <w:t> </w:t>
      </w:r>
      <w:r>
        <w:rPr>
          <w:spacing w:val="-64"/>
        </w:rPr>
      </w:r>
      <w:r>
        <w:rPr>
          <w:spacing w:val="-2"/>
        </w:rPr>
        <w:t>一系列完整的产品线，满足了电力企业财务集约化管理、供应链集约化管理、资产集约化管理和决策支持管理等领域的多层</w:t>
      </w:r>
      <w:r>
        <w:rPr>
          <w:spacing w:val="-61"/>
        </w:rPr>
        <w:t> </w:t>
      </w:r>
      <w:r>
        <w:rPr>
          <w:spacing w:val="-61"/>
        </w:rPr>
      </w:r>
      <w:r>
        <w:rPr>
          <w:spacing w:val="-2"/>
        </w:rPr>
        <w:t>次管理需求。公司设计并实现了</w:t>
      </w:r>
      <w:r>
        <w:rPr>
          <w:rFonts w:ascii="Times New Roman" w:hAnsi="Times New Roman" w:cs="Times New Roman" w:eastAsia="Times New Roman" w:hint="default"/>
          <w:spacing w:val="-2"/>
        </w:rPr>
        <w:t>“</w:t>
      </w:r>
      <w:r>
        <w:rPr>
          <w:spacing w:val="-2"/>
        </w:rPr>
        <w:t>管理模型体系</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管理模式数据库</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管理业务逻辑组件</w:t>
      </w:r>
      <w:r>
        <w:rPr>
          <w:rFonts w:ascii="Times New Roman" w:hAnsi="Times New Roman" w:cs="Times New Roman" w:eastAsia="Times New Roman" w:hint="default"/>
          <w:spacing w:val="-2"/>
        </w:rPr>
        <w:t>”</w:t>
      </w:r>
      <w:r>
        <w:rPr>
          <w:spacing w:val="-2"/>
        </w:rPr>
        <w:t>技术，以及</w:t>
      </w:r>
      <w:r>
        <w:rPr>
          <w:rFonts w:ascii="Times New Roman" w:hAnsi="Times New Roman" w:cs="Times New Roman" w:eastAsia="Times New Roman" w:hint="default"/>
          <w:spacing w:val="-2"/>
        </w:rPr>
        <w:t>“</w:t>
      </w:r>
      <w:r>
        <w:rPr>
          <w:spacing w:val="-2"/>
        </w:rPr>
        <w:t>应用程序</w:t>
      </w:r>
      <w:r>
        <w:rPr>
          <w:rFonts w:ascii="Times New Roman" w:hAnsi="Times New Roman" w:cs="Times New Roman" w:eastAsia="Times New Roman" w:hint="default"/>
          <w:spacing w:val="-2"/>
        </w:rPr>
        <w:t>”—“</w:t>
      </w:r>
      <w:r>
        <w:rPr>
          <w:spacing w:val="-2"/>
        </w:rPr>
        <w:t>管理模</w:t>
      </w:r>
      <w:r>
        <w:rPr>
          <w:spacing w:val="-56"/>
        </w:rPr>
        <w:t> </w:t>
      </w:r>
      <w:r>
        <w:rPr>
          <w:spacing w:val="-56"/>
        </w:rPr>
      </w:r>
      <w:r>
        <w:rPr/>
        <w:t>式数据库</w:t>
      </w:r>
      <w:r>
        <w:rPr>
          <w:rFonts w:ascii="Times New Roman" w:hAnsi="Times New Roman" w:cs="Times New Roman" w:eastAsia="Times New Roman" w:hint="default"/>
        </w:rPr>
        <w:t>”—“</w:t>
      </w:r>
      <w:r>
        <w:rPr/>
        <w:t>业务数据库</w:t>
      </w:r>
      <w:r>
        <w:rPr>
          <w:rFonts w:ascii="Times New Roman" w:hAnsi="Times New Roman" w:cs="Times New Roman" w:eastAsia="Times New Roman" w:hint="default"/>
        </w:rPr>
        <w:t>”</w:t>
      </w:r>
      <w:r>
        <w:rPr/>
        <w:t>的软件架构，公司可以用</w:t>
      </w:r>
      <w:r>
        <w:rPr>
          <w:rFonts w:ascii="Times New Roman" w:hAnsi="Times New Roman" w:cs="Times New Roman" w:eastAsia="Times New Roman" w:hint="default"/>
        </w:rPr>
        <w:t>“</w:t>
      </w:r>
      <w:r>
        <w:rPr/>
        <w:t>管理业务逻辑组件</w:t>
      </w:r>
      <w:r>
        <w:rPr>
          <w:rFonts w:ascii="Times New Roman" w:hAnsi="Times New Roman" w:cs="Times New Roman" w:eastAsia="Times New Roman" w:hint="default"/>
        </w:rPr>
        <w:t>”</w:t>
      </w:r>
      <w:r>
        <w:rPr/>
        <w:t>高效定制出用户所需的各种规模、各个层次的管理 </w:t>
      </w:r>
      <w:r>
        <w:rPr>
          <w:spacing w:val="-3"/>
          <w:w w:val="100"/>
        </w:rPr>
        <w:t>系统，用户可以通过改变</w:t>
      </w:r>
      <w:r>
        <w:rPr>
          <w:rFonts w:ascii="Times New Roman" w:hAnsi="Times New Roman" w:cs="Times New Roman" w:eastAsia="Times New Roman" w:hint="default"/>
          <w:spacing w:val="-3"/>
          <w:w w:val="100"/>
        </w:rPr>
        <w:t>“</w:t>
      </w:r>
      <w:r>
        <w:rPr>
          <w:spacing w:val="-3"/>
          <w:w w:val="100"/>
        </w:rPr>
        <w:t>管理模式数据库</w:t>
      </w:r>
      <w:r>
        <w:rPr>
          <w:rFonts w:ascii="Times New Roman" w:hAnsi="Times New Roman" w:cs="Times New Roman" w:eastAsia="Times New Roman" w:hint="default"/>
          <w:spacing w:val="-3"/>
          <w:w w:val="100"/>
        </w:rPr>
        <w:t>”</w:t>
      </w:r>
      <w:r>
        <w:rPr>
          <w:spacing w:val="-3"/>
          <w:w w:val="100"/>
        </w:rPr>
        <w:t>的内容来适应管理需求的变化，使公司产品能够始终适用于客户变化的管理理念、</w:t>
      </w:r>
      <w:r>
        <w:rPr>
          <w:spacing w:val="-77"/>
          <w:w w:val="100"/>
        </w:rPr>
        <w:t> </w:t>
      </w:r>
      <w:r>
        <w:rPr>
          <w:spacing w:val="-77"/>
          <w:w w:val="100"/>
        </w:rPr>
      </w:r>
      <w:r>
        <w:rPr/>
        <w:t>工作流程、业务需求，解决</w:t>
      </w:r>
      <w:r>
        <w:rPr>
          <w:rFonts w:ascii="Times New Roman" w:hAnsi="Times New Roman" w:cs="Times New Roman" w:eastAsia="Times New Roman" w:hint="default"/>
        </w:rPr>
        <w:t>“</w:t>
      </w:r>
      <w:r>
        <w:rPr/>
        <w:t>程序修改的不易</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管理需求的易变</w:t>
      </w:r>
      <w:r>
        <w:rPr>
          <w:rFonts w:ascii="Times New Roman" w:hAnsi="Times New Roman" w:cs="Times New Roman" w:eastAsia="Times New Roman" w:hint="default"/>
        </w:rPr>
        <w:t>”</w:t>
      </w:r>
      <w:r>
        <w:rPr/>
        <w:t>之间的矛盾，突破管理软件研发和应用的瓶颈。</w:t>
      </w:r>
    </w:p>
    <w:p>
      <w:pPr>
        <w:pStyle w:val="BodyText"/>
        <w:spacing w:line="300" w:lineRule="auto" w:before="48"/>
        <w:ind w:right="1123" w:firstLine="360"/>
        <w:jc w:val="left"/>
      </w:pPr>
      <w:r>
        <w:rPr>
          <w:rFonts w:ascii="Times New Roman" w:hAnsi="Times New Roman" w:cs="Times New Roman" w:eastAsia="Times New Roman" w:hint="default"/>
          <w:spacing w:val="-2"/>
        </w:rPr>
        <w:t>3</w:t>
      </w:r>
      <w:r>
        <w:rPr>
          <w:spacing w:val="-2"/>
        </w:rPr>
        <w:t>、公司完善的实施服务体系保证服务质量、创新服务产品、获得持续增长的服务收入。公司一直秉承</w:t>
      </w:r>
      <w:r>
        <w:rPr>
          <w:rFonts w:ascii="Times New Roman" w:hAnsi="Times New Roman" w:cs="Times New Roman" w:eastAsia="Times New Roman" w:hint="default"/>
          <w:spacing w:val="-2"/>
        </w:rPr>
        <w:t>“</w:t>
      </w:r>
      <w:r>
        <w:rPr>
          <w:spacing w:val="-2"/>
        </w:rPr>
        <w:t>全面服务、满意</w:t>
      </w:r>
      <w:r>
        <w:rPr/>
        <w:t> 服务</w:t>
      </w:r>
      <w:r>
        <w:rPr>
          <w:rFonts w:ascii="Times New Roman" w:hAnsi="Times New Roman" w:cs="Times New Roman" w:eastAsia="Times New Roman" w:hint="default"/>
        </w:rPr>
        <w:t>”</w:t>
      </w:r>
      <w:r>
        <w:rPr/>
        <w:t>的服务理念，向客户提供全生命周期的高质量服务，包括管理咨询、实施、培训与运维服务等。特别是公司具有专业 的项目群实施方法，有多个超大型项目实施管理的成功经验，有效地保证了各大型项目的成功交付。公司通过遍布全国</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个省市分支机构及服务团队，为全国用户提供便捷、专业、高效的本地化服务，全面满足客户需求。</w:t>
      </w:r>
    </w:p>
    <w:p>
      <w:pPr>
        <w:pStyle w:val="BodyText"/>
        <w:spacing w:line="300" w:lineRule="auto" w:before="69"/>
        <w:ind w:right="1123" w:firstLine="360"/>
        <w:jc w:val="left"/>
      </w:pPr>
      <w:r>
        <w:rPr>
          <w:rFonts w:ascii="Times New Roman" w:hAnsi="Times New Roman" w:cs="Times New Roman" w:eastAsia="Times New Roman" w:hint="default"/>
        </w:rPr>
        <w:t>4</w:t>
      </w:r>
      <w:r>
        <w:rPr/>
        <w:t>、公司立足国内电力企业软件市场，以</w:t>
      </w:r>
      <w:r>
        <w:rPr>
          <w:rFonts w:ascii="Times New Roman" w:hAnsi="Times New Roman" w:cs="Times New Roman" w:eastAsia="Times New Roman" w:hint="default"/>
        </w:rPr>
        <w:t>“</w:t>
      </w:r>
      <w:r>
        <w:rPr/>
        <w:t>一流软件，全面服务</w:t>
      </w:r>
      <w:r>
        <w:rPr>
          <w:rFonts w:ascii="Times New Roman" w:hAnsi="Times New Roman" w:cs="Times New Roman" w:eastAsia="Times New Roman" w:hint="default"/>
        </w:rPr>
        <w:t>”</w:t>
      </w:r>
      <w:r>
        <w:rPr/>
        <w:t>为企业理念，长期以来在全国电力系统中建立了稳固深 </w:t>
      </w:r>
      <w:r>
        <w:rPr>
          <w:spacing w:val="-2"/>
        </w:rPr>
        <w:t>厚的用户基础，赢得了广大用户的信赖和支持。公司成立以来，凭借创新的企业文化、不断优化的管理和优质的服务树立了</w:t>
      </w:r>
    </w:p>
    <w:p>
      <w:pPr>
        <w:spacing w:after="0" w:line="300" w:lineRule="auto"/>
        <w:jc w:val="left"/>
        <w:sectPr>
          <w:pgSz w:w="11910" w:h="16840"/>
          <w:pgMar w:header="745" w:footer="1330" w:top="1060" w:bottom="152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89711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10:wrap type="none"/>
          </v:group>
        </w:pict>
      </w:r>
    </w:p>
    <w:p>
      <w:pPr>
        <w:pStyle w:val="BodyText"/>
        <w:spacing w:line="240" w:lineRule="auto"/>
        <w:ind w:right="1123"/>
        <w:jc w:val="left"/>
      </w:pPr>
      <w:r>
        <w:rPr/>
        <w:t>信誉卓著的企业品牌。</w:t>
      </w:r>
    </w:p>
    <w:p>
      <w:pPr>
        <w:pStyle w:val="BodyText"/>
        <w:spacing w:line="300" w:lineRule="auto" w:before="117"/>
        <w:ind w:right="1124" w:firstLine="360"/>
        <w:jc w:val="left"/>
      </w:pPr>
      <w:r>
        <w:rPr>
          <w:rFonts w:ascii="Times New Roman" w:hAnsi="Times New Roman" w:cs="Times New Roman" w:eastAsia="Times New Roman" w:hint="default"/>
        </w:rPr>
        <w:t>5</w:t>
      </w:r>
      <w:r>
        <w:rPr/>
        <w:t>、公司拥有对电力行业管理特点、管理模式、业务流程有深刻理解的专业团队，稳定性较强，能够敏锐地把握电力行 业市场走向，推动公司业务持续提升。</w:t>
      </w:r>
    </w:p>
    <w:p>
      <w:pPr>
        <w:spacing w:line="240" w:lineRule="auto" w:before="8"/>
        <w:rPr>
          <w:rFonts w:ascii="宋体" w:hAnsi="宋体" w:cs="宋体" w:eastAsia="宋体" w:hint="default"/>
          <w:sz w:val="21"/>
          <w:szCs w:val="21"/>
        </w:rPr>
      </w:pPr>
    </w:p>
    <w:p>
      <w:pPr>
        <w:pStyle w:val="Heading2"/>
        <w:spacing w:line="240" w:lineRule="auto"/>
        <w:ind w:right="1123"/>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pict>
          <v:shape style="position:absolute;margin-left:146.179993pt;margin-top:51.143665pt;width:84.3pt;height:17.650pt;mso-position-horizontal-relative:page;mso-position-vertical-relative:paragraph;z-index:-897208"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649994pt;margin-top:51.143665pt;width:84.15pt;height:17.650pt;mso-position-horizontal-relative:page;mso-position-vertical-relative:paragraph;z-index:-897184"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76.649994pt;margin-top:51.143665pt;width:84.05pt;height:17.650pt;mso-position-horizontal-relative:page;mso-position-vertical-relative:paragraph;z-index:-897160" type="#_x0000_t202" filled="false" stroked="false">
            <v:textbox inset="0,0,0,0">
              <w:txbxContent>
                <w:p>
                  <w:pPr>
                    <w:pStyle w:val="BodyText"/>
                    <w:spacing w:line="240" w:lineRule="auto" w:before="8"/>
                    <w:ind w:left="0" w:right="0"/>
                    <w:jc w:val="left"/>
                  </w:pPr>
                  <w:r>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893"/>
        <w:gridCol w:w="858"/>
        <w:gridCol w:w="871"/>
        <w:gridCol w:w="868"/>
        <w:gridCol w:w="868"/>
        <w:gridCol w:w="869"/>
        <w:gridCol w:w="868"/>
        <w:gridCol w:w="868"/>
        <w:gridCol w:w="868"/>
        <w:gridCol w:w="854"/>
      </w:tblGrid>
      <w:tr>
        <w:trPr>
          <w:trHeight w:val="163" w:hRule="exact"/>
        </w:trPr>
        <w:tc>
          <w:tcPr>
            <w:tcW w:w="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2"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0" w:lineRule="exact" w:before="13"/>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69" w:right="66"/>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1" w:hRule="exact"/>
        </w:trPr>
        <w:tc>
          <w:tcPr>
            <w:tcW w:w="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58"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r>
      <w:tr>
        <w:trPr>
          <w:trHeight w:val="161" w:hRule="exact"/>
        </w:trPr>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6" w:space="0" w:color="auto"/>
              <w:left w:val="single" w:sz="6" w:space="0" w:color="auto"/>
              <w:bottom w:val="single" w:sz="6" w:space="0" w:color="auto"/>
              <w:right w:val="single" w:sz="6" w:space="0" w:color="auto"/>
            </w:tcBorders>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0"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4"/>
        <w:gridCol w:w="798"/>
        <w:gridCol w:w="811"/>
        <w:gridCol w:w="800"/>
        <w:gridCol w:w="797"/>
        <w:gridCol w:w="799"/>
        <w:gridCol w:w="797"/>
        <w:gridCol w:w="799"/>
        <w:gridCol w:w="797"/>
        <w:gridCol w:w="800"/>
        <w:gridCol w:w="797"/>
        <w:gridCol w:w="785"/>
      </w:tblGrid>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93" w:right="93" w:hanging="203"/>
              <w:jc w:val="left"/>
              <w:rPr>
                <w:rFonts w:ascii="宋体" w:hAnsi="宋体" w:cs="宋体" w:eastAsia="宋体" w:hint="default"/>
                <w:sz w:val="20"/>
                <w:szCs w:val="20"/>
              </w:rPr>
            </w:pPr>
            <w:r>
              <w:rPr>
                <w:rFonts w:ascii="宋体" w:hAnsi="宋体" w:cs="宋体" w:eastAsia="宋体" w:hint="default"/>
                <w:sz w:val="20"/>
                <w:szCs w:val="20"/>
              </w:rPr>
              <w:t>证券品</w:t>
            </w:r>
            <w:r>
              <w:rPr>
                <w:rFonts w:ascii="宋体" w:hAnsi="宋体" w:cs="宋体" w:eastAsia="宋体" w:hint="default"/>
                <w:w w:val="99"/>
                <w:sz w:val="20"/>
                <w:szCs w:val="20"/>
              </w:rPr>
              <w:t> </w:t>
            </w:r>
            <w:r>
              <w:rPr>
                <w:rFonts w:ascii="宋体" w:hAnsi="宋体" w:cs="宋体" w:eastAsia="宋体" w:hint="default"/>
                <w:sz w:val="20"/>
                <w:szCs w:val="20"/>
              </w:rPr>
              <w:t>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93" w:right="96" w:hanging="202"/>
              <w:jc w:val="left"/>
              <w:rPr>
                <w:rFonts w:ascii="宋体" w:hAnsi="宋体" w:cs="宋体" w:eastAsia="宋体" w:hint="default"/>
                <w:sz w:val="20"/>
                <w:szCs w:val="20"/>
              </w:rPr>
            </w:pPr>
            <w:r>
              <w:rPr>
                <w:rFonts w:ascii="宋体" w:hAnsi="宋体" w:cs="宋体" w:eastAsia="宋体" w:hint="default"/>
                <w:sz w:val="20"/>
                <w:szCs w:val="20"/>
              </w:rPr>
              <w:t>证券代</w:t>
            </w:r>
            <w:r>
              <w:rPr>
                <w:rFonts w:ascii="宋体" w:hAnsi="宋体" w:cs="宋体" w:eastAsia="宋体" w:hint="default"/>
                <w:w w:val="99"/>
                <w:sz w:val="20"/>
                <w:szCs w:val="20"/>
              </w:rPr>
              <w:t> </w:t>
            </w:r>
            <w:r>
              <w:rPr>
                <w:rFonts w:ascii="宋体" w:hAnsi="宋体" w:cs="宋体" w:eastAsia="宋体" w:hint="default"/>
                <w:sz w:val="20"/>
                <w:szCs w:val="20"/>
              </w:rPr>
              <w:t>码</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302" w:right="101" w:hanging="202"/>
              <w:jc w:val="left"/>
              <w:rPr>
                <w:rFonts w:ascii="宋体" w:hAnsi="宋体" w:cs="宋体" w:eastAsia="宋体" w:hint="default"/>
                <w:sz w:val="20"/>
                <w:szCs w:val="20"/>
              </w:rPr>
            </w:pPr>
            <w:r>
              <w:rPr>
                <w:rFonts w:ascii="宋体" w:hAnsi="宋体" w:cs="宋体" w:eastAsia="宋体" w:hint="default"/>
                <w:sz w:val="20"/>
                <w:szCs w:val="20"/>
              </w:rPr>
              <w:t>证券简</w:t>
            </w:r>
            <w:r>
              <w:rPr>
                <w:rFonts w:ascii="宋体" w:hAnsi="宋体" w:cs="宋体" w:eastAsia="宋体" w:hint="default"/>
                <w:w w:val="99"/>
                <w:sz w:val="20"/>
                <w:szCs w:val="20"/>
              </w:rPr>
              <w:t> </w:t>
            </w:r>
            <w:r>
              <w:rPr>
                <w:rFonts w:ascii="宋体" w:hAnsi="宋体" w:cs="宋体" w:eastAsia="宋体" w:hint="default"/>
                <w:sz w:val="20"/>
                <w:szCs w:val="20"/>
              </w:rPr>
              <w:t>称</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96" w:right="94"/>
              <w:jc w:val="left"/>
              <w:rPr>
                <w:rFonts w:ascii="宋体" w:hAnsi="宋体" w:cs="宋体" w:eastAsia="宋体" w:hint="default"/>
                <w:sz w:val="20"/>
                <w:szCs w:val="20"/>
              </w:rPr>
            </w:pPr>
            <w:r>
              <w:rPr>
                <w:rFonts w:ascii="宋体" w:hAnsi="宋体" w:cs="宋体" w:eastAsia="宋体" w:hint="default"/>
                <w:sz w:val="20"/>
                <w:szCs w:val="20"/>
              </w:rPr>
              <w:t>最初投</w:t>
            </w:r>
            <w:r>
              <w:rPr>
                <w:rFonts w:ascii="宋体" w:hAnsi="宋体" w:cs="宋体" w:eastAsia="宋体" w:hint="default"/>
                <w:w w:val="99"/>
                <w:sz w:val="20"/>
                <w:szCs w:val="20"/>
              </w:rPr>
              <w:t> </w:t>
            </w:r>
            <w:r>
              <w:rPr>
                <w:rFonts w:ascii="宋体" w:hAnsi="宋体" w:cs="宋体" w:eastAsia="宋体" w:hint="default"/>
                <w:sz w:val="20"/>
                <w:szCs w:val="20"/>
              </w:rPr>
              <w:t>资成本</w:t>
            </w:r>
          </w:p>
          <w:p>
            <w:pPr>
              <w:pStyle w:val="TableParagraph"/>
              <w:spacing w:line="240" w:lineRule="auto" w:before="12"/>
              <w:ind w:left="96" w:right="0"/>
              <w:jc w:val="left"/>
              <w:rPr>
                <w:rFonts w:ascii="宋体" w:hAnsi="宋体" w:cs="宋体" w:eastAsia="宋体" w:hint="default"/>
                <w:sz w:val="20"/>
                <w:szCs w:val="20"/>
              </w:rPr>
            </w:pPr>
            <w:r>
              <w:rPr>
                <w:rFonts w:ascii="宋体" w:hAnsi="宋体" w:cs="宋体" w:eastAsia="宋体" w:hint="default"/>
                <w:sz w:val="20"/>
                <w:szCs w:val="20"/>
              </w:rPr>
              <w:t>（元）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93" w:right="95"/>
              <w:jc w:val="left"/>
              <w:rPr>
                <w:rFonts w:ascii="宋体" w:hAnsi="宋体" w:cs="宋体" w:eastAsia="宋体" w:hint="default"/>
                <w:sz w:val="20"/>
                <w:szCs w:val="20"/>
              </w:rPr>
            </w:pPr>
            <w:r>
              <w:rPr>
                <w:rFonts w:ascii="宋体" w:hAnsi="宋体" w:cs="宋体" w:eastAsia="宋体" w:hint="default"/>
                <w:sz w:val="20"/>
                <w:szCs w:val="20"/>
              </w:rPr>
              <w:t>期初持</w:t>
            </w:r>
            <w:r>
              <w:rPr>
                <w:rFonts w:ascii="宋体" w:hAnsi="宋体" w:cs="宋体" w:eastAsia="宋体" w:hint="default"/>
                <w:w w:val="99"/>
                <w:sz w:val="20"/>
                <w:szCs w:val="20"/>
              </w:rPr>
              <w:t> </w:t>
            </w:r>
            <w:r>
              <w:rPr>
                <w:rFonts w:ascii="宋体" w:hAnsi="宋体" w:cs="宋体" w:eastAsia="宋体" w:hint="default"/>
                <w:sz w:val="20"/>
                <w:szCs w:val="20"/>
              </w:rPr>
              <w:t>股数量</w:t>
            </w:r>
          </w:p>
          <w:p>
            <w:pPr>
              <w:pStyle w:val="TableParagraph"/>
              <w:spacing w:line="240" w:lineRule="auto" w:before="12"/>
              <w:ind w:left="93" w:right="0"/>
              <w:jc w:val="left"/>
              <w:rPr>
                <w:rFonts w:ascii="宋体" w:hAnsi="宋体" w:cs="宋体" w:eastAsia="宋体" w:hint="default"/>
                <w:sz w:val="20"/>
                <w:szCs w:val="20"/>
              </w:rPr>
            </w:pPr>
            <w:r>
              <w:rPr>
                <w:rFonts w:ascii="宋体" w:hAnsi="宋体" w:cs="宋体" w:eastAsia="宋体" w:hint="default"/>
                <w:sz w:val="20"/>
                <w:szCs w:val="20"/>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95" w:right="95"/>
              <w:jc w:val="left"/>
              <w:rPr>
                <w:rFonts w:ascii="宋体" w:hAnsi="宋体" w:cs="宋体" w:eastAsia="宋体" w:hint="default"/>
                <w:sz w:val="20"/>
                <w:szCs w:val="20"/>
              </w:rPr>
            </w:pPr>
            <w:r>
              <w:rPr>
                <w:rFonts w:ascii="宋体" w:hAnsi="宋体" w:cs="宋体" w:eastAsia="宋体" w:hint="default"/>
                <w:sz w:val="20"/>
                <w:szCs w:val="20"/>
              </w:rPr>
              <w:t>期初持</w:t>
            </w:r>
            <w:r>
              <w:rPr>
                <w:rFonts w:ascii="宋体" w:hAnsi="宋体" w:cs="宋体" w:eastAsia="宋体" w:hint="default"/>
                <w:w w:val="99"/>
                <w:sz w:val="20"/>
                <w:szCs w:val="20"/>
              </w:rPr>
              <w:t> </w:t>
            </w:r>
            <w:r>
              <w:rPr>
                <w:rFonts w:ascii="宋体" w:hAnsi="宋体" w:cs="宋体" w:eastAsia="宋体" w:hint="default"/>
                <w:sz w:val="20"/>
                <w:szCs w:val="20"/>
              </w:rPr>
              <w:t>股比例</w:t>
            </w:r>
          </w:p>
          <w:p>
            <w:pPr>
              <w:pStyle w:val="TableParagraph"/>
              <w:spacing w:line="240" w:lineRule="auto" w:before="12"/>
              <w:ind w:left="11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93" w:right="94"/>
              <w:jc w:val="left"/>
              <w:rPr>
                <w:rFonts w:ascii="宋体" w:hAnsi="宋体" w:cs="宋体" w:eastAsia="宋体" w:hint="default"/>
                <w:sz w:val="20"/>
                <w:szCs w:val="20"/>
              </w:rPr>
            </w:pPr>
            <w:r>
              <w:rPr>
                <w:rFonts w:ascii="宋体" w:hAnsi="宋体" w:cs="宋体" w:eastAsia="宋体" w:hint="default"/>
                <w:sz w:val="20"/>
                <w:szCs w:val="20"/>
              </w:rPr>
              <w:t>期末持</w:t>
            </w:r>
            <w:r>
              <w:rPr>
                <w:rFonts w:ascii="宋体" w:hAnsi="宋体" w:cs="宋体" w:eastAsia="宋体" w:hint="default"/>
                <w:w w:val="99"/>
                <w:sz w:val="20"/>
                <w:szCs w:val="20"/>
              </w:rPr>
              <w:t> </w:t>
            </w:r>
            <w:r>
              <w:rPr>
                <w:rFonts w:ascii="宋体" w:hAnsi="宋体" w:cs="宋体" w:eastAsia="宋体" w:hint="default"/>
                <w:sz w:val="20"/>
                <w:szCs w:val="20"/>
              </w:rPr>
              <w:t>股数量</w:t>
            </w:r>
          </w:p>
          <w:p>
            <w:pPr>
              <w:pStyle w:val="TableParagraph"/>
              <w:spacing w:line="240" w:lineRule="auto" w:before="12"/>
              <w:ind w:left="93" w:right="0"/>
              <w:jc w:val="left"/>
              <w:rPr>
                <w:rFonts w:ascii="宋体" w:hAnsi="宋体" w:cs="宋体" w:eastAsia="宋体" w:hint="default"/>
                <w:sz w:val="20"/>
                <w:szCs w:val="20"/>
              </w:rPr>
            </w:pPr>
            <w:r>
              <w:rPr>
                <w:rFonts w:ascii="宋体" w:hAnsi="宋体" w:cs="宋体" w:eastAsia="宋体" w:hint="default"/>
                <w:sz w:val="20"/>
                <w:szCs w:val="20"/>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96" w:right="95"/>
              <w:jc w:val="left"/>
              <w:rPr>
                <w:rFonts w:ascii="宋体" w:hAnsi="宋体" w:cs="宋体" w:eastAsia="宋体" w:hint="default"/>
                <w:sz w:val="20"/>
                <w:szCs w:val="20"/>
              </w:rPr>
            </w:pPr>
            <w:r>
              <w:rPr>
                <w:rFonts w:ascii="宋体" w:hAnsi="宋体" w:cs="宋体" w:eastAsia="宋体" w:hint="default"/>
                <w:sz w:val="20"/>
                <w:szCs w:val="20"/>
              </w:rPr>
              <w:t>期末持</w:t>
            </w:r>
            <w:r>
              <w:rPr>
                <w:rFonts w:ascii="宋体" w:hAnsi="宋体" w:cs="宋体" w:eastAsia="宋体" w:hint="default"/>
                <w:w w:val="99"/>
                <w:sz w:val="20"/>
                <w:szCs w:val="20"/>
              </w:rPr>
              <w:t> </w:t>
            </w:r>
            <w:r>
              <w:rPr>
                <w:rFonts w:ascii="宋体" w:hAnsi="宋体" w:cs="宋体" w:eastAsia="宋体" w:hint="default"/>
                <w:sz w:val="20"/>
                <w:szCs w:val="20"/>
              </w:rPr>
              <w:t>股比例</w:t>
            </w:r>
          </w:p>
          <w:p>
            <w:pPr>
              <w:pStyle w:val="TableParagraph"/>
              <w:spacing w:line="240" w:lineRule="auto" w:before="12"/>
              <w:ind w:left="11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194" w:right="95" w:hanging="101"/>
              <w:jc w:val="left"/>
              <w:rPr>
                <w:rFonts w:ascii="宋体" w:hAnsi="宋体" w:cs="宋体" w:eastAsia="宋体" w:hint="default"/>
                <w:sz w:val="20"/>
                <w:szCs w:val="20"/>
              </w:rPr>
            </w:pPr>
            <w:r>
              <w:rPr>
                <w:rFonts w:ascii="宋体" w:hAnsi="宋体" w:cs="宋体" w:eastAsia="宋体" w:hint="default"/>
                <w:sz w:val="20"/>
                <w:szCs w:val="20"/>
              </w:rPr>
              <w:t>期末账</w:t>
            </w:r>
            <w:r>
              <w:rPr>
                <w:rFonts w:ascii="宋体" w:hAnsi="宋体" w:cs="宋体" w:eastAsia="宋体" w:hint="default"/>
                <w:w w:val="99"/>
                <w:sz w:val="20"/>
                <w:szCs w:val="20"/>
              </w:rPr>
              <w:t> </w:t>
            </w:r>
            <w:r>
              <w:rPr>
                <w:rFonts w:ascii="宋体" w:hAnsi="宋体" w:cs="宋体" w:eastAsia="宋体" w:hint="default"/>
                <w:sz w:val="20"/>
                <w:szCs w:val="20"/>
              </w:rPr>
              <w:t>面值</w:t>
            </w:r>
          </w:p>
          <w:p>
            <w:pPr>
              <w:pStyle w:val="TableParagraph"/>
              <w:spacing w:line="240" w:lineRule="auto" w:before="12"/>
              <w:ind w:left="93" w:right="0"/>
              <w:jc w:val="left"/>
              <w:rPr>
                <w:rFonts w:ascii="宋体" w:hAnsi="宋体" w:cs="宋体" w:eastAsia="宋体" w:hint="default"/>
                <w:sz w:val="20"/>
                <w:szCs w:val="20"/>
              </w:rPr>
            </w:pPr>
            <w:r>
              <w:rPr>
                <w:rFonts w:ascii="宋体" w:hAnsi="宋体" w:cs="宋体" w:eastAsia="宋体" w:hint="default"/>
                <w:sz w:val="20"/>
                <w:szCs w:val="20"/>
              </w:rPr>
              <w:t>（元）</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194" w:right="94" w:hanging="99"/>
              <w:jc w:val="left"/>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99"/>
                <w:sz w:val="20"/>
                <w:szCs w:val="20"/>
              </w:rPr>
              <w:t> </w:t>
            </w:r>
            <w:r>
              <w:rPr>
                <w:rFonts w:ascii="宋体" w:hAnsi="宋体" w:cs="宋体" w:eastAsia="宋体" w:hint="default"/>
                <w:sz w:val="20"/>
                <w:szCs w:val="20"/>
              </w:rPr>
              <w:t>损益</w:t>
            </w:r>
          </w:p>
          <w:p>
            <w:pPr>
              <w:pStyle w:val="TableParagraph"/>
              <w:spacing w:line="240" w:lineRule="auto" w:before="12"/>
              <w:ind w:left="95" w:right="0"/>
              <w:jc w:val="left"/>
              <w:rPr>
                <w:rFonts w:ascii="宋体" w:hAnsi="宋体" w:cs="宋体" w:eastAsia="宋体" w:hint="default"/>
                <w:sz w:val="20"/>
                <w:szCs w:val="20"/>
              </w:rPr>
            </w:pPr>
            <w:r>
              <w:rPr>
                <w:rFonts w:ascii="宋体" w:hAnsi="宋体" w:cs="宋体" w:eastAsia="宋体" w:hint="default"/>
                <w:sz w:val="20"/>
                <w:szCs w:val="20"/>
              </w:rPr>
              <w:t>（元）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93" w:right="95"/>
              <w:jc w:val="left"/>
              <w:rPr>
                <w:rFonts w:ascii="宋体" w:hAnsi="宋体" w:cs="宋体" w:eastAsia="宋体" w:hint="default"/>
                <w:sz w:val="20"/>
                <w:szCs w:val="20"/>
              </w:rPr>
            </w:pPr>
            <w:r>
              <w:rPr>
                <w:rFonts w:ascii="宋体" w:hAnsi="宋体" w:cs="宋体" w:eastAsia="宋体" w:hint="default"/>
                <w:sz w:val="20"/>
                <w:szCs w:val="20"/>
              </w:rPr>
              <w:t>会计核</w:t>
            </w:r>
            <w:r>
              <w:rPr>
                <w:rFonts w:ascii="宋体" w:hAnsi="宋体" w:cs="宋体" w:eastAsia="宋体" w:hint="default"/>
                <w:w w:val="99"/>
                <w:sz w:val="20"/>
                <w:szCs w:val="20"/>
              </w:rPr>
              <w:t> </w:t>
            </w:r>
            <w:r>
              <w:rPr>
                <w:rFonts w:ascii="宋体" w:hAnsi="宋体" w:cs="宋体" w:eastAsia="宋体" w:hint="default"/>
                <w:sz w:val="20"/>
                <w:szCs w:val="20"/>
              </w:rPr>
              <w:t>算科目</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87" w:right="89" w:hanging="202"/>
              <w:jc w:val="left"/>
              <w:rPr>
                <w:rFonts w:ascii="宋体" w:hAnsi="宋体" w:cs="宋体" w:eastAsia="宋体" w:hint="default"/>
                <w:sz w:val="20"/>
                <w:szCs w:val="20"/>
              </w:rPr>
            </w:pPr>
            <w:r>
              <w:rPr>
                <w:rFonts w:ascii="宋体" w:hAnsi="宋体" w:cs="宋体" w:eastAsia="宋体" w:hint="default"/>
                <w:sz w:val="20"/>
                <w:szCs w:val="20"/>
              </w:rPr>
              <w:t>股份来</w:t>
            </w:r>
            <w:r>
              <w:rPr>
                <w:rFonts w:ascii="宋体" w:hAnsi="宋体" w:cs="宋体" w:eastAsia="宋体" w:hint="default"/>
                <w:w w:val="99"/>
                <w:sz w:val="20"/>
                <w:szCs w:val="20"/>
              </w:rPr>
              <w:t> </w:t>
            </w:r>
            <w:r>
              <w:rPr>
                <w:rFonts w:ascii="宋体" w:hAnsi="宋体" w:cs="宋体" w:eastAsia="宋体" w:hint="default"/>
                <w:sz w:val="20"/>
                <w:szCs w:val="20"/>
              </w:rPr>
              <w:t>源</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基金</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160617</w:t>
            </w:r>
          </w:p>
        </w:tc>
        <w:tc>
          <w:tcPr>
            <w:tcW w:w="8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4" w:right="179"/>
              <w:jc w:val="left"/>
              <w:rPr>
                <w:rFonts w:ascii="宋体" w:hAnsi="宋体" w:cs="宋体" w:eastAsia="宋体" w:hint="default"/>
                <w:sz w:val="20"/>
                <w:szCs w:val="20"/>
              </w:rPr>
            </w:pPr>
            <w:r>
              <w:rPr>
                <w:rFonts w:ascii="宋体" w:hAnsi="宋体" w:cs="宋体" w:eastAsia="宋体" w:hint="default"/>
                <w:sz w:val="20"/>
                <w:szCs w:val="20"/>
              </w:rPr>
              <w:t>鹏华丰</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20"/>
                <w:szCs w:val="20"/>
              </w:rPr>
            </w:pPr>
            <w:r>
              <w:rPr>
                <w:rFonts w:ascii="Times New Roman"/>
                <w:sz w:val="20"/>
              </w:rPr>
              <w:t>39,929,0</w:t>
            </w:r>
          </w:p>
          <w:p>
            <w:pPr>
              <w:pStyle w:val="TableParagraph"/>
              <w:spacing w:line="240" w:lineRule="auto" w:before="82"/>
              <w:ind w:left="317" w:right="0"/>
              <w:jc w:val="left"/>
              <w:rPr>
                <w:rFonts w:ascii="Times New Roman" w:hAnsi="Times New Roman" w:cs="Times New Roman" w:eastAsia="Times New Roman" w:hint="default"/>
                <w:sz w:val="20"/>
                <w:szCs w:val="20"/>
              </w:rPr>
            </w:pPr>
            <w:r>
              <w:rPr>
                <w:rFonts w:ascii="Times New Roman"/>
                <w:sz w:val="20"/>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40,009,2</w:t>
            </w:r>
            <w:r>
              <w:rPr>
                <w:rFonts w:ascii="Times New Roman"/>
                <w:sz w:val="20"/>
              </w:rPr>
            </w:r>
          </w:p>
          <w:p>
            <w:pPr>
              <w:pStyle w:val="TableParagraph"/>
              <w:spacing w:line="240" w:lineRule="auto" w:before="82"/>
              <w:ind w:right="17"/>
              <w:jc w:val="right"/>
              <w:rPr>
                <w:rFonts w:ascii="Times New Roman" w:hAnsi="Times New Roman" w:cs="Times New Roman" w:eastAsia="Times New Roman" w:hint="default"/>
                <w:sz w:val="20"/>
                <w:szCs w:val="20"/>
              </w:rPr>
            </w:pPr>
            <w:r>
              <w:rPr>
                <w:rFonts w:ascii="Times New Roman"/>
                <w:sz w:val="20"/>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85.64%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40,009,2</w:t>
            </w:r>
            <w:r>
              <w:rPr>
                <w:rFonts w:ascii="Times New Roman"/>
                <w:sz w:val="20"/>
              </w:rPr>
            </w:r>
          </w:p>
          <w:p>
            <w:pPr>
              <w:pStyle w:val="TableParagraph"/>
              <w:spacing w:line="240" w:lineRule="auto" w:before="82"/>
              <w:ind w:right="17"/>
              <w:jc w:val="right"/>
              <w:rPr>
                <w:rFonts w:ascii="Times New Roman" w:hAnsi="Times New Roman" w:cs="Times New Roman" w:eastAsia="Times New Roman" w:hint="default"/>
                <w:sz w:val="20"/>
                <w:szCs w:val="20"/>
              </w:rPr>
            </w:pPr>
            <w:r>
              <w:rPr>
                <w:rFonts w:ascii="Times New Roman"/>
                <w:sz w:val="20"/>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85.45%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42,609,7</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98.00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20"/>
                <w:szCs w:val="20"/>
              </w:rPr>
            </w:pPr>
            <w:r>
              <w:rPr>
                <w:rFonts w:ascii="Times New Roman"/>
                <w:sz w:val="20"/>
              </w:rPr>
              <w:t>4,761,09</w:t>
            </w:r>
          </w:p>
          <w:p>
            <w:pPr>
              <w:pStyle w:val="TableParagraph"/>
              <w:spacing w:line="240" w:lineRule="auto" w:before="82"/>
              <w:ind w:left="417" w:right="0"/>
              <w:jc w:val="left"/>
              <w:rPr>
                <w:rFonts w:ascii="Times New Roman" w:hAnsi="Times New Roman" w:cs="Times New Roman" w:eastAsia="Times New Roman" w:hint="default"/>
                <w:sz w:val="20"/>
                <w:szCs w:val="20"/>
              </w:rPr>
            </w:pPr>
            <w:r>
              <w:rPr>
                <w:rFonts w:ascii="Times New Roman"/>
                <w:sz w:val="20"/>
              </w:rPr>
              <w:t>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163"/>
              <w:jc w:val="both"/>
              <w:rPr>
                <w:rFonts w:ascii="宋体" w:hAnsi="宋体" w:cs="宋体" w:eastAsia="宋体" w:hint="default"/>
                <w:sz w:val="20"/>
                <w:szCs w:val="20"/>
              </w:rPr>
            </w:pPr>
            <w:r>
              <w:rPr>
                <w:rFonts w:ascii="宋体" w:hAnsi="宋体" w:cs="宋体" w:eastAsia="宋体" w:hint="default"/>
                <w:sz w:val="20"/>
                <w:szCs w:val="20"/>
              </w:rPr>
              <w:t>可供出</w:t>
            </w:r>
            <w:r>
              <w:rPr>
                <w:rFonts w:ascii="宋体" w:hAnsi="宋体" w:cs="宋体" w:eastAsia="宋体" w:hint="default"/>
                <w:w w:val="99"/>
                <w:sz w:val="20"/>
                <w:szCs w:val="20"/>
              </w:rPr>
              <w:t> </w:t>
            </w:r>
            <w:r>
              <w:rPr>
                <w:rFonts w:ascii="宋体" w:hAnsi="宋体" w:cs="宋体" w:eastAsia="宋体" w:hint="default"/>
                <w:sz w:val="20"/>
                <w:szCs w:val="20"/>
              </w:rPr>
              <w:t>售金融</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50"/>
              <w:jc w:val="right"/>
              <w:rPr>
                <w:rFonts w:ascii="宋体" w:hAnsi="宋体" w:cs="宋体" w:eastAsia="宋体" w:hint="default"/>
                <w:sz w:val="20"/>
                <w:szCs w:val="20"/>
              </w:rPr>
            </w:pPr>
            <w:r>
              <w:rPr>
                <w:rFonts w:ascii="宋体" w:hAnsi="宋体" w:cs="宋体" w:eastAsia="宋体" w:hint="default"/>
                <w:w w:val="95"/>
                <w:sz w:val="20"/>
                <w:szCs w:val="20"/>
              </w:rPr>
              <w:t>购入</w:t>
            </w:r>
            <w:r>
              <w:rPr>
                <w:rFonts w:ascii="宋体" w:hAnsi="宋体" w:cs="宋体" w:eastAsia="宋体" w:hint="default"/>
                <w:sz w:val="20"/>
                <w:szCs w:val="20"/>
              </w:rPr>
            </w:r>
          </w:p>
        </w:tc>
      </w:tr>
      <w:tr>
        <w:trPr>
          <w:trHeight w:val="102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基金</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270004</w:t>
            </w:r>
          </w:p>
        </w:tc>
        <w:tc>
          <w:tcPr>
            <w:tcW w:w="8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4" w:right="179"/>
              <w:jc w:val="left"/>
              <w:rPr>
                <w:rFonts w:ascii="Times New Roman" w:hAnsi="Times New Roman" w:cs="Times New Roman" w:eastAsia="Times New Roman" w:hint="default"/>
                <w:sz w:val="20"/>
                <w:szCs w:val="20"/>
              </w:rPr>
            </w:pPr>
            <w:r>
              <w:rPr>
                <w:rFonts w:ascii="宋体" w:hAnsi="宋体" w:cs="宋体" w:eastAsia="宋体" w:hint="default"/>
                <w:sz w:val="20"/>
                <w:szCs w:val="20"/>
              </w:rPr>
              <w:t>广发货</w:t>
            </w:r>
            <w:r>
              <w:rPr>
                <w:rFonts w:ascii="宋体" w:hAnsi="宋体" w:cs="宋体" w:eastAsia="宋体" w:hint="default"/>
                <w:w w:val="99"/>
                <w:sz w:val="20"/>
                <w:szCs w:val="20"/>
              </w:rPr>
              <w:t> </w:t>
            </w:r>
            <w:r>
              <w:rPr>
                <w:rFonts w:ascii="宋体" w:hAnsi="宋体" w:cs="宋体" w:eastAsia="宋体" w:hint="default"/>
                <w:sz w:val="20"/>
                <w:szCs w:val="20"/>
              </w:rPr>
              <w:t>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A</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20"/>
                <w:szCs w:val="20"/>
              </w:rPr>
            </w:pPr>
            <w:r>
              <w:rPr>
                <w:rFonts w:ascii="Times New Roman"/>
                <w:sz w:val="20"/>
              </w:rPr>
              <w:t>4,000,00</w:t>
            </w:r>
          </w:p>
          <w:p>
            <w:pPr>
              <w:pStyle w:val="TableParagraph"/>
              <w:spacing w:line="240" w:lineRule="auto" w:before="82"/>
              <w:ind w:left="418" w:right="0"/>
              <w:jc w:val="left"/>
              <w:rPr>
                <w:rFonts w:ascii="Times New Roman" w:hAnsi="Times New Roman" w:cs="Times New Roman" w:eastAsia="Times New Roman" w:hint="default"/>
                <w:sz w:val="20"/>
                <w:szCs w:val="20"/>
              </w:rPr>
            </w:pPr>
            <w:r>
              <w:rPr>
                <w:rFonts w:ascii="Times New Roman"/>
                <w:sz w:val="20"/>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4,000,00</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8.56%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4,062,57</w:t>
            </w:r>
          </w:p>
          <w:p>
            <w:pPr>
              <w:pStyle w:val="TableParagraph"/>
              <w:spacing w:line="240" w:lineRule="auto" w:before="82"/>
              <w:ind w:left="415" w:right="0"/>
              <w:jc w:val="left"/>
              <w:rPr>
                <w:rFonts w:ascii="Times New Roman" w:hAnsi="Times New Roman" w:cs="Times New Roman" w:eastAsia="Times New Roman" w:hint="default"/>
                <w:sz w:val="20"/>
                <w:szCs w:val="20"/>
              </w:rPr>
            </w:pPr>
            <w:r>
              <w:rPr>
                <w:rFonts w:ascii="Times New Roman"/>
                <w:sz w:val="20"/>
              </w:rPr>
              <w:t>3.17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8. 68%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4,062,57</w:t>
            </w:r>
          </w:p>
          <w:p>
            <w:pPr>
              <w:pStyle w:val="TableParagraph"/>
              <w:spacing w:line="240" w:lineRule="auto" w:before="82"/>
              <w:ind w:left="415" w:right="0"/>
              <w:jc w:val="left"/>
              <w:rPr>
                <w:rFonts w:ascii="Times New Roman" w:hAnsi="Times New Roman" w:cs="Times New Roman" w:eastAsia="Times New Roman" w:hint="default"/>
                <w:sz w:val="20"/>
                <w:szCs w:val="20"/>
              </w:rPr>
            </w:pPr>
            <w:r>
              <w:rPr>
                <w:rFonts w:ascii="Times New Roman"/>
                <w:sz w:val="20"/>
              </w:rPr>
              <w:t>3.17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62,573.1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163"/>
              <w:jc w:val="both"/>
              <w:rPr>
                <w:rFonts w:ascii="宋体" w:hAnsi="宋体" w:cs="宋体" w:eastAsia="宋体" w:hint="default"/>
                <w:sz w:val="20"/>
                <w:szCs w:val="20"/>
              </w:rPr>
            </w:pPr>
            <w:r>
              <w:rPr>
                <w:rFonts w:ascii="宋体" w:hAnsi="宋体" w:cs="宋体" w:eastAsia="宋体" w:hint="default"/>
                <w:sz w:val="20"/>
                <w:szCs w:val="20"/>
              </w:rPr>
              <w:t>可供出</w:t>
            </w:r>
            <w:r>
              <w:rPr>
                <w:rFonts w:ascii="宋体" w:hAnsi="宋体" w:cs="宋体" w:eastAsia="宋体" w:hint="default"/>
                <w:w w:val="99"/>
                <w:sz w:val="20"/>
                <w:szCs w:val="20"/>
              </w:rPr>
              <w:t> </w:t>
            </w:r>
            <w:r>
              <w:rPr>
                <w:rFonts w:ascii="宋体" w:hAnsi="宋体" w:cs="宋体" w:eastAsia="宋体" w:hint="default"/>
                <w:sz w:val="20"/>
                <w:szCs w:val="20"/>
              </w:rPr>
              <w:t>售金融</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50"/>
              <w:jc w:val="right"/>
              <w:rPr>
                <w:rFonts w:ascii="宋体" w:hAnsi="宋体" w:cs="宋体" w:eastAsia="宋体" w:hint="default"/>
                <w:sz w:val="20"/>
                <w:szCs w:val="20"/>
              </w:rPr>
            </w:pPr>
            <w:r>
              <w:rPr>
                <w:rFonts w:ascii="宋体" w:hAnsi="宋体" w:cs="宋体" w:eastAsia="宋体" w:hint="default"/>
                <w:w w:val="95"/>
                <w:sz w:val="20"/>
                <w:szCs w:val="20"/>
              </w:rPr>
              <w:t>购入</w:t>
            </w:r>
            <w:r>
              <w:rPr>
                <w:rFonts w:ascii="宋体" w:hAnsi="宋体" w:cs="宋体" w:eastAsia="宋体" w:hint="default"/>
                <w:sz w:val="20"/>
                <w:szCs w:val="20"/>
              </w:rPr>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基金</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110006</w:t>
            </w:r>
          </w:p>
        </w:tc>
        <w:tc>
          <w:tcPr>
            <w:tcW w:w="8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易货基</w:t>
            </w:r>
          </w:p>
          <w:p>
            <w:pPr>
              <w:pStyle w:val="TableParagraph"/>
              <w:spacing w:line="240" w:lineRule="auto" w:before="97"/>
              <w:ind w:left="24" w:right="0"/>
              <w:jc w:val="left"/>
              <w:rPr>
                <w:rFonts w:ascii="Times New Roman" w:hAnsi="Times New Roman" w:cs="Times New Roman" w:eastAsia="Times New Roman" w:hint="default"/>
                <w:sz w:val="20"/>
                <w:szCs w:val="20"/>
              </w:rPr>
            </w:pPr>
            <w:r>
              <w:rPr>
                <w:rFonts w:ascii="Times New Roman"/>
                <w:w w:val="99"/>
                <w:sz w:val="20"/>
              </w:rPr>
              <w:t>A</w:t>
            </w:r>
            <w:r>
              <w:rPr>
                <w:rFonts w:ascii="Times New Roman"/>
                <w:sz w:val="20"/>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20"/>
                <w:szCs w:val="20"/>
              </w:rPr>
            </w:pPr>
            <w:r>
              <w:rPr>
                <w:rFonts w:ascii="Times New Roman"/>
                <w:sz w:val="20"/>
              </w:rPr>
              <w:t>2,708,23</w:t>
            </w:r>
          </w:p>
          <w:p>
            <w:pPr>
              <w:pStyle w:val="TableParagraph"/>
              <w:spacing w:line="240" w:lineRule="auto" w:before="82"/>
              <w:ind w:left="418" w:right="0"/>
              <w:jc w:val="left"/>
              <w:rPr>
                <w:rFonts w:ascii="Times New Roman" w:hAnsi="Times New Roman" w:cs="Times New Roman" w:eastAsia="Times New Roman" w:hint="default"/>
                <w:sz w:val="20"/>
                <w:szCs w:val="20"/>
              </w:rPr>
            </w:pPr>
            <w:r>
              <w:rPr>
                <w:rFonts w:ascii="Times New Roman"/>
                <w:sz w:val="20"/>
              </w:rPr>
              <w:t>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2,708,23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2,751,17</w:t>
            </w:r>
          </w:p>
          <w:p>
            <w:pPr>
              <w:pStyle w:val="TableParagraph"/>
              <w:spacing w:line="240" w:lineRule="auto" w:before="82"/>
              <w:ind w:left="415" w:right="0"/>
              <w:jc w:val="left"/>
              <w:rPr>
                <w:rFonts w:ascii="Times New Roman" w:hAnsi="Times New Roman" w:cs="Times New Roman" w:eastAsia="Times New Roman" w:hint="default"/>
                <w:sz w:val="20"/>
                <w:szCs w:val="20"/>
              </w:rPr>
            </w:pPr>
            <w:r>
              <w:rPr>
                <w:rFonts w:ascii="Times New Roman"/>
                <w:sz w:val="20"/>
              </w:rPr>
              <w:t>8.83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z w:val="20"/>
              </w:rPr>
              <w:t>5. 88%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2,751,17</w:t>
            </w:r>
          </w:p>
          <w:p>
            <w:pPr>
              <w:pStyle w:val="TableParagraph"/>
              <w:spacing w:line="240" w:lineRule="auto" w:before="82"/>
              <w:ind w:left="415" w:right="0"/>
              <w:jc w:val="left"/>
              <w:rPr>
                <w:rFonts w:ascii="Times New Roman" w:hAnsi="Times New Roman" w:cs="Times New Roman" w:eastAsia="Times New Roman" w:hint="default"/>
                <w:sz w:val="20"/>
                <w:szCs w:val="20"/>
              </w:rPr>
            </w:pPr>
            <w:r>
              <w:rPr>
                <w:rFonts w:ascii="Times New Roman"/>
                <w:sz w:val="20"/>
              </w:rPr>
              <w:t>8.83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42,941.8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163"/>
              <w:jc w:val="both"/>
              <w:rPr>
                <w:rFonts w:ascii="宋体" w:hAnsi="宋体" w:cs="宋体" w:eastAsia="宋体" w:hint="default"/>
                <w:sz w:val="20"/>
                <w:szCs w:val="20"/>
              </w:rPr>
            </w:pPr>
            <w:r>
              <w:rPr>
                <w:rFonts w:ascii="宋体" w:hAnsi="宋体" w:cs="宋体" w:eastAsia="宋体" w:hint="default"/>
                <w:sz w:val="20"/>
                <w:szCs w:val="20"/>
              </w:rPr>
              <w:t>可供出</w:t>
            </w:r>
            <w:r>
              <w:rPr>
                <w:rFonts w:ascii="宋体" w:hAnsi="宋体" w:cs="宋体" w:eastAsia="宋体" w:hint="default"/>
                <w:w w:val="99"/>
                <w:sz w:val="20"/>
                <w:szCs w:val="20"/>
              </w:rPr>
              <w:t> </w:t>
            </w:r>
            <w:r>
              <w:rPr>
                <w:rFonts w:ascii="宋体" w:hAnsi="宋体" w:cs="宋体" w:eastAsia="宋体" w:hint="default"/>
                <w:sz w:val="20"/>
                <w:szCs w:val="20"/>
              </w:rPr>
              <w:t>售金融</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50"/>
              <w:jc w:val="right"/>
              <w:rPr>
                <w:rFonts w:ascii="宋体" w:hAnsi="宋体" w:cs="宋体" w:eastAsia="宋体" w:hint="default"/>
                <w:sz w:val="20"/>
                <w:szCs w:val="20"/>
              </w:rPr>
            </w:pPr>
            <w:r>
              <w:rPr>
                <w:rFonts w:ascii="宋体" w:hAnsi="宋体" w:cs="宋体" w:eastAsia="宋体" w:hint="default"/>
                <w:w w:val="95"/>
                <w:sz w:val="20"/>
                <w:szCs w:val="20"/>
              </w:rPr>
              <w:t>购入</w:t>
            </w:r>
            <w:r>
              <w:rPr>
                <w:rFonts w:ascii="宋体" w:hAnsi="宋体" w:cs="宋体" w:eastAsia="宋体" w:hint="default"/>
                <w:sz w:val="20"/>
                <w:szCs w:val="20"/>
              </w:rPr>
            </w:r>
          </w:p>
        </w:tc>
      </w:tr>
      <w:tr>
        <w:trPr>
          <w:trHeight w:val="403" w:hRule="exact"/>
        </w:trPr>
        <w:tc>
          <w:tcPr>
            <w:tcW w:w="24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0"/>
                <w:szCs w:val="20"/>
              </w:rPr>
            </w:pPr>
            <w:r>
              <w:rPr>
                <w:rFonts w:ascii="宋体" w:hAnsi="宋体" w:cs="宋体" w:eastAsia="宋体" w:hint="default"/>
                <w:sz w:val="20"/>
                <w:szCs w:val="20"/>
              </w:rPr>
              <w:t>期末持有的其他证券投资</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 w:right="0"/>
              <w:jc w:val="center"/>
              <w:rPr>
                <w:rFonts w:ascii="Times New Roman" w:hAnsi="Times New Roman" w:cs="Times New Roman" w:eastAsia="Times New Roman" w:hint="default"/>
                <w:sz w:val="20"/>
                <w:szCs w:val="20"/>
              </w:rPr>
            </w:pPr>
            <w:r>
              <w:rPr>
                <w:rFonts w:ascii="Times New Roman"/>
                <w:sz w:val="20"/>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 w:right="0"/>
              <w:jc w:val="center"/>
              <w:rPr>
                <w:rFonts w:ascii="Times New Roman" w:hAnsi="Times New Roman" w:cs="Times New Roman" w:eastAsia="Times New Roman" w:hint="default"/>
                <w:sz w:val="20"/>
                <w:szCs w:val="20"/>
              </w:rPr>
            </w:pPr>
            <w:r>
              <w:rPr>
                <w:rFonts w:ascii="Times New Roman"/>
                <w:sz w:val="20"/>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17" w:right="0"/>
              <w:jc w:val="left"/>
              <w:rPr>
                <w:rFonts w:ascii="Times New Roman" w:hAnsi="Times New Roman" w:cs="Times New Roman" w:eastAsia="Times New Roman" w:hint="default"/>
                <w:sz w:val="20"/>
                <w:szCs w:val="20"/>
              </w:rPr>
            </w:pPr>
            <w:r>
              <w:rPr>
                <w:rFonts w:ascii="Times New Roman"/>
                <w:sz w:val="20"/>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319"/>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r>
      <w:tr>
        <w:trPr>
          <w:trHeight w:val="713" w:hRule="exact"/>
        </w:trPr>
        <w:tc>
          <w:tcPr>
            <w:tcW w:w="24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4" w:right="169"/>
              <w:jc w:val="left"/>
              <w:rPr>
                <w:rFonts w:ascii="宋体" w:hAnsi="宋体" w:cs="宋体" w:eastAsia="宋体" w:hint="default"/>
                <w:sz w:val="20"/>
                <w:szCs w:val="20"/>
              </w:rPr>
            </w:pPr>
            <w:r>
              <w:rPr>
                <w:rFonts w:ascii="宋体" w:hAnsi="宋体" w:cs="宋体" w:eastAsia="宋体" w:hint="default"/>
                <w:sz w:val="20"/>
                <w:szCs w:val="20"/>
              </w:rPr>
              <w:t>报告期已出售证券投资损</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 w:right="0"/>
              <w:jc w:val="left"/>
              <w:rPr>
                <w:rFonts w:ascii="宋体" w:hAnsi="宋体" w:cs="宋体" w:eastAsia="宋体" w:hint="default"/>
                <w:sz w:val="20"/>
                <w:szCs w:val="20"/>
              </w:rPr>
            </w:pPr>
            <w:r>
              <w:rPr>
                <w:rFonts w:ascii="宋体"/>
                <w:sz w:val="20"/>
              </w:rPr>
              <w:t>4,433,9</w:t>
            </w:r>
          </w:p>
          <w:p>
            <w:pPr>
              <w:pStyle w:val="TableParagraph"/>
              <w:spacing w:line="240" w:lineRule="auto" w:before="50"/>
              <w:ind w:left="268" w:right="0"/>
              <w:jc w:val="left"/>
              <w:rPr>
                <w:rFonts w:ascii="宋体" w:hAnsi="宋体" w:cs="宋体" w:eastAsia="宋体" w:hint="default"/>
                <w:sz w:val="20"/>
                <w:szCs w:val="20"/>
              </w:rPr>
            </w:pPr>
            <w:r>
              <w:rPr>
                <w:rFonts w:ascii="宋体"/>
                <w:sz w:val="20"/>
              </w:rPr>
              <w:t>68.14</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4" w:hRule="exact"/>
        </w:trPr>
        <w:tc>
          <w:tcPr>
            <w:tcW w:w="24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2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46,637,2</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46,717,4</w:t>
            </w:r>
            <w:r>
              <w:rPr>
                <w:rFonts w:ascii="Times New Roman"/>
                <w:sz w:val="20"/>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46,822,9</w:t>
            </w:r>
            <w:r>
              <w:rPr>
                <w:rFonts w:ascii="Times New Roman"/>
                <w:sz w:val="20"/>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49,423,5</w:t>
            </w:r>
            <w:r>
              <w:rPr>
                <w:rFonts w:ascii="Times New Roman"/>
                <w:sz w:val="20"/>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7" w:right="0"/>
              <w:jc w:val="left"/>
              <w:rPr>
                <w:rFonts w:ascii="宋体" w:hAnsi="宋体" w:cs="宋体" w:eastAsia="宋体" w:hint="default"/>
                <w:sz w:val="20"/>
                <w:szCs w:val="20"/>
              </w:rPr>
            </w:pPr>
            <w:r>
              <w:rPr>
                <w:rFonts w:ascii="宋体"/>
                <w:sz w:val="20"/>
              </w:rPr>
              <w:t>9,300,5</w:t>
            </w:r>
          </w:p>
          <w:p>
            <w:pPr>
              <w:pStyle w:val="TableParagraph"/>
              <w:spacing w:line="240" w:lineRule="auto" w:before="50"/>
              <w:ind w:left="268" w:right="0"/>
              <w:jc w:val="left"/>
              <w:rPr>
                <w:rFonts w:ascii="宋体" w:hAnsi="宋体" w:cs="宋体" w:eastAsia="宋体" w:hint="default"/>
                <w:sz w:val="20"/>
                <w:szCs w:val="20"/>
              </w:rPr>
            </w:pPr>
            <w:r>
              <w:rPr>
                <w:rFonts w:ascii="宋体"/>
                <w:sz w:val="20"/>
              </w:rPr>
              <w:t>77.94</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3"/>
          <w:footerReference w:type="default" r:id="rId14"/>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402"/>
        <w:gridCol w:w="800"/>
        <w:gridCol w:w="797"/>
        <w:gridCol w:w="799"/>
        <w:gridCol w:w="797"/>
        <w:gridCol w:w="799"/>
        <w:gridCol w:w="797"/>
        <w:gridCol w:w="800"/>
        <w:gridCol w:w="797"/>
        <w:gridCol w:w="785"/>
      </w:tblGrid>
      <w:tr>
        <w:trPr>
          <w:trHeight w:val="36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17" w:right="0"/>
              <w:jc w:val="left"/>
              <w:rPr>
                <w:rFonts w:ascii="Times New Roman" w:hAnsi="Times New Roman" w:cs="Times New Roman" w:eastAsia="Times New Roman" w:hint="default"/>
                <w:sz w:val="20"/>
                <w:szCs w:val="20"/>
              </w:rPr>
            </w:pPr>
            <w:r>
              <w:rPr>
                <w:rFonts w:ascii="Times New Roman"/>
                <w:sz w:val="20"/>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z w:val="20"/>
              </w:rPr>
              <w:t>37</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14" w:right="0"/>
              <w:jc w:val="left"/>
              <w:rPr>
                <w:rFonts w:ascii="Times New Roman" w:hAnsi="Times New Roman" w:cs="Times New Roman" w:eastAsia="Times New Roman" w:hint="default"/>
                <w:sz w:val="20"/>
                <w:szCs w:val="20"/>
              </w:rPr>
            </w:pPr>
            <w:r>
              <w:rPr>
                <w:rFonts w:ascii="Times New Roman"/>
                <w:sz w:val="20"/>
              </w:rPr>
              <w:t>52.00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14" w:right="0"/>
              <w:jc w:val="left"/>
              <w:rPr>
                <w:rFonts w:ascii="Times New Roman" w:hAnsi="Times New Roman" w:cs="Times New Roman" w:eastAsia="Times New Roman" w:hint="default"/>
                <w:sz w:val="20"/>
                <w:szCs w:val="20"/>
              </w:rPr>
            </w:pPr>
            <w:r>
              <w:rPr>
                <w:rFonts w:ascii="Times New Roman"/>
                <w:sz w:val="20"/>
              </w:rPr>
              <w:t>50.00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2" w:right="169"/>
              <w:jc w:val="left"/>
              <w:rPr>
                <w:rFonts w:ascii="宋体" w:hAnsi="宋体" w:cs="宋体" w:eastAsia="宋体" w:hint="default"/>
                <w:sz w:val="20"/>
                <w:szCs w:val="20"/>
              </w:rPr>
            </w:pPr>
            <w:r>
              <w:rPr>
                <w:rFonts w:ascii="宋体" w:hAnsi="宋体" w:cs="宋体" w:eastAsia="宋体" w:hint="default"/>
                <w:sz w:val="20"/>
                <w:szCs w:val="20"/>
              </w:rPr>
              <w:t>证券投资审批董事会公告</w:t>
            </w:r>
            <w:r>
              <w:rPr>
                <w:rFonts w:ascii="宋体" w:hAnsi="宋体" w:cs="宋体" w:eastAsia="宋体" w:hint="default"/>
                <w:w w:val="99"/>
                <w:sz w:val="20"/>
                <w:szCs w:val="20"/>
              </w:rPr>
              <w:t> </w:t>
            </w:r>
            <w:r>
              <w:rPr>
                <w:rFonts w:ascii="宋体" w:hAnsi="宋体" w:cs="宋体" w:eastAsia="宋体" w:hint="default"/>
                <w:sz w:val="20"/>
                <w:szCs w:val="20"/>
              </w:rPr>
              <w:t>披露日期</w:t>
            </w:r>
          </w:p>
        </w:tc>
        <w:tc>
          <w:tcPr>
            <w:tcW w:w="717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 </w:t>
            </w:r>
            <w:r>
              <w:rPr>
                <w:rFonts w:ascii="宋体" w:hAnsi="宋体" w:cs="宋体" w:eastAsia="宋体" w:hint="default"/>
                <w:sz w:val="20"/>
                <w:szCs w:val="20"/>
              </w:rPr>
              <w:t>日</w:t>
            </w:r>
          </w:p>
        </w:tc>
      </w:tr>
      <w:tr>
        <w:trPr>
          <w:trHeight w:val="7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2" w:right="169"/>
              <w:jc w:val="left"/>
              <w:rPr>
                <w:rFonts w:ascii="宋体" w:hAnsi="宋体" w:cs="宋体" w:eastAsia="宋体" w:hint="default"/>
                <w:sz w:val="20"/>
                <w:szCs w:val="20"/>
              </w:rPr>
            </w:pPr>
            <w:r>
              <w:rPr>
                <w:rFonts w:ascii="宋体" w:hAnsi="宋体" w:cs="宋体" w:eastAsia="宋体" w:hint="default"/>
                <w:sz w:val="20"/>
                <w:szCs w:val="20"/>
              </w:rPr>
              <w:t>证券投资审批股东会公告</w:t>
            </w:r>
            <w:r>
              <w:rPr>
                <w:rFonts w:ascii="宋体" w:hAnsi="宋体" w:cs="宋体" w:eastAsia="宋体" w:hint="default"/>
                <w:w w:val="99"/>
                <w:sz w:val="20"/>
                <w:szCs w:val="20"/>
              </w:rPr>
              <w:t> </w:t>
            </w:r>
            <w:r>
              <w:rPr>
                <w:rFonts w:ascii="宋体" w:hAnsi="宋体" w:cs="宋体" w:eastAsia="宋体" w:hint="default"/>
                <w:sz w:val="20"/>
                <w:szCs w:val="20"/>
              </w:rPr>
              <w:t>披露日期</w:t>
            </w:r>
          </w:p>
        </w:tc>
        <w:tc>
          <w:tcPr>
            <w:tcW w:w="717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 </w:t>
            </w:r>
            <w:r>
              <w:rPr>
                <w:rFonts w:ascii="宋体" w:hAnsi="宋体" w:cs="宋体" w:eastAsia="宋体" w:hint="default"/>
                <w:sz w:val="20"/>
                <w:szCs w:val="20"/>
              </w:rPr>
              <w:t>日</w:t>
            </w:r>
          </w:p>
        </w:tc>
      </w:tr>
    </w:tbl>
    <w:p>
      <w:pPr>
        <w:pStyle w:val="BodyText"/>
        <w:spacing w:line="357" w:lineRule="auto" w:before="49"/>
        <w:ind w:right="8054"/>
        <w:jc w:val="left"/>
      </w:pPr>
      <w:r>
        <w:rPr/>
        <w:t>持有其他上市公司股权情况的说明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85"/>
        <w:gridCol w:w="792"/>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1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报告期末衍生品投资的持仓情况</w:t>
      </w:r>
    </w:p>
    <w:p>
      <w:pPr>
        <w:pStyle w:val="BodyText"/>
        <w:spacing w:line="360" w:lineRule="auto" w:before="117"/>
        <w:ind w:right="9221"/>
        <w:jc w:val="left"/>
      </w:pPr>
      <w:r>
        <w:rPr/>
        <w:t>□ 适用 √</w:t>
      </w:r>
      <w:r>
        <w:rPr>
          <w:spacing w:val="3"/>
        </w:rPr>
        <w:t> </w:t>
      </w:r>
      <w:r>
        <w:rPr/>
        <w:t>不适用</w:t>
      </w:r>
      <w:r>
        <w:rPr/>
        <w:t> 说明</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960"/>
        <w:gridCol w:w="1181"/>
        <w:gridCol w:w="1181"/>
        <w:gridCol w:w="1181"/>
        <w:gridCol w:w="1181"/>
        <w:gridCol w:w="1181"/>
        <w:gridCol w:w="1181"/>
      </w:tblGrid>
      <w:tr>
        <w:trPr>
          <w:trHeight w:val="1026"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5"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9"/>
        <w:rPr>
          <w:rFonts w:ascii="宋体" w:hAnsi="宋体" w:cs="宋体" w:eastAsia="宋体" w:hint="default"/>
          <w:sz w:val="8"/>
          <w:szCs w:val="8"/>
        </w:rPr>
      </w:pPr>
    </w:p>
    <w:p>
      <w:pPr>
        <w:spacing w:line="400"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05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0" w:right="1"/>
                    <w:jc w:val="center"/>
                  </w:pPr>
                  <w:r>
                    <w:rPr/>
                    <w:t>募集资金总体使用情况说明</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footerReference w:type="default" r:id="rId16"/>
          <w:pgSz w:w="11910" w:h="16840"/>
          <w:pgMar w:footer="1291" w:header="877" w:top="1060" w:bottom="1480" w:left="980" w:right="0"/>
          <w:pgNumType w:start="21"/>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60"/>
        <w:gridCol w:w="773"/>
        <w:gridCol w:w="786"/>
        <w:gridCol w:w="774"/>
        <w:gridCol w:w="791"/>
        <w:gridCol w:w="780"/>
        <w:gridCol w:w="774"/>
        <w:gridCol w:w="774"/>
        <w:gridCol w:w="787"/>
        <w:gridCol w:w="786"/>
        <w:gridCol w:w="774"/>
      </w:tblGrid>
      <w:tr>
        <w:trPr>
          <w:trHeight w:val="161"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49"/>
              <w:ind w:left="23" w:right="17"/>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5" w:right="0"/>
              <w:jc w:val="left"/>
              <w:rPr>
                <w:rFonts w:ascii="Times New Roman" w:hAnsi="Times New Roman" w:cs="Times New Roman" w:eastAsia="Times New Roman" w:hint="default"/>
                <w:sz w:val="18"/>
                <w:szCs w:val="18"/>
              </w:rPr>
            </w:pPr>
            <w:r>
              <w:rPr>
                <w:rFonts w:ascii="Times New Roman"/>
                <w:sz w:val="18"/>
              </w:rPr>
              <w:t>(2)/(1)</w:t>
            </w: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 w:right="1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1"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38" w:lineRule="auto" w:before="49"/>
              <w:ind w:left="25" w:right="16"/>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91" w:type="dxa"/>
            <w:vMerge/>
            <w:tcBorders>
              <w:left w:val="single" w:sz="4" w:space="0" w:color="000000"/>
              <w:bottom w:val="nil" w:sz="6" w:space="0" w:color="auto"/>
              <w:right w:val="single" w:sz="4" w:space="0" w:color="000000"/>
            </w:tcBorders>
            <w:shd w:val="clear" w:color="auto" w:fill="D2D2D2"/>
          </w:tcPr>
          <w:p>
            <w:pP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 w:right="2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6"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r>
      <w:tr>
        <w:trPr>
          <w:trHeight w:val="706"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509"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3"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9" w:right="3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6" w:right="2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74" w:type="dxa"/>
            <w:vMerge/>
            <w:tcBorders>
              <w:left w:val="single" w:sz="4" w:space="0" w:color="000000"/>
              <w:right w:val="single" w:sz="4" w:space="0" w:color="000000"/>
            </w:tcBorders>
            <w:shd w:val="clear" w:color="auto" w:fill="D2D2D2"/>
          </w:tcPr>
          <w:p>
            <w:pPr/>
          </w:p>
        </w:tc>
      </w:tr>
      <w:tr>
        <w:trPr>
          <w:trHeight w:val="156" w:hRule="exact"/>
        </w:trPr>
        <w:tc>
          <w:tcPr>
            <w:tcW w:w="1760" w:type="dxa"/>
            <w:vMerge w:val="restart"/>
            <w:tcBorders>
              <w:top w:val="nil" w:sz="6" w:space="0" w:color="auto"/>
              <w:left w:val="single" w:sz="4" w:space="0" w:color="000000"/>
              <w:right w:val="single" w:sz="4" w:space="0" w:color="000000"/>
            </w:tcBorders>
            <w:shd w:val="clear" w:color="auto" w:fill="D2D2D2"/>
          </w:tcPr>
          <w:p>
            <w:pPr/>
          </w:p>
        </w:tc>
        <w:tc>
          <w:tcPr>
            <w:tcW w:w="773" w:type="dxa"/>
            <w:vMerge/>
            <w:tcBorders>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r>
      <w:tr>
        <w:trPr>
          <w:trHeight w:val="161" w:hRule="exact"/>
        </w:trPr>
        <w:tc>
          <w:tcPr>
            <w:tcW w:w="1760"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98"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z w:val="18"/>
              </w:rPr>
              <w:t>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940"/>
        <w:gridCol w:w="959"/>
        <w:gridCol w:w="957"/>
        <w:gridCol w:w="959"/>
        <w:gridCol w:w="968"/>
        <w:gridCol w:w="945"/>
        <w:gridCol w:w="956"/>
        <w:gridCol w:w="955"/>
        <w:gridCol w:w="970"/>
        <w:gridCol w:w="946"/>
      </w:tblGrid>
      <w:tr>
        <w:trPr>
          <w:trHeight w:val="161" w:hRule="exact"/>
        </w:trPr>
        <w:tc>
          <w:tcPr>
            <w:tcW w:w="940" w:type="dxa"/>
            <w:vMerge w:val="restart"/>
            <w:tcBorders>
              <w:top w:val="single" w:sz="4" w:space="0" w:color="000000"/>
              <w:left w:val="single" w:sz="4" w:space="0" w:color="000000"/>
              <w:right w:val="single" w:sz="4" w:space="0" w:color="000000"/>
            </w:tcBorders>
            <w:shd w:val="clear" w:color="auto" w:fill="D2D2D2"/>
          </w:tcPr>
          <w:p>
            <w:pP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338" w:lineRule="auto" w:before="49"/>
              <w:ind w:left="11"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3"/>
              <w:ind w:right="7"/>
              <w:jc w:val="center"/>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40" w:type="dxa"/>
            <w:vMerge/>
            <w:tcBorders>
              <w:left w:val="single" w:sz="4" w:space="0" w:color="000000"/>
              <w:bottom w:val="nil" w:sz="6" w:space="0" w:color="auto"/>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45"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r>
      <w:tr>
        <w:trPr>
          <w:trHeight w:val="703" w:hRule="exact"/>
        </w:trPr>
        <w:tc>
          <w:tcPr>
            <w:tcW w:w="9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366"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vMerge/>
            <w:tcBorders>
              <w:left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8"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04" w:right="35"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6" w:type="dxa"/>
            <w:vMerge/>
            <w:tcBorders>
              <w:left w:val="single" w:sz="4" w:space="0" w:color="000000"/>
              <w:right w:val="single" w:sz="4" w:space="0" w:color="000000"/>
            </w:tcBorders>
            <w:shd w:val="clear" w:color="auto" w:fill="D2D2D2"/>
          </w:tcPr>
          <w:p>
            <w:pPr/>
          </w:p>
        </w:tc>
      </w:tr>
      <w:tr>
        <w:trPr>
          <w:trHeight w:val="156" w:hRule="exact"/>
        </w:trPr>
        <w:tc>
          <w:tcPr>
            <w:tcW w:w="940" w:type="dxa"/>
            <w:vMerge w:val="restart"/>
            <w:tcBorders>
              <w:top w:val="nil" w:sz="6" w:space="0" w:color="auto"/>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r>
      <w:tr>
        <w:trPr>
          <w:trHeight w:val="161" w:hRule="exact"/>
        </w:trPr>
        <w:tc>
          <w:tcPr>
            <w:tcW w:w="940"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291"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主要子公司、参股公司情况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5"/>
        <w:gridCol w:w="1076"/>
        <w:gridCol w:w="943"/>
        <w:gridCol w:w="943"/>
        <w:gridCol w:w="941"/>
        <w:gridCol w:w="946"/>
        <w:gridCol w:w="943"/>
        <w:gridCol w:w="943"/>
        <w:gridCol w:w="809"/>
        <w:gridCol w:w="1075"/>
      </w:tblGrid>
      <w:tr>
        <w:trPr>
          <w:trHeight w:val="710" w:hRule="exact"/>
        </w:trPr>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654" w:hRule="exact"/>
        </w:trPr>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90"/>
              <w:jc w:val="both"/>
              <w:rPr>
                <w:rFonts w:ascii="宋体" w:hAnsi="宋体" w:cs="宋体" w:eastAsia="宋体" w:hint="default"/>
                <w:sz w:val="18"/>
                <w:szCs w:val="18"/>
              </w:rPr>
            </w:pPr>
            <w:r>
              <w:rPr>
                <w:rFonts w:ascii="宋体" w:hAnsi="宋体" w:cs="宋体" w:eastAsia="宋体" w:hint="default"/>
                <w:sz w:val="18"/>
                <w:szCs w:val="18"/>
              </w:rPr>
              <w:t>珠海横琴 新区集睿 思信息技 术有限公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88"/>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6,832,538.3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6,775,381.6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168,435.91</w:t>
            </w:r>
          </w:p>
        </w:tc>
      </w:tr>
      <w:tr>
        <w:trPr>
          <w:trHeight w:val="1028" w:hRule="exact"/>
        </w:trPr>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90"/>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88"/>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1,796,313,2</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85.14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756,100,73</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1.07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574,225,13</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4.43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280,006,7</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04.27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137,184,693.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r>
    </w:tbl>
    <w:p>
      <w:pPr>
        <w:pStyle w:val="BodyText"/>
        <w:spacing w:line="357" w:lineRule="auto" w:before="49"/>
        <w:ind w:right="8054"/>
        <w:jc w:val="left"/>
      </w:pPr>
      <w:r>
        <w:rPr/>
        <w:t>主要子公司、参股公司情况说明 报告期内取得和处置子公司的情况</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606"/>
        <w:gridCol w:w="1572"/>
        <w:gridCol w:w="1606"/>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0" w:right="60"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72" w:type="dxa"/>
            <w:vMerge/>
            <w:tcBorders>
              <w:left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57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七、公司控制的特殊目的主体情况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1123"/>
        <w:jc w:val="left"/>
      </w:pPr>
      <w:r>
        <w:rPr/>
        <w:t>（一）行业发展趋势和竞争格局。</w:t>
      </w:r>
    </w:p>
    <w:p>
      <w:pPr>
        <w:pStyle w:val="BodyText"/>
        <w:spacing w:line="340" w:lineRule="auto" w:before="115"/>
        <w:ind w:left="513" w:right="1123"/>
        <w:jc w:val="left"/>
      </w:pPr>
      <w:r>
        <w:rPr>
          <w:rFonts w:ascii="Times New Roman" w:hAnsi="Times New Roman" w:cs="Times New Roman" w:eastAsia="Times New Roman" w:hint="default"/>
        </w:rPr>
        <w:t>1</w:t>
      </w:r>
      <w:r>
        <w:rPr/>
        <w:t>、行业发展趋势 </w:t>
      </w:r>
      <w:r>
        <w:rPr>
          <w:spacing w:val="-2"/>
        </w:rPr>
        <w:t>目前中国大型企业对管理软件的需求呈现整合化、集成化、一体化、平台化的特征。特别是对于超大型企业而言，需要</w:t>
      </w:r>
    </w:p>
    <w:p>
      <w:pPr>
        <w:pStyle w:val="BodyText"/>
        <w:spacing w:line="300" w:lineRule="auto" w:before="1"/>
        <w:ind w:right="1123"/>
        <w:jc w:val="left"/>
      </w:pPr>
      <w:r>
        <w:rPr>
          <w:spacing w:val="-2"/>
        </w:rPr>
        <w:t>建立高度集成的一体化管理平台，将目前的财务管理、项目管理、</w:t>
      </w:r>
      <w:r>
        <w:rPr>
          <w:rFonts w:ascii="Times New Roman" w:hAnsi="Times New Roman" w:cs="Times New Roman" w:eastAsia="Times New Roman" w:hint="default"/>
          <w:spacing w:val="-2"/>
        </w:rPr>
        <w:t>CRM</w:t>
      </w:r>
      <w:r>
        <w:rPr>
          <w:spacing w:val="-2"/>
        </w:rPr>
        <w:t>、</w:t>
      </w:r>
      <w:r>
        <w:rPr>
          <w:rFonts w:ascii="Times New Roman" w:hAnsi="Times New Roman" w:cs="Times New Roman" w:eastAsia="Times New Roman" w:hint="default"/>
          <w:spacing w:val="-2"/>
        </w:rPr>
        <w:t>HR</w:t>
      </w:r>
      <w:r>
        <w:rPr>
          <w:spacing w:val="-2"/>
        </w:rPr>
        <w:t>、</w:t>
      </w:r>
      <w:r>
        <w:rPr>
          <w:rFonts w:ascii="Times New Roman" w:hAnsi="Times New Roman" w:cs="Times New Roman" w:eastAsia="Times New Roman" w:hint="default"/>
          <w:spacing w:val="-2"/>
        </w:rPr>
        <w:t>OA</w:t>
      </w:r>
      <w:r>
        <w:rPr>
          <w:spacing w:val="-2"/>
        </w:rPr>
        <w:t>等系统</w:t>
      </w:r>
      <w:r>
        <w:rPr>
          <w:rFonts w:ascii="Times New Roman" w:hAnsi="Times New Roman" w:cs="Times New Roman" w:eastAsia="Times New Roman" w:hint="default"/>
          <w:spacing w:val="-2"/>
        </w:rPr>
        <w:t>“</w:t>
      </w:r>
      <w:r>
        <w:rPr>
          <w:spacing w:val="-2"/>
        </w:rPr>
        <w:t>孤岛</w:t>
      </w:r>
      <w:r>
        <w:rPr>
          <w:rFonts w:ascii="Times New Roman" w:hAnsi="Times New Roman" w:cs="Times New Roman" w:eastAsia="Times New Roman" w:hint="default"/>
          <w:spacing w:val="-2"/>
        </w:rPr>
        <w:t>”</w:t>
      </w:r>
      <w:r>
        <w:rPr>
          <w:spacing w:val="-2"/>
        </w:rPr>
        <w:t>融合为一个有机的整体，实</w:t>
      </w:r>
      <w:r>
        <w:rPr>
          <w:spacing w:val="-56"/>
        </w:rPr>
        <w:t> </w:t>
      </w:r>
      <w:r>
        <w:rPr>
          <w:spacing w:val="-56"/>
        </w:rPr>
      </w:r>
      <w:r>
        <w:rPr/>
        <w:t>现不同系统间的业务数据的通联。</w:t>
      </w:r>
    </w:p>
    <w:p>
      <w:pPr>
        <w:pStyle w:val="BodyText"/>
        <w:spacing w:line="312" w:lineRule="auto" w:before="72"/>
        <w:ind w:right="1129" w:firstLine="360"/>
        <w:jc w:val="both"/>
      </w:pPr>
      <w:r>
        <w:rPr>
          <w:spacing w:val="-2"/>
        </w:rPr>
        <w:t>随着大型央企集约化管理理念的不断深入，集团总部集中化管控的力度越来越大，对集团一体化平台建设需求也越来越</w:t>
      </w:r>
      <w:r>
        <w:rPr/>
        <w:t> </w:t>
      </w:r>
      <w:r>
        <w:rPr>
          <w:spacing w:val="-2"/>
        </w:rPr>
        <w:t>大。电网侧，国家电网将全面推广</w:t>
      </w:r>
      <w:r>
        <w:rPr>
          <w:rFonts w:ascii="Times New Roman" w:hAnsi="Times New Roman" w:cs="Times New Roman" w:eastAsia="Times New Roman" w:hint="default"/>
          <w:spacing w:val="-2"/>
        </w:rPr>
        <w:t>“</w:t>
      </w:r>
      <w:r>
        <w:rPr>
          <w:spacing w:val="-2"/>
        </w:rPr>
        <w:t>三集五大</w:t>
      </w:r>
      <w:r>
        <w:rPr>
          <w:rFonts w:ascii="Times New Roman" w:hAnsi="Times New Roman" w:cs="Times New Roman" w:eastAsia="Times New Roman" w:hint="default"/>
          <w:spacing w:val="-2"/>
        </w:rPr>
        <w:t>”</w:t>
      </w:r>
      <w:r>
        <w:rPr>
          <w:spacing w:val="-2"/>
        </w:rPr>
        <w:t>，南方电网公司预计将于</w:t>
      </w:r>
      <w:r>
        <w:rPr>
          <w:rFonts w:ascii="Times New Roman" w:hAnsi="Times New Roman" w:cs="Times New Roman" w:eastAsia="Times New Roman" w:hint="default"/>
          <w:spacing w:val="-2"/>
        </w:rPr>
        <w:t>2013</w:t>
      </w:r>
      <w:r>
        <w:rPr>
          <w:spacing w:val="-2"/>
        </w:rPr>
        <w:t>年投资建设一体化信息平台。发电侧，配合集团</w:t>
      </w:r>
      <w:r>
        <w:rPr>
          <w:spacing w:val="-42"/>
        </w:rPr>
        <w:t> </w:t>
      </w:r>
      <w:r>
        <w:rPr>
          <w:spacing w:val="-42"/>
        </w:rPr>
      </w:r>
      <w:r>
        <w:rPr>
          <w:spacing w:val="-2"/>
        </w:rPr>
        <w:t>运作管理模式，五大发电集团目前正重构其信息系统以建立新的管理与运营模式，把建立统一的信息平台作为信息化建设的</w:t>
      </w:r>
      <w:r>
        <w:rPr>
          <w:spacing w:val="-64"/>
        </w:rPr>
        <w:t> </w:t>
      </w:r>
      <w:r>
        <w:rPr>
          <w:spacing w:val="-64"/>
        </w:rPr>
      </w:r>
      <w:r>
        <w:rPr/>
        <w:t>重点，预计</w:t>
      </w:r>
      <w:r>
        <w:rPr>
          <w:rFonts w:ascii="Times New Roman" w:hAnsi="Times New Roman" w:cs="Times New Roman" w:eastAsia="Times New Roman" w:hint="default"/>
        </w:rPr>
        <w:t>2013</w:t>
      </w:r>
      <w:r>
        <w:rPr/>
        <w:t>年发电侧的信息化投资将提速。</w:t>
      </w:r>
    </w:p>
    <w:p>
      <w:pPr>
        <w:pStyle w:val="BodyText"/>
        <w:spacing w:line="312" w:lineRule="exact" w:before="2"/>
        <w:ind w:right="1130" w:firstLine="360"/>
        <w:jc w:val="both"/>
      </w:pPr>
      <w:r>
        <w:rPr>
          <w:spacing w:val="-2"/>
        </w:rPr>
        <w:t>对电力行业来说，大数据将成为电力企业深化应用、提升应用层次、强化集团企业管控的有力技术手段。随着电力企业</w:t>
      </w:r>
      <w:r>
        <w:rPr/>
        <w:t> </w:t>
      </w:r>
      <w:r>
        <w:rPr>
          <w:spacing w:val="-2"/>
        </w:rPr>
        <w:t>各类</w:t>
      </w:r>
      <w:r>
        <w:rPr>
          <w:rFonts w:ascii="Times New Roman" w:hAnsi="Times New Roman" w:cs="Times New Roman" w:eastAsia="Times New Roman" w:hint="default"/>
          <w:spacing w:val="-2"/>
        </w:rPr>
        <w:t>IT</w:t>
      </w:r>
      <w:r>
        <w:rPr>
          <w:spacing w:val="-2"/>
        </w:rPr>
        <w:t>系统对业务流程的基本覆盖，采集到的数据量迅速增长，利用大数据可挖掘更加有价值的信息，对业务进行分析，全</w:t>
      </w:r>
    </w:p>
    <w:p>
      <w:pPr>
        <w:spacing w:after="0" w:line="312" w:lineRule="exact"/>
        <w:jc w:val="both"/>
        <w:sectPr>
          <w:pgSz w:w="11910" w:h="16840"/>
          <w:pgMar w:header="877" w:footer="1291" w:top="1060" w:bottom="1480" w:left="980" w:right="0"/>
        </w:sectPr>
      </w:pPr>
    </w:p>
    <w:p>
      <w:pPr>
        <w:spacing w:line="240" w:lineRule="auto" w:before="9"/>
        <w:rPr>
          <w:rFonts w:ascii="宋体" w:hAnsi="宋体" w:cs="宋体" w:eastAsia="宋体" w:hint="default"/>
          <w:sz w:val="25"/>
          <w:szCs w:val="25"/>
        </w:rPr>
      </w:pPr>
    </w:p>
    <w:p>
      <w:pPr>
        <w:pStyle w:val="BodyText"/>
        <w:spacing w:line="360" w:lineRule="auto"/>
        <w:ind w:left="513" w:right="1123" w:hanging="361"/>
        <w:jc w:val="left"/>
      </w:pPr>
      <w:r>
        <w:rPr/>
        <w:t>面掌控企业业务。 </w:t>
      </w:r>
      <w:r>
        <w:rPr>
          <w:spacing w:val="-2"/>
        </w:rPr>
        <w:t>预计国内新一轮电力体制改革将重新启动，从而引入市场和竞争机制，提高电力企业对财务信息化的要求；电力体制改</w:t>
      </w:r>
    </w:p>
    <w:p>
      <w:pPr>
        <w:pStyle w:val="BodyText"/>
        <w:spacing w:line="222" w:lineRule="exact" w:before="0"/>
        <w:ind w:right="0"/>
        <w:jc w:val="left"/>
      </w:pPr>
      <w:r>
        <w:rPr/>
        <w:t>革预计不但将增加软件用户数量，也将带来许多过去没有的业务和管理内容，业务总类获得更大丰富，引发新一轮的企业管</w:t>
      </w:r>
    </w:p>
    <w:p>
      <w:pPr>
        <w:pStyle w:val="BodyText"/>
        <w:spacing w:line="357" w:lineRule="auto" w:before="76"/>
        <w:ind w:left="513" w:right="1127" w:hanging="361"/>
        <w:jc w:val="left"/>
      </w:pPr>
      <w:r>
        <w:rPr/>
        <w:t>理软件的需求。 </w:t>
      </w:r>
      <w:r>
        <w:rPr>
          <w:spacing w:val="-1"/>
        </w:rPr>
        <w:t>根据国资委《关于加强</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时期中央企业信息化工作的指导意见》的要求，</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期间，央企将着力加强信息系</w:t>
      </w:r>
    </w:p>
    <w:p>
      <w:pPr>
        <w:pStyle w:val="BodyText"/>
        <w:spacing w:line="201" w:lineRule="exact" w:before="0"/>
        <w:ind w:right="0"/>
        <w:jc w:val="left"/>
      </w:pPr>
      <w:r>
        <w:rPr/>
        <w:t>统的建设和应用。全面提高信息化对主要业务的覆盖面，重点加强集约化人财物管理、国际化运营、辅助分析决策、经济运</w:t>
      </w:r>
    </w:p>
    <w:p>
      <w:pPr>
        <w:pStyle w:val="BodyText"/>
        <w:spacing w:line="314" w:lineRule="auto" w:before="76"/>
        <w:ind w:right="1128"/>
        <w:jc w:val="both"/>
      </w:pPr>
      <w:r>
        <w:rPr>
          <w:spacing w:val="-2"/>
        </w:rPr>
        <w:t>行监测分析和全面风险管控等业务信息系统的建设和应用；积极推进信息技术在研发设计、生产过程控制、节能减排、安全</w:t>
      </w:r>
      <w:r>
        <w:rPr>
          <w:spacing w:val="-66"/>
        </w:rPr>
        <w:t> </w:t>
      </w:r>
      <w:r>
        <w:rPr>
          <w:spacing w:val="-66"/>
        </w:rPr>
      </w:r>
      <w:r>
        <w:rPr>
          <w:spacing w:val="-1"/>
        </w:rPr>
        <w:t>生产和应急管理等关键生产环节的应用。全面普及企业资源计划（</w:t>
      </w:r>
      <w:r>
        <w:rPr>
          <w:rFonts w:ascii="Times New Roman" w:hAnsi="Times New Roman" w:cs="Times New Roman" w:eastAsia="Times New Roman" w:hint="default"/>
          <w:spacing w:val="-1"/>
        </w:rPr>
        <w:t>ERP</w:t>
      </w:r>
      <w:r>
        <w:rPr>
          <w:spacing w:val="-1"/>
        </w:rPr>
        <w:t>）、供应链、客户关系等管理信息系统。持续开展信</w:t>
      </w:r>
      <w:r>
        <w:rPr/>
        <w:t> </w:t>
      </w:r>
      <w:r>
        <w:rPr>
          <w:spacing w:val="-2"/>
        </w:rPr>
        <w:t>息系统功能完善、性能优化和应用评价等工作，推进信息系统在企业各层级的纵向贯通。加强信息系统在生产环节与管理环</w:t>
      </w:r>
      <w:r>
        <w:rPr>
          <w:spacing w:val="-61"/>
        </w:rPr>
        <w:t> </w:t>
      </w:r>
      <w:r>
        <w:rPr>
          <w:spacing w:val="-61"/>
        </w:rPr>
      </w:r>
      <w:r>
        <w:rPr>
          <w:spacing w:val="-2"/>
        </w:rPr>
        <w:t>节互联互通的横向集成能力，推进从单项业务应用向多业务综合集成的转变，从单一企业应用向产业链上下游协同应用的转</w:t>
      </w:r>
      <w:r>
        <w:rPr>
          <w:spacing w:val="-64"/>
        </w:rPr>
        <w:t> </w:t>
      </w:r>
      <w:r>
        <w:rPr>
          <w:spacing w:val="-64"/>
        </w:rPr>
      </w:r>
      <w:r>
        <w:rPr/>
        <w:t>变。以上要求，将有利于公司积极开拓电力行业外的其他央企市场。</w:t>
      </w:r>
    </w:p>
    <w:p>
      <w:pPr>
        <w:pStyle w:val="BodyText"/>
        <w:spacing w:line="340" w:lineRule="auto" w:before="61"/>
        <w:ind w:left="513" w:right="1123"/>
        <w:jc w:val="left"/>
      </w:pPr>
      <w:r>
        <w:rPr>
          <w:rFonts w:ascii="Times New Roman" w:hAnsi="Times New Roman" w:cs="Times New Roman" w:eastAsia="Times New Roman" w:hint="default"/>
        </w:rPr>
        <w:t>2</w:t>
      </w:r>
      <w:r>
        <w:rPr/>
        <w:t>、竞争格局 </w:t>
      </w:r>
      <w:r>
        <w:rPr>
          <w:spacing w:val="-2"/>
        </w:rPr>
        <w:t>在电网侧，公司主要面临国外大型管理软件厂商的竞争；在发电侧，在财务管理方面，公司主要面临国外大型管理软件</w:t>
      </w:r>
    </w:p>
    <w:p>
      <w:pPr>
        <w:pStyle w:val="BodyText"/>
        <w:spacing w:line="240" w:lineRule="auto" w:before="1"/>
        <w:ind w:right="1123"/>
        <w:jc w:val="left"/>
      </w:pPr>
      <w:r>
        <w:rPr/>
        <w:t>厂商和国内通用软件厂商的竞争；在业务领域公司还同时面临区域性厂商的竞争。</w:t>
      </w:r>
    </w:p>
    <w:p>
      <w:pPr>
        <w:pStyle w:val="BodyText"/>
        <w:spacing w:line="360" w:lineRule="auto" w:before="115"/>
        <w:ind w:left="513" w:right="1123"/>
        <w:jc w:val="left"/>
      </w:pPr>
      <w:r>
        <w:rPr/>
        <w:t>（二）公司发展战略。 </w:t>
      </w:r>
      <w:r>
        <w:rPr>
          <w:spacing w:val="-2"/>
        </w:rPr>
        <w:t>公司将继续深耕电力市场，以大型电力企业集团集约化管控应用需求为导向，不断从财务领域向业务领域扩展，为客户</w:t>
      </w:r>
    </w:p>
    <w:p>
      <w:pPr>
        <w:pStyle w:val="BodyText"/>
        <w:spacing w:line="222" w:lineRule="exact" w:before="0"/>
        <w:ind w:right="0"/>
        <w:jc w:val="left"/>
      </w:pPr>
      <w:r>
        <w:rPr/>
        <w:t>提供全面的信息化解决方案，将发展成为世界最具行业智慧的管理软件与咨询提供商，同时公司将积极关注智能电网、物联</w:t>
      </w:r>
    </w:p>
    <w:p>
      <w:pPr>
        <w:pStyle w:val="BodyText"/>
        <w:spacing w:line="240" w:lineRule="auto" w:before="76"/>
        <w:ind w:right="1123"/>
        <w:jc w:val="left"/>
      </w:pPr>
      <w:r>
        <w:rPr/>
        <w:t>网、移动互联网在公共管理领域应用的发展趋势，争取通过资本合作或其他多种方式进入其他行业。</w:t>
      </w:r>
    </w:p>
    <w:p>
      <w:pPr>
        <w:pStyle w:val="BodyText"/>
        <w:spacing w:line="240" w:lineRule="auto" w:before="117"/>
        <w:ind w:left="513" w:right="1123"/>
        <w:jc w:val="left"/>
      </w:pPr>
      <w:r>
        <w:rPr/>
        <w:t>（三）经营计划。</w:t>
      </w:r>
    </w:p>
    <w:p>
      <w:pPr>
        <w:pStyle w:val="BodyText"/>
        <w:spacing w:line="300" w:lineRule="auto" w:before="115"/>
        <w:ind w:right="1139" w:firstLine="360"/>
        <w:jc w:val="both"/>
      </w:pPr>
      <w:r>
        <w:rPr>
          <w:rFonts w:ascii="Times New Roman" w:hAnsi="Times New Roman" w:cs="Times New Roman" w:eastAsia="Times New Roman" w:hint="default"/>
        </w:rPr>
        <w:t>1</w:t>
      </w:r>
      <w:r>
        <w:rPr/>
        <w:t>、内部管理方面，深入推进并落实全员提能，提高员工个人及团队能力，提升工作效率；加强内部监督和控制，优化 制度、强化制度的执行；优化内部流程，完善绩效考核。</w:t>
      </w:r>
    </w:p>
    <w:p>
      <w:pPr>
        <w:pStyle w:val="BodyText"/>
        <w:spacing w:line="300" w:lineRule="auto" w:before="72"/>
        <w:ind w:right="1139" w:firstLine="360"/>
        <w:jc w:val="both"/>
      </w:pPr>
      <w:r>
        <w:rPr>
          <w:rFonts w:ascii="Times New Roman" w:hAnsi="Times New Roman" w:cs="Times New Roman" w:eastAsia="Times New Roman" w:hint="default"/>
        </w:rPr>
        <w:t>2</w:t>
      </w:r>
      <w:r>
        <w:rPr/>
        <w:t>、营销方面，进一步强化区域管理，设立专职区域团队，加强各机构的内部管理，提升机构的团队战斗力。对分支机 构进行进一步拆分，紧贴客户，深耕业务。同时，通过管理放权，培养经营管理型人才。</w:t>
      </w:r>
    </w:p>
    <w:p>
      <w:pPr>
        <w:pStyle w:val="BodyText"/>
        <w:spacing w:line="240" w:lineRule="auto" w:before="72"/>
        <w:ind w:left="513" w:right="1123"/>
        <w:jc w:val="left"/>
      </w:pPr>
      <w:r>
        <w:rPr>
          <w:rFonts w:ascii="Times New Roman" w:hAnsi="Times New Roman" w:cs="Times New Roman" w:eastAsia="Times New Roman" w:hint="default"/>
        </w:rPr>
        <w:t>3</w:t>
      </w:r>
      <w:r>
        <w:rPr/>
        <w:t>、研发方面，将加强公司产品规划，推动</w:t>
      </w:r>
      <w:r>
        <w:rPr>
          <w:rFonts w:ascii="Times New Roman" w:hAnsi="Times New Roman" w:cs="Times New Roman" w:eastAsia="Times New Roman" w:hint="default"/>
        </w:rPr>
        <w:t>CMMI5</w:t>
      </w:r>
      <w:r>
        <w:rPr/>
        <w:t>的认证，进一步提高产品研发能力，提升产品质量。</w:t>
      </w:r>
    </w:p>
    <w:p>
      <w:pPr>
        <w:pStyle w:val="BodyText"/>
        <w:spacing w:line="309" w:lineRule="auto" w:before="101"/>
        <w:ind w:right="1131" w:firstLine="360"/>
        <w:jc w:val="both"/>
      </w:pPr>
      <w:r>
        <w:rPr>
          <w:rFonts w:ascii="Times New Roman" w:hAnsi="Times New Roman" w:cs="Times New Roman" w:eastAsia="Times New Roman" w:hint="default"/>
        </w:rPr>
        <w:t>4</w:t>
      </w:r>
      <w:r>
        <w:rPr/>
        <w:t>、实施方面，加强实施体系建设，提升实施人员的专业化、职业化水平；加强实施工作标准化建设，提高实施效率； </w:t>
      </w:r>
      <w:r>
        <w:rPr>
          <w:spacing w:val="-2"/>
        </w:rPr>
        <w:t>加强项目管理，提高实施工作的执行力及交付能力；进一步提炼和推广成功实施案例，为市场提供有力支持；培养新产品的</w:t>
      </w:r>
      <w:r>
        <w:rPr>
          <w:spacing w:val="-65"/>
        </w:rPr>
        <w:t> </w:t>
      </w:r>
      <w:r>
        <w:rPr>
          <w:spacing w:val="-65"/>
        </w:rPr>
      </w:r>
      <w:r>
        <w:rPr/>
        <w:t>实施团队，推动新产品实施。</w:t>
      </w:r>
    </w:p>
    <w:p>
      <w:pPr>
        <w:pStyle w:val="BodyText"/>
        <w:spacing w:line="300" w:lineRule="auto" w:before="65"/>
        <w:ind w:right="1164" w:firstLine="360"/>
        <w:jc w:val="both"/>
      </w:pPr>
      <w:r>
        <w:rPr>
          <w:rFonts w:ascii="Times New Roman" w:hAnsi="Times New Roman" w:cs="Times New Roman" w:eastAsia="Times New Roman" w:hint="default"/>
        </w:rPr>
        <w:t>5</w:t>
      </w:r>
      <w:r>
        <w:rPr/>
        <w:t>、人力资源方面，推动内部人才流动，激发组织的活力。</w:t>
      </w:r>
      <w:r>
        <w:rPr>
          <w:rFonts w:ascii="Times New Roman" w:hAnsi="Times New Roman" w:cs="Times New Roman" w:eastAsia="Times New Roman" w:hint="default"/>
        </w:rPr>
        <w:t>2013</w:t>
      </w:r>
      <w:r>
        <w:rPr/>
        <w:t>年，公司内部人才流动比例要保持在</w:t>
      </w:r>
      <w:r>
        <w:rPr>
          <w:rFonts w:ascii="Times New Roman" w:hAnsi="Times New Roman" w:cs="Times New Roman" w:eastAsia="Times New Roman" w:hint="default"/>
        </w:rPr>
        <w:t>20%</w:t>
      </w:r>
      <w:r>
        <w:rPr/>
        <w:t>以上。同时， 继续推动员工能力提升及能力认证工作，通过员工能力提高促进工作业绩提升。鼓励轮岗，提升组织的整体能力。</w:t>
      </w:r>
    </w:p>
    <w:p>
      <w:pPr>
        <w:pStyle w:val="BodyText"/>
        <w:spacing w:line="357" w:lineRule="auto" w:before="72"/>
        <w:ind w:left="513" w:right="1123"/>
        <w:jc w:val="left"/>
      </w:pPr>
      <w:r>
        <w:rPr/>
        <w:t>（四）资金需求。 </w:t>
      </w:r>
      <w:r>
        <w:rPr>
          <w:spacing w:val="-2"/>
        </w:rPr>
        <w:t>公司自有资金、银行授信额度可以满足现有项目的资金需求。如果发生其他重大投资，公司将通过直接、间接等多种融</w:t>
      </w:r>
    </w:p>
    <w:p>
      <w:pPr>
        <w:pStyle w:val="BodyText"/>
        <w:spacing w:line="224" w:lineRule="exact" w:before="0"/>
        <w:ind w:right="1123"/>
        <w:jc w:val="left"/>
      </w:pPr>
      <w:r>
        <w:rPr/>
        <w:t>资方式予以解决。</w:t>
      </w:r>
    </w:p>
    <w:p>
      <w:pPr>
        <w:pStyle w:val="BodyText"/>
        <w:spacing w:line="240" w:lineRule="auto" w:before="117"/>
        <w:ind w:left="513" w:right="1123"/>
        <w:jc w:val="left"/>
      </w:pPr>
      <w:r>
        <w:rPr/>
        <w:t>（五）可能面对的风险及应对措施。</w:t>
      </w:r>
    </w:p>
    <w:p>
      <w:pPr>
        <w:pStyle w:val="BodyText"/>
        <w:spacing w:line="348" w:lineRule="auto" w:before="118"/>
        <w:ind w:left="513" w:right="1123"/>
        <w:jc w:val="left"/>
      </w:pPr>
      <w:r>
        <w:rPr>
          <w:rFonts w:ascii="Times New Roman" w:hAnsi="Times New Roman" w:cs="Times New Roman" w:eastAsia="Times New Roman" w:hint="default"/>
        </w:rPr>
        <w:t>1</w:t>
      </w:r>
      <w:r>
        <w:rPr/>
        <w:t>、高端人才不足的风险。 公司最大的资源是人才的资源。如果公司的核心研发、销售和管理人才不足，将对公司业务产生较大影响。 </w:t>
      </w:r>
      <w:r>
        <w:rPr>
          <w:spacing w:val="-2"/>
        </w:rPr>
        <w:t>公司一直坚持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的理念，在行业领域汇集了一批具有丰富经验的核心研发、管理人员，公司将通过完善薪酬管</w:t>
      </w:r>
    </w:p>
    <w:p>
      <w:pPr>
        <w:pStyle w:val="BodyText"/>
        <w:spacing w:line="209" w:lineRule="exact" w:before="0"/>
        <w:ind w:right="1123"/>
        <w:jc w:val="left"/>
      </w:pPr>
      <w:r>
        <w:rPr/>
        <w:t>理制度和内部激励机制，吸引优秀管理技术人才，从而保证公司的持续发展。</w:t>
      </w:r>
    </w:p>
    <w:p>
      <w:pPr>
        <w:pStyle w:val="BodyText"/>
        <w:spacing w:line="348" w:lineRule="auto" w:before="117"/>
        <w:ind w:left="513" w:right="1123"/>
        <w:jc w:val="left"/>
      </w:pPr>
      <w:r>
        <w:rPr>
          <w:rFonts w:ascii="Times New Roman" w:hAnsi="Times New Roman" w:cs="Times New Roman" w:eastAsia="Times New Roman" w:hint="default"/>
        </w:rPr>
        <w:t>2</w:t>
      </w:r>
      <w:r>
        <w:rPr/>
        <w:t>、市场经营风险。 电力体制改革，将对电力市场信息化的格局产生影响，在产生新的市场机遇的同时也不排除有新的竞争者进入。 </w:t>
      </w:r>
      <w:r>
        <w:rPr>
          <w:spacing w:val="-2"/>
        </w:rPr>
        <w:t>公司通过拆分机构、做实机构，增强分支机构在营销、实施方面的能力，深耕当地区域，为客户提供更贴身和差异化的</w:t>
      </w:r>
    </w:p>
    <w:p>
      <w:pPr>
        <w:pStyle w:val="BodyText"/>
        <w:spacing w:line="231" w:lineRule="exact" w:before="0"/>
        <w:ind w:right="0"/>
        <w:jc w:val="left"/>
      </w:pPr>
      <w:r>
        <w:rPr/>
        <w:t>产品；公司不断从财务领域向业务领域扩展，为客户提供全面的信息化解决方案；公司成立了集团大客户部和大客户经营团</w:t>
      </w:r>
    </w:p>
    <w:p>
      <w:pPr>
        <w:pStyle w:val="BodyText"/>
        <w:spacing w:line="240" w:lineRule="auto" w:before="76"/>
        <w:ind w:right="1123"/>
        <w:jc w:val="left"/>
      </w:pPr>
      <w:r>
        <w:rPr/>
        <w:t>队，积极拓展电力行业外市场。</w:t>
      </w:r>
    </w:p>
    <w:p>
      <w:pPr>
        <w:spacing w:after="0" w:line="240" w:lineRule="auto"/>
        <w:jc w:val="left"/>
        <w:sectPr>
          <w:footerReference w:type="default" r:id="rId17"/>
          <w:pgSz w:w="11910" w:h="16840"/>
          <w:pgMar w:footer="1291" w:header="877" w:top="1060" w:bottom="1480" w:left="980" w:right="0"/>
          <w:pgNumType w:start="24"/>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left="513" w:right="1123" w:hanging="361"/>
        <w:jc w:val="left"/>
      </w:pPr>
      <w:r>
        <w:rPr/>
        <w:t>报告期内利润分配政策特别是现金分红政策的制定、执行或调整情况 </w:t>
      </w:r>
      <w:r>
        <w:rPr>
          <w:spacing w:val="-2"/>
        </w:rPr>
        <w:t>根据中国证监会《关于进一步落实上市公司现金分红有关事项的通知》、广东证监局《关于进一步落实上市公司分红相</w:t>
      </w:r>
    </w:p>
    <w:p>
      <w:pPr>
        <w:pStyle w:val="BodyText"/>
        <w:spacing w:line="237" w:lineRule="exact" w:before="0"/>
        <w:ind w:right="0"/>
        <w:jc w:val="left"/>
      </w:pPr>
      <w:r>
        <w:rPr/>
        <w:t>关规定的通知》等要求，结合公司的实际情况，</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日公司第四届董事会第十九次会议审议通过了《关于修改</w:t>
      </w:r>
      <w:r>
        <w:rPr>
          <w:rFonts w:ascii="Times New Roman" w:hAnsi="Times New Roman" w:cs="Times New Roman" w:eastAsia="Times New Roman" w:hint="default"/>
        </w:rPr>
        <w:t>&lt;</w:t>
      </w:r>
      <w:r>
        <w:rPr/>
        <w:t>公司</w:t>
      </w:r>
    </w:p>
    <w:p>
      <w:pPr>
        <w:pStyle w:val="BodyText"/>
        <w:spacing w:line="309" w:lineRule="auto" w:before="63"/>
        <w:ind w:right="1123"/>
        <w:jc w:val="left"/>
      </w:pPr>
      <w:r>
        <w:rPr/>
        <w:t>章程</w:t>
      </w:r>
      <w:r>
        <w:rPr>
          <w:rFonts w:ascii="Times New Roman" w:hAnsi="Times New Roman" w:cs="Times New Roman" w:eastAsia="Times New Roman" w:hint="default"/>
        </w:rPr>
        <w:t>&gt;</w:t>
      </w:r>
      <w:r>
        <w:rPr/>
        <w:t>的议案》、《未来三年股东回报规划》，并经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2012</w:t>
      </w:r>
      <w:r>
        <w:rPr/>
        <w:t>年第一次临时股东大会以特别决议审议通过， </w:t>
      </w:r>
      <w:r>
        <w:rPr>
          <w:spacing w:val="-2"/>
        </w:rPr>
        <w:t>修订后的《公司章程》明确了分红标准和分红比例，规范了利润分配政策调整、变更的决策程序，明确独立董事应就利润分</w:t>
      </w:r>
      <w:r>
        <w:rPr>
          <w:spacing w:val="-67"/>
        </w:rPr>
        <w:t> </w:t>
      </w:r>
      <w:r>
        <w:rPr>
          <w:spacing w:val="-67"/>
        </w:rPr>
      </w:r>
      <w:r>
        <w:rPr>
          <w:spacing w:val="-2"/>
        </w:rPr>
        <w:t>配政策的制定发表独立意见，同时审议利润分配政策的股东大会除了现场会议外，还应向股东提供网络形式的投票方式，充</w:t>
      </w:r>
      <w:r>
        <w:rPr>
          <w:spacing w:val="-63"/>
        </w:rPr>
        <w:t> </w:t>
      </w:r>
      <w:r>
        <w:rPr>
          <w:spacing w:val="-63"/>
        </w:rPr>
      </w:r>
      <w:r>
        <w:rPr>
          <w:spacing w:val="-8"/>
        </w:rPr>
        <w:t>分保护中小投资者的合法权益。具体见公司于</w:t>
      </w:r>
      <w:r>
        <w:rPr>
          <w:rFonts w:ascii="Times New Roman" w:hAnsi="Times New Roman" w:cs="Times New Roman" w:eastAsia="Times New Roman" w:hint="default"/>
          <w:spacing w:val="-8"/>
        </w:rPr>
        <w:t>2012</w:t>
      </w:r>
      <w:r>
        <w:rPr>
          <w:spacing w:val="-8"/>
        </w:rPr>
        <w:t>年</w:t>
      </w:r>
      <w:r>
        <w:rPr>
          <w:rFonts w:ascii="Times New Roman" w:hAnsi="Times New Roman" w:cs="Times New Roman" w:eastAsia="Times New Roman" w:hint="default"/>
          <w:spacing w:val="-8"/>
        </w:rPr>
        <w:t>6</w:t>
      </w:r>
      <w:r>
        <w:rPr>
          <w:spacing w:val="-8"/>
        </w:rPr>
        <w:t>月</w:t>
      </w:r>
      <w:r>
        <w:rPr>
          <w:rFonts w:ascii="Times New Roman" w:hAnsi="Times New Roman" w:cs="Times New Roman" w:eastAsia="Times New Roman" w:hint="default"/>
          <w:spacing w:val="-8"/>
        </w:rPr>
        <w:t>9</w:t>
      </w:r>
      <w:r>
        <w:rPr>
          <w:spacing w:val="-8"/>
        </w:rPr>
        <w:t>日巨潮资讯网上公告《未来三年股东回报规划》、《公司章程》（</w:t>
      </w:r>
      <w:r>
        <w:rPr>
          <w:rFonts w:ascii="Times New Roman" w:hAnsi="Times New Roman" w:cs="Times New Roman" w:eastAsia="Times New Roman" w:hint="default"/>
          <w:spacing w:val="-8"/>
        </w:rPr>
        <w:t>2012</w:t>
      </w:r>
      <w:r>
        <w:rPr>
          <w:rFonts w:ascii="Times New Roman" w:hAnsi="Times New Roman" w:cs="Times New Roman" w:eastAsia="Times New Roman" w:hint="default"/>
        </w:rPr>
        <w:t> </w:t>
      </w:r>
      <w:r>
        <w:rPr>
          <w:rFonts w:ascii="Times New Roman" w:hAnsi="Times New Roman" w:cs="Times New Roman" w:eastAsia="Times New Roman" w:hint="default"/>
        </w:rPr>
      </w:r>
      <w:r>
        <w:rPr/>
        <w:t>年</w:t>
      </w:r>
      <w:r>
        <w:rPr>
          <w:rFonts w:ascii="Times New Roman" w:hAnsi="Times New Roman" w:cs="Times New Roman" w:eastAsia="Times New Roman" w:hint="default"/>
        </w:rPr>
        <w:t>6</w:t>
      </w:r>
      <w:r>
        <w:rPr/>
        <w:t>月）第一百七十九条。</w:t>
      </w:r>
    </w:p>
    <w:p>
      <w:pPr>
        <w:pStyle w:val="BodyText"/>
        <w:spacing w:line="300" w:lineRule="auto" w:before="46"/>
        <w:ind w:right="1131" w:firstLine="360"/>
        <w:jc w:val="both"/>
      </w:pPr>
      <w:r>
        <w:rPr/>
        <w:t>报告期内，公司执行了</w:t>
      </w:r>
      <w:r>
        <w:rPr>
          <w:rFonts w:ascii="Times New Roman" w:hAnsi="Times New Roman" w:cs="Times New Roman" w:eastAsia="Times New Roman" w:hint="default"/>
        </w:rPr>
        <w:t>2011</w:t>
      </w:r>
      <w:r>
        <w:rPr/>
        <w:t>年年度利润分配方案，以公司当时总股本</w:t>
      </w:r>
      <w:r>
        <w:rPr>
          <w:rFonts w:ascii="Times New Roman" w:hAnsi="Times New Roman" w:cs="Times New Roman" w:eastAsia="Times New Roman" w:hint="default"/>
        </w:rPr>
        <w:t>339,925,608</w:t>
      </w:r>
      <w:r>
        <w:rPr/>
        <w:t>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3 </w:t>
      </w:r>
      <w:r>
        <w:rPr/>
        <w:t>股；每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2.2</w:t>
      </w:r>
      <w:r>
        <w:rPr/>
        <w:t>元现金人民币（含税，扣税后，个人、证券投资基金、</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实际每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1.68</w:t>
      </w:r>
      <w:r>
        <w:rPr/>
        <w:t>元；对于</w:t>
      </w:r>
      <w:r>
        <w:rPr>
          <w:rFonts w:ascii="Times New Roman" w:hAnsi="Times New Roman" w:cs="Times New Roman" w:eastAsia="Times New Roman" w:hint="default"/>
        </w:rPr>
        <w:t>QFII</w:t>
      </w:r>
      <w:r>
        <w:rPr/>
        <w:t>、 </w:t>
      </w:r>
      <w:r>
        <w:rPr>
          <w:rFonts w:ascii="Times New Roman" w:hAnsi="Times New Roman" w:cs="Times New Roman" w:eastAsia="Times New Roman" w:hint="default"/>
          <w:spacing w:val="-1"/>
        </w:rPr>
        <w:t>RQFII</w:t>
      </w:r>
      <w:r>
        <w:rPr>
          <w:spacing w:val="-1"/>
        </w:rPr>
        <w:t>外的其他非居民企业，我公司未代扣代缴所得税，由纳税人在所得发生地缴纳），共计增加股本</w:t>
      </w:r>
      <w:r>
        <w:rPr>
          <w:rFonts w:ascii="Times New Roman" w:hAnsi="Times New Roman" w:cs="Times New Roman" w:eastAsia="Times New Roman" w:hint="default"/>
          <w:spacing w:val="-1"/>
        </w:rPr>
        <w:t>101,977,682</w:t>
      </w:r>
      <w:r>
        <w:rPr>
          <w:spacing w:val="-1"/>
        </w:rPr>
        <w:t>股、派发</w:t>
      </w:r>
      <w:r>
        <w:rPr>
          <w:spacing w:val="-46"/>
        </w:rPr>
        <w:t> </w:t>
      </w:r>
      <w:r>
        <w:rPr>
          <w:spacing w:val="-46"/>
        </w:rPr>
      </w:r>
      <w:r>
        <w:rPr/>
        <w:t>现金股利</w:t>
      </w:r>
      <w:r>
        <w:rPr>
          <w:rFonts w:ascii="Times New Roman" w:hAnsi="Times New Roman" w:cs="Times New Roman" w:eastAsia="Times New Roman" w:hint="default"/>
        </w:rPr>
        <w:t>74,783,633.76</w:t>
      </w:r>
      <w:r>
        <w:rPr/>
        <w:t>元。</w:t>
      </w:r>
    </w:p>
    <w:p>
      <w:pPr>
        <w:pStyle w:val="BodyText"/>
        <w:spacing w:line="240" w:lineRule="auto" w:before="53"/>
        <w:ind w:right="1123"/>
        <w:jc w:val="left"/>
      </w:pPr>
      <w:r>
        <w:rPr/>
        <w:t>本年度利润分配及资本公积金转增股本预案</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461,754,801</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92,350,960.20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522,609,066.17</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pStyle w:val="BodyText"/>
        <w:spacing w:line="240" w:lineRule="auto" w:before="49"/>
        <w:ind w:left="515" w:right="0"/>
        <w:jc w:val="left"/>
      </w:pPr>
      <w:r>
        <w:rPr/>
        <w:t>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年度母公司实现的净利润</w:t>
      </w:r>
      <w:r>
        <w:rPr>
          <w:spacing w:val="-50"/>
        </w:rPr>
        <w:t> </w:t>
      </w:r>
      <w:r>
        <w:rPr>
          <w:rFonts w:ascii="Times New Roman" w:hAnsi="Times New Roman" w:cs="Times New Roman" w:eastAsia="Times New Roman" w:hint="default"/>
        </w:rPr>
        <w:t>287,828,085.78</w:t>
      </w:r>
      <w:r>
        <w:rPr>
          <w:rFonts w:ascii="Times New Roman" w:hAnsi="Times New Roman" w:cs="Times New Roman" w:eastAsia="Times New Roman" w:hint="default"/>
          <w:spacing w:val="-3"/>
        </w:rPr>
        <w:t> </w:t>
      </w:r>
      <w:r>
        <w:rPr/>
        <w:t>元，加上以前年度未分配利润</w:t>
      </w:r>
      <w:r>
        <w:rPr>
          <w:spacing w:val="-50"/>
        </w:rPr>
        <w:t> </w:t>
      </w:r>
      <w:r>
        <w:rPr>
          <w:rFonts w:ascii="Times New Roman" w:hAnsi="Times New Roman" w:cs="Times New Roman" w:eastAsia="Times New Roman" w:hint="default"/>
        </w:rPr>
        <w:t>263,563,788.97</w:t>
      </w:r>
      <w:r>
        <w:rPr>
          <w:rFonts w:ascii="Times New Roman" w:hAnsi="Times New Roman" w:cs="Times New Roman" w:eastAsia="Times New Roman" w:hint="default"/>
          <w:spacing w:val="-2"/>
        </w:rPr>
        <w:t> </w:t>
      </w:r>
      <w:r>
        <w:rPr>
          <w:spacing w:val="-7"/>
        </w:rPr>
        <w:t>元，根据《公司法》以</w:t>
      </w:r>
    </w:p>
    <w:p>
      <w:pPr>
        <w:pStyle w:val="BodyText"/>
        <w:spacing w:line="240" w:lineRule="auto" w:before="60"/>
        <w:ind w:right="0"/>
        <w:jc w:val="left"/>
        <w:rPr>
          <w:rFonts w:ascii="Times New Roman" w:hAnsi="Times New Roman" w:cs="Times New Roman" w:eastAsia="Times New Roman" w:hint="default"/>
        </w:rPr>
      </w:pPr>
      <w:r>
        <w:rPr>
          <w:spacing w:val="-3"/>
        </w:rPr>
        <w:t>及《公司章程》的规定，按净利润的</w:t>
      </w:r>
      <w:r>
        <w:rPr>
          <w:spacing w:val="-49"/>
        </w:rPr>
        <w:t> </w:t>
      </w:r>
      <w:r>
        <w:rPr>
          <w:rFonts w:ascii="Times New Roman" w:hAnsi="Times New Roman" w:cs="Times New Roman" w:eastAsia="Times New Roman" w:hint="default"/>
        </w:rPr>
        <w:t>10%</w:t>
      </w:r>
      <w:r>
        <w:rPr/>
        <w:t>计提法定盈余公积</w:t>
      </w:r>
      <w:r>
        <w:rPr>
          <w:spacing w:val="-52"/>
        </w:rPr>
        <w:t> </w:t>
      </w:r>
      <w:r>
        <w:rPr>
          <w:rFonts w:ascii="Times New Roman" w:hAnsi="Times New Roman" w:cs="Times New Roman" w:eastAsia="Times New Roman" w:hint="default"/>
        </w:rPr>
        <w:t>28,782,808.58</w:t>
      </w:r>
      <w:r>
        <w:rPr>
          <w:rFonts w:ascii="Times New Roman" w:hAnsi="Times New Roman" w:cs="Times New Roman" w:eastAsia="Times New Roman" w:hint="default"/>
          <w:spacing w:val="-2"/>
        </w:rPr>
        <w:t> </w:t>
      </w:r>
      <w:r>
        <w:rPr/>
        <w:t>元，本年度可供股东分配的利润为</w:t>
      </w:r>
      <w:r>
        <w:rPr>
          <w:spacing w:val="-49"/>
        </w:rPr>
        <w:t> </w:t>
      </w:r>
      <w:r>
        <w:rPr>
          <w:rFonts w:ascii="Times New Roman" w:hAnsi="Times New Roman" w:cs="Times New Roman" w:eastAsia="Times New Roman" w:hint="default"/>
        </w:rPr>
        <w:t>522,609,066.17</w:t>
      </w:r>
    </w:p>
    <w:p>
      <w:pPr>
        <w:pStyle w:val="BodyText"/>
        <w:spacing w:line="240" w:lineRule="auto" w:before="63"/>
        <w:ind w:right="1123"/>
        <w:jc w:val="left"/>
      </w:pPr>
      <w:r>
        <w:rPr/>
        <w:t>元。</w:t>
      </w:r>
    </w:p>
    <w:p>
      <w:pPr>
        <w:spacing w:after="0" w:line="240" w:lineRule="auto"/>
        <w:jc w:val="left"/>
        <w:sectPr>
          <w:footerReference w:type="default" r:id="rId18"/>
          <w:pgSz w:w="11910" w:h="16840"/>
          <w:pgMar w:footer="1340" w:header="877" w:top="1060" w:bottom="1540" w:left="980" w:right="0"/>
          <w:pgNumType w:start="25"/>
        </w:sectPr>
      </w:pPr>
    </w:p>
    <w:p>
      <w:pPr>
        <w:spacing w:line="240" w:lineRule="auto" w:before="11"/>
        <w:rPr>
          <w:rFonts w:ascii="宋体" w:hAnsi="宋体" w:cs="宋体" w:eastAsia="宋体" w:hint="default"/>
          <w:sz w:val="28"/>
          <w:szCs w:val="28"/>
        </w:rPr>
      </w:pPr>
      <w:r>
        <w:rPr/>
        <w:pict>
          <v:shape style="position:absolute;margin-left:388.993011pt;margin-top:708.096008pt;width:146.1pt;height:45.85pt;mso-position-horizontal-relative:page;mso-position-vertical-relative:page;z-index:-897016" type="#_x0000_t202" filled="false" stroked="false">
            <v:textbox inset="0,0,0,0">
              <w:txbxContent>
                <w:p>
                  <w:pPr>
                    <w:pStyle w:val="BodyText"/>
                    <w:spacing w:line="225" w:lineRule="exact" w:before="0"/>
                    <w:ind w:left="0" w:right="0"/>
                    <w:jc w:val="left"/>
                  </w:pPr>
                  <w:r>
                    <w:rPr/>
                    <w:t>国投瑞银、</w:t>
                  </w:r>
                </w:p>
              </w:txbxContent>
            </v:textbox>
            <w10:wrap type="none"/>
          </v:shape>
        </w:pict>
      </w:r>
    </w:p>
    <w:p>
      <w:pPr>
        <w:spacing w:line="1338" w:lineRule="exact"/>
        <w:ind w:left="154"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5pt;height:66.95pt;mso-position-horizontal-relative:char;mso-position-vertical-relative:line" type="#_x0000_t202" filled="true" fillcolor="#c6eccc" stroked="true" strokeweight=".48pt" strokecolor="#000000">
            <w10:anchorlock/>
            <v:textbox inset="0,0,0,0">
              <w:txbxContent>
                <w:p>
                  <w:pPr>
                    <w:pStyle w:val="BodyText"/>
                    <w:spacing w:line="240" w:lineRule="auto" w:before="49"/>
                    <w:ind w:left="385" w:right="0"/>
                    <w:jc w:val="left"/>
                  </w:pPr>
                  <w:r>
                    <w:rPr/>
                    <w:t>在综合考虑公司业务前景、资产状况以及市场环境的前提下，拟以公司现有股本总额</w:t>
                  </w:r>
                  <w:r>
                    <w:rPr>
                      <w:spacing w:val="-47"/>
                    </w:rPr>
                    <w:t> </w:t>
                  </w:r>
                  <w:r>
                    <w:rPr>
                      <w:rFonts w:ascii="Times New Roman" w:hAnsi="Times New Roman" w:cs="Times New Roman" w:eastAsia="Times New Roman" w:hint="default"/>
                    </w:rPr>
                    <w:t>461,754,801</w:t>
                  </w:r>
                  <w:r>
                    <w:rPr>
                      <w:rFonts w:ascii="Times New Roman" w:hAnsi="Times New Roman" w:cs="Times New Roman" w:eastAsia="Times New Roman" w:hint="default"/>
                      <w:spacing w:val="-1"/>
                    </w:rPr>
                    <w:t> </w:t>
                  </w:r>
                  <w:r>
                    <w:rPr/>
                    <w:t>股为基数，向全体</w:t>
                  </w:r>
                </w:p>
                <w:p>
                  <w:pPr>
                    <w:pStyle w:val="BodyText"/>
                    <w:spacing w:line="240" w:lineRule="auto" w:before="63"/>
                    <w:ind w:left="22" w:right="0"/>
                    <w:jc w:val="left"/>
                  </w:pPr>
                  <w:r>
                    <w:rPr/>
                    <w:t>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红</w:t>
                  </w:r>
                  <w:r>
                    <w:rPr/>
                    <w:t>利</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元</w:t>
                  </w:r>
                  <w:r>
                    <w:rPr/>
                    <w:t>（含税</w:t>
                  </w:r>
                  <w:r>
                    <w:rPr>
                      <w:spacing w:val="-92"/>
                    </w:rPr>
                    <w:t>）</w:t>
                  </w:r>
                  <w:r>
                    <w:rPr/>
                    <w:t>，派发现金股利</w:t>
                  </w:r>
                  <w:r>
                    <w:rPr>
                      <w:spacing w:val="-44"/>
                    </w:rPr>
                    <w:t> </w:t>
                  </w:r>
                  <w:r>
                    <w:rPr>
                      <w:rFonts w:ascii="Times New Roman" w:hAnsi="Times New Roman" w:cs="Times New Roman" w:eastAsia="Times New Roman" w:hint="default"/>
                      <w:spacing w:val="1"/>
                    </w:rPr>
                    <w:t>92</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元。本次利润分配方</w:t>
                  </w:r>
                  <w:r>
                    <w:rPr>
                      <w:spacing w:val="-3"/>
                    </w:rPr>
                    <w:t>案</w:t>
                  </w:r>
                  <w:r>
                    <w:rPr/>
                    <w:t>完成后，剩余未分配利润为</w:t>
                  </w:r>
                </w:p>
                <w:p>
                  <w:pPr>
                    <w:pStyle w:val="BodyText"/>
                    <w:spacing w:line="300" w:lineRule="auto" w:before="63"/>
                    <w:ind w:left="22" w:right="40"/>
                    <w:jc w:val="left"/>
                  </w:pPr>
                  <w:r>
                    <w:rPr>
                      <w:rFonts w:ascii="Times New Roman" w:hAnsi="Times New Roman" w:cs="Times New Roman" w:eastAsia="Times New Roman" w:hint="default"/>
                    </w:rPr>
                    <w:t>430,258,105.97</w:t>
                  </w:r>
                  <w:r>
                    <w:rPr>
                      <w:rFonts w:ascii="Times New Roman" w:hAnsi="Times New Roman" w:cs="Times New Roman" w:eastAsia="Times New Roman" w:hint="default"/>
                      <w:spacing w:val="41"/>
                    </w:rPr>
                    <w:t> </w:t>
                  </w:r>
                  <w:r>
                    <w:rPr/>
                    <w:t>元，结转至以后年度。本期不送股，不使用公积金转增股本。利润分配方案符合公司章程和招股说明书的 相关规定。</w:t>
                  </w:r>
                </w:p>
              </w:txbxContent>
            </v:textbox>
            <v:fill type="solid"/>
          </v:shape>
        </w:pict>
      </w:r>
      <w:r>
        <w:rPr>
          <w:rFonts w:ascii="宋体" w:hAnsi="宋体" w:cs="宋体" w:eastAsia="宋体" w:hint="default"/>
          <w:position w:val="-26"/>
          <w:sz w:val="20"/>
          <w:szCs w:val="20"/>
        </w:rPr>
      </w:r>
    </w:p>
    <w:p>
      <w:pPr>
        <w:pStyle w:val="BodyText"/>
        <w:spacing w:line="338" w:lineRule="auto" w:before="55"/>
        <w:ind w:left="297" w:right="1123" w:hanging="145"/>
        <w:jc w:val="left"/>
      </w:pPr>
      <w:r>
        <w:rPr/>
        <w:t>公司近</w:t>
      </w:r>
      <w:r>
        <w:rPr>
          <w:spacing w:val="-44"/>
        </w:rPr>
        <w:t> </w:t>
      </w:r>
      <w:r>
        <w:rPr>
          <w:rFonts w:ascii="Times New Roman" w:hAnsi="Times New Roman" w:cs="Times New Roman" w:eastAsia="Times New Roman" w:hint="default"/>
        </w:rPr>
        <w:t>3 </w:t>
      </w:r>
      <w:r>
        <w:rPr/>
        <w:t>年（含报告期）的利润分配方案及资本公积金转增股本方案情况 </w:t>
      </w:r>
      <w:r>
        <w:rPr>
          <w:spacing w:val="-1"/>
        </w:rPr>
        <w:t>公司</w:t>
      </w:r>
      <w:r>
        <w:rPr>
          <w:rFonts w:ascii="Times New Roman" w:hAnsi="Times New Roman" w:cs="Times New Roman" w:eastAsia="Times New Roman" w:hint="default"/>
          <w:spacing w:val="-1"/>
        </w:rPr>
        <w:t>2010</w:t>
      </w:r>
      <w:r>
        <w:rPr>
          <w:spacing w:val="-1"/>
        </w:rPr>
        <w:t>年度利润分配方案为：以公司现有总股本</w:t>
      </w:r>
      <w:r>
        <w:rPr>
          <w:rFonts w:ascii="Times New Roman" w:hAnsi="Times New Roman" w:cs="Times New Roman" w:eastAsia="Times New Roman" w:hint="default"/>
          <w:spacing w:val="-1"/>
        </w:rPr>
        <w:t>259,810,083</w:t>
      </w:r>
      <w:r>
        <w:rPr>
          <w:spacing w:val="-1"/>
        </w:rPr>
        <w:t>股为基数，向全体股东每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2.985477</w:t>
      </w:r>
      <w:r>
        <w:rPr>
          <w:spacing w:val="-1"/>
        </w:rPr>
        <w:t>股；每</w:t>
      </w:r>
      <w:r>
        <w:rPr>
          <w:rFonts w:ascii="Times New Roman" w:hAnsi="Times New Roman" w:cs="Times New Roman" w:eastAsia="Times New Roman" w:hint="default"/>
          <w:spacing w:val="-1"/>
        </w:rPr>
        <w:t>10</w:t>
      </w:r>
      <w:r>
        <w:rPr>
          <w:spacing w:val="-1"/>
        </w:rPr>
        <w:t>股派</w:t>
      </w:r>
      <w:r>
        <w:rPr/>
      </w:r>
    </w:p>
    <w:p>
      <w:pPr>
        <w:pStyle w:val="BodyText"/>
        <w:spacing w:line="230" w:lineRule="exact" w:before="0"/>
        <w:ind w:right="0"/>
        <w:jc w:val="left"/>
      </w:pPr>
      <w:r>
        <w:rPr/>
        <w:t>现金</w:t>
      </w:r>
      <w:r>
        <w:rPr>
          <w:rFonts w:ascii="Times New Roman" w:hAnsi="Times New Roman" w:cs="Times New Roman" w:eastAsia="Times New Roman" w:hint="default"/>
        </w:rPr>
        <w:t>0.995159</w:t>
      </w:r>
      <w:r>
        <w:rPr/>
        <w:t>元现金人民币（含税，扣税后，个人、证券投资基金、合格境外机构投资者实际每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0.597095</w:t>
      </w:r>
      <w:r>
        <w:rPr/>
        <w:t>元），对于</w:t>
      </w:r>
    </w:p>
    <w:p>
      <w:pPr>
        <w:pStyle w:val="BodyText"/>
        <w:spacing w:line="300" w:lineRule="auto" w:before="63"/>
        <w:ind w:left="297" w:right="1114" w:hanging="145"/>
        <w:jc w:val="left"/>
        <w:rPr>
          <w:rFonts w:ascii="Times New Roman" w:hAnsi="Times New Roman" w:cs="Times New Roman" w:eastAsia="Times New Roman" w:hint="default"/>
        </w:rPr>
      </w:pPr>
      <w:r>
        <w:rPr/>
        <w:t>其他非居民企业，我公司未代扣代缴所得税，由纳税人在所得发生地缴纳。该利润分配方案已于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日实施。</w:t>
      </w:r>
      <w:r>
        <w:rPr>
          <w:spacing w:val="-87"/>
        </w:rPr>
        <w:t> </w:t>
      </w:r>
      <w:r>
        <w:rPr/>
        <w:t>公司</w:t>
      </w:r>
      <w:r>
        <w:rPr>
          <w:rFonts w:ascii="Times New Roman" w:hAnsi="Times New Roman" w:cs="Times New Roman" w:eastAsia="Times New Roman" w:hint="default"/>
        </w:rPr>
        <w:t>2011</w:t>
      </w:r>
      <w:r>
        <w:rPr/>
        <w:t>年度利润分配方案为：以公司现有总股本</w:t>
      </w:r>
      <w:r>
        <w:rPr>
          <w:rFonts w:ascii="Times New Roman" w:hAnsi="Times New Roman" w:cs="Times New Roman" w:eastAsia="Times New Roman" w:hint="default"/>
        </w:rPr>
        <w:t>339,925,608</w:t>
      </w:r>
      <w:r>
        <w:rPr/>
        <w:t>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3</w:t>
      </w:r>
      <w:r>
        <w:rPr/>
        <w:t>股；每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2.2</w:t>
      </w:r>
    </w:p>
    <w:p>
      <w:pPr>
        <w:pStyle w:val="BodyText"/>
        <w:spacing w:line="300" w:lineRule="auto" w:before="13"/>
        <w:ind w:right="1125"/>
        <w:jc w:val="left"/>
      </w:pPr>
      <w:r>
        <w:rPr>
          <w:spacing w:val="-1"/>
        </w:rPr>
        <w:t>元现金人民币（含税，扣税后，个人、证券投资基金、</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实际每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1.68</w:t>
      </w:r>
      <w:r>
        <w:rPr>
          <w:spacing w:val="-1"/>
        </w:rPr>
        <w:t>元；对于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外的其他非居民</w:t>
      </w:r>
      <w:r>
        <w:rPr/>
        <w:t> 企业，我公司未代扣代缴所得税，由纳税人在所得发生地缴纳）。该利润分配方案已于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日实施。</w:t>
      </w:r>
    </w:p>
    <w:p>
      <w:pPr>
        <w:pStyle w:val="BodyText"/>
        <w:spacing w:line="300" w:lineRule="auto" w:before="13"/>
        <w:ind w:right="0" w:firstLine="144"/>
        <w:jc w:val="left"/>
      </w:pPr>
      <w:r>
        <w:rPr>
          <w:spacing w:val="-4"/>
        </w:rPr>
        <w:t>公司</w:t>
      </w:r>
      <w:r>
        <w:rPr>
          <w:rFonts w:ascii="Times New Roman" w:hAnsi="Times New Roman" w:cs="Times New Roman" w:eastAsia="Times New Roman" w:hint="default"/>
          <w:spacing w:val="-4"/>
        </w:rPr>
        <w:t>2012</w:t>
      </w:r>
      <w:r>
        <w:rPr>
          <w:spacing w:val="-4"/>
        </w:rPr>
        <w:t>年度利润分配预案为：拟以公司现有股本总额</w:t>
      </w:r>
      <w:r>
        <w:rPr>
          <w:rFonts w:ascii="Times New Roman" w:hAnsi="Times New Roman" w:cs="Times New Roman" w:eastAsia="Times New Roman" w:hint="default"/>
          <w:spacing w:val="-4"/>
        </w:rPr>
        <w:t>461,754,801</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w:t>
      </w:r>
      <w:r>
        <w:rPr>
          <w:spacing w:val="-4"/>
        </w:rPr>
        <w:t>元（含税），</w:t>
      </w:r>
      <w:r>
        <w:rPr/>
        <w:t> 派发现金股利</w:t>
      </w:r>
      <w:r>
        <w:rPr>
          <w:rFonts w:ascii="Times New Roman" w:hAnsi="Times New Roman" w:cs="Times New Roman" w:eastAsia="Times New Roman" w:hint="default"/>
        </w:rPr>
        <w:t>92,350,960.2</w:t>
      </w:r>
      <w:r>
        <w:rPr/>
        <w:t>元。本次利润分配方案完成后，剩余未分配利润为</w:t>
      </w:r>
      <w:r>
        <w:rPr>
          <w:rFonts w:ascii="Times New Roman" w:hAnsi="Times New Roman" w:cs="Times New Roman" w:eastAsia="Times New Roman" w:hint="default"/>
        </w:rPr>
        <w:t>430,258,105.97</w:t>
      </w:r>
      <w:r>
        <w:rPr>
          <w:rFonts w:ascii="Times New Roman" w:hAnsi="Times New Roman" w:cs="Times New Roman" w:eastAsia="Times New Roman" w:hint="default"/>
          <w:spacing w:val="14"/>
        </w:rPr>
        <w:t> </w:t>
      </w:r>
      <w:r>
        <w:rPr>
          <w:spacing w:val="-3"/>
        </w:rPr>
        <w:t>元，结转至以后年度。本期不送</w:t>
      </w:r>
      <w:r>
        <w:rPr/>
        <w:t> 股，不使用公积金转增股本。利润分配方案符合公司章程和招股说明书的相关规定。</w:t>
      </w:r>
    </w:p>
    <w:p>
      <w:pPr>
        <w:spacing w:line="240" w:lineRule="auto" w:before="13"/>
        <w:rPr>
          <w:rFonts w:ascii="宋体" w:hAnsi="宋体" w:cs="宋体" w:eastAsia="宋体" w:hint="default"/>
          <w:sz w:val="25"/>
          <w:szCs w:val="25"/>
        </w:rPr>
      </w:pPr>
    </w:p>
    <w:p>
      <w:pPr>
        <w:pStyle w:val="BodyText"/>
        <w:spacing w:line="240" w:lineRule="auto"/>
        <w:ind w:right="1123"/>
        <w:jc w:val="left"/>
      </w:pPr>
      <w:r>
        <w:rPr/>
        <w:t>公司近三年现金分红情况表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92,350,960.20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288,004,446.86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32.07%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74,783,633.76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211,760,832.75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35.32%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25,855,235.86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191,299,828.83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13.52%</w:t>
            </w:r>
          </w:p>
        </w:tc>
      </w:tr>
    </w:tbl>
    <w:p>
      <w:pPr>
        <w:pStyle w:val="BodyText"/>
        <w:spacing w:line="240" w:lineRule="auto" w:before="49"/>
        <w:ind w:right="1123"/>
        <w:jc w:val="left"/>
      </w:pPr>
      <w:r>
        <w:rPr/>
        <w:t>公司报告期内盈利且母公司未分配利润为正但未提出现金红利分配预案</w:t>
      </w:r>
    </w:p>
    <w:p>
      <w:pPr>
        <w:pStyle w:val="BodyText"/>
        <w:spacing w:line="240" w:lineRule="auto" w:before="115"/>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369" w:right="0"/>
        <w:jc w:val="left"/>
      </w:pPr>
      <w:r>
        <w:rPr/>
        <w:t>详见公司于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t>年</w:t>
      </w:r>
      <w:r>
        <w:rPr>
          <w:rFonts w:ascii="Times New Roman" w:hAnsi="Times New Roman" w:cs="Times New Roman" w:eastAsia="Times New Roman" w:hint="default"/>
          <w:spacing w:val="1"/>
        </w:rPr>
        <w:t>4</w:t>
      </w:r>
      <w:r>
        <w:rPr>
          <w:spacing w:val="-3"/>
        </w:rPr>
        <w:t>月</w:t>
      </w:r>
      <w:r>
        <w:rPr>
          <w:rFonts w:ascii="Times New Roman" w:hAnsi="Times New Roman" w:cs="Times New Roman" w:eastAsia="Times New Roman" w:hint="default"/>
          <w:spacing w:val="1"/>
        </w:rPr>
        <w:t>24</w:t>
      </w:r>
      <w:r>
        <w:rPr>
          <w:spacing w:val="-3"/>
        </w:rPr>
        <w:t>日</w:t>
      </w:r>
      <w:r>
        <w:rPr/>
        <w:t>在巨潮资讯</w:t>
      </w:r>
      <w:r>
        <w:rPr>
          <w:spacing w:val="-82"/>
        </w:rPr>
        <w:t>网</w:t>
      </w:r>
      <w:r>
        <w:rPr>
          <w:spacing w:val="2"/>
        </w:rPr>
        <w:t>（</w:t>
      </w:r>
      <w:hyperlink r:id="rId10">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3"/>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3"/>
          </w:rPr>
          <w:t>f</w:t>
        </w:r>
        <w:r>
          <w:rPr>
            <w:rFonts w:ascii="Times New Roman" w:hAnsi="Times New Roman" w:cs="Times New Roman" w:eastAsia="Times New Roman" w:hint="default"/>
            <w:spacing w:val="1"/>
          </w:rPr>
          <w:t>o</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o</w:t>
        </w:r>
        <w:r>
          <w:rPr>
            <w:rFonts w:ascii="Times New Roman" w:hAnsi="Times New Roman" w:cs="Times New Roman" w:eastAsia="Times New Roman" w:hint="default"/>
            <w:spacing w:val="-1"/>
          </w:rPr>
          <w:t>m</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2"/>
          </w:rPr>
          <w:t>n</w:t>
        </w:r>
      </w:hyperlink>
      <w:r>
        <w:rPr>
          <w:spacing w:val="-82"/>
        </w:rPr>
        <w:t>）</w:t>
      </w:r>
      <w:r>
        <w:rPr/>
        <w:t>上披露</w:t>
      </w:r>
      <w:r>
        <w:rPr>
          <w:spacing w:val="-82"/>
        </w:rPr>
        <w:t>的</w:t>
      </w:r>
      <w:r>
        <w:rPr/>
        <w:t>《远光软件股份有限公司</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2</w:t>
      </w:r>
      <w:r>
        <w:rPr/>
        <w:t>年度社会责任报告</w:t>
      </w:r>
      <w:r>
        <w:rPr>
          <w:spacing w:val="-85"/>
        </w:rPr>
        <w:t>》</w:t>
      </w:r>
      <w:r>
        <w:rPr/>
        <w:t>。</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pict>
          <v:shape style="position:absolute;margin-left:388.993011pt;margin-top:68.765633pt;width:146.1pt;height:45.85pt;mso-position-horizontal-relative:page;mso-position-vertical-relative:paragraph;z-index:-89704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5"/>
                      <w:szCs w:val="15"/>
                    </w:rPr>
                  </w:pPr>
                </w:p>
                <w:p>
                  <w:pPr>
                    <w:pStyle w:val="BodyText"/>
                    <w:spacing w:line="240" w:lineRule="auto" w:before="0"/>
                    <w:ind w:left="0" w:right="0"/>
                    <w:jc w:val="left"/>
                  </w:pPr>
                  <w:r>
                    <w:rPr/>
                    <w:t>上投摩根、</w:t>
                  </w:r>
                </w:p>
              </w:txbxContent>
            </v:textbox>
            <w10:wrap type="none"/>
          </v:shape>
        </w:pict>
      </w: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09"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55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23"/>
              <w:jc w:val="left"/>
              <w:rPr>
                <w:rFonts w:ascii="宋体" w:hAnsi="宋体" w:cs="宋体" w:eastAsia="宋体" w:hint="default"/>
                <w:sz w:val="18"/>
                <w:szCs w:val="18"/>
              </w:rPr>
            </w:pPr>
            <w:r>
              <w:rPr>
                <w:rFonts w:ascii="宋体" w:hAnsi="宋体" w:cs="宋体" w:eastAsia="宋体" w:hint="default"/>
                <w:sz w:val="18"/>
                <w:szCs w:val="18"/>
              </w:rPr>
              <w:t>嘉实基金、华夏基 金、东吴基金、长 城基金、 南方基金、广发基 金、人保资管、博 时基金、 金鹰基金、兴业基 金、华安基金、融</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8.993011pt;margin-top:72.475983pt;width:146.1pt;height:95.7pt;mso-position-horizontal-relative:page;mso-position-vertical-relative:page;z-index:-896992" type="#_x0000_t202" filled="false" stroked="false">
            <v:textbox inset="0,0,0,0">
              <w:txbxContent>
                <w:p>
                  <w:pPr>
                    <w:pStyle w:val="BodyText"/>
                    <w:spacing w:line="319" w:lineRule="auto" w:before="8"/>
                    <w:ind w:left="180" w:right="2019" w:hanging="180"/>
                    <w:jc w:val="left"/>
                  </w:pPr>
                  <w:r>
                    <w:rPr/>
                    <w:t>农银汇理、 汇添富、</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0"/>
                    <w:ind w:left="719" w:right="0"/>
                    <w:jc w:val="left"/>
                  </w:pPr>
                  <w:r>
                    <w:rPr/>
                    <w:t>、</w:t>
                  </w:r>
                </w:p>
              </w:txbxContent>
            </v:textbox>
            <w10:wrap type="none"/>
          </v:shape>
        </w:pict>
      </w:r>
      <w:r>
        <w:rPr/>
        <w:pict>
          <v:shape style="position:absolute;margin-left:388.993011pt;margin-top:286.369995pt;width:146.1pt;height:46.8pt;mso-position-horizontal-relative:page;mso-position-vertical-relative:page;z-index:-896968"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pStyle w:val="BodyText"/>
                    <w:spacing w:line="240" w:lineRule="auto" w:before="0"/>
                    <w:ind w:left="0" w:right="0"/>
                    <w:jc w:val="left"/>
                  </w:pPr>
                  <w:r>
                    <w:rPr/>
                    <w:t>光大证券、</w:t>
                  </w:r>
                </w:p>
              </w:txbxContent>
            </v:textbox>
            <w10:wrap type="none"/>
          </v:shape>
        </w:pict>
      </w:r>
      <w:r>
        <w:rPr/>
        <w:pict>
          <v:shape style="position:absolute;margin-left:424.98999pt;margin-top:507.669983pt;width:108.9pt;height:17.650pt;mso-position-horizontal-relative:page;mso-position-vertical-relative:page;z-index:-896944"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388.993011pt;margin-top:633.700012pt;width:144.9pt;height:22.05pt;mso-position-horizontal-relative:page;mso-position-vertical-relative:page;z-index:-896920"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before="0"/>
                    <w:ind w:left="0" w:right="0"/>
                    <w:jc w:val="left"/>
                  </w:pPr>
                  <w:r>
                    <w:rPr/>
                    <w:t>东方证券、</w:t>
                  </w:r>
                </w:p>
              </w:txbxContent>
            </v:textbox>
            <w10:wrap type="none"/>
          </v:shape>
        </w:pict>
      </w:r>
      <w:r>
        <w:rPr/>
        <w:pict>
          <v:shape style="position:absolute;margin-left:388.993011pt;margin-top:725.976013pt;width:144.9pt;height:17.650pt;mso-position-horizontal-relative:page;mso-position-vertical-relative:page;z-index:-896896" type="#_x0000_t202" filled="false" stroked="false">
            <v:textbox inset="0,0,0,0">
              <w:txbxContent>
                <w:p>
                  <w:pPr>
                    <w:pStyle w:val="BodyText"/>
                    <w:spacing w:line="240" w:lineRule="auto" w:before="8"/>
                    <w:ind w:left="0" w:right="0"/>
                    <w:jc w:val="left"/>
                  </w:pPr>
                  <w:r>
                    <w:rPr/>
                    <w:t>工银瑞信、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92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通基金、 万家基金、 中投证券、光大证 券、富国基金、华 </w:t>
            </w:r>
            <w:r>
              <w:rPr>
                <w:rFonts w:ascii="宋体" w:hAnsi="宋体" w:cs="宋体" w:eastAsia="宋体" w:hint="default"/>
                <w:spacing w:val="-12"/>
                <w:sz w:val="18"/>
                <w:szCs w:val="18"/>
              </w:rPr>
              <w:t>泰柏瑞、信诚基金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长盛基金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海通证券、华夏基 金、申银万国、上 投摩根</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22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嘉实基金、华泰柏 瑞、易方达、泰达 宏利、华安基金、 厦门普尔、民生证 券、光大资管、瑞 信方正、</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中投证券</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公司高管辞职与聘任情况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华安基金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广发证券、中银国 际</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汇丰晋信</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淡水泉投资、广发 证券</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96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嘉实基金、厦门普 尔、兴业全球、华 </w:t>
            </w:r>
            <w:r>
              <w:rPr>
                <w:rFonts w:ascii="宋体" w:hAnsi="宋体" w:cs="宋体" w:eastAsia="宋体" w:hint="default"/>
                <w:spacing w:val="-12"/>
                <w:sz w:val="18"/>
                <w:szCs w:val="18"/>
              </w:rPr>
              <w:t>泰柏瑞、华安基金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民生证券、浙商证 券、光大证券、朱 雀投资、易方达</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万家基金、汇添富</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东方证券、申银万 国、瑞华控股、国 泰基金、 华泰证券、长城证 券</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嘉实基金、银河证 券、华夏基金、民 生证券、</w:t>
            </w:r>
          </w:p>
          <w:p>
            <w:pPr>
              <w:pStyle w:val="TableParagraph"/>
              <w:spacing w:line="240" w:lineRule="auto" w:before="18"/>
              <w:ind w:left="23" w:right="0"/>
              <w:jc w:val="both"/>
              <w:rPr>
                <w:rFonts w:ascii="宋体" w:hAnsi="宋体" w:cs="宋体" w:eastAsia="宋体" w:hint="default"/>
                <w:sz w:val="18"/>
                <w:szCs w:val="18"/>
              </w:rPr>
            </w:pPr>
            <w:r>
              <w:rPr>
                <w:rFonts w:ascii="宋体" w:hAnsi="宋体" w:cs="宋体" w:eastAsia="宋体" w:hint="default"/>
                <w:sz w:val="18"/>
                <w:szCs w:val="18"/>
              </w:rPr>
              <w:t>新华基金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8.993011pt;margin-top:143.899979pt;width:146.1pt;height:101.4pt;mso-position-horizontal-relative:page;mso-position-vertical-relative:page;z-index:-896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长信基金、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0"/>
                    <w:ind w:left="0" w:right="0"/>
                    <w:jc w:val="left"/>
                  </w:pPr>
                  <w:r>
                    <w:rPr/>
                    <w:t>平安资管、</w:t>
                  </w:r>
                </w:p>
              </w:txbxContent>
            </v:textbox>
            <w10:wrap type="none"/>
          </v:shape>
        </w:pict>
      </w:r>
      <w:r>
        <w:rPr/>
        <w:pict>
          <v:shape style="position:absolute;margin-left:388.993011pt;margin-top:280.489990pt;width:146.1pt;height:101.4pt;mso-position-horizontal-relative:page;mso-position-vertical-relative:page;z-index:-896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0"/>
                    <w:ind w:left="0" w:right="0"/>
                    <w:jc w:val="left"/>
                  </w:pPr>
                  <w:r>
                    <w:rPr/>
                    <w:t>海通证券、</w:t>
                  </w:r>
                </w:p>
              </w:txbxContent>
            </v:textbox>
            <w10:wrap type="none"/>
          </v:shape>
        </w:pict>
      </w:r>
      <w:r>
        <w:rPr/>
        <w:pict>
          <v:shape style="position:absolute;margin-left:388.993011pt;margin-top:245.299988pt;width:144.9pt;height:22.05pt;mso-position-horizontal-relative:page;mso-position-vertical-relative:page;z-index:-896824"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before="0"/>
                    <w:ind w:left="0" w:right="0"/>
                    <w:jc w:val="left"/>
                  </w:pPr>
                  <w:r>
                    <w:rPr/>
                    <w:t>汇丰晋信、</w:t>
                  </w:r>
                </w:p>
              </w:txbxContent>
            </v:textbox>
            <w10:wrap type="none"/>
          </v:shape>
        </w:pict>
      </w:r>
      <w:r>
        <w:rPr/>
        <w:pict>
          <v:shape style="position:absolute;margin-left:388.993011pt;margin-top:492.309998pt;width:146.1pt;height:39pt;mso-position-horizontal-relative:page;mso-position-vertical-relative:page;z-index:-896800" type="#_x0000_t202" filled="false" stroked="false">
            <v:textbox inset="0,0,0,0">
              <w:txbxContent>
                <w:p>
                  <w:pPr>
                    <w:pStyle w:val="BodyText"/>
                    <w:spacing w:line="240" w:lineRule="auto" w:before="125"/>
                    <w:ind w:left="0" w:right="0"/>
                    <w:jc w:val="left"/>
                  </w:pPr>
                  <w:r>
                    <w:rPr/>
                    <w:t>合赢投资、</w:t>
                  </w:r>
                </w:p>
              </w:txbxContent>
            </v:textbox>
            <w10:wrap type="none"/>
          </v:shape>
        </w:pict>
      </w:r>
      <w:r>
        <w:rPr/>
        <w:pict>
          <v:shape style="position:absolute;margin-left:388.993011pt;margin-top:454.575623pt;width:144.9pt;height:20.25pt;mso-position-horizontal-relative:page;mso-position-vertical-relative:page;z-index:-896776" type="#_x0000_t202" filled="false" stroked="false">
            <v:textbox inset="0,0,0,0">
              <w:txbxContent>
                <w:p>
                  <w:pPr>
                    <w:pStyle w:val="BodyText"/>
                    <w:spacing w:line="180" w:lineRule="exact" w:before="0"/>
                    <w:ind w:left="0" w:right="0"/>
                    <w:jc w:val="left"/>
                  </w:pPr>
                  <w:r>
                    <w:rPr/>
                    <w:t>光大资管、</w:t>
                  </w:r>
                </w:p>
              </w:txbxContent>
            </v:textbox>
            <w10:wrap type="none"/>
          </v:shape>
        </w:pict>
      </w:r>
      <w:r>
        <w:rPr/>
        <w:pict>
          <v:shape style="position:absolute;margin-left:388.993011pt;margin-top:531.909973pt;width:146.1pt;height:78pt;mso-position-horizontal-relative:page;mso-position-vertical-relative:page;z-index:-896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before="0"/>
                    <w:ind w:left="0" w:right="0"/>
                    <w:jc w:val="left"/>
                  </w:pPr>
                  <w:r>
                    <w:rPr/>
                    <w:t>明河投资、</w:t>
                  </w:r>
                </w:p>
              </w:txbxContent>
            </v:textbox>
            <w10:wrap type="none"/>
          </v:shape>
        </w:pict>
      </w:r>
      <w:r>
        <w:rPr/>
        <w:pict>
          <v:shape style="position:absolute;margin-left:388.993011pt;margin-top:645.099976pt;width:146.1pt;height:78pt;mso-position-horizontal-relative:page;mso-position-vertical-relative:page;z-index:-896728"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pStyle w:val="BodyText"/>
                    <w:spacing w:line="240" w:lineRule="auto" w:before="0"/>
                    <w:ind w:left="0" w:right="0"/>
                    <w:jc w:val="left"/>
                  </w:pPr>
                  <w:r>
                    <w:rPr/>
                    <w:t>申万菱信、</w:t>
                  </w:r>
                </w:p>
              </w:txbxContent>
            </v:textbox>
            <w10:wrap type="none"/>
          </v:shape>
        </w:pict>
      </w:r>
      <w:r>
        <w:rPr/>
        <w:pict>
          <v:shape style="position:absolute;margin-left:388.993011pt;margin-top:609.915955pt;width:144.9pt;height:17.55pt;mso-position-horizontal-relative:page;mso-position-vertical-relative:page;z-index:-896704" type="#_x0000_t202" filled="false" stroked="false">
            <v:textbox inset="0,0,0,0">
              <w:txbxContent>
                <w:p>
                  <w:pPr>
                    <w:pStyle w:val="BodyText"/>
                    <w:spacing w:line="240" w:lineRule="auto" w:before="46"/>
                    <w:ind w:left="0" w:right="0"/>
                    <w:jc w:val="left"/>
                  </w:pPr>
                  <w:r>
                    <w:rPr/>
                    <w:t>广发证券、</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国信证券、泽熙投 资</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融通基金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476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财通证券、长江养 老保险、 浙商基金、朱雀投 资、华宝兴业、国 泰基金、 申万资管、平安资 产、万家基金、国 泰君安、 和熙投资、信诚基 金、盛仪投资、中 欧基金、 泰信基金、西部证 券、友邦、云南信 托、国投瑞银、光 大资管</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合赢投资</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227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嘉实基金、汇丰晋 信、华泰柏瑞、光 大证券、 海通证券、申银万 国、中投证券、民 生证券、 华夏基金、易方达</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383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光大证券、中投证 券、中国人寿、诺 安基金、 人寿资产、友邦、 国泰君安资管、国 泰基金、 合赢投资、长城证 券、民生证券、申 银万国、 工银瑞信、恒泰证 券、海富通、摩根 士丹利华鑫</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67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申银万国、光大证 券、中投证券、民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8.993011pt;margin-top:72.475983pt;width:146.1pt;height:33.3pt;mso-position-horizontal-relative:page;mso-position-vertical-relative:page;z-index:-896680" type="#_x0000_t202" filled="false" stroked="false">
            <v:textbox inset="0,0,0,0">
              <w:txbxContent>
                <w:p>
                  <w:pPr>
                    <w:pStyle w:val="BodyText"/>
                    <w:spacing w:line="240" w:lineRule="auto" w:before="8"/>
                    <w:ind w:left="0" w:right="0"/>
                    <w:jc w:val="left"/>
                  </w:pPr>
                  <w:r>
                    <w:rPr/>
                    <w:t>华泰柏瑞、</w:t>
                  </w:r>
                </w:p>
              </w:txbxContent>
            </v:textbox>
            <w10:wrap type="none"/>
          </v:shape>
        </w:pict>
      </w:r>
      <w:r>
        <w:rPr/>
        <w:pict>
          <v:shape style="position:absolute;margin-left:388.993011pt;margin-top:173.059982pt;width:144.9pt;height:17.650pt;mso-position-horizontal-relative:page;mso-position-vertical-relative:page;z-index:-896656" type="#_x0000_t202" filled="false" stroked="false">
            <v:textbox inset="0,0,0,0">
              <w:txbxContent>
                <w:p>
                  <w:pPr>
                    <w:pStyle w:val="BodyText"/>
                    <w:spacing w:line="240" w:lineRule="auto" w:before="49"/>
                    <w:ind w:left="0" w:right="0"/>
                    <w:jc w:val="left"/>
                  </w:pPr>
                  <w:r>
                    <w:rPr/>
                    <w:t>宏源证券、</w:t>
                  </w:r>
                </w:p>
              </w:txbxContent>
            </v:textbox>
            <w10:wrap type="none"/>
          </v:shape>
        </w:pict>
      </w:r>
      <w:r>
        <w:rPr/>
        <w:pict>
          <v:shape style="position:absolute;margin-left:388.993011pt;margin-top:271.249969pt;width:144.9pt;height:17.650pt;mso-position-horizontal-relative:page;mso-position-vertical-relative:page;z-index:-896632" type="#_x0000_t202" filled="false" stroked="false">
            <v:textbox inset="0,0,0,0">
              <w:txbxContent>
                <w:p>
                  <w:pPr>
                    <w:pStyle w:val="BodyText"/>
                    <w:spacing w:line="240" w:lineRule="auto" w:before="49"/>
                    <w:ind w:left="0" w:right="0"/>
                    <w:jc w:val="left"/>
                  </w:pPr>
                  <w:r>
                    <w:rPr/>
                    <w:t>汇丰晋信、</w:t>
                  </w:r>
                </w:p>
              </w:txbxContent>
            </v:textbox>
            <w10:wrap type="none"/>
          </v:shape>
        </w:pict>
      </w:r>
      <w:r>
        <w:rPr/>
        <w:pict>
          <v:shape style="position:absolute;margin-left:388.993011pt;margin-top:425.085968pt;width:146.1pt;height:78.05pt;mso-position-horizontal-relative:page;mso-position-vertical-relative:page;z-index:-896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博时基金、</w:t>
                  </w:r>
                </w:p>
              </w:txbxContent>
            </v:textbox>
            <w10:wrap type="none"/>
          </v:shape>
        </w:pict>
      </w:r>
      <w:r>
        <w:rPr/>
        <w:pict>
          <v:shape style="position:absolute;margin-left:388.993011pt;margin-top:538.389954pt;width:146.1pt;height:78pt;mso-position-horizontal-relative:page;mso-position-vertical-relative:page;z-index:-896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pStyle w:val="BodyText"/>
                    <w:spacing w:line="316" w:lineRule="auto" w:before="0"/>
                    <w:ind w:left="180" w:right="2019" w:hanging="180"/>
                    <w:jc w:val="left"/>
                  </w:pPr>
                  <w:r>
                    <w:rPr/>
                    <w:t>悟空投资、 新价值、</w:t>
                  </w:r>
                </w:p>
              </w:txbxContent>
            </v:textbox>
            <w10:wrap type="none"/>
          </v:shape>
        </w:pict>
      </w:r>
      <w:r>
        <w:rPr/>
        <w:pict>
          <v:shape style="position:absolute;margin-left:388.993011pt;margin-top:520.75pt;width:144.9pt;height:17.650pt;mso-position-horizontal-relative:page;mso-position-vertical-relative:page;z-index:-896560" type="#_x0000_t202" filled="false" stroked="false">
            <v:textbox inset="0,0,0,0">
              <w:txbxContent>
                <w:p>
                  <w:pPr>
                    <w:pStyle w:val="BodyText"/>
                    <w:spacing w:line="240" w:lineRule="auto" w:before="8"/>
                    <w:ind w:left="0" w:right="0"/>
                    <w:jc w:val="left"/>
                  </w:pPr>
                  <w:r>
                    <w:rPr/>
                    <w:t>航天证券、</w:t>
                  </w:r>
                </w:p>
              </w:txbxContent>
            </v:textbox>
            <w10:wrap type="none"/>
          </v:shape>
        </w:pict>
      </w:r>
      <w:r>
        <w:rPr/>
        <w:pict>
          <v:shape style="position:absolute;margin-left:388.993011pt;margin-top:698.380005pt;width:144.9pt;height:17.650pt;mso-position-horizontal-relative:page;mso-position-vertical-relative:page;z-index:-896536" type="#_x0000_t202" filled="false" stroked="false">
            <v:textbox inset="0,0,0,0">
              <w:txbxContent>
                <w:p>
                  <w:pPr>
                    <w:pStyle w:val="BodyText"/>
                    <w:spacing w:line="240" w:lineRule="auto" w:before="68"/>
                    <w:ind w:left="0" w:right="0"/>
                    <w:jc w:val="left"/>
                  </w:pPr>
                  <w:r>
                    <w:rPr/>
                    <w:t>财通基金、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675"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743"/>
              <w:jc w:val="left"/>
              <w:rPr>
                <w:rFonts w:ascii="宋体" w:hAnsi="宋体" w:cs="宋体" w:eastAsia="宋体" w:hint="default"/>
                <w:sz w:val="18"/>
                <w:szCs w:val="18"/>
              </w:rPr>
            </w:pPr>
            <w:r>
              <w:rPr>
                <w:rFonts w:ascii="宋体" w:hAnsi="宋体" w:cs="宋体" w:eastAsia="宋体" w:hint="default"/>
                <w:sz w:val="18"/>
                <w:szCs w:val="18"/>
              </w:rPr>
              <w:t>生证券、 华夏基金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融通基金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96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国泰基金、嘉实基 金、民族证券、华 安基金、 西部证券、申银万 国、朱雀投资、益 民基金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96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民生证券、华泰柏 瑞、光大证券、中 投证券、 华安基金、朱雀投 资、申银万国、华 夏基金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250"/>
              <w:jc w:val="left"/>
              <w:rPr>
                <w:rFonts w:ascii="宋体" w:hAnsi="宋体" w:cs="宋体" w:eastAsia="宋体" w:hint="default"/>
                <w:sz w:val="18"/>
                <w:szCs w:val="18"/>
              </w:rPr>
            </w:pPr>
            <w:r>
              <w:rPr>
                <w:rFonts w:ascii="宋体" w:hAnsi="宋体" w:cs="宋体" w:eastAsia="宋体" w:hint="default"/>
                <w:sz w:val="18"/>
                <w:szCs w:val="18"/>
              </w:rPr>
              <w:t>公司经营情况及财务情 况、股权激励</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大和投资、摩根士 丹利、首域投资、 恒生投资、</w:t>
            </w:r>
            <w:r>
              <w:rPr>
                <w:rFonts w:ascii="Times New Roman" w:hAnsi="Times New Roman" w:cs="Times New Roman" w:eastAsia="Times New Roman" w:hint="default"/>
                <w:sz w:val="18"/>
                <w:szCs w:val="18"/>
              </w:rPr>
              <w:t>janchor</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汇丰晋信</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383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东吴基金、国泰君 安、朱雀投资、太 平、信达证券、信 达证券、 东方证券、广发基 金、中国人寿、平 安资产、 嘉实基金、合赢投 资、申银万国、广 发证券、 同创伟业、 光大证券</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中投证券、国泰基 金、华安基金、建 信基金</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9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泰信基金、大和投 资、朱雀投资、西 部证券、 中国证券网、诺德 基金、光大资管、 华鑫证券、兴业证</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675"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券、长盛基金、中 银基金、复利投资</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97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四、资产交易事项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2585"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360" w:lineRule="auto" w:before="49"/>
        <w:ind w:right="9221"/>
        <w:jc w:val="left"/>
      </w:pPr>
      <w:r>
        <w:rPr/>
        <w:pict>
          <v:shape style="position:absolute;margin-left:234.287003pt;margin-top:-80.548279pt;width:87.65pt;height:20pt;mso-position-horizontal-relative:page;mso-position-vertical-relative:paragraph;z-index:-896512"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before="0"/>
                    <w:ind w:left="0" w:right="0"/>
                    <w:jc w:val="left"/>
                  </w:pPr>
                  <w:r>
                    <w:rPr/>
                    <w:t>（万元）</w:t>
                  </w:r>
                </w:p>
              </w:txbxContent>
            </v:textbox>
            <w10:wrap type="none"/>
          </v:shape>
        </w:pict>
      </w:r>
      <w:r>
        <w:rPr/>
        <w:t>收购资产情况概述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pict>
          <v:group style="position:absolute;margin-left:460.320007pt;margin-top:92.603668pt;width:135pt;height:77pt;mso-position-horizontal-relative:page;mso-position-vertical-relative:paragraph;z-index:-896464" coordorigin="9206,1852" coordsize="2700,1540">
            <v:shape style="position:absolute;left:9206;top:1852;width:2700;height:1540" type="#_x0000_t75" stroked="false">
              <v:imagedata r:id="rId15" o:title=""/>
            </v:shape>
            <v:shape style="position:absolute;left:10593;top:221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10:wrap type="none"/>
          </v:group>
        </w:pict>
      </w: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5"/>
        <w:gridCol w:w="686"/>
        <w:gridCol w:w="684"/>
        <w:gridCol w:w="684"/>
        <w:gridCol w:w="684"/>
        <w:gridCol w:w="682"/>
        <w:gridCol w:w="684"/>
        <w:gridCol w:w="684"/>
        <w:gridCol w:w="680"/>
        <w:gridCol w:w="682"/>
        <w:gridCol w:w="679"/>
      </w:tblGrid>
      <w:tr>
        <w:trPr>
          <w:trHeight w:val="129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headerReference w:type="default" r:id="rId19"/>
          <w:footerReference w:type="default" r:id="rId20"/>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5"/>
        <w:gridCol w:w="686"/>
        <w:gridCol w:w="684"/>
        <w:gridCol w:w="684"/>
        <w:gridCol w:w="684"/>
        <w:gridCol w:w="682"/>
        <w:gridCol w:w="684"/>
        <w:gridCol w:w="684"/>
        <w:gridCol w:w="680"/>
        <w:gridCol w:w="682"/>
        <w:gridCol w:w="679"/>
      </w:tblGrid>
      <w:tr>
        <w:trPr>
          <w:trHeight w:val="1611"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5"/>
              <w:jc w:val="both"/>
              <w:rPr>
                <w:rFonts w:ascii="宋体" w:hAnsi="宋体" w:cs="宋体" w:eastAsia="宋体" w:hint="default"/>
                <w:sz w:val="18"/>
                <w:szCs w:val="18"/>
              </w:rPr>
            </w:pPr>
            <w:r>
              <w:rPr>
                <w:rFonts w:ascii="宋体" w:hAnsi="宋体" w:cs="宋体" w:eastAsia="宋体" w:hint="default"/>
                <w:sz w:val="18"/>
                <w:szCs w:val="18"/>
              </w:rPr>
              <w:t>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净利润 占利润 总额的 比例</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 w:right="0"/>
              <w:jc w:val="left"/>
              <w:rPr>
                <w:rFonts w:ascii="宋体" w:hAnsi="宋体" w:cs="宋体" w:eastAsia="宋体" w:hint="default"/>
                <w:sz w:val="18"/>
                <w:szCs w:val="18"/>
              </w:rPr>
            </w:pPr>
            <w:r>
              <w:rPr>
                <w:rFonts w:ascii="宋体" w:hAnsi="宋体" w:cs="宋体" w:eastAsia="宋体" w:hint="default"/>
                <w:sz w:val="18"/>
                <w:szCs w:val="18"/>
              </w:rPr>
              <w:t>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49"/>
        <w:ind w:right="9221"/>
        <w:jc w:val="left"/>
      </w:pPr>
      <w:r>
        <w:rPr/>
        <w:t>出售资产情况概述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五、公司股权激励的实施情况及其影响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（一）实施股权激励计划履行的相关程序及总体情况</w:t>
      </w:r>
    </w:p>
    <w:p>
      <w:pPr>
        <w:pStyle w:val="BodyText"/>
        <w:spacing w:line="340" w:lineRule="auto" w:before="117"/>
        <w:ind w:left="513" w:right="0"/>
        <w:jc w:val="left"/>
      </w:pPr>
      <w:r>
        <w:rPr>
          <w:rFonts w:ascii="Times New Roman" w:hAnsi="Times New Roman" w:cs="Times New Roman" w:eastAsia="Times New Roman" w:hint="default"/>
        </w:rPr>
        <w:t>1</w:t>
      </w:r>
      <w:r>
        <w:rPr/>
        <w:t>、股票期权激励计划 </w:t>
      </w:r>
      <w:r>
        <w:rPr>
          <w:spacing w:val="-5"/>
        </w:rPr>
        <w:t>公司</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21</w:t>
      </w:r>
      <w:r>
        <w:rPr>
          <w:spacing w:val="-5"/>
        </w:rPr>
        <w:t>日召开的第三届董事会第十六次会议审议通过了《远光软件股份有限公司股票期权激励计划（草案）》，</w:t>
      </w:r>
    </w:p>
    <w:p>
      <w:pPr>
        <w:pStyle w:val="BodyText"/>
        <w:spacing w:line="215" w:lineRule="exact" w:before="0"/>
        <w:ind w:right="0"/>
        <w:jc w:val="left"/>
      </w:pPr>
      <w:r>
        <w:rPr/>
        <w:t>按照中国证监会要求，公司已将完整的股票期权激励计划备案申请材料报中国证监会备案。根据中国证监会反馈意见，公司</w:t>
      </w:r>
    </w:p>
    <w:p>
      <w:pPr>
        <w:pStyle w:val="BodyText"/>
        <w:spacing w:line="300" w:lineRule="auto" w:before="76"/>
        <w:ind w:right="1123"/>
        <w:jc w:val="left"/>
      </w:pPr>
      <w:r>
        <w:rPr>
          <w:spacing w:val="-2"/>
        </w:rPr>
        <w:t>对股票期权激励计划进行修订形成了《远光软件股份有限公司股票期权激励计划（修订稿）》并经</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日公司第三</w:t>
      </w:r>
      <w:r>
        <w:rPr>
          <w:spacing w:val="-58"/>
        </w:rPr>
        <w:t> </w:t>
      </w:r>
      <w:r>
        <w:rPr>
          <w:spacing w:val="-58"/>
        </w:rPr>
      </w:r>
      <w:r>
        <w:rPr/>
        <w:t>届董事会第二十二次会议审议通过，修改后的股票期权激励计划已报中国证监会备案无异议。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2009 </w:t>
      </w:r>
      <w:r>
        <w:rPr/>
        <w:t>年第二次临时股东大会审议通过了公司股票期权激励计划。</w:t>
      </w:r>
    </w:p>
    <w:p>
      <w:pPr>
        <w:pStyle w:val="BodyText"/>
        <w:spacing w:line="350" w:lineRule="auto" w:before="70"/>
        <w:ind w:left="513" w:right="1034"/>
        <w:jc w:val="left"/>
      </w:pPr>
      <w:r>
        <w:rPr/>
        <w:t>报告期内，公司严格按照《远光软件股份有限公司股票期权激励计划（修订稿）》的规定予以实施。 </w:t>
      </w:r>
      <w:r>
        <w:rPr>
          <w:rFonts w:ascii="Times New Roman" w:hAnsi="Times New Roman" w:cs="Times New Roman" w:eastAsia="Times New Roman" w:hint="default"/>
        </w:rPr>
        <w:t>2</w:t>
      </w:r>
      <w:r>
        <w:rPr/>
        <w:t>、限制性股票激励计划 </w:t>
      </w: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日召开第四届董事会第二十一次会议审议通过了《远光软件股份有限公司限制性股票激励计划（草案）</w:t>
      </w:r>
    </w:p>
    <w:p>
      <w:pPr>
        <w:pStyle w:val="BodyText"/>
        <w:spacing w:line="207" w:lineRule="exact" w:before="0"/>
        <w:ind w:right="0"/>
        <w:jc w:val="left"/>
      </w:pPr>
      <w:r>
        <w:rPr/>
        <w:t>及其摘要》，按照中国证监会的要求，公司已经将完整的限制性股票激励计划备案申请材料报中国证监会备案，并获证监会</w:t>
      </w:r>
    </w:p>
    <w:p>
      <w:pPr>
        <w:pStyle w:val="BodyText"/>
        <w:spacing w:line="300" w:lineRule="auto" w:before="76"/>
        <w:ind w:right="1123"/>
        <w:jc w:val="left"/>
      </w:pPr>
      <w:r>
        <w:rPr>
          <w:spacing w:val="-4"/>
        </w:rPr>
        <w:t>备案无异议。</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w:t>
      </w:r>
      <w:r>
        <w:rPr>
          <w:spacing w:val="-4"/>
        </w:rPr>
        <w:t>日公司第四届董事会第二十四次会议审议通过了《远光软件股份有限公司限制性股票激励计划（修</w:t>
      </w:r>
      <w:r>
        <w:rPr>
          <w:spacing w:val="-34"/>
        </w:rPr>
        <w:t> </w:t>
      </w:r>
      <w:r>
        <w:rPr>
          <w:spacing w:val="-34"/>
        </w:rPr>
      </w:r>
      <w:r>
        <w:rPr/>
        <w:t>订稿）》，并经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2012</w:t>
      </w:r>
      <w:r>
        <w:rPr/>
        <w:t>年第三次临时股东大会审议通过。</w:t>
      </w:r>
    </w:p>
    <w:p>
      <w:pPr>
        <w:pStyle w:val="BodyText"/>
        <w:spacing w:line="300" w:lineRule="auto" w:before="51"/>
        <w:ind w:right="1037" w:firstLine="360"/>
        <w:jc w:val="left"/>
      </w:pP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日召开第四届董事会第二十五次会议审议通过了《关于向激励对象授予限制性股票议案》，详情可参 </w:t>
      </w:r>
      <w:r>
        <w:rPr>
          <w:spacing w:val="-3"/>
        </w:rPr>
        <w:t>看</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4</w:t>
      </w:r>
      <w:r>
        <w:rPr>
          <w:spacing w:val="-3"/>
        </w:rPr>
        <w:t>日的《中国证券报》、《证券时报》及巨潮资讯网（</w:t>
      </w:r>
      <w:hyperlink r:id="rId10">
        <w:r>
          <w:rPr>
            <w:rFonts w:ascii="Times New Roman" w:hAnsi="Times New Roman" w:cs="Times New Roman" w:eastAsia="Times New Roman" w:hint="default"/>
            <w:spacing w:val="-3"/>
          </w:rPr>
          <w:t>http://www.cninfo.com.cn</w:t>
        </w:r>
      </w:hyperlink>
      <w:r>
        <w:rPr>
          <w:spacing w:val="-3"/>
        </w:rPr>
        <w:t>）的公告，公告编号：</w:t>
      </w:r>
      <w:r>
        <w:rPr>
          <w:rFonts w:ascii="Times New Roman" w:hAnsi="Times New Roman" w:cs="Times New Roman" w:eastAsia="Times New Roman" w:hint="default"/>
          <w:spacing w:val="-3"/>
        </w:rPr>
        <w:t>2012-058</w:t>
      </w:r>
      <w:r>
        <w:rPr>
          <w:spacing w:val="-3"/>
        </w:rPr>
        <w:t>。</w:t>
      </w:r>
    </w:p>
    <w:p>
      <w:pPr>
        <w:pStyle w:val="BodyText"/>
        <w:spacing w:line="350" w:lineRule="auto" w:before="53"/>
        <w:ind w:left="513" w:right="7873"/>
        <w:jc w:val="left"/>
      </w:pPr>
      <w:r>
        <w:rPr/>
        <w:t>（二）激励股份来源情况 </w:t>
      </w:r>
      <w:r>
        <w:rPr>
          <w:rFonts w:ascii="Times New Roman" w:hAnsi="Times New Roman" w:cs="Times New Roman" w:eastAsia="Times New Roman" w:hint="default"/>
        </w:rPr>
        <w:t>1</w:t>
      </w:r>
      <w:r>
        <w:rPr/>
        <w:t>、股票期权 向激励对象定向发行的公司股票 </w:t>
      </w:r>
      <w:r>
        <w:rPr>
          <w:rFonts w:ascii="Times New Roman" w:hAnsi="Times New Roman" w:cs="Times New Roman" w:eastAsia="Times New Roman" w:hint="default"/>
        </w:rPr>
        <w:t>2</w:t>
      </w:r>
      <w:r>
        <w:rPr/>
        <w:t>、限制性股票 向激励对象定向发行的公司股票</w:t>
      </w:r>
    </w:p>
    <w:p>
      <w:pPr>
        <w:pStyle w:val="BodyText"/>
        <w:spacing w:line="360" w:lineRule="auto" w:before="32"/>
        <w:ind w:left="513" w:right="1123"/>
        <w:jc w:val="left"/>
      </w:pPr>
      <w:r>
        <w:rPr/>
        <w:t>（三）激励对象考核情况 </w:t>
      </w:r>
      <w:r>
        <w:rPr>
          <w:spacing w:val="-2"/>
        </w:rPr>
        <w:t>报告期内，公司股票期权首次授予第二个行权期（预留期权第一个行权期）、首次授予第三个行权期（预留期权第二个</w:t>
      </w:r>
    </w:p>
    <w:p>
      <w:pPr>
        <w:pStyle w:val="BodyText"/>
        <w:spacing w:line="222" w:lineRule="exact" w:before="0"/>
        <w:ind w:right="1123"/>
        <w:jc w:val="left"/>
      </w:pPr>
      <w:r>
        <w:rPr/>
        <w:t>行权）可以行权，经公司独立董事、薪酬与考核委员会、监事会核查，行权激励对象绩效考核均合格，满足行权条件。</w:t>
      </w:r>
    </w:p>
    <w:p>
      <w:pPr>
        <w:pStyle w:val="BodyText"/>
        <w:spacing w:line="240" w:lineRule="auto" w:before="117"/>
        <w:ind w:left="513" w:right="1123"/>
        <w:jc w:val="left"/>
      </w:pPr>
      <w:r>
        <w:rPr/>
        <w:t>（四）激励股份授予数量及解锁情况</w:t>
      </w:r>
    </w:p>
    <w:p>
      <w:pPr>
        <w:pStyle w:val="BodyText"/>
        <w:spacing w:line="240" w:lineRule="auto" w:before="115"/>
        <w:ind w:left="513" w:right="1123"/>
        <w:jc w:val="left"/>
      </w:pPr>
      <w:r>
        <w:rPr>
          <w:rFonts w:ascii="Times New Roman" w:hAnsi="Times New Roman" w:cs="Times New Roman" w:eastAsia="Times New Roman" w:hint="default"/>
        </w:rPr>
        <w:t>1</w:t>
      </w:r>
      <w:r>
        <w:rPr/>
        <w:t>、股票期权：本报告期内无股票期权授予情况。</w:t>
      </w:r>
    </w:p>
    <w:p>
      <w:pPr>
        <w:pStyle w:val="BodyText"/>
        <w:spacing w:line="240" w:lineRule="auto" w:before="103"/>
        <w:ind w:left="513" w:right="112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、限制性股票：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日，公司授予</w:t>
      </w:r>
      <w:r>
        <w:rPr>
          <w:rFonts w:ascii="Times New Roman" w:hAnsi="Times New Roman" w:cs="Times New Roman" w:eastAsia="Times New Roman" w:hint="default"/>
        </w:rPr>
        <w:t>295</w:t>
      </w:r>
      <w:r>
        <w:rPr/>
        <w:t>名激励对象</w:t>
      </w:r>
      <w:r>
        <w:rPr>
          <w:rFonts w:ascii="Times New Roman" w:hAnsi="Times New Roman" w:cs="Times New Roman" w:eastAsia="Times New Roman" w:hint="default"/>
        </w:rPr>
        <w:t>12,494,650</w:t>
      </w:r>
      <w:r>
        <w:rPr/>
        <w:t>股限制性股票，该批限制性股票上市日期为</w:t>
      </w:r>
      <w:r>
        <w:rPr>
          <w:rFonts w:ascii="Times New Roman" w:hAnsi="Times New Roman" w:cs="Times New Roman" w:eastAsia="Times New Roman" w:hint="default"/>
        </w:rPr>
        <w:t>2013</w:t>
      </w:r>
    </w:p>
    <w:p>
      <w:pPr>
        <w:pStyle w:val="BodyText"/>
        <w:spacing w:line="240" w:lineRule="auto" w:before="62"/>
        <w:ind w:right="1123"/>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w:t>
      </w:r>
    </w:p>
    <w:p>
      <w:pPr>
        <w:pStyle w:val="BodyText"/>
        <w:spacing w:line="240" w:lineRule="auto" w:before="103"/>
        <w:ind w:left="513" w:right="1123"/>
        <w:jc w:val="left"/>
      </w:pPr>
      <w:r>
        <w:rPr/>
        <w:t>（五）股票期权授予及行权情况</w:t>
      </w:r>
    </w:p>
    <w:p>
      <w:pPr>
        <w:spacing w:after="0" w:line="240" w:lineRule="auto"/>
        <w:jc w:val="left"/>
        <w:sectPr>
          <w:footerReference w:type="default" r:id="rId21"/>
          <w:pgSz w:w="11910" w:h="16840"/>
          <w:pgMar w:footer="1340" w:header="877" w:top="1060" w:bottom="1540" w:left="980" w:right="0"/>
          <w:pgNumType w:start="32"/>
        </w:sectPr>
      </w:pPr>
    </w:p>
    <w:p>
      <w:pPr>
        <w:spacing w:line="240" w:lineRule="auto" w:before="9"/>
        <w:rPr>
          <w:rFonts w:ascii="宋体" w:hAnsi="宋体" w:cs="宋体" w:eastAsia="宋体" w:hint="default"/>
          <w:sz w:val="25"/>
          <w:szCs w:val="25"/>
        </w:rPr>
      </w:pPr>
    </w:p>
    <w:p>
      <w:pPr>
        <w:pStyle w:val="BodyText"/>
        <w:spacing w:line="240" w:lineRule="auto"/>
        <w:ind w:left="513" w:right="1123"/>
        <w:jc w:val="left"/>
      </w:pPr>
      <w:r>
        <w:rPr/>
        <w:t>本报告期无股票期权授予，共行权</w:t>
      </w:r>
      <w:r>
        <w:rPr>
          <w:rFonts w:ascii="Times New Roman" w:hAnsi="Times New Roman" w:cs="Times New Roman" w:eastAsia="Times New Roman" w:hint="default"/>
        </w:rPr>
        <w:t>2</w:t>
      </w:r>
      <w:r>
        <w:rPr/>
        <w:t>次，报告期末至本报告披露之日共行权</w:t>
      </w:r>
      <w:r>
        <w:rPr>
          <w:rFonts w:ascii="Times New Roman" w:hAnsi="Times New Roman" w:cs="Times New Roman" w:eastAsia="Times New Roman" w:hint="default"/>
        </w:rPr>
        <w:t>1</w:t>
      </w:r>
      <w:r>
        <w:rPr/>
        <w:t>次。分别为：</w:t>
      </w:r>
    </w:p>
    <w:p>
      <w:pPr>
        <w:pStyle w:val="BodyText"/>
        <w:spacing w:line="300" w:lineRule="auto" w:before="104"/>
        <w:ind w:right="113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日，首次授予第二个行权期（预留期权第一个行权期）第一次行权，共有</w:t>
      </w:r>
      <w:r>
        <w:rPr>
          <w:rFonts w:ascii="Times New Roman" w:hAnsi="Times New Roman" w:cs="Times New Roman" w:eastAsia="Times New Roman" w:hint="default"/>
        </w:rPr>
        <w:t>86</w:t>
      </w:r>
      <w:r>
        <w:rPr/>
        <w:t>名激励对象行权，行权数量 为</w:t>
      </w:r>
      <w:r>
        <w:rPr>
          <w:rFonts w:ascii="Times New Roman" w:hAnsi="Times New Roman" w:cs="Times New Roman" w:eastAsia="Times New Roman" w:hint="default"/>
        </w:rPr>
        <w:t>2,549,823</w:t>
      </w:r>
      <w:r>
        <w:rPr/>
        <w:t>份；</w:t>
      </w:r>
    </w:p>
    <w:p>
      <w:pPr>
        <w:pStyle w:val="BodyText"/>
        <w:spacing w:line="300" w:lineRule="auto" w:before="51"/>
        <w:ind w:right="1134"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日，首次授予第二个行权期（预留期权第一个行权期）第二次行权，共有</w:t>
      </w:r>
      <w:r>
        <w:rPr>
          <w:rFonts w:ascii="Times New Roman" w:hAnsi="Times New Roman" w:cs="Times New Roman" w:eastAsia="Times New Roman" w:hint="default"/>
          <w:spacing w:val="-2"/>
        </w:rPr>
        <w:t>4</w:t>
      </w:r>
      <w:r>
        <w:rPr>
          <w:spacing w:val="-2"/>
        </w:rPr>
        <w:t>名激励对象行权，行权数量</w:t>
      </w:r>
      <w:r>
        <w:rPr/>
        <w:t> 为</w:t>
      </w:r>
      <w:r>
        <w:rPr>
          <w:rFonts w:ascii="Times New Roman" w:hAnsi="Times New Roman" w:cs="Times New Roman" w:eastAsia="Times New Roman" w:hint="default"/>
        </w:rPr>
        <w:t>1,279,860</w:t>
      </w:r>
      <w:r>
        <w:rPr/>
        <w:t>份；</w:t>
      </w:r>
    </w:p>
    <w:p>
      <w:pPr>
        <w:pStyle w:val="BodyText"/>
        <w:spacing w:line="300" w:lineRule="auto" w:before="53"/>
        <w:ind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日，首次授予第三个行权期（预留期权第二个行权期）第一次行权，共有</w:t>
      </w:r>
      <w:r>
        <w:rPr>
          <w:rFonts w:ascii="Times New Roman" w:hAnsi="Times New Roman" w:cs="Times New Roman" w:eastAsia="Times New Roman" w:hint="default"/>
          <w:spacing w:val="-2"/>
        </w:rPr>
        <w:t>88</w:t>
      </w:r>
      <w:r>
        <w:rPr>
          <w:spacing w:val="-2"/>
        </w:rPr>
        <w:t>名激励对象行权，行权数量</w:t>
      </w:r>
      <w:r>
        <w:rPr/>
        <w:t> 为</w:t>
      </w:r>
      <w:r>
        <w:rPr>
          <w:spacing w:val="-19"/>
        </w:rPr>
        <w:t> </w:t>
      </w:r>
      <w:r>
        <w:rPr>
          <w:rFonts w:ascii="Times New Roman" w:hAnsi="Times New Roman" w:cs="Times New Roman" w:eastAsia="Times New Roman" w:hint="default"/>
        </w:rPr>
        <w:t>6,077,001</w:t>
      </w:r>
      <w:r>
        <w:rPr/>
        <w:t>份。</w:t>
      </w:r>
    </w:p>
    <w:p>
      <w:pPr>
        <w:pStyle w:val="BodyText"/>
        <w:spacing w:line="357" w:lineRule="auto" w:before="53"/>
        <w:ind w:left="513" w:right="1123"/>
        <w:jc w:val="left"/>
        <w:rPr>
          <w:rFonts w:ascii="Times New Roman" w:hAnsi="Times New Roman" w:cs="Times New Roman" w:eastAsia="Times New Roman" w:hint="default"/>
        </w:rPr>
      </w:pPr>
      <w:r>
        <w:rPr/>
        <w:t>（六）激励对象范围、股票期权行权价格及期权数量的调整情况及履行的程序 </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日披露了《关于调整股票期权激励计划的公告》，首次授予期权的数量由</w:t>
      </w:r>
      <w:r>
        <w:rPr>
          <w:rFonts w:ascii="Times New Roman" w:hAnsi="Times New Roman" w:cs="Times New Roman" w:eastAsia="Times New Roman" w:hint="default"/>
          <w:spacing w:val="-3"/>
        </w:rPr>
        <w:t>8,609,532</w:t>
      </w:r>
      <w:r>
        <w:rPr>
          <w:spacing w:val="-3"/>
        </w:rPr>
        <w:t>份调整为</w:t>
      </w:r>
      <w:r>
        <w:rPr>
          <w:rFonts w:ascii="Times New Roman" w:hAnsi="Times New Roman" w:cs="Times New Roman" w:eastAsia="Times New Roman" w:hint="default"/>
          <w:spacing w:val="-3"/>
        </w:rPr>
        <w:t>6,077,364</w:t>
      </w:r>
    </w:p>
    <w:p>
      <w:pPr>
        <w:pStyle w:val="BodyText"/>
        <w:spacing w:line="214" w:lineRule="exact" w:before="0"/>
        <w:ind w:right="1123"/>
        <w:jc w:val="left"/>
      </w:pPr>
      <w:r>
        <w:rPr/>
        <w:t>份，首次授予期权的激励对象由</w:t>
      </w:r>
      <w:r>
        <w:rPr>
          <w:rFonts w:ascii="Times New Roman" w:hAnsi="Times New Roman" w:cs="Times New Roman" w:eastAsia="Times New Roman" w:hint="default"/>
        </w:rPr>
        <w:t>91</w:t>
      </w:r>
      <w:r>
        <w:rPr/>
        <w:t>人调整为</w:t>
      </w:r>
      <w:r>
        <w:rPr>
          <w:rFonts w:ascii="Times New Roman" w:hAnsi="Times New Roman" w:cs="Times New Roman" w:eastAsia="Times New Roman" w:hint="default"/>
        </w:rPr>
        <w:t>90</w:t>
      </w:r>
      <w:r>
        <w:rPr/>
        <w:t>人。预留期权的份数及激励对象人数不变。</w:t>
      </w:r>
    </w:p>
    <w:p>
      <w:pPr>
        <w:pStyle w:val="BodyText"/>
        <w:spacing w:line="300" w:lineRule="auto" w:before="103"/>
        <w:ind w:right="1130" w:firstLine="360"/>
        <w:jc w:val="both"/>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日披露了《关于调整股票期权激励计划的公告》，首次授予期权的数量由</w:t>
      </w:r>
      <w:r>
        <w:rPr>
          <w:rFonts w:ascii="Times New Roman" w:hAnsi="Times New Roman" w:cs="Times New Roman" w:eastAsia="Times New Roman" w:hint="default"/>
          <w:spacing w:val="-2"/>
        </w:rPr>
        <w:t>6,077,364</w:t>
      </w:r>
      <w:r>
        <w:rPr>
          <w:spacing w:val="-2"/>
        </w:rPr>
        <w:t>份调整为</w:t>
      </w:r>
      <w:r>
        <w:rPr>
          <w:rFonts w:ascii="Times New Roman" w:hAnsi="Times New Roman" w:cs="Times New Roman" w:eastAsia="Times New Roman" w:hint="default"/>
          <w:spacing w:val="-2"/>
        </w:rPr>
        <w:t>6,057,430</w:t>
      </w:r>
      <w:r>
        <w:rPr>
          <w:rFonts w:ascii="Times New Roman" w:hAnsi="Times New Roman" w:cs="Times New Roman" w:eastAsia="Times New Roman" w:hint="default"/>
        </w:rPr>
        <w:t> </w:t>
      </w:r>
      <w:r>
        <w:rPr/>
        <w:t>份，首次授予期权的激励对象由</w:t>
      </w:r>
      <w:r>
        <w:rPr>
          <w:rFonts w:ascii="Times New Roman" w:hAnsi="Times New Roman" w:cs="Times New Roman" w:eastAsia="Times New Roman" w:hint="default"/>
        </w:rPr>
        <w:t>90</w:t>
      </w:r>
      <w:r>
        <w:rPr/>
        <w:t>人调整为</w:t>
      </w:r>
      <w:r>
        <w:rPr>
          <w:rFonts w:ascii="Times New Roman" w:hAnsi="Times New Roman" w:cs="Times New Roman" w:eastAsia="Times New Roman" w:hint="default"/>
        </w:rPr>
        <w:t>89</w:t>
      </w:r>
      <w:r>
        <w:rPr/>
        <w:t>人。预留期权的份数及激励对象人数不变。</w:t>
      </w:r>
    </w:p>
    <w:p>
      <w:pPr>
        <w:pStyle w:val="BodyText"/>
        <w:spacing w:line="240" w:lineRule="auto" w:before="54"/>
        <w:ind w:left="513" w:right="1123"/>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日披露了《关于对</w:t>
      </w:r>
      <w:r>
        <w:rPr>
          <w:rFonts w:ascii="Times New Roman" w:hAnsi="Times New Roman" w:cs="Times New Roman" w:eastAsia="Times New Roman" w:hint="default"/>
        </w:rPr>
        <w:t>&lt;</w:t>
      </w:r>
      <w:r>
        <w:rPr/>
        <w:t>股票期权激励计划</w:t>
      </w:r>
      <w:r>
        <w:rPr>
          <w:rFonts w:ascii="Times New Roman" w:hAnsi="Times New Roman" w:cs="Times New Roman" w:eastAsia="Times New Roman" w:hint="default"/>
        </w:rPr>
        <w:t>&gt;</w:t>
      </w:r>
      <w:r>
        <w:rPr/>
        <w:t>涉及的股票期权数量和行权价格进行调整的公告》，因实施</w:t>
      </w:r>
    </w:p>
    <w:p>
      <w:pPr>
        <w:pStyle w:val="BodyText"/>
        <w:spacing w:line="240" w:lineRule="auto" w:before="63"/>
        <w:ind w:right="1123"/>
        <w:jc w:val="left"/>
      </w:pPr>
      <w:r>
        <w:rPr>
          <w:rFonts w:ascii="Times New Roman" w:hAnsi="Times New Roman" w:cs="Times New Roman" w:eastAsia="Times New Roman" w:hint="default"/>
        </w:rPr>
        <w:t>2011</w:t>
      </w:r>
      <w:r>
        <w:rPr/>
        <w:t>年度利润分配方案，股票期权数量调整为</w:t>
      </w:r>
      <w:r>
        <w:rPr>
          <w:rFonts w:ascii="Times New Roman" w:hAnsi="Times New Roman" w:cs="Times New Roman" w:eastAsia="Times New Roman" w:hint="default"/>
        </w:rPr>
        <w:t>10,013,939</w:t>
      </w:r>
      <w:r>
        <w:rPr/>
        <w:t>份（其中</w:t>
      </w:r>
      <w:r>
        <w:rPr>
          <w:rFonts w:ascii="Times New Roman" w:hAnsi="Times New Roman" w:cs="Times New Roman" w:eastAsia="Times New Roman" w:hint="default"/>
        </w:rPr>
        <w:t>494,414</w:t>
      </w:r>
      <w:r>
        <w:rPr/>
        <w:t>份不再行权），其中首次授予股票期权数量为</w:t>
      </w:r>
    </w:p>
    <w:p>
      <w:pPr>
        <w:pStyle w:val="BodyText"/>
        <w:spacing w:line="300" w:lineRule="auto" w:before="63"/>
        <w:ind w:right="1123"/>
        <w:jc w:val="left"/>
      </w:pPr>
      <w:r>
        <w:rPr>
          <w:rFonts w:ascii="Times New Roman" w:hAnsi="Times New Roman" w:cs="Times New Roman" w:eastAsia="Times New Roman" w:hint="default"/>
          <w:spacing w:val="-2"/>
        </w:rPr>
        <w:t>7,874,659</w:t>
      </w:r>
      <w:r>
        <w:rPr>
          <w:spacing w:val="-2"/>
        </w:rPr>
        <w:t>份（其中</w:t>
      </w:r>
      <w:r>
        <w:rPr>
          <w:rFonts w:ascii="Times New Roman" w:hAnsi="Times New Roman" w:cs="Times New Roman" w:eastAsia="Times New Roman" w:hint="default"/>
          <w:spacing w:val="-2"/>
        </w:rPr>
        <w:t>494,414</w:t>
      </w:r>
      <w:r>
        <w:rPr>
          <w:spacing w:val="-2"/>
        </w:rPr>
        <w:t>份不再行权），预留股票期权</w:t>
      </w:r>
      <w:r>
        <w:rPr>
          <w:rFonts w:ascii="Times New Roman" w:hAnsi="Times New Roman" w:cs="Times New Roman" w:eastAsia="Times New Roman" w:hint="default"/>
          <w:spacing w:val="-2"/>
        </w:rPr>
        <w:t>2,139,280</w:t>
      </w:r>
      <w:r>
        <w:rPr>
          <w:spacing w:val="-2"/>
        </w:rPr>
        <w:t>份。首次授予股票期权的行权价格调整为</w:t>
      </w:r>
      <w:r>
        <w:rPr>
          <w:rFonts w:ascii="Times New Roman" w:hAnsi="Times New Roman" w:cs="Times New Roman" w:eastAsia="Times New Roman" w:hint="default"/>
          <w:spacing w:val="-2"/>
        </w:rPr>
        <w:t>3.09</w:t>
      </w:r>
      <w:r>
        <w:rPr>
          <w:spacing w:val="-2"/>
        </w:rPr>
        <w:t>元，预留期权</w:t>
      </w:r>
      <w:r>
        <w:rPr>
          <w:spacing w:val="-45"/>
        </w:rPr>
        <w:t> </w:t>
      </w:r>
      <w:r>
        <w:rPr>
          <w:spacing w:val="-45"/>
        </w:rPr>
      </w:r>
      <w:r>
        <w:rPr/>
        <w:t>的行权价格为</w:t>
      </w:r>
      <w:r>
        <w:rPr>
          <w:rFonts w:ascii="Times New Roman" w:hAnsi="Times New Roman" w:cs="Times New Roman" w:eastAsia="Times New Roman" w:hint="default"/>
        </w:rPr>
        <w:t>17.06</w:t>
      </w:r>
      <w:r>
        <w:rPr/>
        <w:t>元。</w:t>
      </w:r>
    </w:p>
    <w:p>
      <w:pPr>
        <w:pStyle w:val="BodyText"/>
        <w:spacing w:line="300" w:lineRule="auto" w:before="51"/>
        <w:ind w:right="1129" w:firstLine="360"/>
        <w:jc w:val="both"/>
      </w:pP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日披露了《关于调整股票期权激励计划的公告》，首次授予期权的数量由</w:t>
      </w:r>
      <w:r>
        <w:rPr>
          <w:rFonts w:ascii="Times New Roman" w:hAnsi="Times New Roman" w:cs="Times New Roman" w:eastAsia="Times New Roman" w:hint="default"/>
          <w:spacing w:val="-3"/>
        </w:rPr>
        <w:t>7,874,659</w:t>
      </w:r>
      <w:r>
        <w:rPr>
          <w:spacing w:val="-3"/>
        </w:rPr>
        <w:t>份调整为</w:t>
      </w:r>
      <w:r>
        <w:rPr>
          <w:rFonts w:ascii="Times New Roman" w:hAnsi="Times New Roman" w:cs="Times New Roman" w:eastAsia="Times New Roman" w:hint="default"/>
          <w:spacing w:val="-3"/>
        </w:rPr>
        <w:t>7,851,275</w:t>
      </w:r>
      <w:r>
        <w:rPr>
          <w:rFonts w:ascii="Times New Roman" w:hAnsi="Times New Roman" w:cs="Times New Roman" w:eastAsia="Times New Roman" w:hint="default"/>
        </w:rPr>
        <w:t> </w:t>
      </w:r>
      <w:r>
        <w:rPr>
          <w:spacing w:val="-2"/>
        </w:rPr>
        <w:t>份，首次授予期权的激励对象由</w:t>
      </w:r>
      <w:r>
        <w:rPr>
          <w:rFonts w:ascii="Times New Roman" w:hAnsi="Times New Roman" w:cs="Times New Roman" w:eastAsia="Times New Roman" w:hint="default"/>
          <w:spacing w:val="-2"/>
        </w:rPr>
        <w:t>89</w:t>
      </w:r>
      <w:r>
        <w:rPr>
          <w:spacing w:val="-2"/>
        </w:rPr>
        <w:t>人调整为</w:t>
      </w:r>
      <w:r>
        <w:rPr>
          <w:rFonts w:ascii="Times New Roman" w:hAnsi="Times New Roman" w:cs="Times New Roman" w:eastAsia="Times New Roman" w:hint="default"/>
          <w:spacing w:val="-2"/>
        </w:rPr>
        <w:t>88</w:t>
      </w:r>
      <w:r>
        <w:rPr>
          <w:spacing w:val="-2"/>
        </w:rPr>
        <w:t>人。预留期权的数量由</w:t>
      </w:r>
      <w:r>
        <w:rPr>
          <w:rFonts w:ascii="Times New Roman" w:hAnsi="Times New Roman" w:cs="Times New Roman" w:eastAsia="Times New Roman" w:hint="default"/>
          <w:spacing w:val="-2"/>
        </w:rPr>
        <w:t>2,139,280</w:t>
      </w:r>
      <w:r>
        <w:rPr>
          <w:spacing w:val="-2"/>
        </w:rPr>
        <w:t>份调整为</w:t>
      </w:r>
      <w:r>
        <w:rPr>
          <w:rFonts w:ascii="Times New Roman" w:hAnsi="Times New Roman" w:cs="Times New Roman" w:eastAsia="Times New Roman" w:hint="default"/>
          <w:spacing w:val="-2"/>
        </w:rPr>
        <w:t>2,088,636</w:t>
      </w:r>
      <w:r>
        <w:rPr>
          <w:spacing w:val="-2"/>
        </w:rPr>
        <w:t>份，预留期权的激励对象由</w:t>
      </w:r>
      <w:r>
        <w:rPr>
          <w:spacing w:val="-48"/>
        </w:rPr>
        <w:t> </w:t>
      </w:r>
      <w:r>
        <w:rPr>
          <w:spacing w:val="-48"/>
        </w:rPr>
      </w:r>
      <w:r>
        <w:rPr>
          <w:rFonts w:ascii="Times New Roman" w:hAnsi="Times New Roman" w:cs="Times New Roman" w:eastAsia="Times New Roman" w:hint="default"/>
        </w:rPr>
        <w:t>32</w:t>
      </w:r>
      <w:r>
        <w:rPr/>
        <w:t>人调整为</w:t>
      </w:r>
      <w:r>
        <w:rPr>
          <w:rFonts w:ascii="Times New Roman" w:hAnsi="Times New Roman" w:cs="Times New Roman" w:eastAsia="Times New Roman" w:hint="default"/>
        </w:rPr>
        <w:t>31</w:t>
      </w:r>
      <w:r>
        <w:rPr/>
        <w:t>人。</w:t>
      </w:r>
    </w:p>
    <w:p>
      <w:pPr>
        <w:pStyle w:val="BodyText"/>
        <w:spacing w:line="360" w:lineRule="auto" w:before="53"/>
        <w:ind w:left="513" w:right="1123"/>
        <w:jc w:val="left"/>
      </w:pPr>
      <w:r>
        <w:rPr/>
        <w:t>（七）实施股权激励计划对公司报告期内及以后各年度财务状况和经营成果的影响 </w:t>
      </w:r>
      <w:r>
        <w:rPr>
          <w:spacing w:val="-2"/>
        </w:rPr>
        <w:t>公司股票期权的公允价值为</w:t>
      </w:r>
      <w:r>
        <w:rPr>
          <w:rFonts w:ascii="Times New Roman" w:hAnsi="Times New Roman" w:cs="Times New Roman" w:eastAsia="Times New Roman" w:hint="default"/>
          <w:spacing w:val="-2"/>
        </w:rPr>
        <w:t>131,928,183.92</w:t>
      </w:r>
      <w:r>
        <w:rPr>
          <w:spacing w:val="-2"/>
        </w:rPr>
        <w:t>元，其中归属于</w:t>
      </w:r>
      <w:r>
        <w:rPr>
          <w:rFonts w:ascii="Times New Roman" w:hAnsi="Times New Roman" w:cs="Times New Roman" w:eastAsia="Times New Roman" w:hint="default"/>
          <w:spacing w:val="-2"/>
        </w:rPr>
        <w:t>2012</w:t>
      </w:r>
      <w:r>
        <w:rPr>
          <w:spacing w:val="-2"/>
        </w:rPr>
        <w:t>年度的激励费用为</w:t>
      </w:r>
      <w:r>
        <w:rPr>
          <w:rFonts w:ascii="Times New Roman" w:hAnsi="Times New Roman" w:cs="Times New Roman" w:eastAsia="Times New Roman" w:hint="default"/>
          <w:spacing w:val="-2"/>
        </w:rPr>
        <w:t>53,774,663.48</w:t>
      </w:r>
      <w:r>
        <w:rPr>
          <w:spacing w:val="-2"/>
        </w:rPr>
        <w:t>元。</w:t>
      </w:r>
      <w:r>
        <w:rPr>
          <w:rFonts w:ascii="Times New Roman" w:hAnsi="Times New Roman" w:cs="Times New Roman" w:eastAsia="Times New Roman" w:hint="default"/>
          <w:spacing w:val="-2"/>
        </w:rPr>
        <w:t>2012</w:t>
      </w:r>
      <w:r>
        <w:rPr>
          <w:spacing w:val="-2"/>
        </w:rPr>
        <w:t>年度因等待期内</w:t>
      </w:r>
    </w:p>
    <w:p>
      <w:pPr>
        <w:pStyle w:val="BodyText"/>
        <w:spacing w:line="212" w:lineRule="exact" w:before="0"/>
        <w:ind w:right="0"/>
        <w:jc w:val="left"/>
      </w:pPr>
      <w:r>
        <w:rPr/>
        <w:t>激励对象离职核销激励费用</w:t>
      </w:r>
      <w:r>
        <w:rPr>
          <w:rFonts w:ascii="Times New Roman" w:hAnsi="Times New Roman" w:cs="Times New Roman" w:eastAsia="Times New Roman" w:hint="default"/>
        </w:rPr>
        <w:t>10,895,699.52</w:t>
      </w:r>
      <w:r>
        <w:rPr/>
        <w:t>元，实际确认的激励费用为</w:t>
      </w:r>
      <w:r>
        <w:rPr>
          <w:rFonts w:ascii="Times New Roman" w:hAnsi="Times New Roman" w:cs="Times New Roman" w:eastAsia="Times New Roman" w:hint="default"/>
        </w:rPr>
        <w:t>42,878,963.96</w:t>
      </w:r>
      <w:r>
        <w:rPr/>
        <w:t>元。至此，公司股票期权的激励费用已确</w:t>
      </w:r>
    </w:p>
    <w:p>
      <w:pPr>
        <w:pStyle w:val="BodyText"/>
        <w:spacing w:line="240" w:lineRule="auto" w:before="63"/>
        <w:ind w:right="1123"/>
        <w:jc w:val="left"/>
      </w:pPr>
      <w:r>
        <w:rPr/>
        <w:t>认完毕。</w:t>
      </w:r>
    </w:p>
    <w:p>
      <w:pPr>
        <w:pStyle w:val="BodyText"/>
        <w:spacing w:line="300" w:lineRule="auto" w:before="115"/>
        <w:ind w:right="1115" w:firstLine="360"/>
        <w:jc w:val="both"/>
      </w:pPr>
      <w:r>
        <w:rPr>
          <w:rFonts w:ascii="Times New Roman" w:hAnsi="Times New Roman" w:cs="Times New Roman" w:eastAsia="Times New Roman" w:hint="default"/>
        </w:rPr>
        <w:t>2012</w:t>
      </w:r>
      <w:r>
        <w:rPr/>
        <w:t>年度授予的限制性股票的公允价值为</w:t>
      </w:r>
      <w:r>
        <w:rPr>
          <w:rFonts w:ascii="Times New Roman" w:hAnsi="Times New Roman" w:cs="Times New Roman" w:eastAsia="Times New Roman" w:hint="default"/>
        </w:rPr>
        <w:t>60,099,266.5</w:t>
      </w:r>
      <w:r>
        <w:rPr/>
        <w:t>元，其中</w:t>
      </w:r>
      <w:r>
        <w:rPr>
          <w:rFonts w:ascii="Times New Roman" w:hAnsi="Times New Roman" w:cs="Times New Roman" w:eastAsia="Times New Roman" w:hint="default"/>
        </w:rPr>
        <w:t>2012</w:t>
      </w:r>
      <w:r>
        <w:rPr/>
        <w:t>年已确认的激励费用为</w:t>
      </w:r>
      <w:r>
        <w:rPr>
          <w:rFonts w:ascii="Times New Roman" w:hAnsi="Times New Roman" w:cs="Times New Roman" w:eastAsia="Times New Roman" w:hint="default"/>
        </w:rPr>
        <w:t>3,255,376.94</w:t>
      </w:r>
      <w:r>
        <w:rPr/>
        <w:t>元。</w:t>
      </w:r>
      <w:r>
        <w:rPr>
          <w:rFonts w:ascii="Times New Roman" w:hAnsi="Times New Roman" w:cs="Times New Roman" w:eastAsia="Times New Roman" w:hint="default"/>
        </w:rPr>
        <w:t>2013</w:t>
      </w:r>
      <w:r>
        <w:rPr/>
        <w:t>年度应 </w:t>
      </w:r>
      <w:r>
        <w:rPr>
          <w:spacing w:val="16"/>
        </w:rPr>
        <w:t>确认的激励费用为</w:t>
      </w:r>
      <w:r>
        <w:rPr>
          <w:spacing w:val="-69"/>
        </w:rPr>
        <w:t> </w:t>
      </w:r>
      <w:r>
        <w:rPr>
          <w:rFonts w:ascii="Times New Roman" w:hAnsi="Times New Roman" w:cs="Times New Roman" w:eastAsia="Times New Roman" w:hint="default"/>
        </w:rPr>
        <w:t>37,061,214.34</w:t>
      </w:r>
      <w:r>
        <w:rPr>
          <w:rFonts w:ascii="Times New Roman" w:hAnsi="Times New Roman" w:cs="Times New Roman" w:eastAsia="Times New Roman" w:hint="default"/>
          <w:spacing w:val="-22"/>
        </w:rPr>
        <w:t> </w:t>
      </w:r>
      <w:r>
        <w:rPr>
          <w:spacing w:val="9"/>
        </w:rPr>
        <w:t>元，</w:t>
      </w:r>
      <w:r>
        <w:rPr>
          <w:spacing w:val="-7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spacing w:val="17"/>
        </w:rPr>
        <w:t>年度应确认的激励费用为</w:t>
      </w:r>
      <w:r>
        <w:rPr>
          <w:spacing w:val="-70"/>
        </w:rPr>
        <w:t> </w:t>
      </w:r>
      <w:r>
        <w:rPr>
          <w:rFonts w:ascii="Times New Roman" w:hAnsi="Times New Roman" w:cs="Times New Roman" w:eastAsia="Times New Roman" w:hint="default"/>
        </w:rPr>
        <w:t>14,273,575.79</w:t>
      </w:r>
      <w:r>
        <w:rPr>
          <w:rFonts w:ascii="Times New Roman" w:hAnsi="Times New Roman" w:cs="Times New Roman" w:eastAsia="Times New Roman" w:hint="default"/>
          <w:spacing w:val="-23"/>
        </w:rPr>
        <w:t> </w:t>
      </w:r>
      <w:r>
        <w:rPr>
          <w:spacing w:val="9"/>
        </w:rPr>
        <w:t>元，</w:t>
      </w:r>
      <w:r>
        <w:rPr>
          <w:spacing w:val="-7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spacing w:val="17"/>
        </w:rPr>
        <w:t>年度应确认的激励费用为</w:t>
      </w:r>
      <w:r>
        <w:rPr>
          <w:spacing w:val="-88"/>
        </w:rPr>
        <w:t> </w:t>
      </w:r>
      <w:r>
        <w:rPr>
          <w:rFonts w:ascii="Times New Roman" w:hAnsi="Times New Roman" w:cs="Times New Roman" w:eastAsia="Times New Roman" w:hint="default"/>
        </w:rPr>
        <w:t>5,509,099.43</w:t>
      </w:r>
      <w:r>
        <w:rPr/>
        <w:t>元。</w:t>
      </w:r>
    </w:p>
    <w:p>
      <w:pPr>
        <w:spacing w:line="240" w:lineRule="auto" w:before="5"/>
        <w:rPr>
          <w:rFonts w:ascii="宋体" w:hAnsi="宋体" w:cs="宋体" w:eastAsia="宋体" w:hint="default"/>
          <w:sz w:val="20"/>
          <w:szCs w:val="20"/>
        </w:rPr>
      </w:pPr>
    </w:p>
    <w:p>
      <w:pPr>
        <w:pStyle w:val="Heading2"/>
        <w:spacing w:line="240" w:lineRule="auto"/>
        <w:ind w:right="1123"/>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pict>
          <v:shape style="position:absolute;margin-left:272.209991pt;margin-top:49.343666pt;width:62.45pt;height:20pt;mso-position-horizontal-relative:page;mso-position-vertical-relative:paragraph;z-index:-896440"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before="0"/>
                    <w:ind w:left="0" w:right="0"/>
                    <w:jc w:val="left"/>
                  </w:pPr>
                  <w:r>
                    <w:rPr/>
                    <w:t>（元）</w:t>
                  </w:r>
                </w:p>
              </w:txbxContent>
            </v:textbox>
            <w10:wrap type="none"/>
          </v:shape>
        </w:pict>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6"/>
        <w:gridCol w:w="799"/>
        <w:gridCol w:w="797"/>
        <w:gridCol w:w="800"/>
        <w:gridCol w:w="799"/>
        <w:gridCol w:w="797"/>
        <w:gridCol w:w="800"/>
        <w:gridCol w:w="798"/>
        <w:gridCol w:w="798"/>
        <w:gridCol w:w="797"/>
        <w:gridCol w:w="796"/>
        <w:gridCol w:w="796"/>
      </w:tblGrid>
      <w:tr>
        <w:trPr>
          <w:trHeight w:val="102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p>
            <w:pPr>
              <w:pStyle w:val="TableParagraph"/>
              <w:spacing w:line="240" w:lineRule="auto" w:before="74"/>
              <w:ind w:left="1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4"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国电电力 发展股份 有限公司 及其子公 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非控股股 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4" w:right="41"/>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 w:right="44"/>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 w:right="43"/>
              <w:jc w:val="both"/>
              <w:rPr>
                <w:rFonts w:ascii="宋体" w:hAnsi="宋体" w:cs="宋体" w:eastAsia="宋体" w:hint="default"/>
                <w:sz w:val="18"/>
                <w:szCs w:val="18"/>
              </w:rPr>
            </w:pPr>
            <w:r>
              <w:rPr>
                <w:rFonts w:ascii="宋体" w:hAnsi="宋体" w:cs="宋体" w:eastAsia="宋体" w:hint="default"/>
                <w:sz w:val="18"/>
                <w:szCs w:val="18"/>
              </w:rPr>
              <w:t>独立核算 及公允原 则</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100,212,5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10,021.26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12.85%</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100,212,5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70"/>
              <w:ind w:left="22" w:right="41"/>
              <w:jc w:val="both"/>
              <w:rPr>
                <w:rFonts w:ascii="宋体" w:hAnsi="宋体" w:cs="宋体" w:eastAsia="宋体" w:hint="default"/>
                <w:sz w:val="18"/>
                <w:szCs w:val="18"/>
              </w:rPr>
            </w:pPr>
            <w:r>
              <w:rPr>
                <w:rFonts w:ascii="宋体" w:hAnsi="宋体" w:cs="宋体" w:eastAsia="宋体" w:hint="default"/>
                <w:sz w:val="18"/>
                <w:szCs w:val="18"/>
              </w:rPr>
              <w:t>吉林省电 力有限公 司及其子</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非控股股 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44"/>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独立核算 及公允原 则</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18,742,86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1,874.29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18,742,86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8"/>
        <w:gridCol w:w="798"/>
        <w:gridCol w:w="797"/>
        <w:gridCol w:w="796"/>
        <w:gridCol w:w="796"/>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福建省电 力有限公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非控股股 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44"/>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独立核算 及公允原 则</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8,038,650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8,038,650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12,699.42</w:t>
            </w:r>
          </w:p>
        </w:tc>
        <w:tc>
          <w:tcPr>
            <w:tcW w:w="79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16.28%</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19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shd w:val="clear" w:color="auto" w:fill="C6ECCC"/>
          </w:tcPr>
          <w:p>
            <w:pPr>
              <w:pStyle w:val="TableParagraph"/>
              <w:spacing w:line="312" w:lineRule="auto" w:before="49"/>
              <w:ind w:left="16" w:right="29"/>
              <w:jc w:val="both"/>
              <w:rPr>
                <w:rFonts w:ascii="宋体" w:hAnsi="宋体" w:cs="宋体" w:eastAsia="宋体" w:hint="default"/>
                <w:sz w:val="18"/>
                <w:szCs w:val="18"/>
              </w:rPr>
            </w:pPr>
            <w:r>
              <w:rPr>
                <w:rFonts w:ascii="宋体" w:hAnsi="宋体" w:cs="宋体" w:eastAsia="宋体" w:hint="default"/>
                <w:sz w:val="18"/>
                <w:szCs w:val="18"/>
              </w:rPr>
              <w:t>以上关联方为本公司电力行业客户、属于本公司目标市场、非本公司控股股东； 本公司产品解决方案在电力行业处于领导地位，占有接近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的市场，为关联方 的最优选择；本公司与关联方的交易是具有商业实质、基于市场价格的正常销售 业务，对于双方来说都是必要的、可持续的。</w:t>
            </w:r>
          </w:p>
        </w:tc>
      </w:tr>
      <w:tr>
        <w:trPr>
          <w:trHeight w:val="1018" w:hRule="exact"/>
        </w:trPr>
        <w:tc>
          <w:tcPr>
            <w:tcW w:w="319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vMerge/>
            <w:tcBorders>
              <w:left w:val="single" w:sz="10" w:space="0" w:color="D2D2D2"/>
              <w:right w:val="single" w:sz="4" w:space="0" w:color="000000"/>
            </w:tcBorders>
            <w:shd w:val="clear" w:color="auto" w:fill="C6ECCC"/>
          </w:tcPr>
          <w:p>
            <w:pPr/>
          </w:p>
        </w:tc>
      </w:tr>
      <w:tr>
        <w:trPr>
          <w:trHeight w:val="161" w:hRule="exact"/>
        </w:trPr>
        <w:tc>
          <w:tcPr>
            <w:tcW w:w="319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shd w:val="clear" w:color="auto" w:fill="C6ECCC"/>
          </w:tcPr>
          <w:p>
            <w:pP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关联交易占同类交易的比例为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16.28%</w:t>
            </w:r>
            <w:r>
              <w:rPr>
                <w:rFonts w:ascii="宋体" w:hAnsi="宋体" w:cs="宋体" w:eastAsia="宋体" w:hint="default"/>
                <w:sz w:val="18"/>
                <w:szCs w:val="18"/>
              </w:rPr>
              <w:t>，公司对关联方无依赖。</w:t>
            </w:r>
          </w:p>
        </w:tc>
      </w:tr>
      <w:tr>
        <w:trPr>
          <w:trHeight w:val="102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年“销售商品及提供服务”关联交易金额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16,000 </w:t>
            </w:r>
            <w:r>
              <w:rPr>
                <w:rFonts w:ascii="宋体" w:hAnsi="宋体" w:cs="宋体" w:eastAsia="宋体" w:hint="default"/>
                <w:sz w:val="18"/>
                <w:szCs w:val="18"/>
              </w:rPr>
              <w:t>万元，报告期已发生</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12,699.42 </w:t>
            </w:r>
            <w:r>
              <w:rPr>
                <w:rFonts w:ascii="宋体" w:hAnsi="宋体" w:cs="宋体" w:eastAsia="宋体" w:hint="default"/>
                <w:sz w:val="18"/>
                <w:szCs w:val="18"/>
              </w:rPr>
              <w:t>万元，占年度预计金额的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79.37%</w:t>
            </w:r>
            <w:r>
              <w:rPr>
                <w:rFonts w:ascii="宋体" w:hAnsi="宋体" w:cs="宋体" w:eastAsia="宋体" w:hint="default"/>
                <w:sz w:val="18"/>
                <w:szCs w:val="18"/>
              </w:rPr>
              <w:t>。</w:t>
            </w: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44"/>
        <w:gridCol w:w="734"/>
        <w:gridCol w:w="745"/>
        <w:gridCol w:w="734"/>
        <w:gridCol w:w="732"/>
        <w:gridCol w:w="734"/>
        <w:gridCol w:w="737"/>
        <w:gridCol w:w="734"/>
        <w:gridCol w:w="734"/>
        <w:gridCol w:w="740"/>
        <w:gridCol w:w="732"/>
        <w:gridCol w:w="730"/>
      </w:tblGrid>
      <w:tr>
        <w:trPr>
          <w:trHeight w:val="1337"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95" w:right="9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6"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6"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3"/>
        <w:gridCol w:w="1063"/>
        <w:gridCol w:w="1065"/>
        <w:gridCol w:w="1044"/>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的总资产（万</w:t>
            </w:r>
            <w:r>
              <w:rPr>
                <w:rFonts w:ascii="宋体" w:hAnsi="宋体" w:cs="宋体" w:eastAsia="宋体" w:hint="default"/>
                <w:sz w:val="18"/>
                <w:szCs w:val="18"/>
              </w:rPr>
              <w:t> 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的净资产（万</w:t>
            </w:r>
            <w:r>
              <w:rPr>
                <w:rFonts w:ascii="宋体" w:hAnsi="宋体" w:cs="宋体" w:eastAsia="宋体" w:hint="default"/>
                <w:sz w:val="18"/>
                <w:szCs w:val="18"/>
              </w:rPr>
              <w:t>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是否存在非经营性关联债权债务往来</w:t>
      </w:r>
    </w:p>
    <w:p>
      <w:pPr>
        <w:pStyle w:val="BodyText"/>
        <w:spacing w:line="240" w:lineRule="auto" w:before="117"/>
        <w:ind w:right="1123"/>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4"/>
        <w:gridCol w:w="1119"/>
        <w:gridCol w:w="1118"/>
        <w:gridCol w:w="1121"/>
        <w:gridCol w:w="1119"/>
        <w:gridCol w:w="1118"/>
        <w:gridCol w:w="1119"/>
        <w:gridCol w:w="1121"/>
      </w:tblGrid>
      <w:tr>
        <w:trPr>
          <w:trHeight w:val="1022"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4"/>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12" w:space="0" w:color="C6ECCC"/>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2"/>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406" w:hRule="exact"/>
        </w:trPr>
        <w:tc>
          <w:tcPr>
            <w:tcW w:w="1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1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183"/>
              <w:jc w:val="right"/>
              <w:rPr>
                <w:rFonts w:ascii="宋体" w:hAnsi="宋体" w:cs="宋体" w:eastAsia="宋体" w:hint="default"/>
                <w:sz w:val="18"/>
                <w:szCs w:val="18"/>
              </w:rPr>
            </w:pPr>
            <w:r>
              <w:rPr>
                <w:rFonts w:ascii="宋体" w:hAnsi="宋体" w:cs="宋体" w:eastAsia="宋体" w:hint="default"/>
                <w:sz w:val="18"/>
                <w:szCs w:val="18"/>
              </w:rPr>
              <w:t>非控股股东</w:t>
            </w:r>
          </w:p>
        </w:tc>
        <w:tc>
          <w:tcPr>
            <w:tcW w:w="111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73"/>
              <w:ind w:left="16" w:right="0"/>
              <w:jc w:val="left"/>
              <w:rPr>
                <w:rFonts w:ascii="宋体" w:hAnsi="宋体" w:cs="宋体" w:eastAsia="宋体" w:hint="default"/>
                <w:sz w:val="18"/>
                <w:szCs w:val="18"/>
              </w:rPr>
            </w:pPr>
            <w:r>
              <w:rPr>
                <w:rFonts w:ascii="宋体" w:hAnsi="宋体" w:cs="宋体" w:eastAsia="宋体" w:hint="default"/>
                <w:sz w:val="18"/>
                <w:szCs w:val="18"/>
              </w:rPr>
              <w:t>应收关联方</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3"/>
              <w:ind w:right="182"/>
              <w:jc w:val="right"/>
              <w:rPr>
                <w:rFonts w:ascii="宋体" w:hAnsi="宋体" w:cs="宋体" w:eastAsia="宋体" w:hint="default"/>
                <w:sz w:val="18"/>
                <w:szCs w:val="18"/>
              </w:rPr>
            </w:pPr>
            <w:r>
              <w:rPr>
                <w:rFonts w:ascii="宋体" w:hAnsi="宋体" w:cs="宋体" w:eastAsia="宋体" w:hint="default"/>
                <w:sz w:val="18"/>
                <w:szCs w:val="18"/>
              </w:rPr>
              <w:t>销售商品及</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7" w:right="0"/>
              <w:jc w:val="left"/>
              <w:rPr>
                <w:rFonts w:ascii="Times New Roman" w:hAnsi="Times New Roman" w:cs="Times New Roman" w:eastAsia="Times New Roman" w:hint="default"/>
                <w:sz w:val="18"/>
                <w:szCs w:val="18"/>
              </w:rPr>
            </w:pPr>
            <w:r>
              <w:rPr>
                <w:rFonts w:ascii="Times New Roman"/>
                <w:sz w:val="18"/>
              </w:rPr>
              <w:t>2,996,400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-2,398,000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3" w:right="0"/>
              <w:jc w:val="left"/>
              <w:rPr>
                <w:rFonts w:ascii="Times New Roman" w:hAnsi="Times New Roman" w:cs="Times New Roman" w:eastAsia="Times New Roman" w:hint="default"/>
                <w:sz w:val="18"/>
                <w:szCs w:val="18"/>
              </w:rPr>
            </w:pPr>
            <w:r>
              <w:rPr>
                <w:rFonts w:ascii="Times New Roman"/>
                <w:sz w:val="18"/>
              </w:rPr>
              <w:t>598,400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37"/>
        <w:gridCol w:w="1118"/>
        <w:gridCol w:w="1132"/>
        <w:gridCol w:w="1096"/>
        <w:gridCol w:w="1131"/>
        <w:gridCol w:w="1118"/>
        <w:gridCol w:w="1119"/>
        <w:gridCol w:w="1121"/>
      </w:tblGrid>
      <w:tr>
        <w:trPr>
          <w:trHeight w:val="363" w:hRule="exact"/>
        </w:trPr>
        <w:tc>
          <w:tcPr>
            <w:tcW w:w="173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32"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债权</w:t>
            </w:r>
          </w:p>
        </w:tc>
        <w:tc>
          <w:tcPr>
            <w:tcW w:w="10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131" w:type="dxa"/>
            <w:tcBorders>
              <w:top w:val="single" w:sz="4" w:space="0" w:color="000000"/>
              <w:left w:val="single" w:sz="10" w:space="0" w:color="C6ECCC"/>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37"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国电电力发展股份有 限公司及其子公司</w:t>
            </w:r>
          </w:p>
        </w:tc>
        <w:tc>
          <w:tcPr>
            <w:tcW w:w="1118" w:type="dxa"/>
            <w:tcBorders>
              <w:top w:val="single" w:sz="4" w:space="0" w:color="000000"/>
              <w:left w:val="single" w:sz="4" w:space="0" w:color="000000"/>
              <w:bottom w:val="nil" w:sz="6" w:space="0" w:color="auto"/>
              <w:right w:val="single" w:sz="4" w:space="0" w:color="000000"/>
            </w:tcBorders>
            <w:shd w:val="clear" w:color="auto" w:fill="C6ECCC"/>
          </w:tcPr>
          <w:p>
            <w:pPr/>
          </w:p>
        </w:tc>
        <w:tc>
          <w:tcPr>
            <w:tcW w:w="1132" w:type="dxa"/>
            <w:vMerge w:val="restart"/>
            <w:tcBorders>
              <w:top w:val="single" w:sz="4" w:space="0" w:color="000000"/>
              <w:left w:val="single" w:sz="10" w:space="0" w:color="C6ECCC"/>
              <w:right w:val="single" w:sz="14" w:space="0" w:color="C6ECCC"/>
            </w:tcBorders>
          </w:tcPr>
          <w:p>
            <w:pPr>
              <w:pStyle w:val="TableParagraph"/>
              <w:spacing w:line="316" w:lineRule="auto" w:before="49"/>
              <w:ind w:left="16"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096"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13" w:right="170"/>
              <w:jc w:val="left"/>
              <w:rPr>
                <w:rFonts w:ascii="宋体" w:hAnsi="宋体" w:cs="宋体" w:eastAsia="宋体" w:hint="default"/>
                <w:sz w:val="18"/>
                <w:szCs w:val="18"/>
              </w:rPr>
            </w:pPr>
            <w:r>
              <w:rPr>
                <w:rFonts w:ascii="宋体" w:hAnsi="宋体" w:cs="宋体" w:eastAsia="宋体" w:hint="default"/>
                <w:sz w:val="18"/>
                <w:szCs w:val="18"/>
              </w:rPr>
              <w:t>销售商品及 提供服务</w:t>
            </w:r>
          </w:p>
        </w:tc>
        <w:tc>
          <w:tcPr>
            <w:tcW w:w="1131" w:type="dxa"/>
            <w:vMerge w:val="restart"/>
            <w:tcBorders>
              <w:top w:val="single" w:sz="4" w:space="0" w:color="000000"/>
              <w:left w:val="single" w:sz="10" w:space="0" w:color="C6EC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5,100</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13,536,961.4</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13,542,061.4</w:t>
            </w:r>
          </w:p>
        </w:tc>
      </w:tr>
      <w:tr>
        <w:trPr>
          <w:trHeight w:val="391" w:hRule="exact"/>
        </w:trPr>
        <w:tc>
          <w:tcPr>
            <w:tcW w:w="1737" w:type="dxa"/>
            <w:vMerge/>
            <w:tcBorders>
              <w:left w:val="single" w:sz="4" w:space="0" w:color="000000"/>
              <w:right w:val="single" w:sz="4" w:space="0" w:color="000000"/>
            </w:tcBorders>
            <w:shd w:val="clear" w:color="auto" w:fill="C6ECCC"/>
          </w:tcPr>
          <w:p>
            <w:pPr/>
          </w:p>
        </w:tc>
        <w:tc>
          <w:tcPr>
            <w:tcW w:w="111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132" w:type="dxa"/>
            <w:vMerge/>
            <w:tcBorders>
              <w:left w:val="single" w:sz="10" w:space="0" w:color="C6ECCC"/>
              <w:right w:val="single" w:sz="14" w:space="0" w:color="C6ECCC"/>
            </w:tcBorders>
          </w:tcPr>
          <w:p>
            <w:pPr/>
          </w:p>
        </w:tc>
        <w:tc>
          <w:tcPr>
            <w:tcW w:w="1096" w:type="dxa"/>
            <w:vMerge/>
            <w:tcBorders>
              <w:left w:val="single" w:sz="4" w:space="0" w:color="000000"/>
              <w:right w:val="single" w:sz="4" w:space="0" w:color="000000"/>
            </w:tcBorders>
            <w:shd w:val="clear" w:color="auto" w:fill="C6ECCC"/>
          </w:tcPr>
          <w:p>
            <w:pPr/>
          </w:p>
        </w:tc>
        <w:tc>
          <w:tcPr>
            <w:tcW w:w="1131" w:type="dxa"/>
            <w:vMerge/>
            <w:tcBorders>
              <w:left w:val="single" w:sz="10" w:space="0" w:color="C6ECCC"/>
              <w:right w:val="single" w:sz="4" w:space="0" w:color="000000"/>
            </w:tcBorders>
          </w:tcPr>
          <w:p>
            <w:pPr/>
          </w:p>
        </w:tc>
        <w:tc>
          <w:tcPr>
            <w:tcW w:w="1118"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r>
      <w:tr>
        <w:trPr>
          <w:trHeight w:val="161" w:hRule="exact"/>
        </w:trPr>
        <w:tc>
          <w:tcPr>
            <w:tcW w:w="1737" w:type="dxa"/>
            <w:vMerge/>
            <w:tcBorders>
              <w:left w:val="single" w:sz="4" w:space="0" w:color="000000"/>
              <w:bottom w:val="single" w:sz="4" w:space="0" w:color="000000"/>
              <w:right w:val="single" w:sz="4" w:space="0" w:color="000000"/>
            </w:tcBorders>
            <w:shd w:val="clear" w:color="auto" w:fill="C6ECCC"/>
          </w:tcPr>
          <w:p>
            <w:pPr/>
          </w:p>
        </w:tc>
        <w:tc>
          <w:tcPr>
            <w:tcW w:w="1118" w:type="dxa"/>
            <w:tcBorders>
              <w:top w:val="nil" w:sz="6" w:space="0" w:color="auto"/>
              <w:left w:val="single" w:sz="4" w:space="0" w:color="000000"/>
              <w:bottom w:val="single" w:sz="4" w:space="0" w:color="000000"/>
              <w:right w:val="single" w:sz="4" w:space="0" w:color="000000"/>
            </w:tcBorders>
            <w:shd w:val="clear" w:color="auto" w:fill="C6ECCC"/>
          </w:tcPr>
          <w:p>
            <w:pPr/>
          </w:p>
        </w:tc>
        <w:tc>
          <w:tcPr>
            <w:tcW w:w="1132" w:type="dxa"/>
            <w:vMerge/>
            <w:tcBorders>
              <w:left w:val="single" w:sz="10" w:space="0" w:color="C6ECCC"/>
              <w:bottom w:val="single" w:sz="4" w:space="0" w:color="000000"/>
              <w:right w:val="single" w:sz="14" w:space="0" w:color="C6ECCC"/>
            </w:tcBorders>
          </w:tcPr>
          <w:p>
            <w:pPr/>
          </w:p>
        </w:tc>
        <w:tc>
          <w:tcPr>
            <w:tcW w:w="1096" w:type="dxa"/>
            <w:vMerge/>
            <w:tcBorders>
              <w:left w:val="single" w:sz="4" w:space="0" w:color="000000"/>
              <w:bottom w:val="single" w:sz="4" w:space="0" w:color="000000"/>
              <w:right w:val="single" w:sz="4" w:space="0" w:color="000000"/>
            </w:tcBorders>
            <w:shd w:val="clear" w:color="auto" w:fill="C6ECCC"/>
          </w:tcPr>
          <w:p>
            <w:pPr/>
          </w:p>
        </w:tc>
        <w:tc>
          <w:tcPr>
            <w:tcW w:w="1131" w:type="dxa"/>
            <w:vMerge/>
            <w:tcBorders>
              <w:left w:val="single" w:sz="10" w:space="0" w:color="C6EC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r>
      <w:tr>
        <w:trPr>
          <w:trHeight w:val="161" w:hRule="exact"/>
        </w:trPr>
        <w:tc>
          <w:tcPr>
            <w:tcW w:w="1737"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吉林省电力有限公司 及其子公司</w:t>
            </w:r>
          </w:p>
        </w:tc>
        <w:tc>
          <w:tcPr>
            <w:tcW w:w="1118" w:type="dxa"/>
            <w:tcBorders>
              <w:top w:val="single" w:sz="4" w:space="0" w:color="000000"/>
              <w:left w:val="single" w:sz="4" w:space="0" w:color="000000"/>
              <w:bottom w:val="nil" w:sz="6" w:space="0" w:color="auto"/>
              <w:right w:val="single" w:sz="4" w:space="0" w:color="000000"/>
            </w:tcBorders>
            <w:shd w:val="clear" w:color="auto" w:fill="C6ECCC"/>
          </w:tcPr>
          <w:p>
            <w:pPr/>
          </w:p>
        </w:tc>
        <w:tc>
          <w:tcPr>
            <w:tcW w:w="1132" w:type="dxa"/>
            <w:vMerge w:val="restart"/>
            <w:tcBorders>
              <w:top w:val="single" w:sz="4" w:space="0" w:color="000000"/>
              <w:left w:val="single" w:sz="10" w:space="0" w:color="C6ECCC"/>
              <w:right w:val="single" w:sz="14" w:space="0" w:color="C6ECCC"/>
            </w:tcBorders>
          </w:tcPr>
          <w:p>
            <w:pPr>
              <w:pStyle w:val="TableParagraph"/>
              <w:spacing w:line="316" w:lineRule="auto" w:before="49"/>
              <w:ind w:left="16"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096"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13" w:right="170"/>
              <w:jc w:val="left"/>
              <w:rPr>
                <w:rFonts w:ascii="宋体" w:hAnsi="宋体" w:cs="宋体" w:eastAsia="宋体" w:hint="default"/>
                <w:sz w:val="18"/>
                <w:szCs w:val="18"/>
              </w:rPr>
            </w:pPr>
            <w:r>
              <w:rPr>
                <w:rFonts w:ascii="宋体" w:hAnsi="宋体" w:cs="宋体" w:eastAsia="宋体" w:hint="default"/>
                <w:sz w:val="18"/>
                <w:szCs w:val="18"/>
              </w:rPr>
              <w:t>销售商品及 提供服务</w:t>
            </w:r>
          </w:p>
        </w:tc>
        <w:tc>
          <w:tcPr>
            <w:tcW w:w="1131" w:type="dxa"/>
            <w:vMerge w:val="restart"/>
            <w:tcBorders>
              <w:top w:val="single" w:sz="4" w:space="0" w:color="000000"/>
              <w:left w:val="single" w:sz="10" w:space="0" w:color="C6EC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3,077,770</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3,507,230</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6,585,000</w:t>
            </w:r>
          </w:p>
        </w:tc>
      </w:tr>
      <w:tr>
        <w:trPr>
          <w:trHeight w:val="394" w:hRule="exact"/>
        </w:trPr>
        <w:tc>
          <w:tcPr>
            <w:tcW w:w="1737" w:type="dxa"/>
            <w:vMerge/>
            <w:tcBorders>
              <w:left w:val="single" w:sz="4" w:space="0" w:color="000000"/>
              <w:right w:val="single" w:sz="4" w:space="0" w:color="000000"/>
            </w:tcBorders>
            <w:shd w:val="clear" w:color="auto" w:fill="C6ECCC"/>
          </w:tcPr>
          <w:p>
            <w:pPr/>
          </w:p>
        </w:tc>
        <w:tc>
          <w:tcPr>
            <w:tcW w:w="111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132" w:type="dxa"/>
            <w:vMerge/>
            <w:tcBorders>
              <w:left w:val="single" w:sz="10" w:space="0" w:color="C6ECCC"/>
              <w:right w:val="single" w:sz="14" w:space="0" w:color="C6ECCC"/>
            </w:tcBorders>
          </w:tcPr>
          <w:p>
            <w:pPr/>
          </w:p>
        </w:tc>
        <w:tc>
          <w:tcPr>
            <w:tcW w:w="1096" w:type="dxa"/>
            <w:vMerge/>
            <w:tcBorders>
              <w:left w:val="single" w:sz="4" w:space="0" w:color="000000"/>
              <w:right w:val="single" w:sz="4" w:space="0" w:color="000000"/>
            </w:tcBorders>
            <w:shd w:val="clear" w:color="auto" w:fill="C6ECCC"/>
          </w:tcPr>
          <w:p>
            <w:pPr/>
          </w:p>
        </w:tc>
        <w:tc>
          <w:tcPr>
            <w:tcW w:w="1131" w:type="dxa"/>
            <w:vMerge/>
            <w:tcBorders>
              <w:left w:val="single" w:sz="10" w:space="0" w:color="C6ECCC"/>
              <w:right w:val="single" w:sz="4" w:space="0" w:color="000000"/>
            </w:tcBorders>
          </w:tcPr>
          <w:p>
            <w:pPr/>
          </w:p>
        </w:tc>
        <w:tc>
          <w:tcPr>
            <w:tcW w:w="1118"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r>
      <w:tr>
        <w:trPr>
          <w:trHeight w:val="161" w:hRule="exact"/>
        </w:trPr>
        <w:tc>
          <w:tcPr>
            <w:tcW w:w="1737" w:type="dxa"/>
            <w:vMerge/>
            <w:tcBorders>
              <w:left w:val="single" w:sz="4" w:space="0" w:color="000000"/>
              <w:bottom w:val="single" w:sz="4" w:space="0" w:color="000000"/>
              <w:right w:val="single" w:sz="4" w:space="0" w:color="000000"/>
            </w:tcBorders>
            <w:shd w:val="clear" w:color="auto" w:fill="C6ECCC"/>
          </w:tcPr>
          <w:p>
            <w:pPr/>
          </w:p>
        </w:tc>
        <w:tc>
          <w:tcPr>
            <w:tcW w:w="1118" w:type="dxa"/>
            <w:tcBorders>
              <w:top w:val="nil" w:sz="6" w:space="0" w:color="auto"/>
              <w:left w:val="single" w:sz="4" w:space="0" w:color="000000"/>
              <w:bottom w:val="single" w:sz="4" w:space="0" w:color="000000"/>
              <w:right w:val="single" w:sz="4" w:space="0" w:color="000000"/>
            </w:tcBorders>
            <w:shd w:val="clear" w:color="auto" w:fill="C6ECCC"/>
          </w:tcPr>
          <w:p>
            <w:pPr/>
          </w:p>
        </w:tc>
        <w:tc>
          <w:tcPr>
            <w:tcW w:w="1132" w:type="dxa"/>
            <w:vMerge/>
            <w:tcBorders>
              <w:left w:val="single" w:sz="10" w:space="0" w:color="C6ECCC"/>
              <w:bottom w:val="single" w:sz="4" w:space="0" w:color="000000"/>
              <w:right w:val="single" w:sz="14" w:space="0" w:color="C6ECCC"/>
            </w:tcBorders>
          </w:tcPr>
          <w:p>
            <w:pPr/>
          </w:p>
        </w:tc>
        <w:tc>
          <w:tcPr>
            <w:tcW w:w="1096" w:type="dxa"/>
            <w:vMerge/>
            <w:tcBorders>
              <w:left w:val="single" w:sz="4" w:space="0" w:color="000000"/>
              <w:bottom w:val="single" w:sz="4" w:space="0" w:color="000000"/>
              <w:right w:val="single" w:sz="4" w:space="0" w:color="000000"/>
            </w:tcBorders>
            <w:shd w:val="clear" w:color="auto" w:fill="C6ECCC"/>
          </w:tcPr>
          <w:p>
            <w:pPr/>
          </w:p>
        </w:tc>
        <w:tc>
          <w:tcPr>
            <w:tcW w:w="1131" w:type="dxa"/>
            <w:vMerge/>
            <w:tcBorders>
              <w:left w:val="single" w:sz="10" w:space="0" w:color="C6EC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r>
      <w:tr>
        <w:trPr>
          <w:trHeight w:val="1025" w:hRule="exact"/>
        </w:trPr>
        <w:tc>
          <w:tcPr>
            <w:tcW w:w="2855" w:type="dxa"/>
            <w:gridSpan w:val="2"/>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6"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应收关联方债权金额为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14,140,461.40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元，占应收账款的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7.49%</w:t>
            </w:r>
            <w:r>
              <w:rPr>
                <w:rFonts w:ascii="宋体" w:hAnsi="宋体" w:cs="宋体" w:eastAsia="宋体" w:hint="default"/>
                <w:sz w:val="18"/>
                <w:szCs w:val="18"/>
              </w:rPr>
              <w:t>，应付关联方债务的金 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6,585,000.00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元，占预收款项的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20.35%</w:t>
            </w:r>
            <w:r>
              <w:rPr>
                <w:rFonts w:ascii="宋体" w:hAnsi="宋体" w:cs="宋体" w:eastAsia="宋体" w:hint="default"/>
                <w:sz w:val="18"/>
                <w:szCs w:val="18"/>
              </w:rPr>
              <w:t>，对公司的经营成果及财务状况无重大影 响。</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7514"/>
        <w:jc w:val="left"/>
      </w:pPr>
      <w:r>
        <w:rPr/>
        <w:t>无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58"/>
        <w:gridCol w:w="2650"/>
        <w:gridCol w:w="3449"/>
      </w:tblGrid>
      <w:tr>
        <w:trPr>
          <w:trHeight w:val="402"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5"/>
        <w:rPr>
          <w:rFonts w:ascii="宋体" w:hAnsi="宋体" w:cs="宋体" w:eastAsia="宋体" w:hint="default"/>
          <w:sz w:val="19"/>
          <w:szCs w:val="19"/>
        </w:rPr>
      </w:pPr>
    </w:p>
    <w:p>
      <w:pPr>
        <w:pStyle w:val="Heading2"/>
        <w:spacing w:line="240" w:lineRule="auto" w:before="26"/>
        <w:ind w:right="1123"/>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9674"/>
        <w:jc w:val="left"/>
      </w:pPr>
      <w:r>
        <w:rPr/>
        <w:t>托管情况说明 无</w:t>
      </w:r>
    </w:p>
    <w:p>
      <w:pPr>
        <w:pStyle w:val="BodyText"/>
        <w:spacing w:line="240" w:lineRule="auto" w:before="29"/>
        <w:ind w:right="112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9674"/>
        <w:jc w:val="left"/>
      </w:pPr>
      <w:r>
        <w:rPr/>
        <w:t>承包情况说明 无</w:t>
      </w:r>
    </w:p>
    <w:p>
      <w:pPr>
        <w:pStyle w:val="BodyText"/>
        <w:spacing w:line="240" w:lineRule="auto" w:before="27"/>
        <w:ind w:right="112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9674"/>
        <w:jc w:val="left"/>
      </w:pPr>
      <w:r>
        <w:rPr/>
        <w:t>租赁情况说明 无</w:t>
      </w:r>
    </w:p>
    <w:p>
      <w:pPr>
        <w:pStyle w:val="BodyText"/>
        <w:spacing w:line="240" w:lineRule="auto" w:before="29"/>
        <w:ind w:right="112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23"/>
        <w:jc w:val="left"/>
      </w:pPr>
      <w:r>
        <w:rPr/>
        <w:t>□ 适用 √</w:t>
      </w:r>
      <w:r>
        <w:rPr>
          <w:spacing w:val="3"/>
        </w:rPr>
        <w:t> </w:t>
      </w:r>
      <w:r>
        <w:rPr/>
        <w:t>不适用</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49"/>
        <w:ind w:right="8054"/>
        <w:jc w:val="left"/>
      </w:pPr>
      <w:r>
        <w:rPr/>
        <w:t>采用复合方式担保的具体情况说明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15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pict>
          <v:shape style="position:absolute;margin-left:154.216995pt;margin-top:82.373665pt;width:75.150pt;height:17.650pt;mso-position-horizontal-relative:page;mso-position-vertical-relative:paragraph;z-index:-896416" type="#_x0000_t202" filled="false" stroked="false">
            <v:textbox inset="0,0,0,0">
              <w:txbxContent>
                <w:p>
                  <w:pPr>
                    <w:pStyle w:val="BodyText"/>
                    <w:spacing w:line="240" w:lineRule="auto" w:before="8"/>
                    <w:ind w:left="0" w:right="0"/>
                    <w:jc w:val="left"/>
                  </w:pPr>
                  <w:r>
                    <w:rPr/>
                    <w:t>（如有）</w:t>
                  </w:r>
                </w:p>
              </w:txbxContent>
            </v:textbox>
            <w10:wrap type="none"/>
          </v:shape>
        </w:pict>
      </w:r>
      <w:r>
        <w:rPr/>
        <w:pict>
          <v:shape style="position:absolute;margin-left:197.777008pt;margin-top:74.573669pt;width:75.05pt;height:20pt;mso-position-horizontal-relative:page;mso-position-vertical-relative:paragraph;z-index:-896392"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before="0"/>
                    <w:ind w:left="0" w:right="0"/>
                    <w:jc w:val="left"/>
                  </w:pPr>
                  <w:r>
                    <w:rPr/>
                    <w:t>（如有）</w:t>
                  </w:r>
                </w:p>
              </w:txbxContent>
            </v:textbox>
            <w10:wrap type="none"/>
          </v:shape>
        </w:pict>
      </w:r>
      <w:r>
        <w:rPr/>
        <w:pict>
          <v:shape style="position:absolute;margin-left:275.690002pt;margin-top:57.053669pt;width:84.05pt;height:21.95pt;mso-position-horizontal-relative:page;mso-position-vertical-relative:paragraph;z-index:-896368" type="#_x0000_t202" filled="false" stroked="false">
            <v:textbox inset="0,0,0,0">
              <w:txbxContent>
                <w:p>
                  <w:pPr>
                    <w:spacing w:line="240" w:lineRule="auto" w:before="6"/>
                    <w:rPr>
                      <w:rFonts w:ascii="宋体" w:hAnsi="宋体" w:cs="宋体" w:eastAsia="宋体" w:hint="default"/>
                      <w:b/>
                      <w:bCs/>
                      <w:sz w:val="15"/>
                      <w:szCs w:val="15"/>
                    </w:rPr>
                  </w:pPr>
                </w:p>
                <w:p>
                  <w:pPr>
                    <w:pStyle w:val="BodyText"/>
                    <w:spacing w:line="240" w:lineRule="auto" w:before="0"/>
                    <w:ind w:left="0" w:right="0"/>
                    <w:jc w:val="left"/>
                  </w:pPr>
                  <w:r>
                    <w:rPr/>
                    <w:t>日（如有）</w:t>
                  </w:r>
                </w:p>
              </w:txbxContent>
            </v:textbox>
            <w10:wrap type="none"/>
          </v:shape>
        </w:pict>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133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bl>
    <w:p>
      <w:pPr>
        <w:spacing w:after="0" w:line="316" w:lineRule="auto"/>
        <w:jc w:val="both"/>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b/>
          <w:bCs/>
          <w:sz w:val="23"/>
          <w:szCs w:val="23"/>
        </w:rPr>
      </w:pPr>
      <w:r>
        <w:rPr/>
        <w:pict>
          <v:shape style="position:absolute;margin-left:336.429993pt;margin-top:636.219971pt;width:71.2pt;height:101.4pt;mso-position-horizontal-relative:page;mso-position-vertical-relative:page;z-index:-896344" type="#_x0000_t202" filled="false" stroked="false">
            <v:textbox inset="0,0,0,0">
              <w:txbxContent>
                <w:p>
                  <w:pPr>
                    <w:pStyle w:val="BodyText"/>
                    <w:spacing w:line="240" w:lineRule="auto" w:before="123"/>
                    <w:ind w:left="0" w:right="0"/>
                    <w:jc w:val="left"/>
                  </w:pPr>
                  <w:r>
                    <w:rPr/>
                    <w:t>。</w:t>
                  </w:r>
                </w:p>
              </w:txbxContent>
            </v:textbox>
            <w10:wrap type="none"/>
          </v:shape>
        </w:pict>
      </w:r>
      <w:r>
        <w:rPr/>
        <w:pict>
          <v:group style="position:absolute;margin-left:344.230011pt;margin-top:636.219971pt;width:63.4pt;height:101.4pt;mso-position-horizontal-relative:page;mso-position-vertical-relative:page;z-index:-896320" coordorigin="6885,12724" coordsize="1268,2028">
            <v:shape style="position:absolute;left:6885;top:12724;width:1268;height:2028" coordorigin="6885,12724" coordsize="1268,2028" path="m6885,14752l8152,14752,8152,12724,6885,12724,6885,14752xe" filled="true" fillcolor="#ffffff" stroked="false">
              <v:path arrowok="t"/>
              <v:fill type="solid"/>
            </v:shape>
            <w10:wrap type="none"/>
          </v:group>
        </w:pict>
      </w:r>
    </w:p>
    <w:p>
      <w:pPr>
        <w:pStyle w:val="Heading2"/>
        <w:spacing w:line="240" w:lineRule="auto" w:before="26"/>
        <w:ind w:right="1123"/>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9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14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316" w:lineRule="auto"/>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陈利浩、黄建元</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标的股权过户 </w:t>
            </w:r>
            <w:r>
              <w:rPr>
                <w:rFonts w:ascii="宋体" w:hAnsi="宋体" w:cs="宋体" w:eastAsia="宋体" w:hint="default"/>
                <w:spacing w:val="-6"/>
                <w:sz w:val="18"/>
                <w:szCs w:val="18"/>
              </w:rPr>
              <w:t>完成后，乙方减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持远光软件，将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遵守相关法律 </w:t>
            </w:r>
            <w:r>
              <w:rPr>
                <w:rFonts w:ascii="宋体" w:hAnsi="宋体" w:cs="宋体" w:eastAsia="宋体" w:hint="default"/>
                <w:spacing w:val="-6"/>
                <w:sz w:val="18"/>
                <w:szCs w:val="18"/>
              </w:rPr>
              <w:t>法规的规定。即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年内离 </w:t>
            </w:r>
            <w:r>
              <w:rPr>
                <w:rFonts w:ascii="宋体" w:hAnsi="宋体" w:cs="宋体" w:eastAsia="宋体" w:hint="default"/>
                <w:spacing w:val="-6"/>
                <w:sz w:val="18"/>
                <w:szCs w:val="18"/>
              </w:rPr>
              <w:t>职，也将遵守现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行相关法律法 规对公司董事、 </w:t>
            </w:r>
            <w:r>
              <w:rPr>
                <w:rFonts w:ascii="宋体" w:hAnsi="宋体" w:cs="宋体" w:eastAsia="宋体" w:hint="default"/>
                <w:spacing w:val="-6"/>
                <w:sz w:val="18"/>
                <w:szCs w:val="18"/>
              </w:rPr>
              <w:t>监事、高级管理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人员所持本公 司股份变动管 理的要求。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17"/>
              <w:jc w:val="left"/>
              <w:rPr>
                <w:rFonts w:ascii="宋体" w:hAnsi="宋体" w:cs="宋体" w:eastAsia="宋体" w:hint="default"/>
                <w:sz w:val="18"/>
                <w:szCs w:val="18"/>
              </w:rPr>
            </w:pPr>
            <w:r>
              <w:rPr>
                <w:rFonts w:ascii="宋体" w:hAnsi="宋体" w:cs="宋体" w:eastAsia="宋体" w:hint="default"/>
                <w:sz w:val="18"/>
                <w:szCs w:val="18"/>
              </w:rPr>
              <w:t>标的股权过户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年，即</w:t>
            </w:r>
          </w:p>
          <w:p>
            <w:pPr>
              <w:pStyle w:val="TableParagraph"/>
              <w:spacing w:line="24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人严格履行了 该承诺。</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珠海市东区荣 光科技有限公 司（现</w:t>
            </w:r>
            <w:r>
              <w:rPr>
                <w:rFonts w:ascii="Times New Roman" w:hAnsi="Times New Roman" w:cs="Times New Roman" w:eastAsia="Times New Roman" w:hint="default"/>
                <w:sz w:val="18"/>
                <w:szCs w:val="18"/>
              </w:rPr>
              <w:t>“</w:t>
            </w:r>
            <w:r>
              <w:rPr>
                <w:rFonts w:ascii="宋体" w:hAnsi="宋体" w:cs="宋体" w:eastAsia="宋体" w:hint="default"/>
                <w:sz w:val="18"/>
                <w:szCs w:val="18"/>
              </w:rPr>
              <w:t>林芝地 区荣光科技有 </w:t>
            </w:r>
            <w:r>
              <w:rPr>
                <w:rFonts w:ascii="宋体" w:hAnsi="宋体" w:cs="宋体" w:eastAsia="宋体" w:hint="default"/>
                <w:spacing w:val="-16"/>
                <w:w w:val="100"/>
                <w:sz w:val="18"/>
                <w:szCs w:val="18"/>
              </w:rPr>
              <w:t>限公司</w:t>
            </w:r>
            <w:r>
              <w:rPr>
                <w:rFonts w:ascii="Times New Roman" w:hAnsi="Times New Roman" w:cs="Times New Roman" w:eastAsia="Times New Roman" w:hint="default"/>
                <w:spacing w:val="-16"/>
                <w:w w:val="100"/>
                <w:sz w:val="18"/>
                <w:szCs w:val="18"/>
              </w:rPr>
              <w:t>”</w:t>
            </w:r>
            <w:r>
              <w:rPr>
                <w:rFonts w:ascii="宋体" w:hAnsi="宋体" w:cs="宋体" w:eastAsia="宋体" w:hint="default"/>
                <w:spacing w:val="-16"/>
                <w:w w:val="100"/>
                <w:sz w:val="18"/>
                <w:szCs w:val="18"/>
              </w:rPr>
              <w:t>）、陈利</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浩</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人严格履行了 该承诺。</w:t>
            </w:r>
          </w:p>
        </w:tc>
      </w:tr>
      <w:tr>
        <w:trPr>
          <w:trHeight w:val="4769"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7"/>
                <w:sz w:val="18"/>
                <w:szCs w:val="18"/>
              </w:rPr>
              <w:t>陈利浩、林芝地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区荣光科技有 </w:t>
            </w:r>
            <w:r>
              <w:rPr>
                <w:rFonts w:ascii="宋体" w:hAnsi="宋体" w:cs="宋体" w:eastAsia="宋体" w:hint="default"/>
                <w:spacing w:val="-7"/>
                <w:sz w:val="18"/>
                <w:szCs w:val="18"/>
              </w:rPr>
              <w:t>限公司、黄建元</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陈利浩承诺：</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日前不减持所 </w:t>
            </w:r>
            <w:r>
              <w:rPr>
                <w:rFonts w:ascii="宋体" w:hAnsi="宋体" w:cs="宋体" w:eastAsia="宋体" w:hint="default"/>
                <w:spacing w:val="-6"/>
                <w:sz w:val="18"/>
                <w:szCs w:val="18"/>
              </w:rPr>
              <w:t>持公司股份。林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芝地区荣光科 技有限公司承 诺：</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309" w:lineRule="auto"/>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日前减持 不超过所持公 司股份的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黄建元承诺：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p>
          <w:p>
            <w:pPr>
              <w:pStyle w:val="TableParagraph"/>
              <w:spacing w:line="309" w:lineRule="auto" w:before="5"/>
              <w:ind w:left="23" w:right="25"/>
              <w:jc w:val="left"/>
              <w:rPr>
                <w:rFonts w:ascii="宋体" w:hAnsi="宋体" w:cs="宋体" w:eastAsia="宋体" w:hint="default"/>
                <w:sz w:val="18"/>
                <w:szCs w:val="18"/>
              </w:rPr>
            </w:pPr>
            <w:r>
              <w:rPr>
                <w:rFonts w:ascii="宋体" w:hAnsi="宋体" w:cs="宋体" w:eastAsia="宋体" w:hint="default"/>
                <w:sz w:val="18"/>
                <w:szCs w:val="18"/>
              </w:rPr>
              <w:t>日前减持公司 股份不超过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290 </w:t>
            </w:r>
            <w:r>
              <w:rPr>
                <w:rFonts w:ascii="宋体" w:hAnsi="宋体" w:cs="宋体" w:eastAsia="宋体" w:hint="default"/>
                <w:sz w:val="18"/>
                <w:szCs w:val="18"/>
              </w:rPr>
              <w:t>万股。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人严格履行了 该承诺。</w:t>
            </w:r>
          </w:p>
        </w:tc>
      </w:tr>
      <w:tr>
        <w:trPr>
          <w:trHeight w:val="362"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陈利浩、林芝地</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陈利浩承诺：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31"/>
              <w:jc w:val="center"/>
              <w:rPr>
                <w:rFonts w:ascii="宋体" w:hAnsi="宋体" w:cs="宋体" w:eastAsia="宋体" w:hint="default"/>
                <w:sz w:val="18"/>
                <w:szCs w:val="18"/>
              </w:rPr>
            </w:pPr>
            <w:r>
              <w:rPr>
                <w:rFonts w:ascii="宋体" w:hAnsi="宋体" w:cs="宋体" w:eastAsia="宋体" w:hint="default"/>
                <w:sz w:val="18"/>
                <w:szCs w:val="18"/>
              </w:rPr>
              <w:t>截止本报告披</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71"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4" w:right="158"/>
              <w:jc w:val="left"/>
              <w:rPr>
                <w:rFonts w:ascii="宋体" w:hAnsi="宋体" w:cs="宋体" w:eastAsia="宋体" w:hint="default"/>
                <w:sz w:val="18"/>
                <w:szCs w:val="18"/>
              </w:rPr>
            </w:pPr>
            <w:r>
              <w:rPr>
                <w:rFonts w:ascii="宋体" w:hAnsi="宋体" w:cs="宋体" w:eastAsia="宋体" w:hint="default"/>
                <w:sz w:val="18"/>
                <w:szCs w:val="18"/>
              </w:rPr>
              <w:t>区荣光科技有 限公司</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p>
          <w:p>
            <w:pPr>
              <w:pStyle w:val="TableParagraph"/>
              <w:spacing w:line="314" w:lineRule="auto" w:before="63"/>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日前减持不超 过所持公司股 份的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。林芝</w:t>
            </w:r>
            <w:r>
              <w:rPr>
                <w:rFonts w:ascii="宋体" w:hAnsi="宋体" w:cs="宋体" w:eastAsia="宋体" w:hint="default"/>
                <w:sz w:val="18"/>
                <w:szCs w:val="18"/>
              </w:rPr>
              <w:t> 地区荣光科技 有限公司承诺：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p>
          <w:p>
            <w:pPr>
              <w:pStyle w:val="TableParagraph"/>
              <w:spacing w:line="316" w:lineRule="auto" w:before="1"/>
              <w:ind w:left="23" w:right="161"/>
              <w:jc w:val="both"/>
              <w:rPr>
                <w:rFonts w:ascii="宋体" w:hAnsi="宋体" w:cs="宋体" w:eastAsia="宋体" w:hint="default"/>
                <w:sz w:val="18"/>
                <w:szCs w:val="18"/>
              </w:rPr>
            </w:pPr>
            <w:r>
              <w:rPr>
                <w:rFonts w:ascii="宋体" w:hAnsi="宋体" w:cs="宋体" w:eastAsia="宋体" w:hint="default"/>
                <w:sz w:val="18"/>
                <w:szCs w:val="18"/>
              </w:rPr>
              <w:t>日前减持不超 过所持公司股 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pacing w:val="-7"/>
                <w:sz w:val="18"/>
                <w:szCs w:val="18"/>
              </w:rPr>
              <w:t>露之日，承诺人</w:t>
            </w:r>
            <w:r>
              <w:rPr>
                <w:rFonts w:ascii="宋体" w:hAnsi="宋体" w:cs="宋体" w:eastAsia="宋体" w:hint="default"/>
                <w:sz w:val="18"/>
                <w:szCs w:val="18"/>
              </w:rPr>
              <w:t> 严格履行了该 承诺。</w:t>
            </w:r>
          </w:p>
        </w:tc>
      </w:tr>
      <w:tr>
        <w:trPr>
          <w:trHeight w:val="1961"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陈利浩承诺：</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3" w:right="6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日期间不 减持所持公司 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人严格履行了 该承诺。</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上述承诺均得到了严格的履行。</w:t>
            </w:r>
          </w:p>
        </w:tc>
      </w:tr>
    </w:tbl>
    <w:p>
      <w:pPr>
        <w:spacing w:line="240" w:lineRule="auto" w:before="3"/>
        <w:rPr>
          <w:rFonts w:ascii="宋体" w:hAnsi="宋体" w:cs="宋体" w:eastAsia="宋体" w:hint="default"/>
          <w:b/>
          <w:bCs/>
          <w:sz w:val="19"/>
          <w:szCs w:val="19"/>
        </w:rPr>
      </w:pPr>
    </w:p>
    <w:p>
      <w:pPr>
        <w:pStyle w:val="Heading4"/>
        <w:spacing w:line="259" w:lineRule="auto" w:before="36"/>
        <w:ind w:right="112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马桂琴、樊文景</w:t>
            </w:r>
          </w:p>
        </w:tc>
      </w:tr>
    </w:tbl>
    <w:p>
      <w:pPr>
        <w:pStyle w:val="BodyText"/>
        <w:spacing w:line="240" w:lineRule="auto" w:before="49"/>
        <w:ind w:right="1123"/>
        <w:jc w:val="left"/>
      </w:pPr>
      <w:r>
        <w:rPr/>
        <w:t>当期是否改聘会计师事务所</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spacing w:after="0" w:line="3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ind w:right="7874"/>
        <w:jc w:val="left"/>
      </w:pPr>
      <w:r>
        <w:rPr>
          <w:rFonts w:ascii="Times New Roman" w:hAnsi="Times New Roman" w:cs="Times New Roman" w:eastAsia="Times New Roman" w:hint="default"/>
        </w:rPr>
        <w:t>□ </w:t>
      </w:r>
      <w:r>
        <w:rPr/>
        <w:t>是</w:t>
      </w:r>
      <w:r>
        <w:rPr>
          <w:rFonts w:ascii="Times New Roman" w:hAnsi="Times New Roman" w:cs="Times New Roman" w:eastAsia="Times New Roman" w:hint="default"/>
        </w:rPr>
        <w:t>√ </w:t>
      </w:r>
      <w:r>
        <w:rPr/>
        <w:t>否 更换会计师事务所是否履行审批程序</w:t>
      </w:r>
    </w:p>
    <w:p>
      <w:pPr>
        <w:pStyle w:val="BodyText"/>
        <w:spacing w:line="340" w:lineRule="auto" w:before="39"/>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16" w:lineRule="auto" w:before="41"/>
        <w:ind w:right="1032" w:firstLine="288"/>
        <w:jc w:val="left"/>
      </w:pPr>
      <w:r>
        <w:rPr>
          <w:spacing w:val="-2"/>
        </w:rPr>
        <w:t>原聘任会计师事务所利安达与国富浩华合并。合并后，原利安达珠海分所合伙人、注册会计师及从业人员转到国富浩华，</w:t>
      </w:r>
      <w:r>
        <w:rPr/>
        <w:t> </w:t>
      </w:r>
      <w:r>
        <w:rPr>
          <w:spacing w:val="-2"/>
        </w:rPr>
        <w:t>对外统一使用国富浩华的品牌。为保持公司外部审计工作的连续性和稳定性，保证公司财务报表的审计质量，经公司认真考</w:t>
      </w:r>
      <w:r>
        <w:rPr>
          <w:spacing w:val="-63"/>
        </w:rPr>
        <w:t> </w:t>
      </w:r>
      <w:r>
        <w:rPr>
          <w:spacing w:val="-63"/>
        </w:rPr>
      </w:r>
      <w:r>
        <w:rPr>
          <w:spacing w:val="-2"/>
        </w:rPr>
        <w:t>虑，并经</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日公司</w:t>
      </w:r>
      <w:r>
        <w:rPr>
          <w:rFonts w:ascii="宋体" w:hAnsi="宋体" w:cs="宋体" w:eastAsia="宋体" w:hint="default"/>
          <w:spacing w:val="-2"/>
        </w:rPr>
        <w:t>2013</w:t>
      </w:r>
      <w:r>
        <w:rPr>
          <w:spacing w:val="-2"/>
        </w:rPr>
        <w:t>年第一次临时股东大会审议通过，同意聘任国富浩华为公司</w:t>
      </w:r>
      <w:r>
        <w:rPr>
          <w:rFonts w:ascii="Times New Roman" w:hAnsi="Times New Roman" w:cs="Times New Roman" w:eastAsia="Times New Roman" w:hint="default"/>
          <w:spacing w:val="-2"/>
        </w:rPr>
        <w:t>2012</w:t>
      </w:r>
      <w:r>
        <w:rPr>
          <w:spacing w:val="-2"/>
        </w:rPr>
        <w:t>年度财务报表的审计机构。</w:t>
      </w:r>
    </w:p>
    <w:p>
      <w:pPr>
        <w:spacing w:line="240" w:lineRule="auto" w:before="0"/>
        <w:rPr>
          <w:rFonts w:ascii="宋体" w:hAnsi="宋体" w:cs="宋体" w:eastAsia="宋体" w:hint="default"/>
          <w:sz w:val="18"/>
          <w:szCs w:val="18"/>
        </w:rPr>
      </w:pPr>
    </w:p>
    <w:p>
      <w:pPr>
        <w:pStyle w:val="BodyText"/>
        <w:spacing w:line="240" w:lineRule="auto" w:before="154"/>
        <w:ind w:right="1123"/>
        <w:jc w:val="left"/>
      </w:pPr>
      <w:r>
        <w:rPr/>
        <w:t>聘请内部控制审计会计师事务所、财务顾问或保荐人情况</w:t>
      </w:r>
    </w:p>
    <w:p>
      <w:pPr>
        <w:pStyle w:val="BodyText"/>
        <w:spacing w:line="240" w:lineRule="auto" w:before="117"/>
        <w:ind w:right="112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23"/>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十一、处罚及整改情况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240" w:lineRule="auto" w:before="49"/>
        <w:ind w:right="1123"/>
        <w:jc w:val="left"/>
      </w:pPr>
      <w:r>
        <w:rPr/>
        <w:t>整改情况说明</w:t>
      </w:r>
    </w:p>
    <w:p>
      <w:pPr>
        <w:pStyle w:val="BodyText"/>
        <w:spacing w:line="240" w:lineRule="auto" w:before="117"/>
        <w:ind w:right="1123"/>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1"/>
        <w:ind w:right="1123"/>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十三、其他重大事项的说明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14.98%</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-652,626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16.97%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8,049,693</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-8,049,693</w:t>
            </w: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8,049,693</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-8,049,693</w:t>
            </w: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14.98%</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7,397,067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16.97%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286,833,1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85.02%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4,482,309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81,155,52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367,988,6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83.03%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286,833,1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85.02%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4,482,309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81,155,52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367,988,6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83.03%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101,977,6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3,829,683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105,807,3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443,183,1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股份变动的原因</w:t>
      </w:r>
    </w:p>
    <w:p>
      <w:pPr>
        <w:pStyle w:val="BodyText"/>
        <w:spacing w:line="240" w:lineRule="auto" w:before="117"/>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日，公司股票期权激励计划第二个行权期第一次行权，本次行权</w:t>
      </w:r>
      <w:r>
        <w:rPr>
          <w:rFonts w:ascii="Times New Roman" w:hAnsi="Times New Roman" w:cs="Times New Roman" w:eastAsia="Times New Roman" w:hint="default"/>
        </w:rPr>
        <w:t>2,549,823</w:t>
      </w:r>
      <w:r>
        <w:rPr/>
        <w:t>份，行权后公司股本由</w:t>
      </w:r>
      <w:r>
        <w:rPr>
          <w:rFonts w:ascii="Times New Roman" w:hAnsi="Times New Roman" w:cs="Times New Roman" w:eastAsia="Times New Roman" w:hint="default"/>
        </w:rPr>
        <w:t>2011</w:t>
      </w:r>
      <w:r>
        <w:rPr/>
        <w:t>年</w:t>
      </w:r>
    </w:p>
    <w:p>
      <w:pPr>
        <w:pStyle w:val="BodyText"/>
        <w:spacing w:line="240" w:lineRule="auto" w:before="63"/>
        <w:ind w:right="112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337,375,785</w:t>
      </w:r>
      <w:r>
        <w:rPr/>
        <w:t>股变更为</w:t>
      </w:r>
      <w:r>
        <w:rPr>
          <w:rFonts w:ascii="Times New Roman" w:hAnsi="Times New Roman" w:cs="Times New Roman" w:eastAsia="Times New Roman" w:hint="default"/>
        </w:rPr>
        <w:t>339,925,608</w:t>
      </w:r>
      <w:r>
        <w:rPr/>
        <w:t>股；</w:t>
      </w:r>
    </w:p>
    <w:p>
      <w:pPr>
        <w:pStyle w:val="BodyText"/>
        <w:spacing w:line="300" w:lineRule="auto" w:before="63"/>
        <w:ind w:right="1079"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日，公司实施</w:t>
      </w:r>
      <w:r>
        <w:rPr>
          <w:rFonts w:ascii="Times New Roman" w:hAnsi="Times New Roman" w:cs="Times New Roman" w:eastAsia="Times New Roman" w:hint="default"/>
        </w:rPr>
        <w:t>2011</w:t>
      </w:r>
      <w:r>
        <w:rPr/>
        <w:t>年度权益分派，向全体股东每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3</w:t>
      </w:r>
      <w:r>
        <w:rPr/>
        <w:t>股、派现金</w:t>
      </w:r>
      <w:r>
        <w:rPr>
          <w:rFonts w:ascii="Times New Roman" w:hAnsi="Times New Roman" w:cs="Times New Roman" w:eastAsia="Times New Roman" w:hint="default"/>
        </w:rPr>
        <w:t>2.2</w:t>
      </w:r>
      <w:r>
        <w:rPr/>
        <w:t>元现金，本次权益分派后， 公司股本由</w:t>
      </w:r>
      <w:r>
        <w:rPr>
          <w:rFonts w:ascii="Times New Roman" w:hAnsi="Times New Roman" w:cs="Times New Roman" w:eastAsia="Times New Roman" w:hint="default"/>
        </w:rPr>
        <w:t>339,925,608</w:t>
      </w:r>
      <w:r>
        <w:rPr/>
        <w:t>股变更为</w:t>
      </w:r>
      <w:r>
        <w:rPr>
          <w:rFonts w:ascii="Times New Roman" w:hAnsi="Times New Roman" w:cs="Times New Roman" w:eastAsia="Times New Roman" w:hint="default"/>
        </w:rPr>
        <w:t>441,903,290</w:t>
      </w:r>
      <w:r>
        <w:rPr/>
        <w:t>股；</w:t>
      </w:r>
    </w:p>
    <w:p>
      <w:pPr>
        <w:pStyle w:val="BodyText"/>
        <w:spacing w:line="240" w:lineRule="auto" w:before="13"/>
        <w:ind w:left="513" w:right="112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日，公司股票期权激励计划第二个行权期第二次行权，本次行权</w:t>
      </w:r>
      <w:r>
        <w:rPr>
          <w:rFonts w:ascii="Times New Roman" w:hAnsi="Times New Roman" w:cs="Times New Roman" w:eastAsia="Times New Roman" w:hint="default"/>
        </w:rPr>
        <w:t>1,279,860</w:t>
      </w:r>
      <w:r>
        <w:rPr/>
        <w:t>份，行权后公司股本由</w:t>
      </w:r>
    </w:p>
    <w:p>
      <w:pPr>
        <w:pStyle w:val="BodyText"/>
        <w:spacing w:line="240" w:lineRule="auto" w:before="63"/>
        <w:ind w:right="1123"/>
        <w:jc w:val="left"/>
      </w:pPr>
      <w:r>
        <w:rPr>
          <w:rFonts w:ascii="Times New Roman" w:hAnsi="Times New Roman" w:cs="Times New Roman" w:eastAsia="Times New Roman" w:hint="default"/>
        </w:rPr>
        <w:t>441,903,290</w:t>
      </w:r>
      <w:r>
        <w:rPr/>
        <w:t>股变更为</w:t>
      </w:r>
      <w:r>
        <w:rPr>
          <w:rFonts w:ascii="Times New Roman" w:hAnsi="Times New Roman" w:cs="Times New Roman" w:eastAsia="Times New Roman" w:hint="default"/>
        </w:rPr>
        <w:t>443,183,150</w:t>
      </w:r>
      <w:r>
        <w:rPr/>
        <w:t>股。</w:t>
      </w:r>
    </w:p>
    <w:p>
      <w:pPr>
        <w:pStyle w:val="BodyText"/>
        <w:spacing w:line="240" w:lineRule="auto" w:before="103"/>
        <w:ind w:right="1123"/>
        <w:jc w:val="left"/>
      </w:pPr>
      <w:r>
        <w:rPr/>
        <w:t>股份变动的批准情况</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23"/>
        <w:jc w:val="left"/>
      </w:pPr>
      <w:r>
        <w:rPr>
          <w:rFonts w:ascii="Times New Roman" w:hAnsi="Times New Roman" w:cs="Times New Roman" w:eastAsia="Times New Roman" w:hint="default"/>
        </w:rPr>
        <w:t>1</w:t>
      </w:r>
      <w:r>
        <w:rPr/>
        <w:t>、股票期权行权的批准情况</w:t>
      </w:r>
    </w:p>
    <w:p>
      <w:pPr>
        <w:pStyle w:val="BodyText"/>
        <w:spacing w:line="300" w:lineRule="auto" w:before="63"/>
        <w:ind w:right="1130" w:firstLine="36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日，公司第四届董事会第十五次会议审议通过了《关于股票期权激励计划首次授予第二个行权期（预留期</w:t>
      </w:r>
      <w:r>
        <w:rPr/>
        <w:t> </w:t>
      </w:r>
      <w:r>
        <w:rPr>
          <w:spacing w:val="-2"/>
        </w:rPr>
        <w:t>权第一个行权期）可行权的议案》；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日，公司第四届董事会第二十六次会议审议通过了《关于股票期权激励计</w:t>
      </w:r>
      <w:r>
        <w:rPr>
          <w:spacing w:val="-59"/>
        </w:rPr>
        <w:t> </w:t>
      </w:r>
      <w:r>
        <w:rPr>
          <w:spacing w:val="-59"/>
        </w:rPr>
      </w:r>
      <w:r>
        <w:rPr/>
        <w:t>划首次授予第三个行权期（预留期权第二个行权期）可行权的议案》。</w:t>
      </w:r>
    </w:p>
    <w:p>
      <w:pPr>
        <w:pStyle w:val="BodyText"/>
        <w:spacing w:line="240" w:lineRule="auto" w:before="31"/>
        <w:ind w:right="1123"/>
        <w:jc w:val="left"/>
      </w:pPr>
      <w:r>
        <w:rPr>
          <w:rFonts w:ascii="Times New Roman" w:hAnsi="Times New Roman" w:cs="Times New Roman" w:eastAsia="Times New Roman" w:hint="default"/>
        </w:rPr>
        <w:t>2</w:t>
      </w:r>
      <w:r>
        <w:rPr/>
        <w:t>、权益分派的批准情况</w:t>
      </w:r>
    </w:p>
    <w:p>
      <w:pPr>
        <w:pStyle w:val="BodyText"/>
        <w:spacing w:line="340" w:lineRule="auto" w:before="63"/>
        <w:ind w:right="4094"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2011</w:t>
      </w:r>
      <w:r>
        <w:rPr/>
        <w:t>年年度股东大会审议通过了《</w:t>
      </w:r>
      <w:r>
        <w:rPr>
          <w:rFonts w:ascii="Times New Roman" w:hAnsi="Times New Roman" w:cs="Times New Roman" w:eastAsia="Times New Roman" w:hint="default"/>
        </w:rPr>
        <w:t>2011</w:t>
      </w:r>
      <w:r>
        <w:rPr/>
        <w:t>年度利润分配预案》。 股份变动的过户情况</w:t>
      </w:r>
    </w:p>
    <w:p>
      <w:pPr>
        <w:pStyle w:val="BodyText"/>
        <w:spacing w:line="300" w:lineRule="auto" w:before="39"/>
        <w:ind w:left="513" w:right="2653" w:hanging="361"/>
        <w:jc w:val="left"/>
      </w:pPr>
      <w:r>
        <w:rPr>
          <w:rFonts w:ascii="Times New Roman" w:hAnsi="Times New Roman" w:cs="Times New Roman" w:eastAsia="Times New Roman" w:hint="default"/>
        </w:rPr>
        <w:t>1</w:t>
      </w:r>
      <w:r>
        <w:rPr/>
        <w:t>、股票期权行权股份过户情况 股票期权行权股份在行权日即由中国证券登记结算有限公司深圳分公司登记到激励对象证券账户。</w:t>
      </w:r>
    </w:p>
    <w:p>
      <w:pPr>
        <w:pStyle w:val="BodyText"/>
        <w:spacing w:line="240" w:lineRule="auto" w:before="31"/>
        <w:ind w:right="1123"/>
        <w:jc w:val="left"/>
      </w:pPr>
      <w:r>
        <w:rPr>
          <w:rFonts w:ascii="Times New Roman" w:hAnsi="Times New Roman" w:cs="Times New Roman" w:eastAsia="Times New Roman" w:hint="default"/>
        </w:rPr>
        <w:t>2</w:t>
      </w:r>
      <w:r>
        <w:rPr/>
        <w:t>、权益分派股份过户情况</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60" w:lineRule="auto"/>
        <w:ind w:right="1394" w:firstLine="360"/>
        <w:jc w:val="left"/>
      </w:pPr>
      <w:r>
        <w:rPr/>
        <w:t>本次送转股份于除权日当天直接计入股东证券账户。 股份变动对最近一年和最近一期基本每股收益和稀释每股收益、归属于公司普通股股东的每股净资产等财务指标的影响</w:t>
      </w:r>
    </w:p>
    <w:p>
      <w:pPr>
        <w:pStyle w:val="BodyText"/>
        <w:spacing w:line="319" w:lineRule="auto" w:before="25"/>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股份变动后，重新计算的</w:t>
      </w:r>
      <w:r>
        <w:rPr>
          <w:rFonts w:ascii="Times New Roman" w:hAnsi="Times New Roman" w:cs="Times New Roman" w:eastAsia="Times New Roman" w:hint="default"/>
        </w:rPr>
        <w:t>2011</w:t>
      </w:r>
      <w:r>
        <w:rPr/>
        <w:t>年基本每股收益和稀释每股收益由</w:t>
      </w:r>
      <w:r>
        <w:rPr>
          <w:rFonts w:ascii="Times New Roman" w:hAnsi="Times New Roman" w:cs="Times New Roman" w:eastAsia="Times New Roman" w:hint="default"/>
        </w:rPr>
        <w:t>0.6282</w:t>
      </w:r>
      <w:r>
        <w:rPr/>
        <w:t>元调整为</w:t>
      </w:r>
      <w:r>
        <w:rPr>
          <w:rFonts w:ascii="Times New Roman" w:hAnsi="Times New Roman" w:cs="Times New Roman" w:eastAsia="Times New Roman" w:hint="default"/>
        </w:rPr>
        <w:t>0.4832</w:t>
      </w:r>
      <w:r>
        <w:rPr/>
        <w:t>元。重新计算的归属于公司普通股股 东的每股净资产由</w:t>
      </w:r>
      <w:r>
        <w:rPr>
          <w:rFonts w:ascii="Times New Roman" w:hAnsi="Times New Roman" w:cs="Times New Roman" w:eastAsia="Times New Roman" w:hint="default"/>
        </w:rPr>
        <w:t>2.87</w:t>
      </w:r>
      <w:r>
        <w:rPr/>
        <w:t>元调整为</w:t>
      </w:r>
      <w:r>
        <w:rPr>
          <w:rFonts w:ascii="Times New Roman" w:hAnsi="Times New Roman" w:cs="Times New Roman" w:eastAsia="Times New Roman" w:hint="default"/>
        </w:rPr>
        <w:t>2.21</w:t>
      </w:r>
      <w:r>
        <w:rPr/>
        <w:t>元。</w:t>
      </w:r>
    </w:p>
    <w:p>
      <w:pPr>
        <w:pStyle w:val="BodyText"/>
        <w:spacing w:line="357" w:lineRule="auto" w:before="38"/>
        <w:ind w:right="6254"/>
        <w:jc w:val="left"/>
      </w:pPr>
      <w:r>
        <w:rPr/>
        <w:t>公司认为必要或证券监管机构要求披露的其他内容 报告期内，因以下原因，公司有限售条件股份数有变动：</w:t>
      </w:r>
    </w:p>
    <w:p>
      <w:pPr>
        <w:pStyle w:val="BodyText"/>
        <w:spacing w:line="237" w:lineRule="exact" w:before="0"/>
        <w:ind w:right="0" w:firstLine="3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、股东陈利浩、黄建元、林芝地区荣光科技有限公司因追加承诺导致的有限售条件股份数量变动情况详见公司于</w:t>
      </w:r>
      <w:r>
        <w:rPr>
          <w:rFonts w:ascii="Times New Roman" w:hAnsi="Times New Roman" w:cs="Times New Roman" w:eastAsia="Times New Roman" w:hint="default"/>
        </w:rPr>
        <w:t>2012</w:t>
      </w:r>
    </w:p>
    <w:p>
      <w:pPr>
        <w:pStyle w:val="BodyText"/>
        <w:spacing w:line="300" w:lineRule="auto" w:before="63"/>
        <w:ind w:right="1167"/>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日披露的《股东追加承诺公告》（公告编号</w:t>
      </w:r>
      <w:r>
        <w:rPr>
          <w:rFonts w:ascii="Times New Roman" w:hAnsi="Times New Roman" w:cs="Times New Roman" w:eastAsia="Times New Roman" w:hint="default"/>
        </w:rPr>
        <w:t>2012-002</w:t>
      </w:r>
      <w:r>
        <w:rPr/>
        <w:t>）以及于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日披露的《关于追加承诺限售股份上市 流通的提示性公告》（公告编号：</w:t>
      </w:r>
      <w:r>
        <w:rPr>
          <w:rFonts w:ascii="Times New Roman" w:hAnsi="Times New Roman" w:cs="Times New Roman" w:eastAsia="Times New Roman" w:hint="default"/>
        </w:rPr>
        <w:t>2012-065</w:t>
      </w:r>
      <w:r>
        <w:rPr/>
        <w:t>）；</w:t>
      </w:r>
    </w:p>
    <w:p>
      <w:pPr>
        <w:pStyle w:val="BodyText"/>
        <w:spacing w:line="240" w:lineRule="auto" w:before="13"/>
        <w:ind w:left="513" w:right="1123"/>
        <w:jc w:val="left"/>
      </w:pPr>
      <w:r>
        <w:rPr>
          <w:rFonts w:ascii="Times New Roman" w:hAnsi="Times New Roman" w:cs="Times New Roman" w:eastAsia="Times New Roman" w:hint="default"/>
        </w:rPr>
        <w:t>2</w:t>
      </w:r>
      <w:r>
        <w:rPr/>
        <w:t>、董事、高管期权行权；</w:t>
      </w:r>
    </w:p>
    <w:p>
      <w:pPr>
        <w:pStyle w:val="BodyText"/>
        <w:spacing w:line="240" w:lineRule="auto" w:before="63"/>
        <w:ind w:left="513" w:right="1123"/>
        <w:jc w:val="left"/>
      </w:pPr>
      <w:r>
        <w:rPr>
          <w:rFonts w:ascii="Times New Roman" w:hAnsi="Times New Roman" w:cs="Times New Roman" w:eastAsia="Times New Roman" w:hint="default"/>
        </w:rPr>
        <w:t>3</w:t>
      </w:r>
      <w:r>
        <w:rPr/>
        <w:t>、离职高管周立离职时间满</w:t>
      </w:r>
      <w:r>
        <w:rPr>
          <w:rFonts w:ascii="Times New Roman" w:hAnsi="Times New Roman" w:cs="Times New Roman" w:eastAsia="Times New Roman" w:hint="default"/>
        </w:rPr>
        <w:t>18</w:t>
      </w:r>
      <w:r>
        <w:rPr/>
        <w:t>个月，其所持股份全部解除限售；</w:t>
      </w:r>
    </w:p>
    <w:p>
      <w:pPr>
        <w:pStyle w:val="BodyText"/>
        <w:spacing w:line="240" w:lineRule="auto" w:before="63"/>
        <w:ind w:left="513" w:right="1123"/>
        <w:jc w:val="left"/>
      </w:pPr>
      <w:r>
        <w:rPr>
          <w:rFonts w:ascii="Times New Roman" w:hAnsi="Times New Roman" w:cs="Times New Roman" w:eastAsia="Times New Roman" w:hint="default"/>
        </w:rPr>
        <w:t>4</w:t>
      </w:r>
      <w:r>
        <w:rPr/>
        <w:t>、离职董事、高管金卓君离职时间满</w:t>
      </w:r>
      <w:r>
        <w:rPr>
          <w:rFonts w:ascii="Times New Roman" w:hAnsi="Times New Roman" w:cs="Times New Roman" w:eastAsia="Times New Roman" w:hint="default"/>
        </w:rPr>
        <w:t>6</w:t>
      </w:r>
      <w:r>
        <w:rPr/>
        <w:t>个月，其所持股份</w:t>
      </w:r>
      <w:r>
        <w:rPr>
          <w:rFonts w:ascii="Times New Roman" w:hAnsi="Times New Roman" w:cs="Times New Roman" w:eastAsia="Times New Roman" w:hint="default"/>
        </w:rPr>
        <w:t>50%</w:t>
      </w:r>
      <w:r>
        <w:rPr/>
        <w:t>解除限售；</w:t>
      </w:r>
    </w:p>
    <w:p>
      <w:pPr>
        <w:pStyle w:val="BodyText"/>
        <w:spacing w:line="240" w:lineRule="auto" w:before="63"/>
        <w:ind w:left="513" w:right="1123"/>
        <w:jc w:val="left"/>
      </w:pPr>
      <w:r>
        <w:rPr>
          <w:rFonts w:ascii="Times New Roman" w:hAnsi="Times New Roman" w:cs="Times New Roman" w:eastAsia="Times New Roman" w:hint="default"/>
        </w:rPr>
        <w:t>5</w:t>
      </w:r>
      <w:r>
        <w:rPr/>
        <w:t>、监事周莉二级市场持股变动；</w:t>
      </w:r>
    </w:p>
    <w:p>
      <w:pPr>
        <w:pStyle w:val="BodyText"/>
        <w:spacing w:line="240" w:lineRule="auto" w:before="63"/>
        <w:ind w:left="513" w:right="1123"/>
        <w:jc w:val="left"/>
      </w:pPr>
      <w:r>
        <w:rPr>
          <w:rFonts w:ascii="Times New Roman" w:hAnsi="Times New Roman" w:cs="Times New Roman" w:eastAsia="Times New Roman" w:hint="default"/>
        </w:rPr>
        <w:t>6</w:t>
      </w:r>
      <w:r>
        <w:rPr/>
        <w:t>、实施</w:t>
      </w:r>
      <w:r>
        <w:rPr>
          <w:rFonts w:ascii="Times New Roman" w:hAnsi="Times New Roman" w:cs="Times New Roman" w:eastAsia="Times New Roman" w:hint="default"/>
        </w:rPr>
        <w:t>2011</w:t>
      </w:r>
      <w:r>
        <w:rPr/>
        <w:t>年度权益分派；</w:t>
      </w:r>
    </w:p>
    <w:p>
      <w:pPr>
        <w:pStyle w:val="BodyText"/>
        <w:spacing w:line="300" w:lineRule="auto" w:before="63"/>
        <w:ind w:right="1124" w:firstLine="360"/>
        <w:jc w:val="left"/>
      </w:pPr>
      <w:r>
        <w:rPr>
          <w:rFonts w:ascii="Times New Roman" w:hAnsi="Times New Roman" w:cs="Times New Roman" w:eastAsia="Times New Roman" w:hint="default"/>
        </w:rPr>
        <w:t>7</w:t>
      </w:r>
      <w:r>
        <w:rPr/>
        <w:t>、林芝地区荣光科技有限公司、黄建元所持股份含有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日收市后由限售股解限而来的股份，该股份可于次 一交易日上市交易。</w:t>
      </w:r>
    </w:p>
    <w:p>
      <w:pPr>
        <w:spacing w:line="240" w:lineRule="auto" w:before="11"/>
        <w:rPr>
          <w:rFonts w:ascii="宋体" w:hAnsi="宋体" w:cs="宋体" w:eastAsia="宋体" w:hint="default"/>
          <w:sz w:val="21"/>
          <w:szCs w:val="21"/>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7"/>
        <w:gridCol w:w="1367"/>
        <w:gridCol w:w="1366"/>
        <w:gridCol w:w="1368"/>
        <w:gridCol w:w="1369"/>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8"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1,573,603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1,257,680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2,549,823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1,279,860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0"/>
        <w:ind w:right="1123"/>
        <w:jc w:val="left"/>
      </w:pPr>
      <w:r>
        <w:rPr/>
        <w:t>前三年历次证券发行情况的说明</w:t>
      </w:r>
    </w:p>
    <w:p>
      <w:pPr>
        <w:pStyle w:val="BodyText"/>
        <w:spacing w:line="240" w:lineRule="auto" w:before="115"/>
        <w:ind w:left="513"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日，公司股票期权激励计划第一个行权期第一次行权，本次行权</w:t>
      </w:r>
      <w:r>
        <w:rPr>
          <w:rFonts w:ascii="Times New Roman" w:hAnsi="Times New Roman" w:cs="Times New Roman" w:eastAsia="Times New Roman" w:hint="default"/>
        </w:rPr>
        <w:t>1,573,603</w:t>
      </w:r>
      <w:r>
        <w:rPr/>
        <w:t>份，行权后公司股本由</w:t>
      </w:r>
    </w:p>
    <w:p>
      <w:pPr>
        <w:pStyle w:val="BodyText"/>
        <w:spacing w:line="240" w:lineRule="auto" w:before="63"/>
        <w:ind w:right="1123"/>
        <w:jc w:val="left"/>
      </w:pPr>
      <w:r>
        <w:rPr>
          <w:rFonts w:ascii="Times New Roman" w:hAnsi="Times New Roman" w:cs="Times New Roman" w:eastAsia="Times New Roman" w:hint="default"/>
        </w:rPr>
        <w:t>256,978,800</w:t>
      </w:r>
      <w:r>
        <w:rPr/>
        <w:t>股变更为</w:t>
      </w:r>
      <w:r>
        <w:rPr>
          <w:rFonts w:ascii="Times New Roman" w:hAnsi="Times New Roman" w:cs="Times New Roman" w:eastAsia="Times New Roman" w:hint="default"/>
        </w:rPr>
        <w:t>258,552,403</w:t>
      </w:r>
      <w:r>
        <w:rPr/>
        <w:t>股；</w:t>
      </w:r>
    </w:p>
    <w:p>
      <w:pPr>
        <w:pStyle w:val="BodyText"/>
        <w:spacing w:line="240" w:lineRule="auto" w:before="63"/>
        <w:ind w:left="513"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日，公司股票期权激励计划第二个行权期第二次情况，本次行权</w:t>
      </w:r>
      <w:r>
        <w:rPr>
          <w:rFonts w:ascii="Times New Roman" w:hAnsi="Times New Roman" w:cs="Times New Roman" w:eastAsia="Times New Roman" w:hint="default"/>
        </w:rPr>
        <w:t>1,257,680</w:t>
      </w:r>
      <w:r>
        <w:rPr/>
        <w:t>份，行权后公司股本由</w:t>
      </w:r>
    </w:p>
    <w:p>
      <w:pPr>
        <w:pStyle w:val="BodyText"/>
        <w:spacing w:line="240" w:lineRule="auto" w:before="63"/>
        <w:ind w:right="1123"/>
        <w:jc w:val="left"/>
      </w:pPr>
      <w:r>
        <w:rPr>
          <w:rFonts w:ascii="Times New Roman" w:hAnsi="Times New Roman" w:cs="Times New Roman" w:eastAsia="Times New Roman" w:hint="default"/>
        </w:rPr>
        <w:t>258,552,403</w:t>
      </w:r>
      <w:r>
        <w:rPr/>
        <w:t>股变更为</w:t>
      </w:r>
      <w:r>
        <w:rPr>
          <w:rFonts w:ascii="Times New Roman" w:hAnsi="Times New Roman" w:cs="Times New Roman" w:eastAsia="Times New Roman" w:hint="default"/>
        </w:rPr>
        <w:t>259,810,083</w:t>
      </w:r>
      <w:r>
        <w:rPr/>
        <w:t>股；</w:t>
      </w:r>
    </w:p>
    <w:p>
      <w:pPr>
        <w:pStyle w:val="BodyText"/>
        <w:spacing w:line="240" w:lineRule="auto" w:before="62"/>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日，公司股票期权激励计划第二个行权期第一次行权，本次行权</w:t>
      </w:r>
      <w:r>
        <w:rPr>
          <w:rFonts w:ascii="Times New Roman" w:hAnsi="Times New Roman" w:cs="Times New Roman" w:eastAsia="Times New Roman" w:hint="default"/>
        </w:rPr>
        <w:t>2,549,823</w:t>
      </w:r>
      <w:r>
        <w:rPr/>
        <w:t>份，行权后公司股本由</w:t>
      </w:r>
      <w:r>
        <w:rPr>
          <w:rFonts w:ascii="Times New Roman" w:hAnsi="Times New Roman" w:cs="Times New Roman" w:eastAsia="Times New Roman" w:hint="default"/>
        </w:rPr>
        <w:t>2011</w:t>
      </w:r>
      <w:r>
        <w:rPr/>
        <w:t>年</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337,375,785</w:t>
      </w:r>
      <w:r>
        <w:rPr/>
        <w:t>股变更为</w:t>
      </w:r>
      <w:r>
        <w:rPr>
          <w:rFonts w:ascii="Times New Roman" w:hAnsi="Times New Roman" w:cs="Times New Roman" w:eastAsia="Times New Roman" w:hint="default"/>
        </w:rPr>
        <w:t>339,925,608</w:t>
      </w:r>
      <w:r>
        <w:rPr/>
        <w:t>股；</w:t>
      </w:r>
    </w:p>
    <w:p>
      <w:pPr>
        <w:pStyle w:val="BodyText"/>
        <w:spacing w:line="240" w:lineRule="auto" w:before="63"/>
        <w:ind w:left="513" w:right="112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日，公司股票期权激励计划第二个行权期第二次行权，本次行权</w:t>
      </w:r>
      <w:r>
        <w:rPr>
          <w:rFonts w:ascii="Times New Roman" w:hAnsi="Times New Roman" w:cs="Times New Roman" w:eastAsia="Times New Roman" w:hint="default"/>
        </w:rPr>
        <w:t>1,279,860</w:t>
      </w:r>
      <w:r>
        <w:rPr/>
        <w:t>份，行权后公司股本由</w:t>
      </w:r>
    </w:p>
    <w:p>
      <w:pPr>
        <w:pStyle w:val="BodyText"/>
        <w:spacing w:line="240" w:lineRule="auto" w:before="63"/>
        <w:ind w:right="1123"/>
        <w:jc w:val="left"/>
      </w:pPr>
      <w:r>
        <w:rPr>
          <w:rFonts w:ascii="Times New Roman" w:hAnsi="Times New Roman" w:cs="Times New Roman" w:eastAsia="Times New Roman" w:hint="default"/>
        </w:rPr>
        <w:t>441,903,290</w:t>
      </w:r>
      <w:r>
        <w:rPr/>
        <w:t>股变更为</w:t>
      </w:r>
      <w:r>
        <w:rPr>
          <w:rFonts w:ascii="Times New Roman" w:hAnsi="Times New Roman" w:cs="Times New Roman" w:eastAsia="Times New Roman" w:hint="default"/>
        </w:rPr>
        <w:t>443,183,150</w:t>
      </w:r>
      <w:r>
        <w:rPr/>
        <w:t>股。</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日，公司股票期权激励计划第二个行权期第一次行权，本次行权</w:t>
      </w:r>
      <w:r>
        <w:rPr>
          <w:rFonts w:ascii="Times New Roman" w:hAnsi="Times New Roman" w:cs="Times New Roman" w:eastAsia="Times New Roman" w:hint="default"/>
        </w:rPr>
        <w:t>2,549,823</w:t>
      </w:r>
      <w:r>
        <w:rPr/>
        <w:t>份，行权后公司股本由</w:t>
      </w:r>
      <w:r>
        <w:rPr>
          <w:rFonts w:ascii="Times New Roman" w:hAnsi="Times New Roman" w:cs="Times New Roman" w:eastAsia="Times New Roman" w:hint="default"/>
        </w:rPr>
        <w:t>2011</w:t>
      </w:r>
      <w:r>
        <w:rPr/>
        <w:t>年</w:t>
      </w:r>
    </w:p>
    <w:p>
      <w:pPr>
        <w:pStyle w:val="BodyText"/>
        <w:spacing w:line="240" w:lineRule="auto" w:before="63"/>
        <w:ind w:right="112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337,375,785</w:t>
      </w:r>
      <w:r>
        <w:rPr/>
        <w:t>股变更为</w:t>
      </w:r>
      <w:r>
        <w:rPr>
          <w:rFonts w:ascii="Times New Roman" w:hAnsi="Times New Roman" w:cs="Times New Roman" w:eastAsia="Times New Roman" w:hint="default"/>
        </w:rPr>
        <w:t>339,925,608</w:t>
      </w:r>
      <w:r>
        <w:rPr/>
        <w:t>股；</w:t>
      </w:r>
    </w:p>
    <w:p>
      <w:pPr>
        <w:pStyle w:val="BodyText"/>
        <w:spacing w:line="300" w:lineRule="auto" w:before="63"/>
        <w:ind w:right="1079"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日，公司实施</w:t>
      </w:r>
      <w:r>
        <w:rPr>
          <w:rFonts w:ascii="Times New Roman" w:hAnsi="Times New Roman" w:cs="Times New Roman" w:eastAsia="Times New Roman" w:hint="default"/>
        </w:rPr>
        <w:t>2011</w:t>
      </w:r>
      <w:r>
        <w:rPr/>
        <w:t>年度权益分派，向全体股东每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3</w:t>
      </w:r>
      <w:r>
        <w:rPr/>
        <w:t>股、派现金</w:t>
      </w:r>
      <w:r>
        <w:rPr>
          <w:rFonts w:ascii="Times New Roman" w:hAnsi="Times New Roman" w:cs="Times New Roman" w:eastAsia="Times New Roman" w:hint="default"/>
        </w:rPr>
        <w:t>2.2</w:t>
      </w:r>
      <w:r>
        <w:rPr/>
        <w:t>元现金，本次权益分派后， 公司股本由</w:t>
      </w:r>
      <w:r>
        <w:rPr>
          <w:rFonts w:ascii="Times New Roman" w:hAnsi="Times New Roman" w:cs="Times New Roman" w:eastAsia="Times New Roman" w:hint="default"/>
        </w:rPr>
        <w:t>339,925,608</w:t>
      </w:r>
      <w:r>
        <w:rPr/>
        <w:t>股变更为</w:t>
      </w:r>
      <w:r>
        <w:rPr>
          <w:rFonts w:ascii="Times New Roman" w:hAnsi="Times New Roman" w:cs="Times New Roman" w:eastAsia="Times New Roman" w:hint="default"/>
        </w:rPr>
        <w:t>441,,903,290</w:t>
      </w:r>
      <w:r>
        <w:rPr/>
        <w:t>股；</w:t>
      </w:r>
    </w:p>
    <w:p>
      <w:pPr>
        <w:pStyle w:val="BodyText"/>
        <w:spacing w:line="240" w:lineRule="auto" w:before="13"/>
        <w:ind w:left="513" w:right="112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日，公司股票期权激励计划第二个行权期第二次行权，本次行权</w:t>
      </w:r>
      <w:r>
        <w:rPr>
          <w:rFonts w:ascii="Times New Roman" w:hAnsi="Times New Roman" w:cs="Times New Roman" w:eastAsia="Times New Roman" w:hint="default"/>
        </w:rPr>
        <w:t>1,279,860</w:t>
      </w:r>
      <w:r>
        <w:rPr/>
        <w:t>份，行权后公司股本由</w:t>
      </w:r>
    </w:p>
    <w:p>
      <w:pPr>
        <w:pStyle w:val="BodyText"/>
        <w:spacing w:line="240" w:lineRule="auto" w:before="63"/>
        <w:ind w:right="1123"/>
        <w:jc w:val="left"/>
      </w:pPr>
      <w:r>
        <w:rPr>
          <w:rFonts w:ascii="Times New Roman" w:hAnsi="Times New Roman" w:cs="Times New Roman" w:eastAsia="Times New Roman" w:hint="default"/>
        </w:rPr>
        <w:t>441,,903,290</w:t>
      </w:r>
      <w:r>
        <w:rPr/>
        <w:t>股变更为</w:t>
      </w:r>
      <w:r>
        <w:rPr>
          <w:rFonts w:ascii="Times New Roman" w:hAnsi="Times New Roman" w:cs="Times New Roman" w:eastAsia="Times New Roman" w:hint="default"/>
        </w:rPr>
        <w:t>443,183,150</w:t>
      </w:r>
      <w:r>
        <w:rPr/>
        <w:t>股；</w:t>
      </w:r>
    </w:p>
    <w:p>
      <w:pPr>
        <w:pStyle w:val="BodyText"/>
        <w:spacing w:line="240" w:lineRule="auto" w:before="63"/>
        <w:ind w:left="513" w:right="112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日的股权激励行权，对公司资产、负债与股东权益影响很小。</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19"/>
        <w:gridCol w:w="3848"/>
        <w:gridCol w:w="3179"/>
      </w:tblGrid>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8"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1" w:hRule="exact"/>
        </w:trPr>
        <w:tc>
          <w:tcPr>
            <w:tcW w:w="2519"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right="131"/>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28" w:type="dxa"/>
            <w:gridSpan w:val="2"/>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380"/>
        <w:gridCol w:w="678"/>
        <w:gridCol w:w="684"/>
        <w:gridCol w:w="684"/>
        <w:gridCol w:w="684"/>
        <w:gridCol w:w="1363"/>
        <w:gridCol w:w="1374"/>
      </w:tblGrid>
      <w:tr>
        <w:trPr>
          <w:trHeight w:val="408"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11,827</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12,916</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7"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1"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59,100,</w:t>
            </w:r>
          </w:p>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496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13,638,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59,100,</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496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林芝地区荣光科 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7.87%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34,882,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079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-894,33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34,882,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079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13,440,000</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国电电力发展股 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6.51%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28,870,</w:t>
            </w:r>
          </w:p>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962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3,965,8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28,870,</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962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3,176,313</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福建省电力有限 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6.02%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26,693,</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388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6,160,0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26,693,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388</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吉林省电力有限 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4.98%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22,053,</w:t>
            </w:r>
          </w:p>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401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1,520,0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22,053,</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401</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4.17%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6" w:right="0"/>
              <w:jc w:val="left"/>
              <w:rPr>
                <w:rFonts w:ascii="Times New Roman" w:hAnsi="Times New Roman" w:cs="Times New Roman" w:eastAsia="Times New Roman" w:hint="default"/>
                <w:sz w:val="18"/>
                <w:szCs w:val="18"/>
              </w:rPr>
            </w:pPr>
            <w:r>
              <w:rPr>
                <w:rFonts w:ascii="Times New Roman"/>
                <w:sz w:val="18"/>
              </w:rPr>
              <w:t>18,500,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8,102,5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18,500,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8.223007pt;margin-top:350.449982pt;width:355.55pt;height:22.05pt;mso-position-horizontal-relative:page;mso-position-vertical-relative:page;z-index:-89629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before="0"/>
                    <w:ind w:left="0" w:right="0"/>
                    <w:jc w:val="left"/>
                  </w:pPr>
                  <w:r>
                    <w:rPr/>
                    <w:t>有）</w:t>
                  </w:r>
                </w:p>
              </w:txbxContent>
            </v:textbox>
            <w10:wrap type="none"/>
          </v:shape>
        </w:pict>
      </w:r>
      <w:r>
        <w:rPr/>
        <w:pict>
          <v:group style="position:absolute;margin-left:460.320007pt;margin-top:764.919983pt;width:135pt;height:77pt;mso-position-horizontal-relative:page;mso-position-vertical-relative:page;z-index:-89624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43</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369"/>
        <w:gridCol w:w="1368"/>
        <w:gridCol w:w="684"/>
        <w:gridCol w:w="684"/>
        <w:gridCol w:w="684"/>
        <w:gridCol w:w="684"/>
        <w:gridCol w:w="1369"/>
        <w:gridCol w:w="1368"/>
      </w:tblGrid>
      <w:tr>
        <w:trPr>
          <w:trHeight w:val="98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65"/>
              <w:jc w:val="both"/>
              <w:rPr>
                <w:rFonts w:ascii="宋体" w:hAnsi="宋体" w:cs="宋体" w:eastAsia="宋体" w:hint="default"/>
                <w:sz w:val="18"/>
                <w:szCs w:val="18"/>
              </w:rPr>
            </w:pPr>
            <w:r>
              <w:rPr>
                <w:rFonts w:ascii="宋体" w:hAnsi="宋体" w:cs="宋体" w:eastAsia="宋体" w:hint="default"/>
                <w:sz w:val="18"/>
                <w:szCs w:val="18"/>
              </w:rPr>
              <w:t>华安中小盘成长 股票型证券投资 基金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94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1,111,64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15,048,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中国银行－华泰 柏瑞盛世中国股 票型开放式证券 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13,658,1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2,278,2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13,658,1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中国农业银行－ 国泰金牛创新成 长股票型证券投 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12,458,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636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12,458,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中国银行－嘉实 稳健开放式证券 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2,902,8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1368" w:type="dxa"/>
            <w:tcBorders>
              <w:top w:val="single" w:sz="4" w:space="0" w:color="000000"/>
              <w:left w:val="single" w:sz="13" w:space="0" w:color="D2D2D2"/>
              <w:bottom w:val="single" w:sz="4" w:space="0" w:color="000000"/>
              <w:right w:val="nil" w:sz="6" w:space="0" w:color="auto"/>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nil" w:sz="6" w:space="0" w:color="auto"/>
              <w:bottom w:val="single" w:sz="4" w:space="0" w:color="000000"/>
              <w:right w:val="nil" w:sz="6" w:space="0" w:color="auto"/>
            </w:tcBorders>
            <w:shd w:val="clear" w:color="auto" w:fill="C6ECCC"/>
          </w:tcPr>
          <w:p>
            <w:pPr/>
          </w:p>
        </w:tc>
        <w:tc>
          <w:tcPr>
            <w:tcW w:w="684" w:type="dxa"/>
            <w:tcBorders>
              <w:top w:val="single" w:sz="4" w:space="0" w:color="000000"/>
              <w:left w:val="nil" w:sz="6" w:space="0" w:color="auto"/>
              <w:bottom w:val="single" w:sz="4" w:space="0" w:color="000000"/>
              <w:right w:val="nil" w:sz="6" w:space="0" w:color="auto"/>
            </w:tcBorders>
            <w:shd w:val="clear" w:color="auto" w:fill="C6ECCC"/>
          </w:tcPr>
          <w:p>
            <w:pPr/>
          </w:p>
        </w:tc>
        <w:tc>
          <w:tcPr>
            <w:tcW w:w="684" w:type="dxa"/>
            <w:tcBorders>
              <w:top w:val="single" w:sz="4" w:space="0" w:color="000000"/>
              <w:left w:val="nil" w:sz="6" w:space="0" w:color="auto"/>
              <w:bottom w:val="single" w:sz="4" w:space="0" w:color="000000"/>
              <w:right w:val="nil" w:sz="6" w:space="0" w:color="auto"/>
            </w:tcBorders>
            <w:shd w:val="clear" w:color="auto" w:fill="C6ECCC"/>
          </w:tcPr>
          <w:p>
            <w:pPr/>
          </w:p>
        </w:tc>
        <w:tc>
          <w:tcPr>
            <w:tcW w:w="684" w:type="dxa"/>
            <w:tcBorders>
              <w:top w:val="single" w:sz="4" w:space="0" w:color="000000"/>
              <w:left w:val="nil" w:sz="6" w:space="0" w:color="auto"/>
              <w:bottom w:val="single" w:sz="4" w:space="0" w:color="000000"/>
              <w:right w:val="nil" w:sz="6" w:space="0" w:color="auto"/>
            </w:tcBorders>
            <w:shd w:val="clear" w:color="auto" w:fill="C6ECCC"/>
          </w:tcPr>
          <w:p>
            <w:pPr/>
          </w:p>
        </w:tc>
        <w:tc>
          <w:tcPr>
            <w:tcW w:w="1369" w:type="dxa"/>
            <w:tcBorders>
              <w:top w:val="single" w:sz="4" w:space="0" w:color="000000"/>
              <w:left w:val="nil" w:sz="6" w:space="0" w:color="auto"/>
              <w:bottom w:val="single" w:sz="4" w:space="0" w:color="000000"/>
              <w:right w:val="nil" w:sz="6" w:space="0" w:color="auto"/>
            </w:tcBorders>
            <w:shd w:val="clear" w:color="auto" w:fill="C6ECCC"/>
          </w:tcPr>
          <w:p>
            <w:pPr/>
          </w:p>
        </w:tc>
        <w:tc>
          <w:tcPr>
            <w:tcW w:w="1368" w:type="dxa"/>
            <w:tcBorders>
              <w:top w:val="single" w:sz="4" w:space="0" w:color="000000"/>
              <w:left w:val="nil" w:sz="6" w:space="0" w:color="auto"/>
              <w:bottom w:val="single" w:sz="4" w:space="0" w:color="000000"/>
              <w:right w:val="single" w:sz="4" w:space="0" w:color="000000"/>
            </w:tcBorders>
            <w:shd w:val="clear" w:color="auto" w:fill="C6ECCC"/>
          </w:tcPr>
          <w:p>
            <w:pPr/>
          </w:p>
        </w:tc>
      </w:tr>
      <w:tr>
        <w:trPr>
          <w:trHeight w:val="161"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49"/>
              <w:ind w:left="16" w:right="24"/>
              <w:jc w:val="both"/>
              <w:rPr>
                <w:rFonts w:ascii="宋体" w:hAnsi="宋体" w:cs="宋体" w:eastAsia="宋体" w:hint="default"/>
                <w:sz w:val="18"/>
                <w:szCs w:val="18"/>
              </w:rPr>
            </w:pPr>
            <w:r>
              <w:rPr>
                <w:rFonts w:ascii="宋体" w:hAnsi="宋体" w:cs="宋体" w:eastAsia="宋体" w:hint="default"/>
                <w:spacing w:val="-2"/>
                <w:sz w:val="18"/>
                <w:szCs w:val="18"/>
              </w:rPr>
              <w:t>上述股东中，福建省电力有限公司与吉林省电力有限公司存在关联关系，两者的控股股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东均是国家电网公司；林芝地区荣光科技有限公司和陈利浩存在关联关系，后者持有前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的股份。未知其他股东之间是否具有关联关系，也未知是否属于一致行动人。</w:t>
            </w:r>
          </w:p>
        </w:tc>
      </w:tr>
      <w:tr>
        <w:trPr>
          <w:trHeight w:val="706" w:hRule="exact"/>
        </w:trPr>
        <w:tc>
          <w:tcPr>
            <w:tcW w:w="27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10" w:space="0" w:color="D2D2D2"/>
              <w:right w:val="single" w:sz="4" w:space="0" w:color="000000"/>
            </w:tcBorders>
            <w:shd w:val="clear" w:color="auto" w:fill="C6ECCC"/>
          </w:tcPr>
          <w:p>
            <w:pPr/>
          </w:p>
        </w:tc>
      </w:tr>
      <w:tr>
        <w:trPr>
          <w:trHeight w:val="161"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10" w:space="0" w:color="D2D2D2"/>
              <w:bottom w:val="single" w:sz="4" w:space="0" w:color="000000"/>
              <w:right w:val="single" w:sz="4" w:space="0" w:color="000000"/>
            </w:tcBorders>
            <w:shd w:val="clear" w:color="auto" w:fill="C6ECCC"/>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林芝地区荣光科技有限公司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34,882,079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34,882,079</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28,870,962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28,870,962</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26,693,388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26,693,388</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22,053,401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22,053,401</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中国工商银行－华安中小盘成长 股票型证券投资基金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中国银行－华泰柏瑞盛世中国股 票型开放式证券投资基金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13,658,113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13,658,113</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中国农业银行－国泰金牛创新成 长股票型证券投资基金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12,458,636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12,458,636</w:t>
            </w: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中国银行－嘉实稳健开放式证券 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11,003,715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11,003,715</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中国工商银行－广发聚丰股票型 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9,701,474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9,701,474</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中国建设银行－华夏优势增长股</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9,078,954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9,078,954</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4"/>
        <w:gridCol w:w="1369"/>
        <w:gridCol w:w="1368"/>
      </w:tblGrid>
      <w:tr>
        <w:trPr>
          <w:trHeight w:val="36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名无限售流通股股东中，福建省电力有限公司与吉林省电力有限公司存在关联关</w:t>
            </w:r>
          </w:p>
          <w:p>
            <w:pPr>
              <w:pStyle w:val="TableParagraph"/>
              <w:spacing w:line="300" w:lineRule="auto" w:before="63"/>
              <w:ind w:left="23" w:right="-37"/>
              <w:jc w:val="both"/>
              <w:rPr>
                <w:rFonts w:ascii="宋体" w:hAnsi="宋体" w:cs="宋体" w:eastAsia="宋体" w:hint="default"/>
                <w:sz w:val="18"/>
                <w:szCs w:val="18"/>
              </w:rPr>
            </w:pPr>
            <w:r>
              <w:rPr>
                <w:rFonts w:ascii="宋体" w:hAnsi="宋体" w:cs="宋体" w:eastAsia="宋体" w:hint="default"/>
                <w:sz w:val="18"/>
                <w:szCs w:val="18"/>
              </w:rPr>
              <w:t>系，两者的控股股东均是国家电网公司；前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 林芝地区荣光科技有限公司和陈利浩存在关联关系，后者持有前者</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28%</w:t>
            </w:r>
            <w:r>
              <w:rPr>
                <w:rFonts w:ascii="宋体" w:hAnsi="宋体" w:cs="宋体" w:eastAsia="宋体" w:hint="default"/>
                <w:spacing w:val="-4"/>
                <w:sz w:val="18"/>
                <w:szCs w:val="18"/>
              </w:rPr>
              <w:t>的股份。未知其</w:t>
            </w:r>
            <w:r>
              <w:rPr>
                <w:rFonts w:ascii="宋体" w:hAnsi="宋体" w:cs="宋体" w:eastAsia="宋体" w:hint="default"/>
                <w:sz w:val="18"/>
                <w:szCs w:val="18"/>
              </w:rPr>
              <w:t> 他股东之间是否具有关联关系，也未知是否属于一致行动人。</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自然人</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48"/>
        <w:gridCol w:w="2045"/>
        <w:gridCol w:w="4165"/>
      </w:tblGrid>
      <w:tr>
        <w:trPr>
          <w:trHeight w:val="399"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国籍</w:t>
            </w:r>
          </w:p>
        </w:tc>
        <w:tc>
          <w:tcPr>
            <w:tcW w:w="4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3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6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3348"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1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11" w:right="8"/>
              <w:jc w:val="both"/>
              <w:rPr>
                <w:rFonts w:ascii="宋体" w:hAnsi="宋体" w:cs="宋体" w:eastAsia="宋体" w:hint="default"/>
                <w:sz w:val="18"/>
                <w:szCs w:val="18"/>
              </w:rPr>
            </w:pPr>
            <w:r>
              <w:rPr>
                <w:rFonts w:ascii="宋体" w:hAnsi="宋体" w:cs="宋体" w:eastAsia="宋体" w:hint="default"/>
                <w:spacing w:val="-3"/>
                <w:sz w:val="18"/>
                <w:szCs w:val="18"/>
              </w:rPr>
              <w:t>董事长，</w:t>
            </w:r>
            <w:r>
              <w:rPr>
                <w:rFonts w:ascii="Times New Roman" w:hAnsi="Times New Roman" w:cs="Times New Roman" w:eastAsia="Times New Roman" w:hint="default"/>
                <w:spacing w:val="-3"/>
                <w:sz w:val="18"/>
                <w:szCs w:val="18"/>
              </w:rPr>
              <w:t>1955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年生，毕业于上海电力学院。自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年以来，陈先生在远光软件 股份有限公司先后担任总裁、董事长至今。现任国家会计信息化委员会委员、 中国软件行业协会副理事长、九三学社中央人口资源环境委员会副主任、广东 省委副主委、广东省政协特聘委员、珠海市政协常委、珠海市软件行业协会会 长。</w:t>
            </w:r>
          </w:p>
        </w:tc>
      </w:tr>
      <w:tr>
        <w:trPr>
          <w:trHeight w:val="401" w:hRule="exact"/>
        </w:trPr>
        <w:tc>
          <w:tcPr>
            <w:tcW w:w="3348"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1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报告期控股股东变更</w:t>
      </w:r>
    </w:p>
    <w:p>
      <w:pPr>
        <w:spacing w:line="544" w:lineRule="auto" w:before="117"/>
        <w:ind w:left="152" w:right="8541" w:firstLine="0"/>
        <w:jc w:val="left"/>
        <w:rPr>
          <w:rFonts w:ascii="宋体" w:hAnsi="宋体" w:cs="宋体" w:eastAsia="宋体" w:hint="default"/>
          <w:sz w:val="18"/>
          <w:szCs w:val="18"/>
        </w:rPr>
      </w:pPr>
      <w:r>
        <w:rPr/>
        <w:pict>
          <v:shape style="position:absolute;margin-left:56.459999pt;margin-top:84.301704pt;width:479.2pt;height:143.3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8"/>
                    <w:gridCol w:w="2045"/>
                    <w:gridCol w:w="4177"/>
                  </w:tblGrid>
                  <w:tr>
                    <w:trPr>
                      <w:trHeight w:val="401"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348"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11" w:right="20"/>
                          <w:jc w:val="both"/>
                          <w:rPr>
                            <w:rFonts w:ascii="宋体" w:hAnsi="宋体" w:cs="宋体" w:eastAsia="宋体" w:hint="default"/>
                            <w:sz w:val="18"/>
                            <w:szCs w:val="18"/>
                          </w:rPr>
                        </w:pPr>
                        <w:r>
                          <w:rPr>
                            <w:rFonts w:ascii="宋体" w:hAnsi="宋体" w:cs="宋体" w:eastAsia="宋体" w:hint="default"/>
                            <w:spacing w:val="-3"/>
                            <w:sz w:val="18"/>
                            <w:szCs w:val="18"/>
                          </w:rPr>
                          <w:t>董事长，</w:t>
                        </w:r>
                        <w:r>
                          <w:rPr>
                            <w:rFonts w:ascii="Times New Roman" w:hAnsi="Times New Roman" w:cs="Times New Roman" w:eastAsia="Times New Roman" w:hint="default"/>
                            <w:spacing w:val="-3"/>
                            <w:sz w:val="18"/>
                            <w:szCs w:val="18"/>
                          </w:rPr>
                          <w:t>1955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年生，毕业于上海电力学院。自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年以来，陈先生在远光软件 股份有限公司先后担任总裁、董事长至今。现任国家会计信息化委员会委员、 中国软件行业协会副理事长、九三学社中央人口资源环境委员会副主任、广东 省委副主委、广东省政协特聘委员、珠海市政协常委、珠海市软件行业协会会 长。</w:t>
                        </w:r>
                      </w:p>
                    </w:tc>
                  </w:tr>
                  <w:tr>
                    <w:trPr>
                      <w:trHeight w:val="403" w:hRule="exact"/>
                    </w:trPr>
                    <w:tc>
                      <w:tcPr>
                        <w:tcW w:w="3348"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before="0"/>
        <w:ind w:right="1123"/>
        <w:jc w:val="left"/>
      </w:pPr>
      <w:r>
        <w:rPr/>
        <w:t>报告期实际控制人变更</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after="0" w:line="340" w:lineRule="auto"/>
        <w:jc w:val="left"/>
        <w:sectPr>
          <w:footerReference w:type="default" r:id="rId24"/>
          <w:pgSz w:w="11910" w:h="16840"/>
          <w:pgMar w:footer="1340" w:header="877" w:top="1060" w:bottom="1540" w:left="980" w:right="0"/>
          <w:pgNumType w:start="44"/>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6004" w:lineRule="exact"/>
        <w:ind w:left="170" w:right="0" w:firstLine="0"/>
        <w:rPr>
          <w:rFonts w:ascii="宋体" w:hAnsi="宋体" w:cs="宋体" w:eastAsia="宋体" w:hint="default"/>
          <w:sz w:val="20"/>
          <w:szCs w:val="20"/>
        </w:rPr>
      </w:pPr>
      <w:r>
        <w:rPr>
          <w:rFonts w:ascii="宋体" w:hAnsi="宋体" w:cs="宋体" w:eastAsia="宋体" w:hint="default"/>
          <w:position w:val="-119"/>
          <w:sz w:val="20"/>
          <w:szCs w:val="20"/>
        </w:rPr>
        <w:drawing>
          <wp:inline distT="0" distB="0" distL="0" distR="0">
            <wp:extent cx="6101537" cy="381314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5" cstate="print"/>
                    <a:stretch>
                      <a:fillRect/>
                    </a:stretch>
                  </pic:blipFill>
                  <pic:spPr>
                    <a:xfrm>
                      <a:off x="0" y="0"/>
                      <a:ext cx="6101537" cy="3813143"/>
                    </a:xfrm>
                    <a:prstGeom prst="rect">
                      <a:avLst/>
                    </a:prstGeom>
                  </pic:spPr>
                </pic:pic>
              </a:graphicData>
            </a:graphic>
          </wp:inline>
        </w:drawing>
      </w:r>
      <w:r>
        <w:rPr>
          <w:rFonts w:ascii="宋体" w:hAnsi="宋体" w:cs="宋体" w:eastAsia="宋体" w:hint="default"/>
          <w:position w:val="-119"/>
          <w:sz w:val="20"/>
          <w:szCs w:val="20"/>
        </w:rPr>
      </w:r>
    </w:p>
    <w:p>
      <w:pPr>
        <w:spacing w:line="240" w:lineRule="auto" w:before="6"/>
        <w:rPr>
          <w:rFonts w:ascii="宋体" w:hAnsi="宋体" w:cs="宋体" w:eastAsia="宋体" w:hint="default"/>
          <w:sz w:val="19"/>
          <w:szCs w:val="19"/>
        </w:rPr>
      </w:pPr>
    </w:p>
    <w:p>
      <w:pPr>
        <w:pStyle w:val="Heading3"/>
        <w:spacing w:line="240" w:lineRule="auto" w:before="26"/>
        <w:ind w:right="1123"/>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3"/>
        <w:gridCol w:w="888"/>
        <w:gridCol w:w="1803"/>
        <w:gridCol w:w="1801"/>
        <w:gridCol w:w="1802"/>
      </w:tblGrid>
      <w:tr>
        <w:trPr>
          <w:trHeight w:val="710"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406" w:hRule="exact"/>
        </w:trPr>
        <w:tc>
          <w:tcPr>
            <w:tcW w:w="21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88" w:type="dxa"/>
            <w:tcBorders>
              <w:top w:val="single" w:sz="4" w:space="0" w:color="000000"/>
              <w:left w:val="single" w:sz="10" w:space="0" w:color="C6ECCC"/>
              <w:bottom w:val="single" w:sz="4" w:space="0" w:color="000000"/>
              <w:right w:val="single" w:sz="13" w:space="0" w:color="C6ECCC"/>
            </w:tcBorders>
          </w:tcPr>
          <w:p>
            <w:pPr/>
          </w:p>
        </w:tc>
        <w:tc>
          <w:tcPr>
            <w:tcW w:w="180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0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02"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其他情况说明</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101.660004pt;margin-top:264.475616pt;width:84.15pt;height:22.3pt;mso-position-horizontal-relative:page;mso-position-vertical-relative:page;z-index:-896200" type="#_x0000_t202" filled="false" stroked="false">
            <v:textbox inset="0,0,0,0">
              <w:txbxContent>
                <w:p>
                  <w:pPr>
                    <w:pStyle w:val="BodyText"/>
                    <w:spacing w:line="180" w:lineRule="exact" w:before="0"/>
                    <w:ind w:left="0" w:right="0"/>
                    <w:jc w:val="left"/>
                  </w:pPr>
                  <w:r>
                    <w:rPr/>
                    <w:t>副董事长、</w:t>
                  </w:r>
                </w:p>
              </w:txbxContent>
            </v:textbox>
            <w10:wrap type="none"/>
          </v:shape>
        </w:pict>
      </w:r>
      <w:r>
        <w:rPr/>
        <w:pict>
          <v:group style="position:absolute;margin-left:144.020004pt;margin-top:259.219971pt;width:43pt;height:28.05pt;mso-position-horizontal-relative:page;mso-position-vertical-relative:page;z-index:-896176" coordorigin="2880,5184" coordsize="860,561">
            <v:group style="position:absolute;left:2880;top:5184;width:860;height:156" coordorigin="2880,5184" coordsize="860,156">
              <v:shape style="position:absolute;left:2880;top:5184;width:860;height:156" coordorigin="2880,5184" coordsize="860,156" path="m2880,5340l3740,5340,3740,5184,2880,5184,2880,5340xe" filled="true" fillcolor="#ffffff" stroked="false">
                <v:path arrowok="t"/>
                <v:fill type="solid"/>
              </v:shape>
            </v:group>
            <v:group style="position:absolute;left:2891;top:5341;width:2;height:395" coordorigin="2891,5341" coordsize="2,395">
              <v:shape style="position:absolute;left:2891;top:5341;width:2;height:395" coordorigin="2891,5341" coordsize="0,395" path="m2891,5341l2891,5735e" filled="false" stroked="true" strokeweight="1.08pt" strokecolor="#ffffff">
                <v:path arrowok="t"/>
              </v:shape>
            </v:group>
            <v:group style="position:absolute;left:2902;top:5341;width:814;height:395" coordorigin="2902,5341" coordsize="814,395">
              <v:shape style="position:absolute;left:2902;top:5341;width:814;height:395" coordorigin="2902,5341" coordsize="814,395" path="m2902,5735l3716,5735,3716,5341,2902,5341,2902,573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102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45,461,920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13,638,576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59,100,496</w:t>
            </w: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14,099,567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4,011,649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15,211,216</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姜洪源</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87,361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298,771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357,740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王春光</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周莉</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r>
      <w:tr>
        <w:trPr>
          <w:trHeight w:val="1027"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朱安</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书、高级副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68,467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282,817</w:t>
            </w:r>
          </w:p>
        </w:tc>
      </w:tr>
      <w:tr>
        <w:trPr>
          <w:trHeight w:val="401"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36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副总裁、财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166,820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222,199</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蒋兰英</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金卓君</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60,174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94,956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345,043</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60,179,183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18,410,540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3,069,512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75,520,211</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2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6"/>
        <w:spacing w:line="285" w:lineRule="auto" w:before="85"/>
        <w:ind w:right="1123" w:firstLine="401"/>
        <w:jc w:val="left"/>
      </w:pPr>
      <w:r>
        <w:rPr/>
        <w:t>陈利浩先生，董事长，中国国籍，</w:t>
      </w:r>
      <w:r>
        <w:rPr>
          <w:rFonts w:ascii="宋体" w:hAnsi="宋体" w:cs="宋体" w:eastAsia="宋体" w:hint="default"/>
        </w:rPr>
        <w:t>1955</w:t>
      </w:r>
      <w:r>
        <w:rPr>
          <w:rFonts w:ascii="宋体" w:hAnsi="宋体" w:cs="宋体" w:eastAsia="宋体" w:hint="default"/>
          <w:spacing w:val="-51"/>
        </w:rPr>
        <w:t> </w:t>
      </w:r>
      <w:r>
        <w:rPr/>
        <w:t>年生，毕业于上海电力学院。自</w:t>
      </w:r>
      <w:r>
        <w:rPr>
          <w:spacing w:val="-51"/>
        </w:rPr>
        <w:t> </w:t>
      </w:r>
      <w:r>
        <w:rPr>
          <w:rFonts w:ascii="宋体" w:hAnsi="宋体" w:cs="宋体" w:eastAsia="宋体" w:hint="default"/>
        </w:rPr>
        <w:t>1998</w:t>
      </w:r>
      <w:r>
        <w:rPr>
          <w:rFonts w:ascii="宋体" w:hAnsi="宋体" w:cs="宋体" w:eastAsia="宋体" w:hint="default"/>
          <w:spacing w:val="-51"/>
        </w:rPr>
        <w:t> </w:t>
      </w:r>
      <w:r>
        <w:rPr/>
        <w:t>年以来，陈先生一直在公司</w:t>
      </w:r>
      <w:r>
        <w:rPr>
          <w:w w:val="99"/>
        </w:rPr>
        <w:t> </w:t>
      </w:r>
      <w:r>
        <w:rPr>
          <w:spacing w:val="-1"/>
          <w:w w:val="95"/>
        </w:rPr>
        <w:t>任职，现还任国家会计信息化委员会委员、中国软件行业协会副理事长、九三学社中央委员和广东省委副主委、</w:t>
      </w:r>
      <w:r>
        <w:rPr>
          <w:spacing w:val="85"/>
          <w:w w:val="95"/>
        </w:rPr>
        <w:t> </w:t>
      </w:r>
      <w:r>
        <w:rPr>
          <w:spacing w:val="85"/>
          <w:w w:val="95"/>
        </w:rPr>
      </w:r>
      <w:r>
        <w:rPr/>
        <w:t>广东省政协特聘委员、珠海市政协常委、珠海市软件行业协会会长。</w:t>
      </w:r>
    </w:p>
    <w:p>
      <w:pPr>
        <w:pStyle w:val="Heading6"/>
        <w:spacing w:line="271" w:lineRule="auto" w:before="12"/>
        <w:ind w:right="1083"/>
        <w:jc w:val="both"/>
      </w:pPr>
      <w:r>
        <w:rPr/>
        <w:t>黄建元先生，副董事长、总裁，中国国籍，</w:t>
      </w:r>
      <w:r>
        <w:rPr>
          <w:rFonts w:ascii="Times New Roman" w:hAnsi="Times New Roman" w:cs="Times New Roman" w:eastAsia="Times New Roman" w:hint="default"/>
        </w:rPr>
        <w:t>1962</w:t>
      </w:r>
      <w:r>
        <w:rPr>
          <w:rFonts w:ascii="Times New Roman" w:hAnsi="Times New Roman" w:cs="Times New Roman" w:eastAsia="Times New Roman" w:hint="default"/>
          <w:spacing w:val="-2"/>
        </w:rPr>
        <w:t> </w:t>
      </w:r>
      <w:r>
        <w:rPr/>
        <w:t>年生，毕业于武汉大学数学系，获北京大学</w:t>
      </w:r>
      <w:r>
        <w:rPr>
          <w:spacing w:val="-51"/>
        </w:rPr>
        <w:t> </w:t>
      </w:r>
      <w:r>
        <w:rPr>
          <w:rFonts w:ascii="Times New Roman" w:hAnsi="Times New Roman" w:cs="Times New Roman" w:eastAsia="Times New Roman" w:hint="default"/>
        </w:rPr>
        <w:t>EMBA</w:t>
      </w:r>
      <w:r>
        <w:rPr>
          <w:rFonts w:ascii="Times New Roman" w:hAnsi="Times New Roman" w:cs="Times New Roman" w:eastAsia="Times New Roman" w:hint="default"/>
          <w:spacing w:val="-4"/>
        </w:rPr>
        <w:t> </w:t>
      </w:r>
      <w:r>
        <w:rPr/>
        <w:t>学位。</w:t>
      </w:r>
      <w:r>
        <w:rPr>
          <w:w w:val="99"/>
        </w:rPr>
        <w:t> </w:t>
      </w:r>
      <w:r>
        <w:rPr/>
        <w:t>自</w:t>
      </w:r>
      <w:r>
        <w:rPr>
          <w:spacing w:val="-54"/>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年以来，黄先生一直在公司任职。</w:t>
      </w:r>
    </w:p>
    <w:p>
      <w:pPr>
        <w:pStyle w:val="Heading6"/>
        <w:spacing w:line="283" w:lineRule="auto" w:before="6"/>
        <w:ind w:right="1162"/>
        <w:jc w:val="both"/>
      </w:pPr>
      <w:r>
        <w:rPr/>
        <w:t>姜洪源先生，副董事长，中国国籍，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5"/>
        </w:rPr>
        <w:t> </w:t>
      </w:r>
      <w:r>
        <w:rPr/>
        <w:t>年生，中共党员，研究生学历，高级会计师，现任国电电力发展</w:t>
      </w:r>
      <w:r>
        <w:rPr>
          <w:w w:val="99"/>
        </w:rPr>
        <w:t> </w:t>
      </w:r>
      <w:r>
        <w:rPr/>
        <w:t>股份有限公司总会计师、总法律顾问、党组成员。姜先生曾任财政部工交司副主任科员、主任科员，中国电力</w:t>
      </w:r>
      <w:r>
        <w:rPr>
          <w:w w:val="99"/>
        </w:rPr>
        <w:t> </w:t>
      </w:r>
      <w:r>
        <w:rPr/>
        <w:t>信托投资有限公司资金计划部副经理，国家电力公司财务与产权管理部会计处处长，中国国电集团公司财务产</w:t>
      </w:r>
      <w:r>
        <w:rPr>
          <w:w w:val="99"/>
        </w:rPr>
        <w:t> </w:t>
      </w:r>
      <w:r>
        <w:rPr/>
        <w:t>权部副主任，国电电力发展股份有限公司总会计师、党组成员，国电电力发展股份有限公司总会计师、董事会</w:t>
      </w:r>
      <w:r>
        <w:rPr>
          <w:w w:val="99"/>
        </w:rPr>
        <w:t> </w:t>
      </w:r>
      <w:r>
        <w:rPr/>
        <w:t>秘书，党组成员。</w:t>
      </w:r>
    </w:p>
    <w:p>
      <w:pPr>
        <w:pStyle w:val="Heading6"/>
        <w:spacing w:line="240" w:lineRule="auto" w:before="14"/>
        <w:ind w:left="513" w:right="0" w:firstLine="0"/>
        <w:jc w:val="left"/>
        <w:rPr>
          <w:rFonts w:ascii="Times New Roman" w:hAnsi="Times New Roman" w:cs="Times New Roman" w:eastAsia="Times New Roman" w:hint="default"/>
        </w:rPr>
      </w:pPr>
      <w:r>
        <w:rPr>
          <w:spacing w:val="-6"/>
        </w:rPr>
        <w:t>黄笑华先生，董事、高级副总裁，中国国籍，</w:t>
      </w:r>
      <w:r>
        <w:rPr>
          <w:rFonts w:ascii="Times New Roman" w:hAnsi="Times New Roman" w:cs="Times New Roman" w:eastAsia="Times New Roman" w:hint="default"/>
          <w:spacing w:val="-6"/>
        </w:rPr>
        <w:t>1971 </w:t>
      </w:r>
      <w:r>
        <w:rPr>
          <w:spacing w:val="-3"/>
        </w:rPr>
        <w:t>年生，毕业于西安交通大学计算机系，获清华大学</w:t>
      </w:r>
      <w:r>
        <w:rPr>
          <w:spacing w:val="-44"/>
        </w:rPr>
        <w:t> </w:t>
      </w:r>
      <w:r>
        <w:rPr>
          <w:rFonts w:ascii="Times New Roman" w:hAnsi="Times New Roman" w:cs="Times New Roman" w:eastAsia="Times New Roman" w:hint="default"/>
        </w:rPr>
        <w:t>EMBA</w:t>
      </w:r>
    </w:p>
    <w:p>
      <w:pPr>
        <w:pStyle w:val="Heading6"/>
        <w:spacing w:line="240" w:lineRule="auto" w:before="35"/>
        <w:ind w:right="1123" w:firstLine="0"/>
        <w:jc w:val="left"/>
      </w:pPr>
      <w:r>
        <w:rPr/>
        <w:t>学位。自</w:t>
      </w:r>
      <w:r>
        <w:rPr>
          <w:spacing w:val="-54"/>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年以来，黄先生一直在公司任职。</w:t>
      </w:r>
    </w:p>
    <w:p>
      <w:pPr>
        <w:pStyle w:val="Heading6"/>
        <w:spacing w:line="278" w:lineRule="auto" w:before="35"/>
        <w:ind w:right="1165"/>
        <w:jc w:val="both"/>
      </w:pPr>
      <w:r>
        <w:rPr/>
        <w:t>林国华先生，董事，中国香港，</w:t>
      </w:r>
      <w:r>
        <w:rPr>
          <w:rFonts w:ascii="Times New Roman" w:hAnsi="Times New Roman" w:cs="Times New Roman" w:eastAsia="Times New Roman" w:hint="default"/>
        </w:rPr>
        <w:t>1962</w:t>
      </w:r>
      <w:r>
        <w:rPr>
          <w:rFonts w:ascii="Times New Roman" w:hAnsi="Times New Roman" w:cs="Times New Roman" w:eastAsia="Times New Roman" w:hint="default"/>
          <w:spacing w:val="-7"/>
        </w:rPr>
        <w:t> </w:t>
      </w:r>
      <w:r>
        <w:rPr/>
        <w:t>年生，浸会大学工商管理学士，现任香港恒生科技有限公司总经理。</w:t>
      </w:r>
      <w:r>
        <w:rPr>
          <w:w w:val="99"/>
        </w:rPr>
        <w:t> </w:t>
      </w:r>
      <w:r>
        <w:rPr/>
        <w:t>林先生曾任法国永兴洋行行政部主管，美国霍尼韦尔公司市场经理，香港万事利电脑系统有限公司董事、副总</w:t>
      </w:r>
      <w:r>
        <w:rPr>
          <w:w w:val="99"/>
        </w:rPr>
        <w:t> </w:t>
      </w:r>
      <w:r>
        <w:rPr/>
        <w:t>经理。</w:t>
      </w:r>
    </w:p>
    <w:p>
      <w:pPr>
        <w:pStyle w:val="Heading6"/>
        <w:spacing w:line="278" w:lineRule="auto"/>
        <w:ind w:right="1162"/>
        <w:jc w:val="both"/>
      </w:pPr>
      <w:r>
        <w:rPr/>
        <w:t>温烨女士，独立董事、中国国籍，</w:t>
      </w:r>
      <w:r>
        <w:rPr>
          <w:rFonts w:ascii="Times New Roman" w:hAnsi="Times New Roman" w:cs="Times New Roman" w:eastAsia="Times New Roman" w:hint="default"/>
        </w:rPr>
        <w:t>1969</w:t>
      </w:r>
      <w:r>
        <w:rPr>
          <w:rFonts w:ascii="Times New Roman" w:hAnsi="Times New Roman" w:cs="Times New Roman" w:eastAsia="Times New Roman" w:hint="default"/>
          <w:spacing w:val="-5"/>
        </w:rPr>
        <w:t> </w:t>
      </w:r>
      <w:r>
        <w:rPr/>
        <w:t>年生，中国人民大学法学院毕业，法学博士学位，现任北京市万商</w:t>
      </w:r>
      <w:r>
        <w:rPr>
          <w:w w:val="99"/>
        </w:rPr>
        <w:t> </w:t>
      </w:r>
      <w:r>
        <w:rPr/>
        <w:t>天勤律师事务所合伙人、北京律师协会重组并购专业委员会副主任、中国证监会第四届并购重组审核委员会委</w:t>
      </w:r>
      <w:r>
        <w:rPr>
          <w:w w:val="99"/>
        </w:rPr>
        <w:t> </w:t>
      </w:r>
      <w:r>
        <w:rPr/>
        <w:t>员、浙江盛洋科技股份有限公司独立董事。</w:t>
      </w:r>
    </w:p>
    <w:p>
      <w:pPr>
        <w:pStyle w:val="Heading6"/>
        <w:spacing w:line="283" w:lineRule="auto"/>
        <w:ind w:right="1135"/>
        <w:jc w:val="both"/>
      </w:pPr>
      <w:r>
        <w:rPr/>
        <w:t>卫建国先生，独立董事，中国国籍，</w:t>
      </w:r>
      <w:r>
        <w:rPr>
          <w:rFonts w:ascii="Times New Roman" w:hAnsi="Times New Roman" w:cs="Times New Roman" w:eastAsia="Times New Roman" w:hint="default"/>
        </w:rPr>
        <w:t>1957 </w:t>
      </w:r>
      <w:r>
        <w:rPr/>
        <w:t>年生，中共党员，</w:t>
      </w:r>
      <w:r>
        <w:rPr>
          <w:rFonts w:ascii="Times New Roman" w:hAnsi="Times New Roman" w:cs="Times New Roman" w:eastAsia="Times New Roman" w:hint="default"/>
        </w:rPr>
        <w:t>1990</w:t>
      </w:r>
      <w:r>
        <w:rPr>
          <w:rFonts w:ascii="Times New Roman" w:hAnsi="Times New Roman" w:cs="Times New Roman" w:eastAsia="Times New Roman" w:hint="default"/>
          <w:spacing w:val="-28"/>
        </w:rPr>
        <w:t> </w:t>
      </w:r>
      <w:r>
        <w:rPr/>
        <w:t>年毕业于兰州大学，获硕士学位，现任中</w:t>
      </w:r>
      <w:r>
        <w:rPr>
          <w:w w:val="99"/>
        </w:rPr>
        <w:t> </w:t>
      </w:r>
      <w:r>
        <w:rPr/>
        <w:t>山大学管理学院会计学系党支部书记、中山大学南方学院会计学系主任，兼任广东省会计学会副会长、广东省</w:t>
      </w:r>
      <w:r>
        <w:rPr>
          <w:w w:val="99"/>
        </w:rPr>
        <w:t> </w:t>
      </w:r>
      <w:r>
        <w:rPr/>
        <w:t>审计学会理事、广州市审计学会常务理事、天伦置业股份有限公司和东方宾馆股份有限公司独立董事。卫先生</w:t>
      </w:r>
      <w:r>
        <w:rPr>
          <w:w w:val="99"/>
        </w:rPr>
        <w:t> </w:t>
      </w:r>
      <w:r>
        <w:rPr/>
        <w:t>曾任美国夏威夷大学作高级访问学者，中山大学会计学系副教授、硕士研究生导师、青岛海洋大学会计学系副</w:t>
      </w:r>
      <w:r>
        <w:rPr>
          <w:w w:val="99"/>
        </w:rPr>
        <w:t> </w:t>
      </w:r>
      <w:r>
        <w:rPr/>
        <w:t>主任、中山大学管理学院会计学系副主任。</w:t>
      </w:r>
    </w:p>
    <w:p>
      <w:pPr>
        <w:pStyle w:val="Heading6"/>
        <w:spacing w:line="278" w:lineRule="auto" w:before="14"/>
        <w:ind w:right="1021"/>
        <w:jc w:val="left"/>
      </w:pPr>
      <w:r>
        <w:rPr>
          <w:spacing w:val="-2"/>
        </w:rPr>
        <w:t>陈冲先生，独立董事，中国国籍，</w:t>
      </w:r>
      <w:r>
        <w:rPr>
          <w:rFonts w:ascii="Times New Roman" w:hAnsi="Times New Roman" w:cs="Times New Roman" w:eastAsia="Times New Roman" w:hint="default"/>
          <w:spacing w:val="-2"/>
        </w:rPr>
        <w:t>1944</w:t>
      </w:r>
      <w:r>
        <w:rPr>
          <w:rFonts w:ascii="Times New Roman" w:hAnsi="Times New Roman" w:cs="Times New Roman" w:eastAsia="Times New Roman" w:hint="default"/>
          <w:spacing w:val="-9"/>
        </w:rPr>
        <w:t> </w:t>
      </w:r>
      <w:r>
        <w:rPr>
          <w:spacing w:val="-1"/>
        </w:rPr>
        <w:t>年生，大学毕业，教授级高级工程师，现任中国软件行业协会顾问、</w:t>
      </w:r>
      <w:r>
        <w:rPr>
          <w:w w:val="99"/>
        </w:rPr>
        <w:t> </w:t>
      </w:r>
      <w:r>
        <w:rPr/>
        <w:t>上海宝信软件股份有限公司、北京神州泰岳软件股份有限公司、珠海万力达电气股份有限公司的独立董事。陈</w:t>
      </w:r>
      <w:r>
        <w:rPr>
          <w:w w:val="99"/>
        </w:rPr>
        <w:t> </w:t>
      </w:r>
      <w:r>
        <w:rPr/>
        <w:t>先生曾任计算机总局软件工程处处长、机械电子工业部计算机司软件处处长、电子工业部计算机司软件处处长</w:t>
      </w:r>
    </w:p>
    <w:p>
      <w:pPr>
        <w:pStyle w:val="Heading6"/>
        <w:spacing w:line="285" w:lineRule="auto"/>
        <w:ind w:right="1123" w:firstLine="0"/>
        <w:jc w:val="left"/>
      </w:pPr>
      <w:r>
        <w:rPr>
          <w:w w:val="95"/>
        </w:rPr>
        <w:t>（副司级）、电子工业部计算机司副司长、信息产业部电子信息产品管理司副司长、信息产业部电子信息产品</w:t>
      </w:r>
      <w:r>
        <w:rPr>
          <w:spacing w:val="91"/>
          <w:w w:val="95"/>
        </w:rPr>
        <w:t> </w:t>
      </w:r>
      <w:r>
        <w:rPr>
          <w:spacing w:val="91"/>
          <w:w w:val="95"/>
        </w:rPr>
      </w:r>
      <w:r>
        <w:rPr/>
        <w:t>管理司巡视员（正司级）、中国软件行业协会理事长。</w:t>
      </w:r>
    </w:p>
    <w:p>
      <w:pPr>
        <w:pStyle w:val="Heading6"/>
        <w:spacing w:line="271" w:lineRule="auto" w:before="12"/>
        <w:ind w:right="1164"/>
        <w:jc w:val="both"/>
      </w:pPr>
      <w:r>
        <w:rPr/>
        <w:t>张紫娟女士，监事会主席，中国国籍，</w:t>
      </w:r>
      <w:r>
        <w:rPr>
          <w:rFonts w:ascii="Times New Roman" w:hAnsi="Times New Roman" w:cs="Times New Roman" w:eastAsia="Times New Roman" w:hint="default"/>
        </w:rPr>
        <w:t>1962</w:t>
      </w:r>
      <w:r>
        <w:rPr>
          <w:rFonts w:ascii="Times New Roman" w:hAnsi="Times New Roman" w:cs="Times New Roman" w:eastAsia="Times New Roman" w:hint="default"/>
          <w:spacing w:val="-7"/>
        </w:rPr>
        <w:t> </w:t>
      </w:r>
      <w:r>
        <w:rPr/>
        <w:t>年生，中共党员，大学本科学历，副研究员，现任国电电力发</w:t>
      </w:r>
      <w:r>
        <w:rPr>
          <w:w w:val="99"/>
        </w:rPr>
        <w:t> </w:t>
      </w:r>
      <w:r>
        <w:rPr/>
        <w:t>展股份有限公司党组成员、纪检组长、工会主席。张女士曾任华北电力大学党委宣传部校报编辑部主任、常务</w:t>
      </w:r>
    </w:p>
    <w:p>
      <w:pPr>
        <w:spacing w:after="0" w:line="271" w:lineRule="auto"/>
        <w:jc w:val="both"/>
        <w:sectPr>
          <w:pgSz w:w="11910" w:h="16840"/>
          <w:pgMar w:header="877" w:footer="1340" w:top="1060" w:bottom="1540" w:left="980" w:right="0"/>
        </w:sectPr>
      </w:pPr>
    </w:p>
    <w:p>
      <w:pPr>
        <w:spacing w:line="240" w:lineRule="auto" w:before="0"/>
        <w:rPr>
          <w:rFonts w:ascii="宋体" w:hAnsi="宋体" w:cs="宋体" w:eastAsia="宋体" w:hint="default"/>
          <w:sz w:val="25"/>
          <w:szCs w:val="25"/>
        </w:rPr>
      </w:pPr>
    </w:p>
    <w:p>
      <w:pPr>
        <w:pStyle w:val="Heading6"/>
        <w:spacing w:line="285" w:lineRule="auto" w:before="37"/>
        <w:ind w:right="1154" w:firstLine="0"/>
        <w:jc w:val="left"/>
      </w:pPr>
      <w:r>
        <w:rPr/>
        <w:t>副总编、校长办公室副主任，国家电力公司高级培训中心综合管理处处长，中国国电集团公司党组纪检组办公</w:t>
      </w:r>
      <w:r>
        <w:rPr>
          <w:w w:val="99"/>
        </w:rPr>
        <w:t> </w:t>
      </w:r>
      <w:r>
        <w:rPr/>
        <w:t>室主任，中国国电集团公司监察部副主任。</w:t>
      </w:r>
    </w:p>
    <w:p>
      <w:pPr>
        <w:pStyle w:val="Heading6"/>
        <w:spacing w:line="278" w:lineRule="auto" w:before="12"/>
        <w:ind w:right="1021"/>
        <w:jc w:val="left"/>
      </w:pPr>
      <w:r>
        <w:rPr>
          <w:spacing w:val="-2"/>
        </w:rPr>
        <w:t>柯甫灼先生，监事，中国国籍，</w:t>
      </w:r>
      <w:r>
        <w:rPr>
          <w:rFonts w:ascii="Times New Roman" w:hAnsi="Times New Roman" w:cs="Times New Roman" w:eastAsia="Times New Roman" w:hint="default"/>
          <w:spacing w:val="-2"/>
        </w:rPr>
        <w:t>1962</w:t>
      </w:r>
      <w:r>
        <w:rPr>
          <w:rFonts w:ascii="Times New Roman" w:hAnsi="Times New Roman" w:cs="Times New Roman" w:eastAsia="Times New Roman" w:hint="default"/>
          <w:spacing w:val="-10"/>
        </w:rPr>
        <w:t> </w:t>
      </w:r>
      <w:r>
        <w:rPr>
          <w:spacing w:val="-1"/>
        </w:rPr>
        <w:t>年生，大学学历，高级会计师，现任福建省电力有限公司财务部主任。</w:t>
      </w:r>
      <w:r>
        <w:rPr>
          <w:w w:val="99"/>
        </w:rPr>
        <w:t> </w:t>
      </w:r>
      <w:r>
        <w:rPr/>
        <w:t>柯先生曾任福建省电力勘测设计院财务科会计、成本会计、主办会计、科长，副总会计师，福建省电力工业局</w:t>
      </w:r>
      <w:r>
        <w:rPr>
          <w:w w:val="99"/>
        </w:rPr>
        <w:t> </w:t>
      </w:r>
      <w:r>
        <w:rPr/>
        <w:t>财经部主任助理、劳资部主任经济师。</w:t>
      </w:r>
    </w:p>
    <w:p>
      <w:pPr>
        <w:pStyle w:val="Heading6"/>
        <w:spacing w:line="280" w:lineRule="auto"/>
        <w:ind w:right="1165"/>
        <w:jc w:val="both"/>
      </w:pPr>
      <w:r>
        <w:rPr/>
        <w:t>王春光女士，监事，中国国籍，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7"/>
        </w:rPr>
        <w:t> </w:t>
      </w:r>
      <w:r>
        <w:rPr/>
        <w:t>年生，东北师范大学经济学专业硕士研究生毕业，现任吉林省电力有</w:t>
      </w:r>
      <w:r>
        <w:rPr>
          <w:w w:val="99"/>
        </w:rPr>
        <w:t> </w:t>
      </w:r>
      <w:r>
        <w:rPr/>
        <w:t>限公司正处级调研员。王女士曾任吉林省电力设计院财务科负责人，吉林省电力工业局财务处副科长、科长、</w:t>
      </w:r>
      <w:r>
        <w:rPr>
          <w:w w:val="99"/>
        </w:rPr>
        <w:t> </w:t>
      </w:r>
      <w:r>
        <w:rPr/>
        <w:t>财务部会计成本处副处长、会计成本处处长、会计核算处处长，吉林省电力有限公司财务部副主任、财务部主</w:t>
      </w:r>
      <w:r>
        <w:rPr>
          <w:w w:val="99"/>
        </w:rPr>
        <w:t> </w:t>
      </w:r>
      <w:r>
        <w:rPr/>
        <w:t>任、审计部主任。</w:t>
      </w:r>
    </w:p>
    <w:p>
      <w:pPr>
        <w:pStyle w:val="Heading6"/>
        <w:spacing w:line="271" w:lineRule="auto" w:before="16"/>
        <w:ind w:right="1117"/>
        <w:jc w:val="left"/>
      </w:pPr>
      <w:r>
        <w:rPr/>
        <w:t>梅洁女士，监事，中国国籍，</w:t>
      </w:r>
      <w:r>
        <w:rPr>
          <w:rFonts w:ascii="Times New Roman" w:hAnsi="Times New Roman" w:cs="Times New Roman" w:eastAsia="Times New Roman" w:hint="default"/>
        </w:rPr>
        <w:t>1985</w:t>
      </w:r>
      <w:r>
        <w:rPr>
          <w:rFonts w:ascii="Times New Roman" w:hAnsi="Times New Roman" w:cs="Times New Roman" w:eastAsia="Times New Roman" w:hint="default"/>
          <w:spacing w:val="-25"/>
        </w:rPr>
        <w:t> </w:t>
      </w:r>
      <w:r>
        <w:rPr/>
        <w:t>年生，毕业于北京师范大学工商管理专业，自</w:t>
      </w:r>
      <w:r>
        <w:rPr>
          <w:spacing w:val="-74"/>
        </w:rPr>
        <w:t> </w:t>
      </w:r>
      <w:r>
        <w:rPr>
          <w:rFonts w:ascii="宋体" w:hAnsi="宋体" w:cs="宋体" w:eastAsia="宋体" w:hint="default"/>
        </w:rPr>
        <w:t>2007</w:t>
      </w:r>
      <w:r>
        <w:rPr>
          <w:rFonts w:ascii="宋体" w:hAnsi="宋体" w:cs="宋体" w:eastAsia="宋体" w:hint="default"/>
          <w:spacing w:val="-74"/>
        </w:rPr>
        <w:t> </w:t>
      </w:r>
      <w:r>
        <w:rPr/>
        <w:t>年以来，梅女士一直</w:t>
      </w:r>
      <w:r>
        <w:rPr>
          <w:w w:val="99"/>
        </w:rPr>
        <w:t> </w:t>
      </w:r>
      <w:r>
        <w:rPr/>
        <w:t>在公司任职。</w:t>
      </w:r>
    </w:p>
    <w:p>
      <w:pPr>
        <w:pStyle w:val="Heading6"/>
        <w:spacing w:line="271" w:lineRule="auto" w:before="24"/>
        <w:ind w:right="1116"/>
        <w:jc w:val="left"/>
      </w:pPr>
      <w:r>
        <w:rPr/>
        <w:t>周莉女士，监事，中国国籍，</w:t>
      </w:r>
      <w:r>
        <w:rPr>
          <w:rFonts w:ascii="Times New Roman" w:hAnsi="Times New Roman" w:cs="Times New Roman" w:eastAsia="Times New Roman" w:hint="default"/>
        </w:rPr>
        <w:t>1984</w:t>
      </w:r>
      <w:r>
        <w:rPr>
          <w:rFonts w:ascii="Times New Roman" w:hAnsi="Times New Roman" w:cs="Times New Roman" w:eastAsia="Times New Roman" w:hint="default"/>
          <w:spacing w:val="-25"/>
        </w:rPr>
        <w:t> </w:t>
      </w:r>
      <w:r>
        <w:rPr/>
        <w:t>年生，毕业于云南省财贸学院广告装潢专业，自</w:t>
      </w:r>
      <w:r>
        <w:rPr>
          <w:spacing w:val="-7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年以来，周女士一</w:t>
      </w:r>
      <w:r>
        <w:rPr>
          <w:w w:val="99"/>
        </w:rPr>
        <w:t> </w:t>
      </w:r>
      <w:r>
        <w:rPr/>
        <w:t>直在公司任职。</w:t>
      </w:r>
    </w:p>
    <w:p>
      <w:pPr>
        <w:pStyle w:val="Heading6"/>
        <w:spacing w:line="271" w:lineRule="auto" w:before="24"/>
        <w:ind w:right="1220"/>
        <w:jc w:val="left"/>
      </w:pPr>
      <w:r>
        <w:rPr/>
        <w:t>朱安女士，高级副总裁、董事会秘书，中国国籍，</w:t>
      </w:r>
      <w:r>
        <w:rPr>
          <w:rFonts w:ascii="Times New Roman" w:hAnsi="Times New Roman" w:cs="Times New Roman" w:eastAsia="Times New Roman" w:hint="default"/>
        </w:rPr>
        <w:t>1968 </w:t>
      </w:r>
      <w:r>
        <w:rPr/>
        <w:t>年生，获中欧国际工商学院</w:t>
      </w:r>
      <w:r>
        <w:rPr>
          <w:spacing w:val="-49"/>
        </w:rPr>
        <w:t> </w:t>
      </w:r>
      <w:r>
        <w:rPr>
          <w:rFonts w:ascii="Times New Roman" w:hAnsi="Times New Roman" w:cs="Times New Roman" w:eastAsia="Times New Roman" w:hint="default"/>
        </w:rPr>
        <w:t>EMBA</w:t>
      </w:r>
      <w:r>
        <w:rPr>
          <w:rFonts w:ascii="Times New Roman" w:hAnsi="Times New Roman" w:cs="Times New Roman" w:eastAsia="Times New Roman" w:hint="default"/>
          <w:spacing w:val="-3"/>
        </w:rPr>
        <w:t> </w:t>
      </w:r>
      <w:r>
        <w:rPr/>
        <w:t>学位，自</w:t>
      </w:r>
      <w:r>
        <w:rPr>
          <w:spacing w:val="-52"/>
        </w:rPr>
        <w:t> </w:t>
      </w:r>
      <w:r>
        <w:rPr>
          <w:rFonts w:ascii="宋体" w:hAnsi="宋体" w:cs="宋体" w:eastAsia="宋体" w:hint="default"/>
        </w:rPr>
        <w:t>2000</w:t>
      </w:r>
      <w:r>
        <w:rPr>
          <w:rFonts w:ascii="宋体" w:hAnsi="宋体" w:cs="宋体" w:eastAsia="宋体" w:hint="default"/>
          <w:spacing w:val="1"/>
          <w:w w:val="99"/>
        </w:rPr>
        <w:t> </w:t>
      </w:r>
      <w:r>
        <w:rPr/>
        <w:t>年以来，朱女士一直在公司任职。</w:t>
      </w:r>
    </w:p>
    <w:p>
      <w:pPr>
        <w:pStyle w:val="Heading6"/>
        <w:spacing w:line="271" w:lineRule="auto" w:before="24"/>
        <w:ind w:right="1128"/>
        <w:jc w:val="left"/>
      </w:pPr>
      <w:r>
        <w:rPr>
          <w:spacing w:val="-7"/>
        </w:rPr>
        <w:t>毛华夏先生，副总裁、财务总监，中国国籍，</w:t>
      </w:r>
      <w:r>
        <w:rPr>
          <w:rFonts w:ascii="Times New Roman" w:hAnsi="Times New Roman" w:cs="Times New Roman" w:eastAsia="Times New Roman" w:hint="default"/>
          <w:spacing w:val="-7"/>
        </w:rPr>
        <w:t>1974</w:t>
      </w:r>
      <w:r>
        <w:rPr>
          <w:rFonts w:ascii="Times New Roman" w:hAnsi="Times New Roman" w:cs="Times New Roman" w:eastAsia="Times New Roman" w:hint="default"/>
        </w:rPr>
        <w:t> </w:t>
      </w:r>
      <w:r>
        <w:rPr>
          <w:spacing w:val="-6"/>
        </w:rPr>
        <w:t>年生，会计师，获中欧国际工商学院</w:t>
      </w:r>
      <w:r>
        <w:rPr>
          <w:spacing w:val="-50"/>
        </w:rPr>
        <w:t> </w:t>
      </w:r>
      <w:r>
        <w:rPr>
          <w:rFonts w:ascii="Times New Roman" w:hAnsi="Times New Roman" w:cs="Times New Roman" w:eastAsia="Times New Roman" w:hint="default"/>
        </w:rPr>
        <w:t>EMBA</w:t>
      </w:r>
      <w:r>
        <w:rPr>
          <w:rFonts w:ascii="Times New Roman" w:hAnsi="Times New Roman" w:cs="Times New Roman" w:eastAsia="Times New Roman" w:hint="default"/>
          <w:spacing w:val="-3"/>
        </w:rPr>
        <w:t> </w:t>
      </w:r>
      <w:r>
        <w:rPr>
          <w:spacing w:val="-11"/>
        </w:rPr>
        <w:t>学位，自</w:t>
      </w:r>
      <w:r>
        <w:rPr>
          <w:spacing w:val="-51"/>
        </w:rPr>
        <w:t> </w:t>
      </w:r>
      <w:r>
        <w:rPr>
          <w:rFonts w:ascii="宋体" w:hAnsi="宋体" w:cs="宋体" w:eastAsia="宋体" w:hint="default"/>
        </w:rPr>
        <w:t>1998</w:t>
      </w:r>
      <w:r>
        <w:rPr>
          <w:rFonts w:ascii="宋体" w:hAnsi="宋体" w:cs="宋体" w:eastAsia="宋体" w:hint="default"/>
          <w:spacing w:val="1"/>
          <w:w w:val="99"/>
        </w:rPr>
        <w:t> </w:t>
      </w:r>
      <w:r>
        <w:rPr/>
        <w:t>年以来，毛先生一直在公司任职，现还任华凯投资集团有限公司监事。</w:t>
      </w:r>
    </w:p>
    <w:p>
      <w:pPr>
        <w:pStyle w:val="Heading6"/>
        <w:spacing w:line="271" w:lineRule="auto" w:before="24"/>
        <w:ind w:right="1127"/>
        <w:jc w:val="left"/>
      </w:pPr>
      <w:r>
        <w:rPr/>
        <w:t>郑佩敏女士，副总裁，中国香港，</w:t>
      </w:r>
      <w:r>
        <w:rPr>
          <w:rFonts w:ascii="Times New Roman" w:hAnsi="Times New Roman" w:cs="Times New Roman" w:eastAsia="Times New Roman" w:hint="default"/>
        </w:rPr>
        <w:t>1972</w:t>
      </w:r>
      <w:r>
        <w:rPr>
          <w:rFonts w:ascii="Times New Roman" w:hAnsi="Times New Roman" w:cs="Times New Roman" w:eastAsia="Times New Roman" w:hint="default"/>
          <w:spacing w:val="-7"/>
        </w:rPr>
        <w:t> </w:t>
      </w:r>
      <w:r>
        <w:rPr/>
        <w:t>年生，获香港浸会大学</w:t>
      </w:r>
      <w:r>
        <w:rPr>
          <w:spacing w:val="-57"/>
        </w:rPr>
        <w:t> </w:t>
      </w:r>
      <w:r>
        <w:rPr>
          <w:rFonts w:ascii="Times New Roman" w:hAnsi="Times New Roman" w:cs="Times New Roman" w:eastAsia="Times New Roman" w:hint="default"/>
        </w:rPr>
        <w:t>MBA</w:t>
      </w:r>
      <w:r>
        <w:rPr>
          <w:rFonts w:ascii="Times New Roman" w:hAnsi="Times New Roman" w:cs="Times New Roman" w:eastAsia="Times New Roman" w:hint="default"/>
          <w:spacing w:val="-9"/>
        </w:rPr>
        <w:t> </w:t>
      </w:r>
      <w:r>
        <w:rPr/>
        <w:t>学位，自</w:t>
      </w:r>
      <w:r>
        <w:rPr>
          <w:spacing w:val="-58"/>
        </w:rPr>
        <w:t> </w:t>
      </w:r>
      <w:r>
        <w:rPr>
          <w:rFonts w:ascii="宋体" w:hAnsi="宋体" w:cs="宋体" w:eastAsia="宋体" w:hint="default"/>
        </w:rPr>
        <w:t>2001</w:t>
      </w:r>
      <w:r>
        <w:rPr>
          <w:rFonts w:ascii="宋体" w:hAnsi="宋体" w:cs="宋体" w:eastAsia="宋体" w:hint="default"/>
          <w:spacing w:val="-58"/>
        </w:rPr>
        <w:t> </w:t>
      </w:r>
      <w:r>
        <w:rPr/>
        <w:t>年以来，郑女士一直在</w:t>
      </w:r>
      <w:r>
        <w:rPr>
          <w:w w:val="99"/>
        </w:rPr>
        <w:t> </w:t>
      </w:r>
      <w:r>
        <w:rPr/>
        <w:t>公司任职。</w:t>
      </w:r>
    </w:p>
    <w:p>
      <w:pPr>
        <w:spacing w:line="240" w:lineRule="auto" w:before="0"/>
        <w:rPr>
          <w:rFonts w:ascii="宋体" w:hAnsi="宋体" w:cs="宋体" w:eastAsia="宋体" w:hint="default"/>
          <w:sz w:val="20"/>
          <w:szCs w:val="20"/>
        </w:rPr>
      </w:pPr>
    </w:p>
    <w:p>
      <w:pPr>
        <w:pStyle w:val="BodyText"/>
        <w:spacing w:line="240" w:lineRule="auto" w:before="131"/>
        <w:ind w:right="1123"/>
        <w:jc w:val="left"/>
      </w:pPr>
      <w:r>
        <w:rPr/>
        <w:t>在股东单位任职情况</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708"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20"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姜洪源</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6"/>
              <w:ind w:left="23" w:right="22"/>
              <w:jc w:val="left"/>
              <w:rPr>
                <w:rFonts w:ascii="宋体" w:hAnsi="宋体" w:cs="宋体" w:eastAsia="宋体" w:hint="default"/>
                <w:sz w:val="18"/>
                <w:szCs w:val="18"/>
              </w:rPr>
            </w:pPr>
            <w:r>
              <w:rPr>
                <w:rFonts w:ascii="宋体" w:hAnsi="宋体" w:cs="宋体" w:eastAsia="宋体" w:hint="default"/>
                <w:spacing w:val="-12"/>
                <w:sz w:val="18"/>
                <w:szCs w:val="18"/>
              </w:rPr>
              <w:t>党组成员、总</w:t>
            </w:r>
            <w:r>
              <w:rPr>
                <w:rFonts w:ascii="宋体" w:hAnsi="宋体" w:cs="宋体" w:eastAsia="宋体" w:hint="default"/>
                <w:sz w:val="18"/>
                <w:szCs w:val="18"/>
              </w:rPr>
              <w:t> 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姜洪源</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总法律顾问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2"/>
              <w:jc w:val="both"/>
              <w:rPr>
                <w:rFonts w:ascii="宋体" w:hAnsi="宋体" w:cs="宋体" w:eastAsia="宋体" w:hint="default"/>
                <w:sz w:val="18"/>
                <w:szCs w:val="18"/>
              </w:rPr>
            </w:pPr>
            <w:r>
              <w:rPr>
                <w:rFonts w:ascii="宋体" w:hAnsi="宋体" w:cs="宋体" w:eastAsia="宋体" w:hint="default"/>
                <w:spacing w:val="-12"/>
                <w:sz w:val="18"/>
                <w:szCs w:val="18"/>
              </w:rPr>
              <w:t>党组成员、纪</w:t>
            </w:r>
            <w:r>
              <w:rPr>
                <w:rFonts w:ascii="宋体" w:hAnsi="宋体" w:cs="宋体" w:eastAsia="宋体" w:hint="default"/>
                <w:sz w:val="18"/>
                <w:szCs w:val="18"/>
              </w:rPr>
              <w:t> </w:t>
            </w:r>
            <w:r>
              <w:rPr>
                <w:rFonts w:ascii="宋体" w:hAnsi="宋体" w:cs="宋体" w:eastAsia="宋体" w:hint="default"/>
                <w:spacing w:val="-12"/>
                <w:sz w:val="18"/>
                <w:szCs w:val="18"/>
              </w:rPr>
              <w:t>检组长、工会</w:t>
            </w:r>
            <w:r>
              <w:rPr>
                <w:rFonts w:ascii="宋体" w:hAnsi="宋体" w:cs="宋体" w:eastAsia="宋体" w:hint="default"/>
                <w:sz w:val="18"/>
                <w:szCs w:val="18"/>
              </w:rPr>
              <w:t> 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王春光</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调研员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23"/>
        <w:jc w:val="left"/>
      </w:pPr>
      <w:r>
        <w:rPr/>
        <w:t>在其他单位任职情况</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0"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6"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香港恒生科技有限公司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北京律师协会重组并购专业委员会</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中国证监会第四届并购重组审核委员会</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浙江盛洋科技股份有限公司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北京市万商天勤律师事务所</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129"/>
              <w:jc w:val="both"/>
              <w:rPr>
                <w:rFonts w:ascii="宋体" w:hAnsi="宋体" w:cs="宋体" w:eastAsia="宋体" w:hint="default"/>
                <w:sz w:val="18"/>
                <w:szCs w:val="18"/>
              </w:rPr>
            </w:pPr>
            <w:r>
              <w:rPr>
                <w:rFonts w:ascii="宋体" w:hAnsi="宋体" w:cs="宋体" w:eastAsia="宋体" w:hint="default"/>
                <w:sz w:val="18"/>
                <w:szCs w:val="18"/>
              </w:rPr>
              <w:t>管理学院会 计系党支部 书记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会计学系副 </w:t>
            </w:r>
            <w:r>
              <w:rPr>
                <w:rFonts w:ascii="宋体" w:hAnsi="宋体" w:cs="宋体" w:eastAsia="宋体" w:hint="default"/>
                <w:spacing w:val="-12"/>
                <w:sz w:val="18"/>
                <w:szCs w:val="18"/>
              </w:rPr>
              <w:t>教授、硕士生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129"/>
              <w:jc w:val="left"/>
              <w:rPr>
                <w:rFonts w:ascii="宋体" w:hAnsi="宋体" w:cs="宋体" w:eastAsia="宋体" w:hint="default"/>
                <w:sz w:val="18"/>
                <w:szCs w:val="18"/>
              </w:rPr>
            </w:pPr>
            <w:r>
              <w:rPr>
                <w:rFonts w:ascii="宋体" w:hAnsi="宋体" w:cs="宋体" w:eastAsia="宋体" w:hint="default"/>
                <w:sz w:val="18"/>
                <w:szCs w:val="18"/>
              </w:rPr>
              <w:t>南方学院会 计学系主任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上海宝信软件股份有限公司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珠海万利达电气股份有限公司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left="513" w:right="6434" w:hanging="361"/>
        <w:jc w:val="left"/>
      </w:pPr>
      <w:r>
        <w:rPr/>
        <w:t>董事、监事、高级管理人员报酬的决策程序、确定依据 </w:t>
      </w:r>
      <w:r>
        <w:rPr>
          <w:rFonts w:ascii="宋体" w:hAnsi="宋体" w:cs="宋体" w:eastAsia="宋体" w:hint="default"/>
        </w:rPr>
        <w:t>1</w:t>
      </w:r>
      <w:r>
        <w:rPr/>
        <w:t>、报酬的决策程序、报酬确定依据</w:t>
      </w:r>
    </w:p>
    <w:p>
      <w:pPr>
        <w:pStyle w:val="BodyText"/>
        <w:spacing w:line="224" w:lineRule="exact" w:before="0"/>
        <w:ind w:left="513" w:right="0"/>
        <w:jc w:val="left"/>
      </w:pPr>
      <w:r>
        <w:rPr/>
        <w:t>董事会在年初制定经营班子（总裁、副总裁）本年度的考核方案，年末根据会计师事务所的财务审计报告，对经营班子</w:t>
      </w:r>
    </w:p>
    <w:p>
      <w:pPr>
        <w:pStyle w:val="BodyText"/>
        <w:spacing w:line="316" w:lineRule="auto" w:before="76"/>
        <w:ind w:left="513" w:right="1123" w:hanging="361"/>
        <w:jc w:val="left"/>
      </w:pPr>
      <w:r>
        <w:rPr/>
        <w:t>的经营业绩进行考核，并实施奖励与惩罚；对高级管理人员的其他奖励由董事会审议决定。 </w:t>
      </w:r>
      <w:r>
        <w:rPr>
          <w:rFonts w:ascii="宋体" w:hAnsi="宋体" w:cs="宋体" w:eastAsia="宋体" w:hint="default"/>
        </w:rPr>
        <w:t>2</w:t>
      </w:r>
      <w:r>
        <w:rPr/>
        <w:t>、独立董事津贴</w:t>
      </w:r>
      <w:r>
        <w:rPr>
          <w:rFonts w:ascii="宋体" w:hAnsi="宋体" w:cs="宋体" w:eastAsia="宋体" w:hint="default"/>
        </w:rPr>
        <w:t>2012</w:t>
      </w:r>
      <w:r>
        <w:rPr/>
        <w:t>年度津贴执行</w:t>
      </w:r>
      <w:r>
        <w:rPr>
          <w:rFonts w:ascii="宋体" w:hAnsi="宋体" w:cs="宋体" w:eastAsia="宋体" w:hint="default"/>
        </w:rPr>
        <w:t>2011</w:t>
      </w:r>
      <w:r>
        <w:rPr/>
        <w:t>年度标准，为每年人民币</w:t>
      </w:r>
      <w:r>
        <w:rPr>
          <w:rFonts w:ascii="宋体" w:hAnsi="宋体" w:cs="宋体" w:eastAsia="宋体" w:hint="default"/>
        </w:rPr>
        <w:t>4.47</w:t>
      </w:r>
      <w:r>
        <w:rPr/>
        <w:t>万元（含税）。独立董事按《公司法》、《公司</w:t>
      </w:r>
    </w:p>
    <w:p>
      <w:pPr>
        <w:pStyle w:val="BodyText"/>
        <w:spacing w:line="240" w:lineRule="auto" w:before="19"/>
        <w:ind w:right="1123"/>
        <w:jc w:val="left"/>
      </w:pPr>
      <w:r>
        <w:rPr/>
        <w:t>章程》等相关规定行使职责所需的合理费用由公司承担。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right="112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70.86</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副董事长、总 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姜洪源</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董事、高级副 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王春光</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10.66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周莉</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朱安</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董事会秘书、 高级副总裁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25.14</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副总裁、财务 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蒋兰英</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金卓君</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350.86</w:t>
            </w:r>
          </w:p>
        </w:tc>
      </w:tr>
    </w:tbl>
    <w:p>
      <w:pPr>
        <w:pStyle w:val="BodyText"/>
        <w:spacing w:line="240" w:lineRule="auto" w:before="49"/>
        <w:ind w:right="1123"/>
        <w:jc w:val="left"/>
      </w:pPr>
      <w:r>
        <w:rPr/>
        <w:t>公司董事、监事、高级管理人员报告期内被授予的股权激励情况</w:t>
      </w:r>
    </w:p>
    <w:p>
      <w:pPr>
        <w:pStyle w:val="BodyText"/>
        <w:spacing w:line="240" w:lineRule="auto" w:before="115"/>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nil" w:sz="6" w:space="0" w:color="auto"/>
              <w:left w:val="single" w:sz="4" w:space="0" w:color="000000"/>
              <w:bottom w:val="nil" w:sz="6" w:space="0" w:color="auto"/>
              <w:right w:val="nil" w:sz="6" w:space="0" w:color="auto"/>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nil" w:sz="6" w:space="0" w:color="auto"/>
              <w:left w:val="nil" w:sz="6" w:space="0" w:color="auto"/>
              <w:bottom w:val="nil" w:sz="6" w:space="0" w:color="auto"/>
              <w:right w:val="nil" w:sz="6" w:space="0" w:color="auto"/>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nil" w:sz="6" w:space="0" w:color="auto"/>
              <w:left w:val="nil" w:sz="6" w:space="0" w:color="auto"/>
              <w:bottom w:val="nil" w:sz="6" w:space="0" w:color="auto"/>
              <w:right w:val="nil" w:sz="6" w:space="0" w:color="auto"/>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nil" w:sz="6" w:space="0" w:color="auto"/>
              <w:left w:val="nil" w:sz="6" w:space="0" w:color="auto"/>
              <w:bottom w:val="nil" w:sz="6" w:space="0" w:color="auto"/>
              <w:right w:val="nil" w:sz="6" w:space="0" w:color="auto"/>
            </w:tcBorders>
            <w:shd w:val="clear" w:color="auto" w:fill="C6ECCC"/>
          </w:tcPr>
          <w:p>
            <w:pPr>
              <w:pStyle w:val="TableParagraph"/>
              <w:spacing w:line="312" w:lineRule="auto" w:before="49"/>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nil" w:sz="6" w:space="0" w:color="auto"/>
              <w:left w:val="nil" w:sz="6" w:space="0" w:color="auto"/>
              <w:bottom w:val="nil" w:sz="6" w:space="0" w:color="auto"/>
              <w:right w:val="nil" w:sz="6" w:space="0" w:color="auto"/>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nil" w:sz="6" w:space="0" w:color="auto"/>
              <w:left w:val="nil" w:sz="6" w:space="0" w:color="auto"/>
              <w:bottom w:val="nil" w:sz="6" w:space="0" w:color="auto"/>
              <w:right w:val="nil" w:sz="6" w:space="0" w:color="auto"/>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nil" w:sz="6" w:space="0" w:color="auto"/>
              <w:left w:val="nil" w:sz="6" w:space="0" w:color="auto"/>
              <w:bottom w:val="nil" w:sz="6" w:space="0" w:color="auto"/>
              <w:right w:val="nil" w:sz="6" w:space="0" w:color="auto"/>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nil" w:sz="6" w:space="0" w:color="auto"/>
              <w:left w:val="nil" w:sz="6" w:space="0" w:color="auto"/>
              <w:bottom w:val="nil" w:sz="6" w:space="0" w:color="auto"/>
              <w:right w:val="nil" w:sz="6" w:space="0" w:color="auto"/>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nil" w:sz="6" w:space="0" w:color="auto"/>
              <w:left w:val="nil" w:sz="6" w:space="0" w:color="auto"/>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651,780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651,780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董事、高级 副总裁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272,563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朱安</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董事会秘 书、高级副 总裁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213,310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副总裁、财 务总监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1,279,860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1,279,860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660,000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958" w:type="dxa"/>
            <w:tcBorders>
              <w:top w:val="single" w:sz="4" w:space="0" w:color="000000"/>
              <w:left w:val="single" w:sz="4" w:space="0" w:color="000000"/>
              <w:bottom w:val="nil" w:sz="6" w:space="0" w:color="auto"/>
              <w:right w:val="single" w:sz="13" w:space="0" w:color="C6ECCC"/>
            </w:tcBorders>
            <w:shd w:val="clear" w:color="auto" w:fill="D2D2D2"/>
          </w:tcPr>
          <w:p>
            <w:pPr/>
          </w:p>
        </w:tc>
        <w:tc>
          <w:tcPr>
            <w:tcW w:w="8615" w:type="dxa"/>
            <w:gridSpan w:val="9"/>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报告期末至本报告披露前，</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日公司股票期权第三期第一次行权，本次行权价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元，黄建元行</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869,041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股，黄笑华行权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363,417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股，朱安行权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284,412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股，毛华夏行权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189,609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1,706,479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2013</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日限制性股票授予登记完成，上述人员均以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165,000 </w:t>
            </w:r>
            <w:r>
              <w:rPr>
                <w:rFonts w:ascii="宋体" w:hAnsi="宋体" w:cs="宋体" w:eastAsia="宋体" w:hint="default"/>
                <w:sz w:val="18"/>
                <w:szCs w:val="18"/>
              </w:rPr>
              <w:t>股限制性股票。</w:t>
            </w:r>
          </w:p>
        </w:tc>
      </w:tr>
      <w:tr>
        <w:trPr>
          <w:trHeight w:val="394" w:hRule="exact"/>
        </w:trPr>
        <w:tc>
          <w:tcPr>
            <w:tcW w:w="958" w:type="dxa"/>
            <w:tcBorders>
              <w:top w:val="nil" w:sz="6" w:space="0" w:color="auto"/>
              <w:left w:val="single" w:sz="4" w:space="0" w:color="000000"/>
              <w:bottom w:val="nil" w:sz="6" w:space="0" w:color="auto"/>
              <w:right w:val="single" w:sz="13"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15" w:type="dxa"/>
            <w:gridSpan w:val="9"/>
            <w:vMerge/>
            <w:tcBorders>
              <w:left w:val="single" w:sz="9" w:space="0" w:color="D2D2D2"/>
              <w:right w:val="single" w:sz="4" w:space="0" w:color="000000"/>
            </w:tcBorders>
            <w:shd w:val="clear" w:color="auto" w:fill="C6ECCC"/>
          </w:tcPr>
          <w:p>
            <w:pPr/>
          </w:p>
        </w:tc>
      </w:tr>
      <w:tr>
        <w:trPr>
          <w:trHeight w:val="317" w:hRule="exact"/>
        </w:trPr>
        <w:tc>
          <w:tcPr>
            <w:tcW w:w="958" w:type="dxa"/>
            <w:tcBorders>
              <w:top w:val="nil" w:sz="6" w:space="0" w:color="auto"/>
              <w:left w:val="single" w:sz="4" w:space="0" w:color="000000"/>
              <w:bottom w:val="single" w:sz="4" w:space="0" w:color="000000"/>
              <w:right w:val="single" w:sz="13" w:space="0" w:color="C6ECCC"/>
            </w:tcBorders>
            <w:shd w:val="clear" w:color="auto" w:fill="D2D2D2"/>
          </w:tcPr>
          <w:p>
            <w:pPr/>
          </w:p>
        </w:tc>
        <w:tc>
          <w:tcPr>
            <w:tcW w:w="8615" w:type="dxa"/>
            <w:gridSpan w:val="9"/>
            <w:vMerge/>
            <w:tcBorders>
              <w:left w:val="single" w:sz="9" w:space="0" w:color="D2D2D2"/>
              <w:bottom w:val="single" w:sz="4" w:space="0" w:color="000000"/>
              <w:right w:val="single" w:sz="4" w:space="0" w:color="000000"/>
            </w:tcBorders>
            <w:shd w:val="clear" w:color="auto" w:fill="C6ECCC"/>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pict>
          <v:shape style="position:absolute;margin-left:71.642998pt;margin-top:-45.554375pt;width:462.25pt;height:15.6pt;mso-position-horizontal-relative:page;mso-position-vertical-relative:paragraph;z-index:-896152" type="#_x0000_t202" filled="false" stroked="false">
            <v:textbox inset="0,0,0,0">
              <w:txbxContent>
                <w:p>
                  <w:pPr>
                    <w:pStyle w:val="BodyText"/>
                    <w:spacing w:line="240" w:lineRule="auto" w:before="8"/>
                    <w:ind w:left="0" w:right="0"/>
                    <w:jc w:val="left"/>
                  </w:pPr>
                  <w:r>
                    <w:rPr/>
                    <w:t>（如有）</w:t>
                  </w:r>
                </w:p>
              </w:txbxContent>
            </v:textbox>
            <w10:wrap type="none"/>
          </v:shape>
        </w:pict>
      </w: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1"/>
        <w:gridCol w:w="4247"/>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蒋兰英</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已连续担任六年公司独立董事，按照中国证监会《关</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6"/>
          <w:szCs w:val="26"/>
        </w:rPr>
      </w:pPr>
    </w:p>
    <w:p>
      <w:pPr>
        <w:pStyle w:val="BodyText"/>
        <w:spacing w:line="240" w:lineRule="auto"/>
        <w:ind w:left="0" w:right="1141"/>
        <w:jc w:val="right"/>
      </w:pPr>
      <w:r>
        <w:rPr/>
        <w:pict>
          <v:shape style="position:absolute;margin-left:56.459999pt;margin-top:1.311738pt;width:479.1pt;height:69.9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9"/>
                    <w:gridCol w:w="1330"/>
                    <w:gridCol w:w="1330"/>
                    <w:gridCol w:w="1331"/>
                    <w:gridCol w:w="4247"/>
                  </w:tblGrid>
                  <w:tr>
                    <w:trPr>
                      <w:trHeight w:val="675"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2" w:right="111"/>
                          <w:jc w:val="left"/>
                          <w:rPr>
                            <w:rFonts w:ascii="宋体" w:hAnsi="宋体" w:cs="宋体" w:eastAsia="宋体" w:hint="default"/>
                            <w:sz w:val="18"/>
                            <w:szCs w:val="18"/>
                          </w:rPr>
                        </w:pPr>
                        <w:r>
                          <w:rPr>
                            <w:rFonts w:ascii="宋体" w:hAnsi="宋体" w:cs="宋体" w:eastAsia="宋体" w:hint="default"/>
                            <w:spacing w:val="-2"/>
                            <w:sz w:val="18"/>
                            <w:szCs w:val="18"/>
                          </w:rPr>
                          <w:t>于在上市公司建立独立董事制度的指导意见》的要求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陈冲先生请求辞去公司独立董事职务</w:t>
                        </w:r>
                      </w:p>
                    </w:tc>
                  </w:tr>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金卓君</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right="1123"/>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1123"/>
        <w:jc w:val="left"/>
      </w:pPr>
      <w:r>
        <w:rPr/>
        <w:t>截至报告期末，公司在职员工人数为</w:t>
      </w:r>
      <w:r>
        <w:rPr>
          <w:rFonts w:ascii="Times New Roman" w:hAnsi="Times New Roman" w:cs="Times New Roman" w:eastAsia="Times New Roman" w:hint="default"/>
        </w:rPr>
        <w:t>2691</w:t>
      </w:r>
      <w:r>
        <w:rPr/>
        <w:t>人。</w:t>
      </w:r>
    </w:p>
    <w:p>
      <w:pPr>
        <w:pStyle w:val="BodyText"/>
        <w:spacing w:line="240" w:lineRule="auto" w:before="63"/>
        <w:ind w:left="513" w:right="1123"/>
        <w:jc w:val="left"/>
      </w:pPr>
      <w:r>
        <w:rPr>
          <w:rFonts w:ascii="Times New Roman" w:hAnsi="Times New Roman" w:cs="Times New Roman" w:eastAsia="Times New Roman" w:hint="default"/>
        </w:rPr>
        <w:t>1</w:t>
      </w:r>
      <w:r>
        <w:rPr/>
        <w:t>、公司员工构成比例</w:t>
      </w:r>
    </w:p>
    <w:p>
      <w:pPr>
        <w:spacing w:line="240" w:lineRule="auto" w:before="0"/>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2568"/>
        <w:gridCol w:w="2554"/>
        <w:gridCol w:w="2554"/>
      </w:tblGrid>
      <w:tr>
        <w:trPr>
          <w:trHeight w:val="334" w:hRule="exact"/>
        </w:trPr>
        <w:tc>
          <w:tcPr>
            <w:tcW w:w="2568" w:type="dxa"/>
            <w:tcBorders>
              <w:top w:val="nil" w:sz="6" w:space="0" w:color="auto"/>
              <w:left w:val="nil" w:sz="6" w:space="0" w:color="auto"/>
              <w:bottom w:val="single" w:sz="6" w:space="0" w:color="000000"/>
              <w:right w:val="single" w:sz="6" w:space="0" w:color="000000"/>
            </w:tcBorders>
          </w:tcPr>
          <w:p>
            <w:pPr>
              <w:pStyle w:val="TableParagraph"/>
              <w:spacing w:line="240" w:lineRule="auto" w:before="13"/>
              <w:ind w:left="22" w:right="0"/>
              <w:jc w:val="center"/>
              <w:rPr>
                <w:rFonts w:ascii="宋体" w:hAnsi="宋体" w:cs="宋体" w:eastAsia="宋体" w:hint="default"/>
                <w:sz w:val="18"/>
                <w:szCs w:val="18"/>
              </w:rPr>
            </w:pPr>
            <w:r>
              <w:rPr>
                <w:rFonts w:ascii="宋体" w:hAnsi="宋体" w:cs="宋体" w:eastAsia="宋体" w:hint="default"/>
                <w:sz w:val="18"/>
                <w:szCs w:val="18"/>
              </w:rPr>
              <w:t>类别项目</w:t>
            </w:r>
          </w:p>
        </w:tc>
        <w:tc>
          <w:tcPr>
            <w:tcW w:w="255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255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占公司总人数比例</w:t>
            </w:r>
          </w:p>
        </w:tc>
      </w:tr>
      <w:tr>
        <w:trPr>
          <w:trHeight w:val="336"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2320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86.21%</w:t>
            </w:r>
          </w:p>
        </w:tc>
      </w:tr>
      <w:tr>
        <w:trPr>
          <w:trHeight w:val="338"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126</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4.68%</w:t>
            </w:r>
          </w:p>
        </w:tc>
      </w:tr>
      <w:tr>
        <w:trPr>
          <w:trHeight w:val="336"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1.86%</w:t>
            </w:r>
          </w:p>
        </w:tc>
      </w:tr>
      <w:tr>
        <w:trPr>
          <w:trHeight w:val="338"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195</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7.25%</w:t>
            </w:r>
          </w:p>
        </w:tc>
      </w:tr>
      <w:tr>
        <w:trPr>
          <w:trHeight w:val="336"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2691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0"/>
        <w:rPr>
          <w:rFonts w:ascii="宋体" w:hAnsi="宋体" w:cs="宋体" w:eastAsia="宋体" w:hint="default"/>
          <w:sz w:val="25"/>
          <w:szCs w:val="25"/>
        </w:rPr>
      </w:pPr>
    </w:p>
    <w:p>
      <w:pPr>
        <w:spacing w:line="5250" w:lineRule="exact"/>
        <w:ind w:left="153"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3694292" cy="33337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6" cstate="print"/>
                    <a:stretch>
                      <a:fillRect/>
                    </a:stretch>
                  </pic:blipFill>
                  <pic:spPr>
                    <a:xfrm>
                      <a:off x="0" y="0"/>
                      <a:ext cx="3694292" cy="3333750"/>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5"/>
        <w:rPr>
          <w:rFonts w:ascii="宋体" w:hAnsi="宋体" w:cs="宋体" w:eastAsia="宋体" w:hint="default"/>
          <w:sz w:val="23"/>
          <w:szCs w:val="23"/>
        </w:rPr>
      </w:pPr>
    </w:p>
    <w:p>
      <w:pPr>
        <w:pStyle w:val="BodyText"/>
        <w:spacing w:line="240" w:lineRule="auto"/>
        <w:ind w:left="513" w:right="1123"/>
        <w:jc w:val="left"/>
      </w:pPr>
      <w:r>
        <w:rPr>
          <w:rFonts w:ascii="Times New Roman" w:hAnsi="Times New Roman" w:cs="Times New Roman" w:eastAsia="Times New Roman" w:hint="default"/>
        </w:rPr>
        <w:t>2</w:t>
      </w:r>
      <w:r>
        <w:rPr/>
        <w:t>、按员工受教育程度划分</w:t>
      </w:r>
    </w:p>
    <w:p>
      <w:pPr>
        <w:spacing w:line="240" w:lineRule="auto" w:before="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2568"/>
        <w:gridCol w:w="2554"/>
        <w:gridCol w:w="2554"/>
      </w:tblGrid>
      <w:tr>
        <w:trPr>
          <w:trHeight w:val="336" w:hRule="exact"/>
        </w:trPr>
        <w:tc>
          <w:tcPr>
            <w:tcW w:w="2568" w:type="dxa"/>
            <w:tcBorders>
              <w:top w:val="nil" w:sz="6" w:space="0" w:color="auto"/>
              <w:left w:val="nil" w:sz="6" w:space="0" w:color="auto"/>
              <w:bottom w:val="single" w:sz="6" w:space="0" w:color="000000"/>
              <w:right w:val="single" w:sz="6" w:space="0" w:color="000000"/>
            </w:tcBorders>
          </w:tcPr>
          <w:p>
            <w:pPr>
              <w:pStyle w:val="TableParagraph"/>
              <w:spacing w:line="240" w:lineRule="auto" w:before="13"/>
              <w:ind w:left="22"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55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255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占公司总人数比例</w:t>
            </w:r>
          </w:p>
        </w:tc>
      </w:tr>
      <w:tr>
        <w:trPr>
          <w:trHeight w:val="336"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1802</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66.96%</w:t>
            </w:r>
          </w:p>
        </w:tc>
      </w:tr>
      <w:tr>
        <w:trPr>
          <w:trHeight w:val="338"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812</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30.17%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2568"/>
        <w:gridCol w:w="2554"/>
        <w:gridCol w:w="2554"/>
      </w:tblGrid>
      <w:tr>
        <w:trPr>
          <w:trHeight w:val="334" w:hRule="exact"/>
        </w:trPr>
        <w:tc>
          <w:tcPr>
            <w:tcW w:w="2568" w:type="dxa"/>
            <w:tcBorders>
              <w:top w:val="nil" w:sz="6" w:space="0" w:color="auto"/>
              <w:left w:val="nil" w:sz="6" w:space="0" w:color="auto"/>
              <w:bottom w:val="single" w:sz="6" w:space="0" w:color="000000"/>
              <w:right w:val="single" w:sz="6" w:space="0" w:color="000000"/>
            </w:tcBorders>
          </w:tcPr>
          <w:p>
            <w:pPr>
              <w:pStyle w:val="TableParagraph"/>
              <w:spacing w:line="240" w:lineRule="auto" w:before="13"/>
              <w:ind w:left="2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55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77</w:t>
            </w:r>
          </w:p>
        </w:tc>
        <w:tc>
          <w:tcPr>
            <w:tcW w:w="2554"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2.86%</w:t>
            </w:r>
          </w:p>
        </w:tc>
      </w:tr>
      <w:tr>
        <w:trPr>
          <w:trHeight w:val="339" w:hRule="exact"/>
        </w:trPr>
        <w:tc>
          <w:tcPr>
            <w:tcW w:w="25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2691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2"/>
          <w:szCs w:val="2"/>
        </w:rPr>
      </w:pPr>
    </w:p>
    <w:p>
      <w:pPr>
        <w:spacing w:line="4605" w:lineRule="exact"/>
        <w:ind w:left="153"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3437143" cy="29241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7" cstate="print"/>
                    <a:stretch>
                      <a:fillRect/>
                    </a:stretch>
                  </pic:blipFill>
                  <pic:spPr>
                    <a:xfrm>
                      <a:off x="0" y="0"/>
                      <a:ext cx="3437143" cy="2924175"/>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2"/>
        <w:rPr>
          <w:rFonts w:ascii="宋体" w:hAnsi="宋体" w:cs="宋体" w:eastAsia="宋体" w:hint="default"/>
          <w:sz w:val="24"/>
          <w:szCs w:val="24"/>
        </w:rPr>
      </w:pPr>
    </w:p>
    <w:p>
      <w:pPr>
        <w:pStyle w:val="BodyText"/>
        <w:spacing w:line="240" w:lineRule="auto"/>
        <w:ind w:left="513" w:right="1123"/>
        <w:jc w:val="left"/>
      </w:pPr>
      <w:r>
        <w:rPr>
          <w:rFonts w:ascii="Times New Roman" w:hAnsi="Times New Roman" w:cs="Times New Roman" w:eastAsia="Times New Roman" w:hint="default"/>
        </w:rPr>
        <w:t>3</w:t>
      </w:r>
      <w:r>
        <w:rPr/>
        <w:t>、截至报告期末，公司没有需承担费用的离退休职工。</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360"/>
        <w:jc w:val="left"/>
      </w:pPr>
      <w:r>
        <w:rPr>
          <w:spacing w:val="-2"/>
        </w:rPr>
        <w:t>报告期内，公司严格按照《公司法》、《证券法》、《上市公司治理准则》和《深圳证券交易所股票上市规则》等相关</w:t>
      </w:r>
      <w:r>
        <w:rPr/>
        <w:t> </w:t>
      </w:r>
      <w:r>
        <w:rPr>
          <w:spacing w:val="-4"/>
        </w:rPr>
        <w:t>法律、法规的规定，不断完善公司法人治理结构，健全内部控制体系，进一步规范公司运作。按照中国证券监督管理委员会、</w:t>
      </w:r>
      <w:r>
        <w:rPr>
          <w:spacing w:val="-45"/>
        </w:rPr>
        <w:t> </w:t>
      </w:r>
      <w:r>
        <w:rPr>
          <w:spacing w:val="-45"/>
        </w:rPr>
      </w:r>
      <w:r>
        <w:rPr>
          <w:spacing w:val="-5"/>
        </w:rPr>
        <w:t>深圳证券交易所、深圳证监局的要求，报告期内公司及时修订了公司《公司章程》，制订了《未来三年股东回报规划》、《对</w:t>
      </w:r>
      <w:r>
        <w:rPr>
          <w:spacing w:val="-76"/>
        </w:rPr>
        <w:t> </w:t>
      </w:r>
      <w:r>
        <w:rPr>
          <w:spacing w:val="-76"/>
        </w:rPr>
      </w:r>
      <w:r>
        <w:rPr>
          <w:spacing w:val="-2"/>
        </w:rPr>
        <w:t>外提供财务资助管理制度》、《董事会秘书工作制度》。报告期内未收到监管部门行政监管措施需限期整改的有关文件。截</w:t>
      </w:r>
      <w:r>
        <w:rPr>
          <w:spacing w:val="-67"/>
        </w:rPr>
        <w:t> </w:t>
      </w:r>
      <w:r>
        <w:rPr>
          <w:spacing w:val="-67"/>
        </w:rPr>
      </w:r>
      <w:r>
        <w:rPr/>
        <w:t>止报告期末，经公司股东大会或董事会审议通过并正在执行的制度及最新披露时间如下：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828"/>
        <w:gridCol w:w="3421"/>
        <w:gridCol w:w="1664"/>
        <w:gridCol w:w="1973"/>
        <w:gridCol w:w="1970"/>
      </w:tblGrid>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最新披露时间</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9" w:right="0"/>
              <w:jc w:val="left"/>
              <w:rPr>
                <w:rFonts w:ascii="宋体" w:hAnsi="宋体" w:cs="宋体" w:eastAsia="宋体" w:hint="default"/>
                <w:sz w:val="18"/>
                <w:szCs w:val="18"/>
              </w:rPr>
            </w:pPr>
            <w:r>
              <w:rPr>
                <w:rFonts w:ascii="宋体" w:hAnsi="宋体" w:cs="宋体" w:eastAsia="宋体" w:hint="default"/>
                <w:sz w:val="18"/>
                <w:szCs w:val="18"/>
              </w:rPr>
              <w:t>信息披露载体</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2012-6-9</w:t>
            </w:r>
          </w:p>
        </w:tc>
        <w:tc>
          <w:tcPr>
            <w:tcW w:w="1973"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对外提供财务资助管理制度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2012-4-19</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2012-4-19</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2011-11-30</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投资者关系管理档案制度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2011-7-29</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对外报送信息管理制度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2011-4-29</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年报重大差错责任追究制度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2011-3-5</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社会责任管理制度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2010-11-11</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9</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董事、监事和高级管理人员培训制度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2010-4-23</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公司治理自查和整改内部管理制度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2010-4-23</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内幕信息知情人报备制度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2009-6-18</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董事、监事和高级管理人员所持本公司股份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及其变动管理制度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2009-6-18</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13</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证券投资内控制度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2009-6-18</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14</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2009-3-26</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15</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2008-11-13</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16</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2008-11-13</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17</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2008-4-11</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18</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新股申购内控制度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2008-1-16</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sz w:val="18"/>
              </w:rPr>
              <w:t>19</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总裁工作细则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2007-10-10</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接待和推广工作制度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2007-7-20</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21</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2007-5-25</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关于以非现场方式召开董事会会议的实施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细则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2007-5-25</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23</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公司内部信息的报告制度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2007-5-25</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24</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2007-4-26</w:t>
            </w:r>
          </w:p>
        </w:tc>
        <w:tc>
          <w:tcPr>
            <w:tcW w:w="1973" w:type="dxa"/>
            <w:vMerge/>
            <w:tcBorders>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25</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投资者关系管理办法</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2007-3-27</w:t>
            </w:r>
          </w:p>
        </w:tc>
        <w:tc>
          <w:tcPr>
            <w:tcW w:w="1973" w:type="dxa"/>
            <w:vMerge/>
            <w:tcBorders>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828"/>
        <w:gridCol w:w="3421"/>
        <w:gridCol w:w="1664"/>
        <w:gridCol w:w="1973"/>
        <w:gridCol w:w="1970"/>
      </w:tblGrid>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26</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46"/>
              <w:jc w:val="right"/>
              <w:rPr>
                <w:rFonts w:ascii="Times New Roman" w:hAnsi="Times New Roman" w:cs="Times New Roman" w:eastAsia="Times New Roman" w:hint="default"/>
                <w:sz w:val="18"/>
                <w:szCs w:val="18"/>
              </w:rPr>
            </w:pPr>
            <w:r>
              <w:rPr>
                <w:rFonts w:ascii="Times New Roman"/>
                <w:spacing w:val="-1"/>
                <w:sz w:val="18"/>
              </w:rPr>
              <w:t>2007-3-27</w:t>
            </w:r>
            <w:r>
              <w:rPr>
                <w:rFonts w:ascii="Times New Roman"/>
                <w:sz w:val="18"/>
              </w:rPr>
            </w:r>
          </w:p>
        </w:tc>
        <w:tc>
          <w:tcPr>
            <w:tcW w:w="1973" w:type="dxa"/>
            <w:vMerge w:val="restart"/>
            <w:tcBorders>
              <w:top w:val="single" w:sz="6" w:space="0" w:color="000000"/>
              <w:left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27</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募集资金管理办法</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8"/>
              <w:jc w:val="right"/>
              <w:rPr>
                <w:rFonts w:ascii="Times New Roman" w:hAnsi="Times New Roman" w:cs="Times New Roman" w:eastAsia="Times New Roman" w:hint="default"/>
                <w:sz w:val="18"/>
                <w:szCs w:val="18"/>
              </w:rPr>
            </w:pPr>
            <w:r>
              <w:rPr>
                <w:rFonts w:ascii="Times New Roman"/>
                <w:spacing w:val="-1"/>
                <w:sz w:val="18"/>
              </w:rPr>
              <w:t>2006-10-11</w:t>
            </w:r>
            <w:r>
              <w:rPr>
                <w:rFonts w:ascii="Times New Roman"/>
                <w:sz w:val="18"/>
              </w:rPr>
            </w:r>
          </w:p>
        </w:tc>
        <w:tc>
          <w:tcPr>
            <w:tcW w:w="1973" w:type="dxa"/>
            <w:vMerge/>
            <w:tcBorders>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28</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29</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30</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31</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关联交易制度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33</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董事会审计委员会工作制度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34</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董事会薪酬与考核委员会工作制度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35</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36</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董事会提名委员会工作制度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9"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sz w:val="18"/>
              </w:rPr>
              <w:t>37</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战略委员会工作制度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38</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资金管理制度</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88"/>
              <w:jc w:val="right"/>
              <w:rPr>
                <w:rFonts w:ascii="Times New Roman" w:hAnsi="Times New Roman" w:cs="Times New Roman" w:eastAsia="Times New Roman" w:hint="default"/>
                <w:sz w:val="18"/>
                <w:szCs w:val="18"/>
              </w:rPr>
            </w:pPr>
            <w:r>
              <w:rPr>
                <w:rFonts w:ascii="Times New Roman"/>
                <w:sz w:val="18"/>
              </w:rPr>
              <w:t>2006-6-2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上市前制定</w:t>
            </w:r>
          </w:p>
        </w:tc>
      </w:tr>
    </w:tbl>
    <w:p>
      <w:pPr>
        <w:spacing w:line="240" w:lineRule="auto" w:before="2"/>
        <w:rPr>
          <w:rFonts w:ascii="宋体" w:hAnsi="宋体" w:cs="宋体" w:eastAsia="宋体" w:hint="default"/>
          <w:sz w:val="24"/>
          <w:szCs w:val="24"/>
        </w:rPr>
      </w:pPr>
    </w:p>
    <w:p>
      <w:pPr>
        <w:pStyle w:val="BodyText"/>
        <w:spacing w:line="357" w:lineRule="auto"/>
        <w:ind w:left="513" w:right="1123"/>
        <w:jc w:val="left"/>
      </w:pPr>
      <w:r>
        <w:rPr/>
        <w:t>（一）关于股东与股东大会 报告期内，公司共召开</w:t>
      </w:r>
      <w:r>
        <w:rPr>
          <w:rFonts w:ascii="Times New Roman" w:hAnsi="Times New Roman" w:cs="Times New Roman" w:eastAsia="Times New Roman" w:hint="default"/>
        </w:rPr>
        <w:t>4</w:t>
      </w:r>
      <w:r>
        <w:rPr/>
        <w:t>次股东大会。公司历次股东大会均严格按照《上市公司股东大会规则》和公司制定的《股东大</w:t>
      </w:r>
    </w:p>
    <w:p>
      <w:pPr>
        <w:pStyle w:val="BodyText"/>
        <w:spacing w:line="201" w:lineRule="exact" w:before="0"/>
        <w:ind w:right="0"/>
        <w:jc w:val="left"/>
      </w:pPr>
      <w:r>
        <w:rPr/>
        <w:t>会议事规则》的要求，股东大会召集、召开、表决等程序合法、合规，平等对待所有股东，特别是保证中小股东对公司重大</w:t>
      </w:r>
    </w:p>
    <w:p>
      <w:pPr>
        <w:pStyle w:val="BodyText"/>
        <w:spacing w:line="240" w:lineRule="auto" w:before="76"/>
        <w:ind w:right="1123"/>
        <w:jc w:val="left"/>
      </w:pPr>
      <w:r>
        <w:rPr/>
        <w:t>事项的知情权和平等参与权，充分而不受干涉地行使股东权力。</w:t>
      </w:r>
    </w:p>
    <w:p>
      <w:pPr>
        <w:pStyle w:val="BodyText"/>
        <w:spacing w:line="360" w:lineRule="auto" w:before="117"/>
        <w:ind w:left="513" w:right="0"/>
        <w:jc w:val="left"/>
      </w:pPr>
      <w:r>
        <w:rPr/>
        <w:t>（二）关于公司与控股股东 </w:t>
      </w:r>
      <w:r>
        <w:rPr>
          <w:spacing w:val="-4"/>
        </w:rPr>
        <w:t>公司与控股股东在业务、人员、资产、机构、财务等方面完全分开，具有独立完整的业务及自主经营能力。公司董事会、</w:t>
      </w:r>
    </w:p>
    <w:p>
      <w:pPr>
        <w:pStyle w:val="BodyText"/>
        <w:spacing w:line="222" w:lineRule="exact" w:before="0"/>
        <w:ind w:right="0"/>
        <w:jc w:val="left"/>
      </w:pPr>
      <w:r>
        <w:rPr/>
        <w:t>监事会和内部机构独立运作。公司控股股东能严格规范自己的行为，依法行使股东权利，没有超越公司股东大会直接或间接</w:t>
      </w:r>
    </w:p>
    <w:p>
      <w:pPr>
        <w:pStyle w:val="BodyText"/>
        <w:spacing w:line="240" w:lineRule="auto" w:before="76"/>
        <w:ind w:right="1123"/>
        <w:jc w:val="left"/>
      </w:pPr>
      <w:r>
        <w:rPr/>
        <w:t>干预公司的决策和经营活动的行为，不存在控股股东占用公司资金的现象。公司也不存在为控股股东提供担保的情形。</w:t>
      </w:r>
    </w:p>
    <w:p>
      <w:pPr>
        <w:pStyle w:val="BodyText"/>
        <w:spacing w:line="360" w:lineRule="auto" w:before="115"/>
        <w:ind w:left="513" w:right="1123"/>
        <w:jc w:val="left"/>
      </w:pPr>
      <w:r>
        <w:rPr/>
        <w:t>（三）关于董事与董事会 </w:t>
      </w:r>
      <w:r>
        <w:rPr>
          <w:spacing w:val="-2"/>
        </w:rPr>
        <w:t>报告期内，公司共召开</w:t>
      </w:r>
      <w:r>
        <w:rPr>
          <w:rFonts w:ascii="Times New Roman" w:hAnsi="Times New Roman" w:cs="Times New Roman" w:eastAsia="Times New Roman" w:hint="default"/>
          <w:spacing w:val="-2"/>
        </w:rPr>
        <w:t>11</w:t>
      </w:r>
      <w:r>
        <w:rPr>
          <w:spacing w:val="-2"/>
        </w:rPr>
        <w:t>次董事会，均严格按照《公司章程》、《董事会议事规则》及《关于以非现场方式召开董事会</w:t>
      </w:r>
    </w:p>
    <w:p>
      <w:pPr>
        <w:pStyle w:val="BodyText"/>
        <w:spacing w:line="199" w:lineRule="exact" w:before="0"/>
        <w:ind w:right="0"/>
        <w:jc w:val="left"/>
      </w:pPr>
      <w:r>
        <w:rPr/>
        <w:t>会议的实施细则》的要求，召集、召开、表决等程序合法、合规。董事会人员构成和人数符合法律法规和《公司章程》的要</w:t>
      </w:r>
    </w:p>
    <w:p>
      <w:pPr>
        <w:pStyle w:val="BodyText"/>
        <w:spacing w:line="316" w:lineRule="auto" w:before="76"/>
        <w:ind w:right="1123"/>
        <w:jc w:val="left"/>
      </w:pPr>
      <w:r>
        <w:rPr>
          <w:spacing w:val="-2"/>
        </w:rPr>
        <w:t>求。公司全体董事能够依据《公司董事会议事规则》及其他相关规则的要求开展工作，认真出席董事会和股东大会，积极参</w:t>
      </w:r>
      <w:r>
        <w:rPr>
          <w:spacing w:val="-67"/>
        </w:rPr>
        <w:t> </w:t>
      </w:r>
      <w:r>
        <w:rPr>
          <w:spacing w:val="-67"/>
        </w:rPr>
      </w:r>
      <w:r>
        <w:rPr/>
        <w:t>加相关知识的培训，熟悉有关法律法规，勤勉尽职地行使权力，维护公司和股东利益。</w:t>
      </w:r>
    </w:p>
    <w:p>
      <w:pPr>
        <w:pStyle w:val="BodyText"/>
        <w:spacing w:line="316" w:lineRule="auto" w:before="57"/>
        <w:ind w:right="1135" w:firstLine="360"/>
        <w:jc w:val="both"/>
      </w:pPr>
      <w:r>
        <w:rPr>
          <w:spacing w:val="-2"/>
        </w:rPr>
        <w:t>董事会严格按照《公司法》、《董事会议事规则》召开会议，执行股东大会决议并依法行使职权。同时通过设立董事会</w:t>
      </w:r>
      <w:r>
        <w:rPr/>
        <w:t> </w:t>
      </w:r>
      <w:r>
        <w:rPr>
          <w:spacing w:val="-2"/>
        </w:rPr>
        <w:t>薪酬与考核委员会、董事会战略委员会、董事会审计委员会、董事会提名委员会，进一步完善了公司治理结构，有助于更好</w:t>
      </w:r>
      <w:r>
        <w:rPr>
          <w:spacing w:val="-67"/>
        </w:rPr>
        <w:t> </w:t>
      </w:r>
      <w:r>
        <w:rPr>
          <w:spacing w:val="-67"/>
        </w:rPr>
      </w:r>
      <w:r>
        <w:rPr/>
        <w:t>地发挥独立董事作用。</w:t>
      </w:r>
    </w:p>
    <w:p>
      <w:pPr>
        <w:pStyle w:val="BodyText"/>
        <w:spacing w:line="360" w:lineRule="auto" w:before="59"/>
        <w:ind w:left="513" w:right="1123"/>
        <w:jc w:val="left"/>
      </w:pPr>
      <w:r>
        <w:rPr/>
        <w:t>（四）关于监事与监事会 </w:t>
      </w:r>
      <w:r>
        <w:rPr>
          <w:spacing w:val="-2"/>
        </w:rPr>
        <w:t>报告期内，公司共召开</w:t>
      </w:r>
      <w:r>
        <w:rPr>
          <w:rFonts w:ascii="Times New Roman" w:hAnsi="Times New Roman" w:cs="Times New Roman" w:eastAsia="Times New Roman" w:hint="default"/>
          <w:spacing w:val="-2"/>
        </w:rPr>
        <w:t>11</w:t>
      </w:r>
      <w:r>
        <w:rPr>
          <w:spacing w:val="-2"/>
        </w:rPr>
        <w:t>次监事会，均严格按照《公司章程》、《监事会议事规则》的要求，召集、召开、表决等程序</w:t>
      </w:r>
    </w:p>
    <w:p>
      <w:pPr>
        <w:pStyle w:val="BodyText"/>
        <w:spacing w:line="212" w:lineRule="exact" w:before="0"/>
        <w:ind w:right="1123"/>
        <w:jc w:val="left"/>
      </w:pPr>
      <w:r>
        <w:rPr/>
        <w:t>合法、合规。目前公司有监事</w:t>
      </w:r>
      <w:r>
        <w:rPr>
          <w:rFonts w:ascii="Times New Roman" w:hAnsi="Times New Roman" w:cs="Times New Roman" w:eastAsia="Times New Roman" w:hint="default"/>
        </w:rPr>
        <w:t>5</w:t>
      </w:r>
      <w:r>
        <w:rPr/>
        <w:t>人，其中职工代表监事</w:t>
      </w:r>
      <w:r>
        <w:rPr>
          <w:rFonts w:ascii="Times New Roman" w:hAnsi="Times New Roman" w:cs="Times New Roman" w:eastAsia="Times New Roman" w:hint="default"/>
        </w:rPr>
        <w:t>2</w:t>
      </w:r>
      <w:r>
        <w:rPr/>
        <w:t>人，监事会的人数及构成符合法律、法规的要求。</w:t>
      </w:r>
    </w:p>
    <w:p>
      <w:pPr>
        <w:pStyle w:val="BodyText"/>
        <w:spacing w:line="316" w:lineRule="auto" w:before="102"/>
        <w:ind w:right="1133" w:firstLine="360"/>
        <w:jc w:val="both"/>
      </w:pPr>
      <w:r>
        <w:rPr>
          <w:spacing w:val="-2"/>
        </w:rPr>
        <w:t>公司股东代表监事以及职工代表监事均能够按照《监事会议事规则》的要求，认真履行职责，对公司重大事项及公司董</w:t>
      </w:r>
      <w:r>
        <w:rPr/>
        <w:t> 事、总裁和其他高级管理人员履行职责的合法合规性进行监督，切实维护公司及股东的权益。</w:t>
      </w:r>
    </w:p>
    <w:p>
      <w:pPr>
        <w:pStyle w:val="BodyText"/>
        <w:spacing w:line="360" w:lineRule="auto" w:before="59"/>
        <w:ind w:left="513" w:right="0"/>
        <w:jc w:val="left"/>
      </w:pPr>
      <w:r>
        <w:rPr/>
        <w:t>（五）关于绩效评价和激励约束机制 </w:t>
      </w:r>
      <w:r>
        <w:rPr>
          <w:spacing w:val="-4"/>
        </w:rPr>
        <w:t>公司建立了公正、透明的董事、监事和经理人员的绩效评价标准和激励约束机制，公司高级管理人员的聘任公开、透明，</w:t>
      </w:r>
    </w:p>
    <w:p>
      <w:pPr>
        <w:pStyle w:val="BodyText"/>
        <w:spacing w:line="222" w:lineRule="exact" w:before="0"/>
        <w:ind w:right="1123"/>
        <w:jc w:val="left"/>
      </w:pPr>
      <w:r>
        <w:rPr/>
        <w:t>严格按照有关法律法规的规定进行。</w:t>
      </w:r>
    </w:p>
    <w:p>
      <w:pPr>
        <w:pStyle w:val="BodyText"/>
        <w:spacing w:line="309" w:lineRule="auto" w:before="115"/>
        <w:ind w:right="1043" w:firstLine="360"/>
        <w:jc w:val="both"/>
      </w:pPr>
      <w:r>
        <w:rPr>
          <w:spacing w:val="-2"/>
        </w:rPr>
        <w:t>报告期内，公司股东大会审议通过了《远光软件股份有限公司限制性股票激励计划（修订稿）》；公司根据《远光软件</w:t>
      </w:r>
      <w:r>
        <w:rPr/>
        <w:t> </w:t>
      </w:r>
      <w:r>
        <w:rPr>
          <w:spacing w:val="-2"/>
        </w:rPr>
        <w:t>股份有限公司股票期权激励计划（修订稿）》，于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日完成了股票期权激励计划第二个行权期第一次行权，于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11</w:t>
      </w:r>
      <w:r>
        <w:rPr>
          <w:spacing w:val="-4"/>
        </w:rPr>
        <w:t>日完成了股票期权激励计划第二个行权期第二次行权。股权激励工作的不断推进，有利于进一步完善公司治理结构，</w:t>
      </w:r>
    </w:p>
    <w:p>
      <w:pPr>
        <w:spacing w:after="0" w:line="309"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89605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pStyle w:val="BodyText"/>
        <w:spacing w:line="360" w:lineRule="auto"/>
        <w:ind w:right="5534"/>
        <w:jc w:val="left"/>
      </w:pPr>
      <w:r>
        <w:rPr/>
        <w:t>股东与经营层利益联系更为和谐，推动公司治理向更深层次迈进。 公司治理与《公司法》和中国证监会相关规定的要求是否存在差异</w:t>
      </w:r>
    </w:p>
    <w:p>
      <w:pPr>
        <w:pStyle w:val="BodyText"/>
        <w:spacing w:line="340" w:lineRule="auto" w:before="25"/>
        <w:ind w:right="5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357" w:lineRule="auto" w:before="41"/>
        <w:ind w:left="606" w:right="1139" w:hanging="455"/>
        <w:jc w:val="left"/>
      </w:pPr>
      <w:r>
        <w:rPr/>
        <w:t>公司治理专项活动开展情况以及内幕信息知情人登记管理制度的制定、实施情况 </w:t>
      </w:r>
      <w:r>
        <w:rPr>
          <w:spacing w:val="-2"/>
        </w:rPr>
        <w:t>报告期内，根据广东证监局《关于集中公示辖区上市公司治理信息有关工作的通知》（广东证监</w:t>
      </w:r>
      <w:r>
        <w:rPr>
          <w:rFonts w:ascii="Times New Roman" w:hAnsi="Times New Roman" w:cs="Times New Roman" w:eastAsia="Times New Roman" w:hint="default"/>
          <w:spacing w:val="-2"/>
        </w:rPr>
        <w:t>[2012]177</w:t>
      </w:r>
      <w:r>
        <w:rPr>
          <w:rFonts w:ascii="Times New Roman" w:hAnsi="Times New Roman" w:cs="Times New Roman" w:eastAsia="Times New Roman" w:hint="default"/>
          <w:spacing w:val="8"/>
        </w:rPr>
        <w:t> </w:t>
      </w:r>
      <w:r>
        <w:rPr/>
        <w:t>号）文件的</w:t>
      </w:r>
    </w:p>
    <w:p>
      <w:pPr>
        <w:pStyle w:val="BodyText"/>
        <w:spacing w:line="201" w:lineRule="exact" w:before="0"/>
        <w:ind w:right="0"/>
        <w:jc w:val="left"/>
      </w:pPr>
      <w:r>
        <w:rPr/>
        <w:t>要求，公司及时向广监局报送了《上市公司治理信息集中公示表</w:t>
      </w:r>
      <w:r>
        <w:rPr>
          <w:spacing w:val="-92"/>
        </w:rPr>
        <w:t>》</w:t>
      </w:r>
      <w:r>
        <w:rPr/>
        <w:t>，对公司治理基本信息</w:t>
      </w:r>
      <w:r>
        <w:rPr>
          <w:spacing w:val="2"/>
        </w:rPr>
        <w:t>进</w:t>
      </w:r>
      <w:r>
        <w:rPr/>
        <w:t>行了梳理。根据广东证监局《关</w:t>
      </w:r>
    </w:p>
    <w:p>
      <w:pPr>
        <w:pStyle w:val="BodyText"/>
        <w:spacing w:line="312" w:lineRule="auto" w:before="76"/>
        <w:ind w:right="0"/>
        <w:jc w:val="left"/>
      </w:pPr>
      <w:r>
        <w:rPr>
          <w:spacing w:val="-4"/>
        </w:rPr>
        <w:t>于规范向行政管理部门报送上市公司内幕信息工作的通知》（广东证监</w:t>
      </w:r>
      <w:r>
        <w:rPr>
          <w:rFonts w:ascii="Times New Roman" w:hAnsi="Times New Roman" w:cs="Times New Roman" w:eastAsia="Times New Roman" w:hint="default"/>
          <w:spacing w:val="-4"/>
        </w:rPr>
        <w:t>[2012]165</w:t>
      </w:r>
      <w:r>
        <w:rPr>
          <w:rFonts w:ascii="Times New Roman" w:hAnsi="Times New Roman" w:cs="Times New Roman" w:eastAsia="Times New Roman" w:hint="default"/>
        </w:rPr>
        <w:t> </w:t>
      </w:r>
      <w:r>
        <w:rPr>
          <w:spacing w:val="-11"/>
        </w:rPr>
        <w:t>号）、《关于调查辖区上市公司向行政管理部</w:t>
      </w:r>
      <w:r>
        <w:rPr>
          <w:spacing w:val="-51"/>
        </w:rPr>
        <w:t> </w:t>
      </w:r>
      <w:r>
        <w:rPr>
          <w:spacing w:val="-51"/>
        </w:rPr>
      </w:r>
      <w:r>
        <w:rPr>
          <w:spacing w:val="-4"/>
        </w:rPr>
        <w:t>门报送内幕信息工作情况的通知》的要求，公司及时向广监局报送了《上市公司向行政管理部门报送内幕信息工作情况表》。</w:t>
      </w:r>
      <w:r>
        <w:rPr>
          <w:spacing w:val="-45"/>
        </w:rPr>
        <w:t> </w:t>
      </w:r>
      <w:r>
        <w:rPr>
          <w:spacing w:val="-45"/>
        </w:rPr>
      </w:r>
      <w:r>
        <w:rPr>
          <w:spacing w:val="-5"/>
        </w:rPr>
        <w:t>报告期内公司严格执行《内幕信息知情人登记管理制度》、《对外报送信息管理制度》，报告期内公司没有内幕信息知情人买</w:t>
      </w:r>
      <w:r>
        <w:rPr>
          <w:spacing w:val="-87"/>
        </w:rPr>
        <w:t> </w:t>
      </w:r>
      <w:r>
        <w:rPr>
          <w:spacing w:val="-87"/>
        </w:rPr>
      </w:r>
      <w:r>
        <w:rPr/>
        <w:t>卖公司股票的情况发生。</w:t>
      </w:r>
    </w:p>
    <w:p>
      <w:pPr>
        <w:spacing w:line="240" w:lineRule="auto" w:before="2"/>
        <w:rPr>
          <w:rFonts w:ascii="宋体" w:hAnsi="宋体" w:cs="宋体" w:eastAsia="宋体" w:hint="default"/>
          <w:sz w:val="21"/>
          <w:szCs w:val="21"/>
        </w:rPr>
      </w:pPr>
    </w:p>
    <w:p>
      <w:pPr>
        <w:pStyle w:val="Heading2"/>
        <w:spacing w:line="240" w:lineRule="auto"/>
        <w:ind w:right="112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pict>
          <v:shape style="position:absolute;margin-left:289.609985pt;margin-top:51.863686pt;width:85.85pt;height:101.45pt;mso-position-horizontal-relative:page;mso-position-vertical-relative:paragraph;z-index:-896104"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5"/>
                    <w:ind w:left="0" w:right="0"/>
                    <w:jc w:val="left"/>
                  </w:pPr>
                  <w:r>
                    <w:rPr/>
                    <w:t>、</w:t>
                  </w:r>
                </w:p>
                <w:p>
                  <w:pPr>
                    <w:spacing w:line="240" w:lineRule="auto" w:before="0"/>
                    <w:rPr>
                      <w:rFonts w:ascii="宋体" w:hAnsi="宋体" w:cs="宋体" w:eastAsia="宋体" w:hint="default"/>
                      <w:b/>
                      <w:bCs/>
                      <w:sz w:val="18"/>
                      <w:szCs w:val="18"/>
                    </w:rPr>
                  </w:pPr>
                </w:p>
                <w:p>
                  <w:pPr>
                    <w:pStyle w:val="BodyText"/>
                    <w:spacing w:line="240" w:lineRule="auto" w:before="153"/>
                    <w:ind w:left="0" w:right="0"/>
                    <w:jc w:val="left"/>
                  </w:pPr>
                  <w:r>
                    <w:rPr/>
                    <w:t>、</w:t>
                  </w:r>
                </w:p>
                <w:p>
                  <w:pPr>
                    <w:spacing w:line="240" w:lineRule="auto" w:before="0"/>
                    <w:rPr>
                      <w:rFonts w:ascii="宋体" w:hAnsi="宋体" w:cs="宋体" w:eastAsia="宋体" w:hint="default"/>
                      <w:b/>
                      <w:bCs/>
                      <w:sz w:val="18"/>
                      <w:szCs w:val="18"/>
                    </w:rPr>
                  </w:pPr>
                </w:p>
                <w:p>
                  <w:pPr>
                    <w:pStyle w:val="BodyText"/>
                    <w:spacing w:line="240" w:lineRule="auto" w:before="153"/>
                    <w:ind w:left="0" w:right="0"/>
                    <w:jc w:val="left"/>
                  </w:pPr>
                  <w:r>
                    <w:rPr/>
                    <w:t>、</w:t>
                  </w:r>
                </w:p>
              </w:txbxContent>
            </v:textbox>
            <w10:wrap type="none"/>
          </v:shape>
        </w:pict>
      </w: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6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00" w:lineRule="auto"/>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、审议《</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 </w:t>
            </w:r>
            <w:r>
              <w:rPr>
                <w:rFonts w:ascii="宋体" w:hAnsi="宋体" w:cs="宋体" w:eastAsia="宋体" w:hint="default"/>
                <w:spacing w:val="-11"/>
                <w:sz w:val="18"/>
                <w:szCs w:val="18"/>
              </w:rPr>
              <w:t>度报告及摘要》；</w:t>
            </w:r>
            <w:r>
              <w:rPr>
                <w:rFonts w:ascii="Times New Roman" w:hAnsi="Times New Roman" w:cs="Times New Roman" w:eastAsia="Times New Roman" w:hint="default"/>
                <w:spacing w:val="-11"/>
                <w:sz w:val="18"/>
                <w:szCs w:val="18"/>
              </w:rPr>
              <w:t>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 </w:t>
            </w:r>
            <w:r>
              <w:rPr>
                <w:rFonts w:ascii="宋体" w:hAnsi="宋体" w:cs="宋体" w:eastAsia="宋体" w:hint="default"/>
                <w:spacing w:val="-11"/>
                <w:sz w:val="18"/>
                <w:szCs w:val="18"/>
              </w:rPr>
              <w:t>事会工作报告》；</w:t>
            </w:r>
            <w:r>
              <w:rPr>
                <w:rFonts w:ascii="Times New Roman" w:hAnsi="Times New Roman" w:cs="Times New Roman" w:eastAsia="Times New Roman" w:hint="default"/>
                <w:spacing w:val="-11"/>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 </w:t>
            </w:r>
            <w:r>
              <w:rPr>
                <w:rFonts w:ascii="宋体" w:hAnsi="宋体" w:cs="宋体" w:eastAsia="宋体" w:hint="default"/>
                <w:spacing w:val="-11"/>
                <w:sz w:val="18"/>
                <w:szCs w:val="18"/>
              </w:rPr>
              <w:t>事会工作报告》；</w:t>
            </w:r>
            <w:r>
              <w:rPr>
                <w:rFonts w:ascii="Times New Roman" w:hAnsi="Times New Roman" w:cs="Times New Roman" w:eastAsia="Times New Roman" w:hint="default"/>
                <w:spacing w:val="-11"/>
                <w:sz w:val="18"/>
                <w:szCs w:val="18"/>
              </w:rPr>
              <w:t>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 </w:t>
            </w:r>
            <w:r>
              <w:rPr>
                <w:rFonts w:ascii="宋体" w:hAnsi="宋体" w:cs="宋体" w:eastAsia="宋体" w:hint="default"/>
                <w:spacing w:val="-22"/>
                <w:sz w:val="18"/>
                <w:szCs w:val="18"/>
              </w:rPr>
              <w:t>务决算报告》；</w:t>
            </w:r>
            <w:r>
              <w:rPr>
                <w:rFonts w:ascii="Times New Roman" w:hAnsi="Times New Roman" w:cs="Times New Roman" w:eastAsia="Times New Roman" w:hint="default"/>
                <w:spacing w:val="-22"/>
                <w:sz w:val="18"/>
                <w:szCs w:val="18"/>
              </w:rPr>
              <w:t>5</w:t>
            </w:r>
            <w:r>
              <w:rPr>
                <w:rFonts w:ascii="宋体" w:hAnsi="宋体" w:cs="宋体" w:eastAsia="宋体" w:hint="default"/>
                <w:spacing w:val="-22"/>
                <w:sz w:val="18"/>
                <w:szCs w:val="18"/>
              </w:rPr>
              <w:t>、审</w:t>
            </w:r>
            <w:r>
              <w:rPr>
                <w:rFonts w:ascii="宋体" w:hAnsi="宋体" w:cs="宋体" w:eastAsia="宋体" w:hint="default"/>
                <w:spacing w:val="-84"/>
                <w:sz w:val="18"/>
                <w:szCs w:val="18"/>
              </w:rPr>
              <w:t> </w:t>
            </w:r>
            <w:r>
              <w:rPr>
                <w:rFonts w:ascii="宋体" w:hAnsi="宋体" w:cs="宋体" w:eastAsia="宋体" w:hint="default"/>
                <w:sz w:val="18"/>
                <w:szCs w:val="18"/>
              </w:rPr>
              <w:t>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w:t>
            </w:r>
            <w:r>
              <w:rPr>
                <w:rFonts w:ascii="宋体" w:hAnsi="宋体" w:cs="宋体" w:eastAsia="宋体" w:hint="default"/>
                <w:spacing w:val="-18"/>
                <w:sz w:val="18"/>
                <w:szCs w:val="18"/>
              </w:rPr>
              <w:t>分配预案》；</w:t>
            </w: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、审议</w:t>
            </w:r>
          </w:p>
          <w:p>
            <w:pPr>
              <w:pStyle w:val="TableParagraph"/>
              <w:spacing w:line="316" w:lineRule="auto" w:before="13"/>
              <w:ind w:left="22" w:right="19"/>
              <w:jc w:val="left"/>
              <w:rPr>
                <w:rFonts w:ascii="宋体" w:hAnsi="宋体" w:cs="宋体" w:eastAsia="宋体" w:hint="default"/>
                <w:sz w:val="18"/>
                <w:szCs w:val="18"/>
              </w:rPr>
            </w:pPr>
            <w:r>
              <w:rPr>
                <w:rFonts w:ascii="宋体" w:hAnsi="宋体" w:cs="宋体" w:eastAsia="宋体" w:hint="default"/>
                <w:sz w:val="18"/>
                <w:szCs w:val="18"/>
              </w:rPr>
              <w:t>《关于续聘审计机 </w:t>
            </w:r>
            <w:r>
              <w:rPr>
                <w:rFonts w:ascii="宋体" w:hAnsi="宋体" w:cs="宋体" w:eastAsia="宋体" w:hint="default"/>
                <w:spacing w:val="-18"/>
                <w:sz w:val="18"/>
                <w:szCs w:val="18"/>
              </w:rPr>
              <w:t>构的议案》；</w:t>
            </w:r>
            <w:r>
              <w:rPr>
                <w:rFonts w:ascii="Times New Roman" w:hAnsi="Times New Roman" w:cs="Times New Roman" w:eastAsia="Times New Roman" w:hint="default"/>
                <w:spacing w:val="-18"/>
                <w:sz w:val="18"/>
                <w:szCs w:val="18"/>
              </w:rPr>
              <w:t>7</w:t>
            </w:r>
            <w:r>
              <w:rPr>
                <w:rFonts w:ascii="宋体" w:hAnsi="宋体" w:cs="宋体" w:eastAsia="宋体" w:hint="default"/>
                <w:spacing w:val="-18"/>
                <w:sz w:val="18"/>
                <w:szCs w:val="18"/>
              </w:rPr>
              <w:t>、审议</w:t>
            </w:r>
          </w:p>
          <w:p>
            <w:pPr>
              <w:pStyle w:val="TableParagraph"/>
              <w:spacing w:line="300" w:lineRule="auto"/>
              <w:ind w:left="22" w:right="197"/>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2"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pacing w:val="-31"/>
                <w:sz w:val="18"/>
                <w:szCs w:val="18"/>
              </w:rPr>
              <w:t>日《中</w:t>
            </w:r>
            <w:r>
              <w:rPr>
                <w:rFonts w:ascii="宋体" w:hAnsi="宋体" w:cs="宋体" w:eastAsia="宋体" w:hint="default"/>
                <w:sz w:val="18"/>
                <w:szCs w:val="18"/>
              </w:rPr>
              <w:t> </w:t>
            </w:r>
            <w:r>
              <w:rPr>
                <w:rFonts w:ascii="宋体" w:hAnsi="宋体" w:cs="宋体" w:eastAsia="宋体" w:hint="default"/>
                <w:spacing w:val="-27"/>
                <w:sz w:val="18"/>
                <w:szCs w:val="18"/>
              </w:rPr>
              <w:t>国证券报》、《证券时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报》以及巨潮资讯网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上的《</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股东大会决议公 </w:t>
            </w:r>
            <w:r>
              <w:rPr>
                <w:rFonts w:ascii="宋体" w:hAnsi="宋体" w:cs="宋体" w:eastAsia="宋体" w:hint="default"/>
                <w:spacing w:val="-12"/>
                <w:sz w:val="18"/>
                <w:szCs w:val="18"/>
              </w:rPr>
              <w:t>告》，公告编号：</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2012-021</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9"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5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3"/>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、审议《未来三年 股东回报规划》</w:t>
            </w:r>
          </w:p>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p>
            <w:pPr>
              <w:pStyle w:val="TableParagraph"/>
              <w:spacing w:line="304" w:lineRule="auto" w:before="63"/>
              <w:ind w:left="22" w:right="19"/>
              <w:jc w:val="left"/>
              <w:rPr>
                <w:rFonts w:ascii="宋体" w:hAnsi="宋体" w:cs="宋体" w:eastAsia="宋体" w:hint="default"/>
                <w:sz w:val="18"/>
                <w:szCs w:val="18"/>
              </w:rPr>
            </w:pPr>
            <w:r>
              <w:rPr>
                <w:rFonts w:ascii="宋体" w:hAnsi="宋体" w:cs="宋体" w:eastAsia="宋体" w:hint="default"/>
                <w:sz w:val="18"/>
                <w:szCs w:val="18"/>
              </w:rPr>
              <w:t>审议《关于修改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 </w:t>
            </w:r>
            <w:r>
              <w:rPr>
                <w:rFonts w:ascii="宋体" w:hAnsi="宋体" w:cs="宋体" w:eastAsia="宋体" w:hint="default"/>
                <w:spacing w:val="-11"/>
                <w:sz w:val="18"/>
                <w:szCs w:val="18"/>
              </w:rPr>
              <w:t>司章程</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的议案》；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、审议《关于选举 张紫娟女士为公司 第四届监事会监事</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314"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券时报》以及巨潮资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讯网上的《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2012-034</w:t>
            </w:r>
          </w:p>
        </w:tc>
      </w:tr>
    </w:tbl>
    <w:p>
      <w:pPr>
        <w:spacing w:after="0" w:line="314" w:lineRule="auto"/>
        <w:jc w:val="left"/>
        <w:rPr>
          <w:rFonts w:ascii="Times New Roman" w:hAnsi="Times New Roman" w:cs="Times New Roman" w:eastAsia="Times New Roman" w:hint="default"/>
          <w:sz w:val="18"/>
          <w:szCs w:val="18"/>
        </w:rPr>
        <w:sectPr>
          <w:headerReference w:type="default" r:id="rId28"/>
          <w:footerReference w:type="default" r:id="rId29"/>
          <w:pgSz w:w="11910" w:h="16840"/>
          <w:pgMar w:header="877" w:footer="0" w:top="1060" w:bottom="0" w:left="980" w:right="0"/>
        </w:sectPr>
      </w:pPr>
    </w:p>
    <w:p>
      <w:pPr>
        <w:spacing w:line="240" w:lineRule="auto" w:before="6"/>
        <w:rPr>
          <w:rFonts w:ascii="宋体" w:hAnsi="宋体" w:cs="宋体" w:eastAsia="宋体" w:hint="default"/>
          <w:b/>
          <w:bCs/>
          <w:sz w:val="28"/>
          <w:szCs w:val="28"/>
        </w:rPr>
      </w:pPr>
      <w:r>
        <w:rPr/>
        <w:pict>
          <v:shape style="position:absolute;margin-left:289.970001pt;margin-top:204.265976pt;width:85.5pt;height:93.65pt;mso-position-horizontal-relative:page;mso-position-vertical-relative:page;z-index:-896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27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、审议《关于调整</w:t>
            </w:r>
          </w:p>
          <w:p>
            <w:pPr>
              <w:pStyle w:val="TableParagraph"/>
              <w:spacing w:line="309" w:lineRule="auto" w:before="63"/>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年度日常关联 交易预计金额的议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、审议《关于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运用自有资金进行 短期理财的议案》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314"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券时报》以及巨潮资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讯网上的《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2012-044</w:t>
            </w:r>
          </w:p>
        </w:tc>
      </w:tr>
      <w:tr>
        <w:trPr>
          <w:trHeight w:val="414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、审议《远光软件 股份有限公司限制 </w:t>
            </w:r>
            <w:r>
              <w:rPr>
                <w:rFonts w:ascii="宋体" w:hAnsi="宋体" w:cs="宋体" w:eastAsia="宋体" w:hint="default"/>
                <w:spacing w:val="-10"/>
                <w:sz w:val="18"/>
                <w:szCs w:val="18"/>
              </w:rPr>
              <w:t>性股票激励计划（修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订稿）及其摘要》；</w:t>
            </w:r>
            <w:r>
              <w:rPr>
                <w:rFonts w:ascii="Times New Roman" w:hAnsi="Times New Roman" w:cs="Times New Roman" w:eastAsia="Times New Roman" w:hint="default"/>
                <w:spacing w:val="-27"/>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pacing w:val="-10"/>
                <w:sz w:val="18"/>
                <w:szCs w:val="18"/>
              </w:rPr>
              <w:t>审议《远光软件股份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有限公司限制性股 票激励计划实施考 </w:t>
            </w:r>
            <w:r>
              <w:rPr>
                <w:rFonts w:ascii="宋体" w:hAnsi="宋体" w:cs="宋体" w:eastAsia="宋体" w:hint="default"/>
                <w:spacing w:val="-22"/>
                <w:sz w:val="18"/>
                <w:szCs w:val="18"/>
              </w:rPr>
              <w:t>核管理办法》；</w:t>
            </w: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、审</w:t>
            </w:r>
            <w:r>
              <w:rPr>
                <w:rFonts w:ascii="宋体" w:hAnsi="宋体" w:cs="宋体" w:eastAsia="宋体" w:hint="default"/>
                <w:spacing w:val="-84"/>
                <w:sz w:val="18"/>
                <w:szCs w:val="18"/>
              </w:rPr>
              <w:t> </w:t>
            </w:r>
            <w:r>
              <w:rPr>
                <w:rFonts w:ascii="宋体" w:hAnsi="宋体" w:cs="宋体" w:eastAsia="宋体" w:hint="default"/>
                <w:spacing w:val="-10"/>
                <w:sz w:val="18"/>
                <w:szCs w:val="18"/>
              </w:rPr>
              <w:t>议《关于提请股东大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会授权董事会办理 公司限制性股票激 励计划相关事宜的 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p>
            <w:pPr>
              <w:pStyle w:val="TableParagraph"/>
              <w:spacing w:line="314"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券时报》以及巨潮资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讯网上的《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2012-054</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温烨</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49"/>
        <w:ind w:right="8054"/>
        <w:jc w:val="left"/>
      </w:pPr>
      <w:r>
        <w:rPr/>
        <w:t>连续两次未亲自出席董事会的说明 无。</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38" w:lineRule="auto"/>
        <w:jc w:val="left"/>
        <w:sectPr>
          <w:footerReference w:type="default" r:id="rId30"/>
          <w:pgSz w:w="11910" w:h="16840"/>
          <w:pgMar w:footer="1340" w:header="877" w:top="1060" w:bottom="1540" w:left="980" w:right="0"/>
          <w:pgNumType w:start="56"/>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131" w:firstLine="336"/>
        <w:jc w:val="both"/>
      </w:pPr>
      <w:r>
        <w:rPr>
          <w:spacing w:val="-2"/>
        </w:rPr>
        <w:t>报告期内，公司独立董事严格按照《公司法》、《关于在上市公司建立独立董事制度的指导意见》、《深圳证券交易所</w:t>
      </w:r>
      <w:r>
        <w:rPr/>
        <w:t> </w:t>
      </w:r>
      <w:r>
        <w:rPr>
          <w:spacing w:val="-2"/>
        </w:rPr>
        <w:t>中小企业板上市规范运作指引》以及本公司章程的规定，积极履行自身职责。公司独立董事始终坚持公平、公正的原则，充</w:t>
      </w:r>
      <w:r>
        <w:rPr>
          <w:spacing w:val="-67"/>
        </w:rPr>
        <w:t> </w:t>
      </w:r>
      <w:r>
        <w:rPr>
          <w:spacing w:val="-67"/>
        </w:rPr>
      </w:r>
      <w:r>
        <w:rPr>
          <w:spacing w:val="-2"/>
        </w:rPr>
        <w:t>分运用上市公司独立董事的权力，认真履行职责，公司独立董事针对内部控制规范化建设等方面提出了合理意见和建议，公</w:t>
      </w:r>
      <w:r>
        <w:rPr>
          <w:spacing w:val="-65"/>
        </w:rPr>
        <w:t> </w:t>
      </w:r>
      <w:r>
        <w:rPr>
          <w:spacing w:val="-65"/>
        </w:rPr>
      </w:r>
      <w:r>
        <w:rPr/>
        <w:t>司已采纳。</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四、董事会下设专门委员会在报告期内履行职责情况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441" w:right="1195" w:hanging="289"/>
        <w:jc w:val="left"/>
      </w:pPr>
      <w:r>
        <w:rPr>
          <w:rFonts w:ascii="Times New Roman" w:hAnsi="Times New Roman" w:cs="Times New Roman" w:eastAsia="Times New Roman" w:hint="default"/>
        </w:rPr>
        <w:t>1</w:t>
      </w:r>
      <w:r>
        <w:rPr/>
        <w:t>、审计委员会 报告期内，审计委员会召开了</w:t>
      </w:r>
      <w:r>
        <w:rPr>
          <w:rFonts w:ascii="Times New Roman" w:hAnsi="Times New Roman" w:cs="Times New Roman" w:eastAsia="Times New Roman" w:hint="default"/>
        </w:rPr>
        <w:t>4</w:t>
      </w:r>
      <w:r>
        <w:rPr/>
        <w:t>次会议，对公司内部审计部门提供的内部审计报告、续聘审计机构等议案进行了审议；</w:t>
      </w:r>
    </w:p>
    <w:p>
      <w:pPr>
        <w:pStyle w:val="BodyText"/>
        <w:spacing w:line="240" w:lineRule="auto" w:before="13"/>
        <w:ind w:right="1123"/>
        <w:jc w:val="left"/>
      </w:pPr>
      <w:r>
        <w:rPr/>
        <w:t>按照《董事会审计委员会年报工作规程》，充分发挥审计委员会的监督作用，提高公司年报信息披露质量。</w:t>
      </w:r>
    </w:p>
    <w:p>
      <w:pPr>
        <w:pStyle w:val="BodyText"/>
        <w:spacing w:line="300" w:lineRule="auto" w:before="76"/>
        <w:ind w:left="369" w:right="4507" w:hanging="217"/>
        <w:jc w:val="left"/>
      </w:pPr>
      <w:r>
        <w:rPr>
          <w:rFonts w:ascii="Times New Roman" w:hAnsi="Times New Roman" w:cs="Times New Roman" w:eastAsia="Times New Roman" w:hint="default"/>
        </w:rPr>
        <w:t>2</w:t>
      </w:r>
      <w:r>
        <w:rPr/>
        <w:t>、提名委员会 报告期内，提名委员会召开了</w:t>
      </w:r>
      <w:r>
        <w:rPr>
          <w:rFonts w:ascii="Times New Roman" w:hAnsi="Times New Roman" w:cs="Times New Roman" w:eastAsia="Times New Roman" w:hint="default"/>
        </w:rPr>
        <w:t>2</w:t>
      </w:r>
      <w:r>
        <w:rPr/>
        <w:t>次会议，分别提名了公司总裁、副总裁人选。</w:t>
      </w:r>
    </w:p>
    <w:p>
      <w:pPr>
        <w:pStyle w:val="BodyText"/>
        <w:spacing w:line="300" w:lineRule="auto" w:before="13"/>
        <w:ind w:left="441" w:right="1195" w:hanging="289"/>
        <w:jc w:val="left"/>
      </w:pPr>
      <w:r>
        <w:rPr>
          <w:rFonts w:ascii="Times New Roman" w:hAnsi="Times New Roman" w:cs="Times New Roman" w:eastAsia="Times New Roman" w:hint="default"/>
        </w:rPr>
        <w:t>3</w:t>
      </w:r>
      <w:r>
        <w:rPr/>
        <w:t>、薪酬与考核委员会 报告期内，薪酬与考核委员会召开了</w:t>
      </w:r>
      <w:r>
        <w:rPr>
          <w:rFonts w:ascii="Times New Roman" w:hAnsi="Times New Roman" w:cs="Times New Roman" w:eastAsia="Times New Roman" w:hint="default"/>
        </w:rPr>
        <w:t>3</w:t>
      </w:r>
      <w:r>
        <w:rPr/>
        <w:t>次会议，分别审议了公司董事、监事、高级管理人员</w:t>
      </w:r>
      <w:r>
        <w:rPr>
          <w:rFonts w:ascii="Times New Roman" w:hAnsi="Times New Roman" w:cs="Times New Roman" w:eastAsia="Times New Roman" w:hint="default"/>
        </w:rPr>
        <w:t>2012</w:t>
      </w:r>
      <w:r>
        <w:rPr/>
        <w:t>年度薪酬的议案、关于</w:t>
      </w:r>
    </w:p>
    <w:p>
      <w:pPr>
        <w:pStyle w:val="BodyText"/>
        <w:spacing w:line="240" w:lineRule="auto" w:before="13"/>
        <w:ind w:right="1123"/>
        <w:jc w:val="left"/>
      </w:pPr>
      <w:r>
        <w:rPr/>
        <w:t>公司股票期权激励计划第二个行权期（预留期权第一个行权期）可行权的议案、公司限制性股票激励计划等议案。</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tabs>
          <w:tab w:pos="1235" w:val="left" w:leader="none"/>
          <w:tab w:pos="1595" w:val="left" w:leader="none"/>
          <w:tab w:pos="5674" w:val="left" w:leader="none"/>
          <w:tab w:pos="5849" w:val="left" w:leader="none"/>
          <w:tab w:pos="7106" w:val="left" w:leader="none"/>
          <w:tab w:pos="7634" w:val="left" w:leader="none"/>
          <w:tab w:pos="7814" w:val="left" w:leader="none"/>
          <w:tab w:pos="8377" w:val="left" w:leader="none"/>
          <w:tab w:pos="8907" w:val="left" w:leader="none"/>
          <w:tab w:pos="9337" w:val="left" w:leader="none"/>
        </w:tabs>
        <w:spacing w:line="316" w:lineRule="auto" w:before="0"/>
        <w:ind w:right="1049"/>
        <w:jc w:val="left"/>
      </w:pPr>
      <w:r>
        <w:rPr>
          <w:spacing w:val="-2"/>
        </w:rPr>
        <w:t>公司与控股股东在业务、人员、资产、机构、财务等方面完全分开，具有独立完整的业务及自主经营能力。</w:t>
        <w:tab/>
      </w:r>
      <w:r>
        <w:rPr>
          <w:spacing w:val="-4"/>
        </w:rPr>
        <w:t>（一）业务</w:t>
      </w:r>
      <w:r>
        <w:rPr>
          <w:spacing w:val="-86"/>
        </w:rPr>
        <w:t> </w:t>
      </w:r>
      <w:r>
        <w:rPr>
          <w:spacing w:val="-86"/>
        </w:rPr>
      </w:r>
      <w:r>
        <w:rPr/>
        <w:t>的独立性</w:t>
        <w:tab/>
      </w:r>
      <w:r>
        <w:rPr>
          <w:spacing w:val="-2"/>
        </w:rPr>
        <w:t>公司具有独立、完整的软件研发、销售、实施和技术服务体系。公司的业务独立于控股股东、实际控制人，与</w:t>
      </w:r>
      <w:r>
        <w:rPr>
          <w:spacing w:val="-83"/>
        </w:rPr>
        <w:t> </w:t>
      </w:r>
      <w:r>
        <w:rPr>
          <w:spacing w:val="-83"/>
        </w:rPr>
      </w:r>
      <w:r>
        <w:rPr>
          <w:spacing w:val="-1"/>
        </w:rPr>
        <w:t>控股股东、实际控制人不存在同业竞争或者显失公平的关联交易。</w:t>
        <w:tab/>
      </w:r>
      <w:r>
        <w:rPr>
          <w:spacing w:val="-3"/>
        </w:rPr>
        <w:t>（二）人员的独立性</w:t>
        <w:tab/>
      </w:r>
      <w:r>
        <w:rPr>
          <w:spacing w:val="-1"/>
        </w:rPr>
        <w:t>公司董事长没有由股东单位</w:t>
      </w:r>
      <w:r>
        <w:rPr>
          <w:spacing w:val="-81"/>
        </w:rPr>
        <w:t> </w:t>
      </w:r>
      <w:r>
        <w:rPr>
          <w:spacing w:val="-81"/>
        </w:rPr>
      </w:r>
      <w:r>
        <w:rPr>
          <w:spacing w:val="-2"/>
        </w:rPr>
        <w:t>的法定代表人兼任，公司总裁、各副总裁、董事会秘书、财务总监等高级管理人员均在公司专职工作及领取报酬，上述人员</w:t>
      </w:r>
      <w:r>
        <w:rPr>
          <w:spacing w:val="-65"/>
        </w:rPr>
        <w:t> </w:t>
      </w:r>
      <w:r>
        <w:rPr>
          <w:spacing w:val="-65"/>
        </w:rPr>
      </w:r>
      <w:r>
        <w:rPr>
          <w:spacing w:val="-2"/>
        </w:rPr>
        <w:t>未在公司的控股股东、实际控制人处担任除董事、监事以外的其他职务，未在控股股东、实际控制人处领薪，亦不存在自营</w:t>
      </w:r>
      <w:r>
        <w:rPr>
          <w:spacing w:val="-67"/>
        </w:rPr>
        <w:t> </w:t>
      </w:r>
      <w:r>
        <w:rPr>
          <w:spacing w:val="-67"/>
        </w:rPr>
      </w:r>
      <w:r>
        <w:rPr>
          <w:spacing w:val="-1"/>
        </w:rPr>
        <w:t>或为他人经营与公司经营范围相同业务的情形；公司的财务人员未在控股股东、实际控制人处兼职。</w:t>
        <w:tab/>
      </w:r>
      <w:r>
        <w:rPr>
          <w:spacing w:val="-3"/>
        </w:rPr>
        <w:t>公司的劳动、人事</w:t>
      </w:r>
      <w:r>
        <w:rPr>
          <w:spacing w:val="-88"/>
        </w:rPr>
        <w:t> </w:t>
      </w:r>
      <w:r>
        <w:rPr>
          <w:spacing w:val="-88"/>
        </w:rPr>
      </w:r>
      <w:r>
        <w:rPr>
          <w:spacing w:val="-2"/>
        </w:rPr>
        <w:t>及工资管理完全独立。公司董事、监事均严格按照《公司法》和《公司章程》的有关规定选举产生，公司高级管理人员都是</w:t>
      </w:r>
      <w:r>
        <w:rPr>
          <w:spacing w:val="-73"/>
        </w:rPr>
        <w:t> </w:t>
      </w:r>
      <w:r>
        <w:rPr>
          <w:spacing w:val="-73"/>
        </w:rPr>
      </w:r>
      <w:r>
        <w:rPr>
          <w:spacing w:val="-2"/>
        </w:rPr>
        <w:t>公司董事会依职权聘任的，不存在股东或其他关联方干涉公司有关人事任免的情况。公司拥有独立的员工队伍，并已建立较</w:t>
      </w:r>
      <w:r>
        <w:rPr>
          <w:spacing w:val="-63"/>
        </w:rPr>
        <w:t> </w:t>
      </w:r>
      <w:r>
        <w:rPr>
          <w:spacing w:val="-63"/>
        </w:rPr>
      </w:r>
      <w:r>
        <w:rPr>
          <w:spacing w:val="-2"/>
        </w:rPr>
        <w:t>为完善的劳动用工和人事管理制度。公司已依据国家的法律法规与公司员工签订了劳动合同并缴纳社会保险费用、住房公积</w:t>
      </w:r>
      <w:r>
        <w:rPr>
          <w:spacing w:val="-64"/>
        </w:rPr>
        <w:t> </w:t>
      </w:r>
      <w:r>
        <w:rPr>
          <w:spacing w:val="-64"/>
        </w:rPr>
      </w:r>
      <w:r>
        <w:rPr>
          <w:spacing w:val="-2"/>
        </w:rPr>
        <w:t>金，公司拥有独立的劳动用工权利，不存在受控股股东干涉的现象。</w:t>
        <w:tab/>
        <w:tab/>
        <w:t>（三）资产的独立性</w:t>
        <w:tab/>
        <w:tab/>
      </w:r>
      <w:r>
        <w:rPr>
          <w:spacing w:val="-1"/>
        </w:rPr>
        <w:t>公司拥有开展生产经营所</w:t>
      </w:r>
      <w:r>
        <w:rPr>
          <w:spacing w:val="-82"/>
        </w:rPr>
        <w:t> </w:t>
      </w:r>
      <w:r>
        <w:rPr>
          <w:spacing w:val="-82"/>
        </w:rPr>
      </w:r>
      <w:r>
        <w:rPr>
          <w:spacing w:val="-2"/>
        </w:rPr>
        <w:t>必须的资产，包括商标权、计算机软件著作权和软件开发所需要的设备、车辆、土地使用权、房屋建筑物等。公司资产产权</w:t>
      </w:r>
      <w:r>
        <w:rPr>
          <w:spacing w:val="-65"/>
        </w:rPr>
        <w:t> </w:t>
      </w:r>
      <w:r>
        <w:rPr>
          <w:spacing w:val="-65"/>
        </w:rPr>
      </w:r>
      <w:r>
        <w:rPr/>
        <w:t>界定明确，不存在以承包、委托经营、租赁或其他类似方式，依赖关联方的资产进行生产和经营的情形。公司没有以资产、 权益或信誉为控股股东的债务提供过担保，不存在资产、资金被控股股东占用而损害公司其他股东利益的情况。</w:t>
        <w:tab/>
        <w:t>（四）</w:t>
      </w:r>
      <w:r>
        <w:rPr/>
        <w:t> 机构的独立性</w:t>
        <w:tab/>
        <w:tab/>
      </w:r>
      <w:r>
        <w:rPr>
          <w:spacing w:val="-2"/>
        </w:rPr>
        <w:t>公司建立了健全的法人治理机构，公司根据《公司法》和《公司章程》及其他有关法律法规的规定，设立</w:t>
      </w:r>
      <w:r>
        <w:rPr/>
        <w:t> </w:t>
      </w:r>
      <w:r>
        <w:rPr>
          <w:spacing w:val="-2"/>
        </w:rPr>
        <w:t>了股东大会、董事会、监事会以及经营管理层，并制定了相关议事规则和工作细则。</w:t>
        <w:tab/>
        <w:t>公司已经按照法律、法规的规定和</w:t>
      </w:r>
    </w:p>
    <w:p>
      <w:pPr>
        <w:spacing w:after="0" w:line="316"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tabs>
          <w:tab w:pos="4783" w:val="left" w:leader="none"/>
          <w:tab w:pos="6749" w:val="left" w:leader="none"/>
        </w:tabs>
        <w:spacing w:line="319" w:lineRule="auto"/>
        <w:ind w:right="1051"/>
        <w:jc w:val="left"/>
      </w:pPr>
      <w:r>
        <w:rPr>
          <w:spacing w:val="-2"/>
        </w:rPr>
        <w:t>公司的实际情况设置了公司的组织机构，独立于控股股东和其他关联方，具有健全的内部经营管理机构，独立行使经营管理</w:t>
      </w:r>
      <w:r>
        <w:rPr>
          <w:spacing w:val="-62"/>
        </w:rPr>
        <w:t> </w:t>
      </w:r>
      <w:r>
        <w:rPr>
          <w:spacing w:val="-62"/>
        </w:rPr>
      </w:r>
      <w:r>
        <w:rPr/>
        <w:t>职权，公司及其职能部门与控股股东及其职能部门之间不存在上下级关系，任何企业无权以任何形式干预公司的经营活动。 </w:t>
      </w:r>
      <w:r>
        <w:rPr>
          <w:spacing w:val="-1"/>
        </w:rPr>
        <w:t>公司不存在与控股股东、实际控制人机构混同的情形。</w:t>
        <w:tab/>
      </w:r>
      <w:r>
        <w:rPr>
          <w:spacing w:val="-2"/>
        </w:rPr>
        <w:t>（五）财务的独立性</w:t>
        <w:tab/>
        <w:t>公司设有独立的财务部门，建立独立的</w:t>
      </w:r>
      <w:r>
        <w:rPr>
          <w:spacing w:val="-76"/>
        </w:rPr>
        <w:t> </w:t>
      </w:r>
      <w:r>
        <w:rPr>
          <w:spacing w:val="-76"/>
        </w:rPr>
      </w:r>
      <w:r>
        <w:rPr>
          <w:spacing w:val="-2"/>
        </w:rPr>
        <w:t>财务核算体系，能够独立作出财务决策，具有规范的财务会计制度和对驻外机构（分公司、办事处、研发中心）、子公司的</w:t>
      </w:r>
      <w:r>
        <w:rPr>
          <w:spacing w:val="-72"/>
        </w:rPr>
        <w:t> </w:t>
      </w:r>
      <w:r>
        <w:rPr>
          <w:spacing w:val="-72"/>
        </w:rPr>
      </w:r>
      <w:r>
        <w:rPr/>
        <w:t>财务管理制度；公司在银行独立开户，不存在与控股股东、实际控制人共用银行账户的情形。</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2" w:firstLine="360"/>
        <w:jc w:val="both"/>
      </w:pPr>
      <w:r>
        <w:rPr>
          <w:spacing w:val="-2"/>
        </w:rPr>
        <w:t>公司与控股股东以及实际控制人之间不存在同业竞争情况。本公司控股股东、实际控制人陈利浩先生已向公司出具了避</w:t>
      </w:r>
      <w:r>
        <w:rPr/>
        <w:t> 免同业竞争的《承诺函》，承诺不与公司进行同业竞争。</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firstLine="362"/>
        <w:jc w:val="both"/>
      </w:pPr>
      <w:r>
        <w:rPr>
          <w:spacing w:val="-2"/>
        </w:rPr>
        <w:t>公司高级管理人员均由董事会聘任，董事会薪酬与考核委员会负责对公司高级管理人员的工作能力、履职情况、责任目</w:t>
      </w:r>
      <w:r>
        <w:rPr/>
        <w:t> </w:t>
      </w:r>
      <w:r>
        <w:rPr>
          <w:spacing w:val="-2"/>
        </w:rPr>
        <w:t>标完成情况进行考评。报告期内，公司加强绩效管理工作，根据发展战略和年度经营目标，确定公司年度经营重点工作，并</w:t>
      </w:r>
      <w:r>
        <w:rPr>
          <w:spacing w:val="-67"/>
        </w:rPr>
        <w:t> </w:t>
      </w:r>
      <w:r>
        <w:rPr>
          <w:spacing w:val="-67"/>
        </w:rPr>
      </w:r>
      <w:r>
        <w:rPr>
          <w:spacing w:val="-2"/>
        </w:rPr>
        <w:t>从财务、业务、基础管理及能力等维度，以经营管理工作及相关能力表现相结合的形式进行考评。公司实施了《股票期权激</w:t>
      </w:r>
      <w:r>
        <w:rPr>
          <w:spacing w:val="-67"/>
        </w:rPr>
        <w:t> </w:t>
      </w:r>
      <w:r>
        <w:rPr>
          <w:spacing w:val="-67"/>
        </w:rPr>
      </w:r>
      <w:r>
        <w:rPr>
          <w:spacing w:val="-5"/>
        </w:rPr>
        <w:t>励计划》、《限制性股票激励计划》，为有效调动管理者和骨干员工的积极性，吸引和保留优秀管理人才和业务骨干起到积极</w:t>
      </w:r>
      <w:r>
        <w:rPr>
          <w:spacing w:val="-87"/>
        </w:rPr>
        <w:t> </w:t>
      </w:r>
      <w:r>
        <w:rPr>
          <w:spacing w:val="-87"/>
        </w:rPr>
      </w:r>
      <w:r>
        <w:rPr/>
        <w:t>作用，从而更好地促进公司稳定发展。</w:t>
      </w:r>
    </w:p>
    <w:p>
      <w:pPr>
        <w:spacing w:after="0" w:line="316"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29" w:firstLine="362"/>
        <w:jc w:val="both"/>
      </w:pP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2"/>
        </w:rPr>
        <w:t> </w:t>
      </w:r>
      <w:r>
        <w:rPr>
          <w:spacing w:val="-11"/>
        </w:rPr>
        <w:t>年公司按照《公司法》、《证券法》、《企业内部控制基本规范》、《上市公司内部控制指引》等有关法律、法规和规</w:t>
      </w:r>
      <w:r>
        <w:rPr/>
        <w:t> </w:t>
      </w:r>
      <w:r>
        <w:rPr>
          <w:spacing w:val="-2"/>
        </w:rPr>
        <w:t>章制度要求，结合公司的经营特点和管理需要，不断完善公司治理，进一步健全公司法人治理结构，并对公司的业务流程和</w:t>
      </w:r>
      <w:r>
        <w:rPr>
          <w:spacing w:val="-64"/>
        </w:rPr>
        <w:t> </w:t>
      </w:r>
      <w:r>
        <w:rPr>
          <w:spacing w:val="-64"/>
        </w:rPr>
      </w:r>
      <w:r>
        <w:rPr/>
        <w:t>管理制度进行了全面梳理与检查，健全内部控制体系，保障了公司内部控制管理的有效执行，确保了公司的稳定经营。</w:t>
      </w:r>
    </w:p>
    <w:p>
      <w:pPr>
        <w:spacing w:line="240" w:lineRule="auto" w:before="3"/>
        <w:rPr>
          <w:rFonts w:ascii="宋体" w:hAnsi="宋体" w:cs="宋体" w:eastAsia="宋体" w:hint="default"/>
          <w:sz w:val="21"/>
          <w:szCs w:val="21"/>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4" w:firstLine="362"/>
        <w:jc w:val="left"/>
      </w:pPr>
      <w:r>
        <w:rPr>
          <w:spacing w:val="-4"/>
        </w:rPr>
        <w:t>董事会对公司内部控制进行了认真的自查和分析，认为：公司建立了较为完善的法人治理结构，内部控制体系较为健全，</w:t>
      </w:r>
      <w:r>
        <w:rPr/>
        <w:t> </w:t>
      </w:r>
      <w:r>
        <w:rPr>
          <w:spacing w:val="-2"/>
        </w:rPr>
        <w:t>该体系已囊括公司经营及管理的各个层面和各环节，具有规范性、合法性和有效性，能够较好地预防、发现和纠正公司在经</w:t>
      </w:r>
      <w:r>
        <w:rPr>
          <w:spacing w:val="-64"/>
        </w:rPr>
        <w:t> </w:t>
      </w:r>
      <w:r>
        <w:rPr>
          <w:spacing w:val="-64"/>
        </w:rPr>
      </w:r>
      <w:r>
        <w:rPr>
          <w:spacing w:val="-2"/>
        </w:rPr>
        <w:t>营、管理运作中出现的问题和风险，适应公司管理和发展的需要，保证公司资产的安全和完整，保证会计信息的准确性、真</w:t>
      </w:r>
      <w:r>
        <w:rPr>
          <w:spacing w:val="-67"/>
        </w:rPr>
        <w:t> </w:t>
      </w:r>
      <w:r>
        <w:rPr>
          <w:spacing w:val="-67"/>
        </w:rPr>
      </w:r>
      <w:r>
        <w:rPr/>
        <w:t>实性和及时性，公司内部控制制度执行情况良好，符合有关法律法规和证券监管部门对上市公司内控制度管理的规范要求。 董事会全体成员保证本报告内容真实、准确和完整，没有虚假记载、误导性陈述或者重大遗漏。</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0" w:firstLine="362"/>
        <w:jc w:val="both"/>
      </w:pPr>
      <w:r>
        <w:rPr>
          <w:spacing w:val="-9"/>
        </w:rPr>
        <w:t>公司根据《会计法》、《企业会计准则》、《企业内部控制基本规范》及监管部门的相关规范性文件要求，建立了财务报告</w:t>
      </w:r>
      <w:r>
        <w:rPr/>
        <w:t> </w:t>
      </w:r>
      <w:r>
        <w:rPr>
          <w:spacing w:val="-2"/>
        </w:rPr>
        <w:t>内部控制，本年度的财务报告内部控制不存在重大缺陷。经过审计的财务报告由公司法定代表人、财务负责人及会计机构负</w:t>
      </w:r>
      <w:r>
        <w:rPr>
          <w:spacing w:val="-63"/>
        </w:rPr>
        <w:t> </w:t>
      </w:r>
      <w:r>
        <w:rPr>
          <w:spacing w:val="-63"/>
        </w:rPr>
      </w:r>
      <w:r>
        <w:rPr/>
        <w:t>责人签名盖章。</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日的巨潮资讯网（</w:t>
            </w:r>
            <w:hyperlink r:id="rId10">
              <w:r>
                <w:rPr>
                  <w:rFonts w:ascii="Times New Roman" w:hAnsi="Times New Roman" w:cs="Times New Roman" w:eastAsia="Times New Roman" w:hint="default"/>
                  <w:spacing w:val="-6"/>
                  <w:sz w:val="18"/>
                  <w:szCs w:val="18"/>
                </w:rPr>
                <w:t>www.cninfo.com.cn</w:t>
              </w:r>
            </w:hyperlink>
            <w:r>
              <w:rPr>
                <w:rFonts w:ascii="宋体" w:hAnsi="宋体" w:cs="宋体" w:eastAsia="宋体" w:hint="default"/>
                <w:spacing w:val="-6"/>
                <w:sz w:val="18"/>
                <w:szCs w:val="18"/>
              </w:rPr>
              <w:t>）上的《远光软件股份有限公司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 适用 √</w:t>
      </w:r>
      <w:r>
        <w:rPr>
          <w:spacing w:val="3"/>
        </w:rPr>
        <w:t> </w:t>
      </w:r>
      <w:r>
        <w:rPr/>
        <w:t>不适用</w:t>
      </w:r>
    </w:p>
    <w:p>
      <w:pPr>
        <w:spacing w:line="240" w:lineRule="auto" w:before="9"/>
        <w:rPr>
          <w:rFonts w:ascii="宋体" w:hAnsi="宋体" w:cs="宋体" w:eastAsia="宋体" w:hint="default"/>
          <w:sz w:val="8"/>
          <w:szCs w:val="8"/>
        </w:rPr>
      </w:pPr>
    </w:p>
    <w:p>
      <w:pPr>
        <w:spacing w:line="403"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2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1" w:right="1"/>
                    <w:jc w:val="center"/>
                  </w:pPr>
                  <w:r>
                    <w:rPr/>
                    <w:t>内部控制审计报告中的审议意见段</w:t>
                  </w:r>
                </w:p>
              </w:txbxContent>
            </v:textbox>
            <v:fill type="solid"/>
          </v:shape>
        </w:pict>
      </w:r>
      <w:r>
        <w:rPr>
          <w:rFonts w:ascii="宋体" w:hAnsi="宋体" w:cs="宋体" w:eastAsia="宋体" w:hint="default"/>
          <w:position w:val="-7"/>
          <w:sz w:val="20"/>
          <w:szCs w:val="20"/>
        </w:rPr>
      </w:r>
    </w:p>
    <w:p>
      <w:pPr>
        <w:pStyle w:val="BodyText"/>
        <w:spacing w:line="240" w:lineRule="auto" w:before="54"/>
        <w:ind w:right="1123"/>
        <w:jc w:val="left"/>
      </w:pPr>
      <w:r>
        <w:rPr/>
        <w:t>会计师事务所是否出具非标准意见的内部控制审计报告</w:t>
      </w:r>
    </w:p>
    <w:p>
      <w:pPr>
        <w:pStyle w:val="BodyText"/>
        <w:spacing w:line="360" w:lineRule="auto" w:before="115"/>
        <w:ind w:right="4634"/>
        <w:jc w:val="left"/>
      </w:pPr>
      <w:r>
        <w:rPr/>
        <w:t>□ 是 √</w:t>
      </w:r>
      <w:r>
        <w:rPr>
          <w:spacing w:val="3"/>
        </w:rPr>
        <w:t> </w:t>
      </w:r>
      <w:r>
        <w:rPr/>
        <w:t>否</w:t>
      </w:r>
      <w:r>
        <w:rPr/>
        <w:t> 会计师事务所出具的内部控制审计报告与董事会的自我评价报告意见是否一致</w:t>
      </w:r>
    </w:p>
    <w:p>
      <w:pPr>
        <w:pStyle w:val="BodyText"/>
        <w:spacing w:line="240" w:lineRule="auto" w:before="24"/>
        <w:ind w:right="1123"/>
        <w:jc w:val="left"/>
      </w:pPr>
      <w:r>
        <w:rPr/>
        <w:t>√ 是 □</w:t>
      </w:r>
      <w:r>
        <w:rPr>
          <w:spacing w:val="3"/>
        </w:rPr>
        <w:t> </w:t>
      </w:r>
      <w:r>
        <w:rPr/>
        <w:t>否</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27" w:firstLine="362"/>
        <w:jc w:val="left"/>
      </w:pPr>
      <w:r>
        <w:rPr/>
        <w:t>公司于</w:t>
      </w:r>
      <w:r>
        <w:rPr>
          <w:spacing w:val="-4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4"/>
        </w:rPr>
        <w:t>月制定并披露了《年报重大差错责任追究制度》。报告期内，公司严格并且良好的执行了该制度，公司</w:t>
      </w:r>
      <w:r>
        <w:rPr/>
        <w:t> 未发生年度报告重大差错的情形。</w:t>
      </w:r>
    </w:p>
    <w:p>
      <w:pPr>
        <w:spacing w:after="0" w:line="30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[2013]838A0061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Heading2"/>
        <w:spacing w:line="240" w:lineRule="auto"/>
        <w:ind w:right="0"/>
        <w:jc w:val="left"/>
        <w:rPr>
          <w:b w:val="0"/>
          <w:bCs w:val="0"/>
        </w:rPr>
      </w:pPr>
      <w:r>
        <w:rPr>
          <w:w w:val="95"/>
        </w:rPr>
        <w:t>远光软件股份有限公司全体股东：</w:t>
      </w:r>
      <w:r>
        <w:rPr>
          <w:b w:val="0"/>
          <w:bCs w:val="0"/>
        </w:rPr>
      </w:r>
    </w:p>
    <w:p>
      <w:pPr>
        <w:pStyle w:val="BodyText"/>
        <w:spacing w:line="240" w:lineRule="auto" w:before="49"/>
        <w:ind w:right="0"/>
        <w:jc w:val="center"/>
      </w:pPr>
      <w:r>
        <w:rPr/>
        <w:br w:type="column"/>
      </w:r>
      <w:r>
        <w:rPr/>
        <w:t>审计报告正文</w:t>
      </w:r>
    </w:p>
    <w:p>
      <w:pPr>
        <w:spacing w:before="160"/>
        <w:ind w:left="152" w:right="0"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77"/>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32"/>
          <w:szCs w:val="32"/>
        </w:rPr>
      </w:pPr>
    </w:p>
    <w:p>
      <w:pPr>
        <w:pStyle w:val="Heading5"/>
        <w:spacing w:line="240" w:lineRule="auto"/>
        <w:ind w:right="0"/>
        <w:jc w:val="left"/>
      </w:pPr>
      <w:r>
        <w:rPr/>
        <w:t>国浩审字</w:t>
      </w:r>
      <w:r>
        <w:rPr>
          <w:rFonts w:ascii="Times New Roman" w:hAnsi="Times New Roman" w:cs="Times New Roman" w:eastAsia="Times New Roman" w:hint="default"/>
        </w:rPr>
        <w:t>[2013]838A0061</w:t>
      </w:r>
      <w:r>
        <w:rPr/>
        <w:t>号</w:t>
      </w:r>
    </w:p>
    <w:p>
      <w:pPr>
        <w:spacing w:after="0" w:line="240" w:lineRule="auto"/>
        <w:jc w:val="left"/>
        <w:sectPr>
          <w:type w:val="continuous"/>
          <w:pgSz w:w="11910" w:h="16840"/>
          <w:pgMar w:top="1060" w:bottom="1540" w:left="980" w:right="0"/>
          <w:cols w:num="3" w:equalWidth="0">
            <w:col w:w="3766" w:space="207"/>
            <w:col w:w="1848" w:space="1296"/>
            <w:col w:w="3813"/>
          </w:cols>
        </w:sectPr>
      </w:pPr>
    </w:p>
    <w:p>
      <w:pPr>
        <w:pStyle w:val="Heading3"/>
        <w:spacing w:line="312" w:lineRule="exact" w:before="28"/>
        <w:ind w:right="1131" w:firstLine="480"/>
        <w:jc w:val="both"/>
      </w:pPr>
      <w:r>
        <w:rPr>
          <w:spacing w:val="-5"/>
        </w:rPr>
        <w:t>我们审计了后附的远光软件股份有限公司（以下简称远光软件公司）财务报表，包括</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年度的合并及母公司利润表、合并及母公司现</w:t>
      </w:r>
      <w:r>
        <w:rPr>
          <w:spacing w:val="-91"/>
        </w:rPr>
        <w:t> </w:t>
      </w:r>
      <w:r>
        <w:rPr>
          <w:spacing w:val="-91"/>
        </w:rPr>
      </w:r>
      <w:r>
        <w:rPr/>
        <w:t>金流量表、合并及母公司股东权益变动表以及财务报表附注。</w:t>
      </w:r>
    </w:p>
    <w:p>
      <w:pPr>
        <w:spacing w:line="312" w:lineRule="exact" w:before="0"/>
        <w:ind w:left="633" w:right="1113"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编制和公允列报财务报表是远光软件公司管理层的责任，这种责任包括：</w:t>
      </w:r>
      <w:r>
        <w:rPr>
          <w:rFonts w:ascii="Times New Roman" w:hAnsi="Times New Roman" w:cs="Times New Roman" w:eastAsia="Times New Roman" w:hint="default"/>
          <w:sz w:val="24"/>
          <w:szCs w:val="24"/>
        </w:rPr>
        <w:t>(1)</w:t>
      </w:r>
      <w:r>
        <w:rPr>
          <w:rFonts w:ascii="宋体" w:hAnsi="宋体" w:cs="宋体" w:eastAsia="宋体" w:hint="default"/>
          <w:sz w:val="24"/>
          <w:szCs w:val="24"/>
        </w:rPr>
        <w:t>按照企业会</w:t>
      </w:r>
    </w:p>
    <w:p>
      <w:pPr>
        <w:pStyle w:val="Heading3"/>
        <w:spacing w:line="312" w:lineRule="exact"/>
        <w:ind w:right="1114"/>
        <w:jc w:val="left"/>
      </w:pPr>
      <w:r>
        <w:rPr/>
        <w:t>计准则的规定编制财务报表，并使其实现公允反映；</w:t>
      </w:r>
      <w:r>
        <w:rPr>
          <w:rFonts w:ascii="Times New Roman" w:hAnsi="Times New Roman" w:cs="Times New Roman" w:eastAsia="Times New Roman" w:hint="default"/>
        </w:rPr>
        <w:t>(2)</w:t>
      </w:r>
      <w:r>
        <w:rPr/>
        <w:t>设计、执行和维护必要的内部控制， 以使财务报表不存在由于舞弊或错误导致的重大错报。</w:t>
      </w:r>
    </w:p>
    <w:p>
      <w:pPr>
        <w:spacing w:line="312" w:lineRule="exact" w:before="0"/>
        <w:ind w:left="633" w:right="1123"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1123"/>
        <w:jc w:val="left"/>
      </w:pPr>
      <w:r>
        <w:rPr/>
        <w:t>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Heading3"/>
        <w:spacing w:line="312" w:lineRule="exact"/>
        <w:ind w:right="9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Heading3"/>
        <w:spacing w:line="283" w:lineRule="exact"/>
        <w:ind w:left="633" w:right="1123"/>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pStyle w:val="Heading3"/>
        <w:spacing w:line="312" w:lineRule="exact"/>
        <w:ind w:left="633" w:right="1123"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我们认为，远光软件公司的财务报表在所有重大方面按照企业会计准则的规定编制，公</w:t>
      </w:r>
    </w:p>
    <w:p>
      <w:pPr>
        <w:pStyle w:val="Heading3"/>
        <w:spacing w:line="312" w:lineRule="exact"/>
        <w:ind w:right="1123"/>
        <w:jc w:val="left"/>
      </w:pPr>
      <w:r>
        <w:rPr/>
        <w:t>允反映了远光软件公司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w:t>
      </w:r>
      <w:r>
        <w:rPr>
          <w:spacing w:val="-90"/>
        </w:rPr>
        <w:t> </w:t>
      </w:r>
      <w:r>
        <w:rPr>
          <w:spacing w:val="-90"/>
        </w:rPr>
      </w:r>
      <w:r>
        <w:rPr/>
        <w:t>司经营成果和现金流量。</w:t>
      </w:r>
    </w:p>
    <w:p>
      <w:pPr>
        <w:spacing w:after="0" w:line="312" w:lineRule="exact"/>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89596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62</w:t>
                    </w:r>
                  </w:p>
                </w:txbxContent>
              </v:textbox>
              <w10:wrap type="none"/>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4733"/>
        <w:gridCol w:w="3053"/>
      </w:tblGrid>
      <w:tr>
        <w:trPr>
          <w:trHeight w:val="452"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40" w:lineRule="exact"/>
              <w:ind w:right="10"/>
              <w:jc w:val="center"/>
              <w:rPr>
                <w:rFonts w:ascii="宋体" w:hAnsi="宋体" w:cs="宋体" w:eastAsia="宋体" w:hint="default"/>
                <w:sz w:val="24"/>
                <w:szCs w:val="24"/>
              </w:rPr>
            </w:pPr>
            <w:r>
              <w:rPr>
                <w:rFonts w:ascii="宋体" w:hAnsi="宋体" w:cs="宋体" w:eastAsia="宋体" w:hint="default"/>
                <w:sz w:val="24"/>
                <w:szCs w:val="24"/>
              </w:rPr>
              <w:t>国富浩华会计师事务所（特殊普通合伙）</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exact"/>
              <w:ind w:left="212" w:right="0"/>
              <w:jc w:val="left"/>
              <w:rPr>
                <w:rFonts w:ascii="宋体" w:hAnsi="宋体" w:cs="宋体" w:eastAsia="宋体" w:hint="default"/>
                <w:sz w:val="24"/>
                <w:szCs w:val="24"/>
              </w:rPr>
            </w:pPr>
            <w:r>
              <w:rPr>
                <w:rFonts w:ascii="宋体" w:hAnsi="宋体" w:cs="宋体" w:eastAsia="宋体" w:hint="default"/>
                <w:sz w:val="24"/>
                <w:szCs w:val="24"/>
              </w:rPr>
              <w:t>中国注册会计师：马桂琴</w:t>
            </w:r>
          </w:p>
        </w:tc>
      </w:tr>
      <w:tr>
        <w:trPr>
          <w:trHeight w:val="670" w:hRule="exact"/>
        </w:trPr>
        <w:tc>
          <w:tcPr>
            <w:tcW w:w="473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7"/>
              <w:jc w:val="center"/>
              <w:rPr>
                <w:rFonts w:ascii="宋体" w:hAnsi="宋体" w:cs="宋体" w:eastAsia="宋体" w:hint="default"/>
                <w:sz w:val="24"/>
                <w:szCs w:val="24"/>
              </w:rPr>
            </w:pPr>
            <w:r>
              <w:rPr>
                <w:rFonts w:ascii="宋体" w:hAnsi="宋体" w:cs="宋体" w:eastAsia="宋体" w:hint="default"/>
                <w:spacing w:val="-25"/>
                <w:sz w:val="24"/>
                <w:szCs w:val="24"/>
              </w:rPr>
              <w:t>中国</w:t>
            </w:r>
            <w:r>
              <w:rPr>
                <w:rFonts w:ascii="Times New Roman" w:hAnsi="Times New Roman" w:cs="Times New Roman" w:eastAsia="Times New Roman" w:hint="default"/>
                <w:spacing w:val="-25"/>
                <w:sz w:val="24"/>
                <w:szCs w:val="24"/>
              </w:rPr>
              <w:t>·</w:t>
            </w:r>
            <w:r>
              <w:rPr>
                <w:rFonts w:ascii="宋体" w:hAnsi="宋体" w:cs="宋体" w:eastAsia="宋体" w:hint="default"/>
                <w:spacing w:val="-25"/>
                <w:sz w:val="24"/>
                <w:szCs w:val="24"/>
              </w:rPr>
              <w:t>北京</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12" w:right="0"/>
              <w:jc w:val="left"/>
              <w:rPr>
                <w:rFonts w:ascii="宋体" w:hAnsi="宋体" w:cs="宋体" w:eastAsia="宋体" w:hint="default"/>
                <w:sz w:val="24"/>
                <w:szCs w:val="24"/>
              </w:rPr>
            </w:pPr>
            <w:r>
              <w:rPr>
                <w:rFonts w:ascii="宋体" w:hAnsi="宋体" w:cs="宋体" w:eastAsia="宋体" w:hint="default"/>
                <w:sz w:val="24"/>
                <w:szCs w:val="24"/>
              </w:rPr>
              <w:t>中国注册会计师：樊文景</w:t>
            </w:r>
          </w:p>
        </w:tc>
      </w:tr>
      <w:tr>
        <w:trPr>
          <w:trHeight w:val="445" w:hRule="exact"/>
        </w:trPr>
        <w:tc>
          <w:tcPr>
            <w:tcW w:w="77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4585" w:right="0"/>
              <w:jc w:val="left"/>
              <w:rPr>
                <w:rFonts w:ascii="宋体" w:hAnsi="宋体" w:cs="宋体" w:eastAsia="宋体" w:hint="default"/>
                <w:sz w:val="24"/>
                <w:szCs w:val="24"/>
              </w:rPr>
            </w:pPr>
            <w:r>
              <w:rPr>
                <w:rFonts w:ascii="宋体" w:hAnsi="宋体" w:cs="宋体" w:eastAsia="宋体" w:hint="default"/>
                <w:sz w:val="24"/>
                <w:szCs w:val="24"/>
              </w:rPr>
              <w:t>二〇一三年</w:t>
            </w:r>
            <w:r>
              <w:rPr>
                <w:rFonts w:ascii="宋体" w:hAnsi="宋体" w:cs="宋体" w:eastAsia="宋体" w:hint="default"/>
                <w:b/>
                <w:bCs/>
                <w:sz w:val="24"/>
                <w:szCs w:val="24"/>
              </w:rPr>
              <w:t>四</w:t>
            </w:r>
            <w:r>
              <w:rPr>
                <w:rFonts w:ascii="宋体" w:hAnsi="宋体" w:cs="宋体" w:eastAsia="宋体" w:hint="default"/>
                <w:sz w:val="24"/>
                <w:szCs w:val="24"/>
              </w:rPr>
              <w:t>月</w:t>
            </w:r>
            <w:r>
              <w:rPr>
                <w:rFonts w:ascii="宋体" w:hAnsi="宋体" w:cs="宋体" w:eastAsia="宋体" w:hint="default"/>
                <w:b/>
                <w:bCs/>
                <w:sz w:val="24"/>
                <w:szCs w:val="24"/>
              </w:rPr>
              <w:t>二十二</w:t>
            </w:r>
            <w:r>
              <w:rPr>
                <w:rFonts w:ascii="宋体" w:hAnsi="宋体" w:cs="宋体" w:eastAsia="宋体" w:hint="default"/>
                <w:sz w:val="24"/>
                <w:szCs w:val="24"/>
              </w:rPr>
              <w:t>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before="26"/>
        <w:ind w:left="252"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252"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21"/>
        <w:ind w:left="25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252" w:right="0"/>
        <w:jc w:val="left"/>
      </w:pPr>
      <w:r>
        <w:rPr/>
        <w:t>编制单位：远光软件股份有限公司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840,465,444.75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577,318,345.02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49,423,550.00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110,621,699.92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16,411,547.38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167,490,253.70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152,203,656.61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11,849,694.39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17,579,160.53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6,550,826.25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5,305,913.49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6,518,436.00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1,100,779,769.09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885,958,758.95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31"/>
          <w:footerReference w:type="default" r:id="rId32"/>
          <w:pgSz w:w="11910" w:h="16840"/>
          <w:pgMar w:header="877" w:footer="0" w:top="1060" w:bottom="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159,296,310.54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131,165,856.58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112,540,882.55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78,779,487.30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657,976.00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3,049,557.27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4,424,936.54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1,298,116.95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1,402,159.43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2,366,821.08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2,405,427.09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279,209,664.39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218,177,866.94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1,379,989,433.48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1,104,136,625.89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21,047,860.74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28,552,021.50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32,365,222.90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18,864,491.74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38,750,635.00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30,298,599.48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10,221,795.67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18,125,315.39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1331" w:header="877" w:top="1060" w:bottom="1520" w:left="980" w:right="0"/>
          <w:pgNumType w:start="63"/>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9,098,894.40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4,280,822.79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111,484,408.71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100,121,250.90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10,041,589.60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6,897,380.30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19,787,763.53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21,752,244.45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29,829,353.13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28,649,624.75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141,313,761.84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128,770,875.65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443,183,150.00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339,925,608.00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159,523,224.54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110,713,976.24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113,317,114.85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84,534,306.27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522,652,182.25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440,191,859.73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1,238,675,671.64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975,365,750.24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1,238,675,671.64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975,365,750.24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1,379,989,433.48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1,104,136,625.89</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after="0" w:line="240" w:lineRule="auto"/>
        <w:jc w:val="left"/>
        <w:sectPr>
          <w:pgSz w:w="11910" w:h="16840"/>
          <w:pgMar w:header="877" w:footer="1331"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编制单位：远光软件股份有限公司</w:t>
      </w:r>
    </w:p>
    <w:p>
      <w:pPr>
        <w:pStyle w:val="BodyText"/>
        <w:spacing w:line="240" w:lineRule="auto" w:before="115"/>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840,446,658.43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570,709,083.98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42,609,798.00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110,621,699.92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16,411,547.38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167,490,253.70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152,203,656.61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11,849,694.39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17,579,160.53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6,550,826.25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5,305,913.49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6,518,436.00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1,093,947,230.77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879,349,497.91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165,896,310.54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137,765,856.58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112,540,882.55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78,779,487.30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657,976.00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3,049,557.27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4,424,936.54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1,298,116.95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1,402,159.43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2,366,821.08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2,413,352.26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1"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285,809,664.39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224,785,792.11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1,379,756,895.16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1,104,135,290.02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21,047,860.74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28,552,021.50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32,365,222.90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18,864,491.74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38,750,635.00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30,298,599.48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10,191,017.79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18,123,000.13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9,098,894.40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4,280,822.79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111,453,630.83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100,118,935.64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10,015,210.85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6,897,380.30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19,787,763.53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21,752,244.45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29,802,974.38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28,649,624.75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141,256,605.21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128,768,560.39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443,183,150.00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339,925,608.00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159,453,135.95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110,643,887.65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113,254,937.83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84,472,129.25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522,609,066.17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440,325,104.73</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1,238,500,289.95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975,366,729.63</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1,379,756,895.16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1,104,135,290.02</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编制单位：远光软件股份有限公司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779,780,492.44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642,410,646.15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779,780,492.44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642,410,646.15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528,089,370.61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439,284,929.85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179,240,888.87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147,106,266.25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22,790,262.59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13,792,149.06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94,125,008.29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85,907,540.38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238,545,513.82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192,217,924.88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-7,577,735.63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-5,319,386.65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965,432.67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5,580,435.93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3,949,613.08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-43,224.08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40,948,898.41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16,092,847.12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1"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35,997,507.52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13,216,371.03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296,589,633.32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219,175,339.34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19,616,992.82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14,788,163.01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402,275.17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356,700.71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212,267.61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177,227.02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315,804,350.97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233,606,801.64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27,799,904.11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22,046,799.28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288,004,446.86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211,560,002.36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288,004,446.86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211,760,832.75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-200,830.39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0.4832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288,004,446.86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211,560,002.36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288,004,446.86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211,760,832.75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-200,830.39</w:t>
            </w:r>
          </w:p>
        </w:tc>
      </w:tr>
    </w:tbl>
    <w:p>
      <w:pPr>
        <w:pStyle w:val="BodyText"/>
        <w:spacing w:line="240" w:lineRule="auto" w:before="49"/>
        <w:ind w:right="1123"/>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38"/>
        <w:ind w:right="1123"/>
        <w:jc w:val="left"/>
      </w:pPr>
      <w:r>
        <w:rPr/>
        <w:t>法定代表人：陈利浩</w:t>
        <w:tab/>
      </w:r>
      <w:r>
        <w:rPr>
          <w:spacing w:val="-1"/>
        </w:rPr>
        <w:t>主管会计工作负责人：毛华夏</w:t>
        <w:tab/>
      </w:r>
      <w:r>
        <w:rPr/>
        <w:t>会计机构负责人：毛华夏</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23"/>
        <w:jc w:val="left"/>
      </w:pPr>
      <w:r>
        <w:rPr/>
        <w:t>编制单位：远光软件股份有限公司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779,780,492.44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642,283,002.45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179,240,888.87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147,085,316.25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22,789,251.27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13,787,541.37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1"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94,125,008.29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85,326,694.07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238,542,163.82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192,067,872.87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-7,562,145.81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-5,300,773.59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965,432.67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5,596,032.13</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3,844,098.08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-43,224.08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40,841,060.69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16,580,324.93</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35,997,507.52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13,216,371.03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296,365,052.10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220,257,420.20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19,616,992.82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14,788,088.76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402,275.17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350,414.76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212,267.61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177,227.02</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315,579,769.75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234,695,094.20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27,751,683.97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22,033,367.75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287,828,085.78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212,661,726.45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0.6512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0.4853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287,828,085.78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212,661,726.45</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编制单位：远光软件股份有限公司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799,473,667.74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491,486,976.47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8,183,247.45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7,011,477.68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16,251,026.32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17,732,366.21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823,907,941.51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516,230,820.36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72,038,636.25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57,569,520.21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285,529,320.18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222,737,596.67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89,541,119.98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41,781,646.30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89,283,406.46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81,198,438.57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536,392,482.87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403,287,201.75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287,515,458.64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112,943,618.61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183,371,023.58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61,875,520.71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7,820,073.60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8,060,128.80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103,625.10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47,495.71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191,294,722.28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69,983,145.22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36,905,844.70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30,839,461.30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112,670,729.09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131,268,733.42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113,025.12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149,576,573.79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162,221,219.84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41,718,148.49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-92,238,074.62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8,697,126.36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17,866,834.32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8,697,126.36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17,866,834.32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74,783,633.76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26,054,346.51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199,110.65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74,783,633.76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26,054,346.51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-66,086,507.40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-8,187,512.19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263,147,099.73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12,518,031.80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577,318,345.02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564,800,313.22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840,465,444.75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577,318,345.02</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编制单位：远光软件股份有限公司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799,473,667.74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491,365,276.47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8,183,247.45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7,011,477.68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16,234,426.50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17,508,360.65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823,891,341.69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515,885,114.80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72,038,636.25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57,499,987.10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285,529,320.18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222,312,463.63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89,535,504.72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41,748,676.80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89,282,346.46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80,852,960.38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536,385,807.61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402,414,087.91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287,505,534.08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113,471,026.89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183,300,693.77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61,875,520.71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7,820,073.60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8,547,606.61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103,625.10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47,421.46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191,224,392.47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70,470,548.78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36,905,844.70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30,815,331.30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131,268,733.42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142,905,844.70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168,684,064.72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48,318,547.77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-98,213,515.94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8,697,126.36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17,866,834.32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8,697,126.36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17,866,834.32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74,783,633.76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25,855,235.86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74,783,633.76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25,855,235.86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-66,086,507.40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-7,988,401.54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269,737,574.45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7,269,109.41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570,709,083.98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563,439,974.57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840,446,658.43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570,709,083.98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31" w:top="1060" w:bottom="1520" w:left="980" w:right="0"/>
        </w:sectPr>
      </w:pPr>
    </w:p>
    <w:p>
      <w:pPr>
        <w:pStyle w:val="BodyText"/>
        <w:spacing w:line="357" w:lineRule="auto"/>
        <w:ind w:right="-20"/>
        <w:jc w:val="left"/>
      </w:pPr>
      <w:r>
        <w:rPr/>
        <w:t>编制单位：远光软件股份有限公司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2853" w:space="606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339,925</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,608.00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110,713,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976.24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84,534,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306.27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440,191,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859.73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975,365,75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0.24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339,925</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,608.00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110,713,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976.24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84,534,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306.27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440,191,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859.73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975,365,75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0.24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103,257</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,542.00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48,809,2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48.30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28,782,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808.58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82,460,3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22.52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263,309,92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1.40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288,004,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446.86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288,004,44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6.86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288,004,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446.86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288,004,44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6.86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116" w:right="0"/>
              <w:jc w:val="left"/>
              <w:rPr>
                <w:rFonts w:ascii="Times New Roman" w:hAnsi="Times New Roman" w:cs="Times New Roman" w:eastAsia="Times New Roman" w:hint="default"/>
                <w:sz w:val="18"/>
                <w:szCs w:val="18"/>
              </w:rPr>
            </w:pPr>
            <w:r>
              <w:rPr>
                <w:rFonts w:ascii="Times New Roman"/>
                <w:sz w:val="18"/>
              </w:rPr>
              <w:t>1,279,8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48,809,2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50,089,108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7" w:right="0"/>
              <w:jc w:val="left"/>
              <w:rPr>
                <w:rFonts w:ascii="Times New Roman" w:hAnsi="Times New Roman" w:cs="Times New Roman" w:eastAsia="Times New Roman" w:hint="default"/>
                <w:sz w:val="18"/>
                <w:szCs w:val="18"/>
              </w:rPr>
            </w:pPr>
            <w:r>
              <w:rPr>
                <w:rFonts w:ascii="Times New Roman"/>
                <w:sz w:val="18"/>
              </w:rPr>
              <w:t>60.00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9" w:right="0"/>
              <w:jc w:val="left"/>
              <w:rPr>
                <w:rFonts w:ascii="Times New Roman" w:hAnsi="Times New Roman" w:cs="Times New Roman" w:eastAsia="Times New Roman" w:hint="default"/>
                <w:sz w:val="18"/>
                <w:szCs w:val="18"/>
              </w:rPr>
            </w:pPr>
            <w:r>
              <w:rPr>
                <w:rFonts w:ascii="Times New Roman"/>
                <w:sz w:val="18"/>
              </w:rPr>
              <w:t>48.30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1,279,8</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2,674,90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3,954,767.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46,134,3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40.90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46,134,340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101,977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,682.00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28,782,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808.58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-205,54</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4,124.34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-74,783,63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3.76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28,782,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808.58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-28,782,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808.58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-74,783,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633.76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-74,783,63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3.76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101,977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,682.00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-101,97</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7,682.00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443,183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,150.00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159,523,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224.54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113,317,</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114.85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522,652,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182.25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1,238,675,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671.64</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7"/>
        <w:gridCol w:w="675"/>
        <w:gridCol w:w="686"/>
        <w:gridCol w:w="686"/>
        <w:gridCol w:w="686"/>
        <w:gridCol w:w="684"/>
        <w:gridCol w:w="684"/>
        <w:gridCol w:w="686"/>
        <w:gridCol w:w="687"/>
        <w:gridCol w:w="818"/>
        <w:gridCol w:w="893"/>
      </w:tblGrid>
      <w:tr>
        <w:trPr>
          <w:trHeight w:val="402" w:hRule="exact"/>
        </w:trPr>
        <w:tc>
          <w:tcPr>
            <w:tcW w:w="2367" w:type="dxa"/>
            <w:vMerge w:val="restart"/>
            <w:tcBorders>
              <w:top w:val="single" w:sz="4" w:space="0" w:color="000000"/>
              <w:left w:val="single" w:sz="4" w:space="0" w:color="000000"/>
              <w:right w:val="single" w:sz="4" w:space="0" w:color="000000"/>
            </w:tcBorders>
            <w:shd w:val="clear" w:color="auto" w:fill="D2D2D2"/>
          </w:tcPr>
          <w:p>
            <w:pPr/>
          </w:p>
        </w:tc>
        <w:tc>
          <w:tcPr>
            <w:tcW w:w="718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67" w:type="dxa"/>
            <w:vMerge/>
            <w:tcBorders>
              <w:left w:val="single" w:sz="4" w:space="0" w:color="000000"/>
              <w:bottom w:val="nil" w:sz="6" w:space="0" w:color="auto"/>
              <w:right w:val="single" w:sz="4" w:space="0" w:color="000000"/>
            </w:tcBorders>
            <w:shd w:val="clear" w:color="auto" w:fill="D2D2D2"/>
          </w:tcPr>
          <w:p>
            <w:pPr/>
          </w:p>
        </w:tc>
        <w:tc>
          <w:tcPr>
            <w:tcW w:w="54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55"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67" w:type="dxa"/>
            <w:vMerge/>
            <w:tcBorders>
              <w:left w:val="single" w:sz="4" w:space="0" w:color="000000"/>
              <w:bottom w:val="nil" w:sz="6" w:space="0" w:color="auto"/>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67"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67"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67"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vMerge w:val="restart"/>
            <w:tcBorders>
              <w:top w:val="single" w:sz="4" w:space="0" w:color="000000"/>
              <w:left w:val="single" w:sz="10" w:space="0" w:color="D2D2D2"/>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258,552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,403.00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55,540,3</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45.13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63,268,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133.62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353,118,</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137.49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549,864.3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731,028,88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3.56</w:t>
            </w:r>
          </w:p>
        </w:tc>
      </w:tr>
      <w:tr>
        <w:trPr>
          <w:trHeight w:val="391"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75"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9591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258,552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,403.00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55,540,3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45.13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63,268,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133.62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353,118,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137.49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731,028,88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3.56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81,373,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205.00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55,173,6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31.11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21,266,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172.65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87,073,7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22.24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-549,864.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244,336,86</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6.68</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211,760,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832.75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211,560,00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211,760,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832.75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211,560,00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2.36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3,807,5</w:t>
            </w:r>
          </w:p>
          <w:p>
            <w:pPr>
              <w:pStyle w:val="TableParagraph"/>
              <w:spacing w:line="240" w:lineRule="auto" w:before="102"/>
              <w:ind w:left="223" w:right="0"/>
              <w:jc w:val="center"/>
              <w:rPr>
                <w:rFonts w:ascii="Times New Roman" w:hAnsi="Times New Roman" w:cs="Times New Roman" w:eastAsia="Times New Roman" w:hint="default"/>
                <w:sz w:val="18"/>
                <w:szCs w:val="18"/>
              </w:rPr>
            </w:pPr>
            <w:r>
              <w:rPr>
                <w:rFonts w:ascii="Times New Roman"/>
                <w:sz w:val="18"/>
              </w:rPr>
              <w:t>03.00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55,173,6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31.11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58,981,134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3,807,5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14,059,3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31.32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17,866,834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41,114,2</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99.79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41,114,299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21,266,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172.65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-47,121,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408.51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-199,110.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-26,054,34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6.51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21,266,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172.65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-21,266,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172.65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-25,855,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235.86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-26,054,34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6.51</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77,565,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-77,565,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702.00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77,565,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-77,565,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702.00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footerReference w:type="default" r:id="rId3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-149,923.2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339,925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,608.00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110,713,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976.24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84,534,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306.27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440,191,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859.73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975,365,75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0.24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36"/>
          <w:footerReference w:type="default" r:id="rId37"/>
          <w:pgSz w:w="11910" w:h="16840"/>
          <w:pgMar w:header="877" w:footer="0" w:top="1060" w:bottom="0" w:left="980" w:right="0"/>
        </w:sectPr>
      </w:pPr>
    </w:p>
    <w:p>
      <w:pPr>
        <w:pStyle w:val="BodyText"/>
        <w:spacing w:line="360" w:lineRule="auto"/>
        <w:ind w:right="-20"/>
        <w:jc w:val="left"/>
      </w:pPr>
      <w:r>
        <w:rPr/>
        <w:t>编制单位：远光软件股份有限公司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2853" w:space="6067"/>
            <w:col w:w="2010"/>
          </w:cols>
        </w:sectPr>
      </w:pPr>
    </w:p>
    <w:p>
      <w:pPr>
        <w:spacing w:line="240" w:lineRule="auto" w:before="2"/>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251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76</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339,925,60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110,643,88</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7.65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84,472,129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440,325,10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4.73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975,366,72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9.63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339,925,60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110,643,88</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7.65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84,472,129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440,325,10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4.73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975,366,72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9.63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103,257,54</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48,809,248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28,782,808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82,283,961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263,133,56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0.32</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287,828,08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287,828,08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5.78</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287,828,08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287,828,08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5.78</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1,279,860.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48,809,248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50,089,108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1,279,860.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2,674,907.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3,954,767.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46,134,340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46,134,340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275.689972pt;width:84.8pt;height:19.6pt;mso-position-horizontal-relative:page;mso-position-vertical-relative:page;z-index:-89584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8.600006pt;margin-top:295.72998pt;width:84.8pt;height:19.6pt;mso-position-horizontal-relative:page;mso-position-vertical-relative:page;z-index:-89581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275.089996pt;width:42.65pt;height:40.8pt;mso-position-horizontal-relative:page;mso-position-vertical-relative:page;z-index:-895792" coordorigin="3615,5502" coordsize="853,816">
            <v:group style="position:absolute;left:3627;top:5514;width:2;height:392" coordorigin="3627,5514" coordsize="2,392">
              <v:shape style="position:absolute;left:3627;top:5514;width:2;height:392" coordorigin="3627,5514" coordsize="0,392" path="m3627,5514l3627,5905e" filled="false" stroked="true" strokeweight="1.2pt" strokecolor="#ffffff">
                <v:path arrowok="t"/>
              </v:shape>
            </v:group>
            <v:group style="position:absolute;left:3639;top:5514;width:829;height:392" coordorigin="3639,5514" coordsize="829,392">
              <v:shape style="position:absolute;left:3639;top:5514;width:829;height:392" coordorigin="3639,5514" coordsize="829,392" path="m3639,5905l4467,5905,4467,5514,3639,5514,3639,5905xe" filled="true" fillcolor="#ffffff" stroked="false">
                <v:path arrowok="t"/>
                <v:fill type="solid"/>
              </v:shape>
            </v:group>
            <v:group style="position:absolute;left:3627;top:5915;width:2;height:392" coordorigin="3627,5915" coordsize="2,392">
              <v:shape style="position:absolute;left:3627;top:5915;width:2;height:392" coordorigin="3627,5915" coordsize="0,392" path="m3627,5915l3627,6306e" filled="false" stroked="true" strokeweight="1.2pt" strokecolor="#ffffff">
                <v:path arrowok="t"/>
              </v:shape>
            </v:group>
            <v:group style="position:absolute;left:3639;top:5915;width:829;height:392" coordorigin="3639,5915" coordsize="829,392">
              <v:shape style="position:absolute;left:3639;top:5915;width:829;height:392" coordorigin="3639,5915" coordsize="829,392" path="m3639,6306l4467,6306,4467,5915,3639,5915,3639,6306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89574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101,977,68</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28,782,808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-205,544,1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24.34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-74,783,63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3.76</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28,782,808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-28,782,80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8.58</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-74,783,63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3.76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-74,783,63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3.76</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101,977,68</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-101,977,6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82.00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443,183,15</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 w:right="0"/>
              <w:jc w:val="left"/>
              <w:rPr>
                <w:rFonts w:ascii="Times New Roman" w:hAnsi="Times New Roman" w:cs="Times New Roman" w:eastAsia="Times New Roman" w:hint="default"/>
                <w:sz w:val="18"/>
                <w:szCs w:val="18"/>
              </w:rPr>
            </w:pPr>
            <w:r>
              <w:rPr>
                <w:rFonts w:ascii="Times New Roman"/>
                <w:sz w:val="18"/>
              </w:rPr>
              <w:t>159,453,13</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5.95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113,254,93</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7.83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522,609,06</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6.17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1,238,500,</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289.95</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258,552,40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3.00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55,470,256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63,205,956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352,350,48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8.79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729,579,10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4.93</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258,552,40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3.00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55,470,256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63,205,956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352,350,48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8.79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729,579,10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4.93</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81,373,205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55,173,631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21,266,172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87,974,615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245,787,62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4.70</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212,661,72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6.45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212,661,72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6.45</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39.576996pt;margin-top:438.52597pt;width:84.75pt;height:19.6pt;mso-position-horizontal-relative:page;mso-position-vertical-relative:page;z-index:-89567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458.709991pt;width:84.8pt;height:19.6pt;mso-position-horizontal-relative:page;mso-position-vertical-relative:page;z-index:-89564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438.52597pt;width:41.45pt;height:39.75pt;mso-position-horizontal-relative:page;mso-position-vertical-relative:page;z-index:-895624" coordorigin="3658,8771" coordsize="829,795">
            <v:group style="position:absolute;left:3658;top:8771;width:829;height:392" coordorigin="3658,8771" coordsize="829,392">
              <v:shape style="position:absolute;left:3658;top:8771;width:829;height:392" coordorigin="3658,8771" coordsize="829,392" path="m3658,9162l4486,9162,4486,8771,3658,8771,3658,9162xe" filled="true" fillcolor="#ffffff" stroked="false">
                <v:path arrowok="t"/>
                <v:fill type="solid"/>
              </v:shape>
            </v:group>
            <v:group style="position:absolute;left:3658;top:9174;width:829;height:392" coordorigin="3658,9174" coordsize="829,392">
              <v:shape style="position:absolute;left:3658;top:9174;width:829;height:392" coordorigin="3658,9174" coordsize="829,392" path="m3658,9565l4486,9565,4486,9174,3658,9174,3658,956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212,661,72</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6.45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212,661,72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6.45</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3,807,503.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55,173,631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58,981,134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3,807,503.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14,059,331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17,866,834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.32</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41,114,299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41,114,299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21,266,172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-47,121,40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-25,855,23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5.86</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21,266,172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-21,266,17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2.65</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-25,855,23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5.86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-25,855,23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5.86</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77,565,702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-77,565,70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2.00</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77,565,702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-77,565,70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2.00</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339,925,60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110,643,88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84,472,129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440,325,10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975,366,72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9.63</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1123"/>
        <w:jc w:val="left"/>
      </w:pPr>
      <w:r>
        <w:rPr/>
        <w:t>法定代表人：陈利浩</w:t>
        <w:tab/>
      </w:r>
      <w:r>
        <w:rPr>
          <w:spacing w:val="-1"/>
        </w:rPr>
        <w:t>主管会计工作负责人：毛华夏</w:t>
        <w:tab/>
      </w:r>
      <w:r>
        <w:rPr/>
        <w:t>会计机构负责人：毛华夏</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4"/>
        <w:rPr>
          <w:rFonts w:ascii="宋体" w:hAnsi="宋体" w:cs="宋体" w:eastAsia="宋体" w:hint="default"/>
          <w:b/>
          <w:bCs/>
          <w:sz w:val="25"/>
          <w:szCs w:val="25"/>
        </w:rPr>
      </w:pPr>
    </w:p>
    <w:p>
      <w:pPr>
        <w:spacing w:line="652" w:lineRule="exact"/>
        <w:ind w:left="10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84.7pt;height:32.65pt;mso-position-horizontal-relative:char;mso-position-vertical-relative:line" coordorigin="0,0" coordsize="9694,653">
            <v:group style="position:absolute;left:14;top:14;width:9665;height:2" coordorigin="14,14" coordsize="9665,2">
              <v:shape style="position:absolute;left:14;top:14;width:9665;height:2" coordorigin="14,14" coordsize="9665,0" path="m14,14l9679,14e" filled="false" stroked="true" strokeweight=".72pt" strokecolor="#000000">
                <v:path arrowok="t"/>
              </v:shape>
            </v:group>
            <v:group style="position:absolute;left:7;top:7;width:2;height:639" coordorigin="7,7" coordsize="2,639">
              <v:shape style="position:absolute;left:7;top:7;width:2;height:639" coordorigin="7,7" coordsize="0,639" path="m7,7l7,646e" filled="false" stroked="true" strokeweight=".72pt" strokecolor="#000000">
                <v:path arrowok="t"/>
              </v:shape>
            </v:group>
            <v:group style="position:absolute;left:9686;top:7;width:2;height:639" coordorigin="9686,7" coordsize="2,639">
              <v:shape style="position:absolute;left:9686;top:7;width:2;height:639" coordorigin="9686,7" coordsize="0,639" path="m9686,7l9686,646e" filled="false" stroked="true" strokeweight=".72pt" strokecolor="#000000">
                <v:path arrowok="t"/>
              </v:shape>
              <v:shape style="position:absolute;left:0;top:0;width:9694;height:653" type="#_x0000_t202" filled="false" stroked="false">
                <v:textbox inset="0,0,0,0">
                  <w:txbxContent>
                    <w:p>
                      <w:pPr>
                        <w:spacing w:line="254" w:lineRule="auto" w:before="11"/>
                        <w:ind w:left="43" w:right="38" w:firstLine="413"/>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日经广东省人民政府办公厅粤办函</w:t>
                      </w:r>
                      <w:r>
                        <w:rPr>
                          <w:rFonts w:ascii="Times New Roman" w:hAnsi="Times New Roman" w:cs="Times New Roman" w:eastAsia="Times New Roman" w:hint="default"/>
                          <w:sz w:val="21"/>
                          <w:szCs w:val="21"/>
                        </w:rPr>
                        <w:t>[2001]366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关于同意变更设立广东远光软件股份有</w:t>
                      </w:r>
                      <w:r>
                        <w:rPr>
                          <w:rFonts w:ascii="宋体" w:hAnsi="宋体" w:cs="宋体" w:eastAsia="宋体" w:hint="default"/>
                          <w:spacing w:val="2"/>
                          <w:w w:val="100"/>
                          <w:sz w:val="21"/>
                          <w:szCs w:val="21"/>
                        </w:rPr>
                        <w:t> </w:t>
                      </w:r>
                      <w:r>
                        <w:rPr>
                          <w:rFonts w:ascii="宋体" w:hAnsi="宋体" w:cs="宋体" w:eastAsia="宋体" w:hint="default"/>
                          <w:sz w:val="21"/>
                          <w:szCs w:val="21"/>
                        </w:rPr>
                        <w:t>限公司的复函</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2001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日经广东省经济贸易委员会粤经贸监督</w:t>
                      </w:r>
                      <w:r>
                        <w:rPr>
                          <w:rFonts w:ascii="Times New Roman" w:hAnsi="Times New Roman" w:cs="Times New Roman" w:eastAsia="Times New Roman" w:hint="default"/>
                          <w:sz w:val="21"/>
                          <w:szCs w:val="21"/>
                        </w:rPr>
                        <w:t>[2001]556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关于同意变更设立广东</w:t>
                      </w:r>
                    </w:p>
                  </w:txbxContent>
                </v:textbox>
                <w10:wrap type="none"/>
              </v:shape>
            </v:group>
          </v:group>
        </w:pict>
      </w:r>
      <w:r>
        <w:rPr>
          <w:rFonts w:ascii="宋体" w:hAnsi="宋体" w:cs="宋体" w:eastAsia="宋体" w:hint="default"/>
          <w:position w:val="-12"/>
          <w:sz w:val="20"/>
          <w:szCs w:val="20"/>
        </w:rPr>
      </w:r>
    </w:p>
    <w:p>
      <w:pPr>
        <w:spacing w:after="0" w:line="652" w:lineRule="exact"/>
        <w:rPr>
          <w:rFonts w:ascii="宋体" w:hAnsi="宋体" w:cs="宋体" w:eastAsia="宋体" w:hint="default"/>
          <w:sz w:val="20"/>
          <w:szCs w:val="20"/>
        </w:rPr>
        <w:sectPr>
          <w:footerReference w:type="default" r:id="rId40"/>
          <w:pgSz w:w="11910" w:h="16840"/>
          <w:pgMar w:footer="1340" w:header="877" w:top="1060" w:bottom="1540" w:left="980" w:right="0"/>
          <w:pgNumType w:start="78"/>
        </w:sectPr>
      </w:pPr>
    </w:p>
    <w:p>
      <w:pPr>
        <w:spacing w:line="240" w:lineRule="auto" w:before="10"/>
        <w:rPr>
          <w:rFonts w:ascii="宋体" w:hAnsi="宋体" w:cs="宋体" w:eastAsia="宋体" w:hint="default"/>
          <w:b/>
          <w:bCs/>
          <w:sz w:val="24"/>
          <w:szCs w:val="24"/>
        </w:rPr>
      </w:pPr>
      <w:r>
        <w:rPr/>
        <w:pict>
          <v:group style="position:absolute;margin-left:54.48pt;margin-top:71.639984pt;width:.75pt;height:687.25pt;mso-position-horizontal-relative:page;mso-position-vertical-relative:page;z-index:2776" coordorigin="1090,1433" coordsize="15,13745">
            <v:group style="position:absolute;left:1097;top:1440;width:2;height:312" coordorigin="1097,1440" coordsize="2,312">
              <v:shape style="position:absolute;left:1097;top:1440;width:2;height:312" coordorigin="1097,1440" coordsize="0,312" path="m1097,1440l1097,1752e" filled="false" stroked="true" strokeweight=".72pt" strokecolor="#000000">
                <v:path arrowok="t"/>
              </v:shape>
            </v:group>
            <v:group style="position:absolute;left:1097;top:1752;width:2;height:313" coordorigin="1097,1752" coordsize="2,313">
              <v:shape style="position:absolute;left:1097;top:1752;width:2;height:313" coordorigin="1097,1752" coordsize="0,313" path="m1097,1752l1097,2064e" filled="false" stroked="true" strokeweight=".72pt" strokecolor="#000000">
                <v:path arrowok="t"/>
              </v:shape>
            </v:group>
            <v:group style="position:absolute;left:1097;top:2064;width:2;height:312" coordorigin="1097,2064" coordsize="2,312">
              <v:shape style="position:absolute;left:1097;top:2064;width:2;height:312" coordorigin="1097,2064" coordsize="0,312" path="m1097,2064l1097,2376e" filled="false" stroked="true" strokeweight=".72pt" strokecolor="#000000">
                <v:path arrowok="t"/>
              </v:shape>
            </v:group>
            <v:group style="position:absolute;left:1097;top:2376;width:2;height:312" coordorigin="1097,2376" coordsize="2,312">
              <v:shape style="position:absolute;left:1097;top:2376;width:2;height:312" coordorigin="1097,2376" coordsize="0,312" path="m1097,2376l1097,2688e" filled="false" stroked="true" strokeweight=".72pt" strokecolor="#000000">
                <v:path arrowok="t"/>
              </v:shape>
            </v:group>
            <v:group style="position:absolute;left:1097;top:2688;width:2;height:312" coordorigin="1097,2688" coordsize="2,312">
              <v:shape style="position:absolute;left:1097;top:2688;width:2;height:312" coordorigin="1097,2688" coordsize="0,312" path="m1097,2688l1097,3000e" filled="false" stroked="true" strokeweight=".72pt" strokecolor="#000000">
                <v:path arrowok="t"/>
              </v:shape>
            </v:group>
            <v:group style="position:absolute;left:1097;top:3000;width:2;height:312" coordorigin="1097,3000" coordsize="2,312">
              <v:shape style="position:absolute;left:1097;top:3000;width:2;height:312" coordorigin="1097,3000" coordsize="0,312" path="m1097,3000l1097,3312e" filled="false" stroked="true" strokeweight=".72pt" strokecolor="#000000">
                <v:path arrowok="t"/>
              </v:shape>
            </v:group>
            <v:group style="position:absolute;left:1097;top:3312;width:2;height:312" coordorigin="1097,3312" coordsize="2,312">
              <v:shape style="position:absolute;left:1097;top:3312;width:2;height:312" coordorigin="1097,3312" coordsize="0,312" path="m1097,3312l1097,3624e" filled="false" stroked="true" strokeweight=".72pt" strokecolor="#000000">
                <v:path arrowok="t"/>
              </v:shape>
            </v:group>
            <v:group style="position:absolute;left:1097;top:3624;width:2;height:312" coordorigin="1097,3624" coordsize="2,312">
              <v:shape style="position:absolute;left:1097;top:3624;width:2;height:312" coordorigin="1097,3624" coordsize="0,312" path="m1097,3624l1097,3936e" filled="false" stroked="true" strokeweight=".72pt" strokecolor="#000000">
                <v:path arrowok="t"/>
              </v:shape>
            </v:group>
            <v:group style="position:absolute;left:1097;top:3936;width:2;height:312" coordorigin="1097,3936" coordsize="2,312">
              <v:shape style="position:absolute;left:1097;top:3936;width:2;height:312" coordorigin="1097,3936" coordsize="0,312" path="m1097,3936l1097,4248e" filled="false" stroked="true" strokeweight=".72pt" strokecolor="#000000">
                <v:path arrowok="t"/>
              </v:shape>
            </v:group>
            <v:group style="position:absolute;left:1097;top:4248;width:2;height:312" coordorigin="1097,4248" coordsize="2,312">
              <v:shape style="position:absolute;left:1097;top:4248;width:2;height:312" coordorigin="1097,4248" coordsize="0,312" path="m1097,4248l1097,4560e" filled="false" stroked="true" strokeweight=".72pt" strokecolor="#000000">
                <v:path arrowok="t"/>
              </v:shape>
            </v:group>
            <v:group style="position:absolute;left:1097;top:4560;width:2;height:312" coordorigin="1097,4560" coordsize="2,312">
              <v:shape style="position:absolute;left:1097;top:4560;width:2;height:312" coordorigin="1097,4560" coordsize="0,312" path="m1097,4560l1097,4872e" filled="false" stroked="true" strokeweight=".72pt" strokecolor="#000000">
                <v:path arrowok="t"/>
              </v:shape>
            </v:group>
            <v:group style="position:absolute;left:1097;top:4872;width:2;height:312" coordorigin="1097,4872" coordsize="2,312">
              <v:shape style="position:absolute;left:1097;top:4872;width:2;height:312" coordorigin="1097,4872" coordsize="0,312" path="m1097,4872l1097,5184e" filled="false" stroked="true" strokeweight=".72pt" strokecolor="#000000">
                <v:path arrowok="t"/>
              </v:shape>
            </v:group>
            <v:group style="position:absolute;left:1097;top:5185;width:2;height:313" coordorigin="1097,5185" coordsize="2,313">
              <v:shape style="position:absolute;left:1097;top:5185;width:2;height:313" coordorigin="1097,5185" coordsize="0,313" path="m1097,5185l1097,5497e" filled="false" stroked="true" strokeweight=".72pt" strokecolor="#000000">
                <v:path arrowok="t"/>
              </v:shape>
            </v:group>
            <v:group style="position:absolute;left:1097;top:5497;width:2;height:312" coordorigin="1097,5497" coordsize="2,312">
              <v:shape style="position:absolute;left:1097;top:5497;width:2;height:312" coordorigin="1097,5497" coordsize="0,312" path="m1097,5497l1097,5809e" filled="false" stroked="true" strokeweight=".72pt" strokecolor="#000000">
                <v:path arrowok="t"/>
              </v:shape>
            </v:group>
            <v:group style="position:absolute;left:1097;top:5809;width:2;height:312" coordorigin="1097,5809" coordsize="2,312">
              <v:shape style="position:absolute;left:1097;top:5809;width:2;height:312" coordorigin="1097,5809" coordsize="0,312" path="m1097,5809l1097,6121e" filled="false" stroked="true" strokeweight=".72pt" strokecolor="#000000">
                <v:path arrowok="t"/>
              </v:shape>
            </v:group>
            <v:group style="position:absolute;left:1097;top:6121;width:2;height:312" coordorigin="1097,6121" coordsize="2,312">
              <v:shape style="position:absolute;left:1097;top:6121;width:2;height:312" coordorigin="1097,6121" coordsize="0,312" path="m1097,6121l1097,6433e" filled="false" stroked="true" strokeweight=".72pt" strokecolor="#000000">
                <v:path arrowok="t"/>
              </v:shape>
            </v:group>
            <v:group style="position:absolute;left:1097;top:6433;width:2;height:312" coordorigin="1097,6433" coordsize="2,312">
              <v:shape style="position:absolute;left:1097;top:6433;width:2;height:312" coordorigin="1097,6433" coordsize="0,312" path="m1097,6433l1097,6745e" filled="false" stroked="true" strokeweight=".72pt" strokecolor="#000000">
                <v:path arrowok="t"/>
              </v:shape>
            </v:group>
            <v:group style="position:absolute;left:1097;top:6745;width:2;height:312" coordorigin="1097,6745" coordsize="2,312">
              <v:shape style="position:absolute;left:1097;top:6745;width:2;height:312" coordorigin="1097,6745" coordsize="0,312" path="m1097,6745l1097,7057e" filled="false" stroked="true" strokeweight=".72pt" strokecolor="#000000">
                <v:path arrowok="t"/>
              </v:shape>
            </v:group>
            <v:group style="position:absolute;left:1097;top:7057;width:2;height:312" coordorigin="1097,7057" coordsize="2,312">
              <v:shape style="position:absolute;left:1097;top:7057;width:2;height:312" coordorigin="1097,7057" coordsize="0,312" path="m1097,7057l1097,7369e" filled="false" stroked="true" strokeweight=".72pt" strokecolor="#000000">
                <v:path arrowok="t"/>
              </v:shape>
            </v:group>
            <v:group style="position:absolute;left:1097;top:7369;width:2;height:312" coordorigin="1097,7369" coordsize="2,312">
              <v:shape style="position:absolute;left:1097;top:7369;width:2;height:312" coordorigin="1097,7369" coordsize="0,312" path="m1097,7369l1097,7681e" filled="false" stroked="true" strokeweight=".72pt" strokecolor="#000000">
                <v:path arrowok="t"/>
              </v:shape>
            </v:group>
            <v:group style="position:absolute;left:1097;top:7681;width:2;height:312" coordorigin="1097,7681" coordsize="2,312">
              <v:shape style="position:absolute;left:1097;top:7681;width:2;height:312" coordorigin="1097,7681" coordsize="0,312" path="m1097,7681l1097,7993e" filled="false" stroked="true" strokeweight=".72pt" strokecolor="#000000">
                <v:path arrowok="t"/>
              </v:shape>
            </v:group>
            <v:group style="position:absolute;left:1097;top:7993;width:2;height:312" coordorigin="1097,7993" coordsize="2,312">
              <v:shape style="position:absolute;left:1097;top:7993;width:2;height:312" coordorigin="1097,7993" coordsize="0,312" path="m1097,7993l1097,8305e" filled="false" stroked="true" strokeweight=".72pt" strokecolor="#000000">
                <v:path arrowok="t"/>
              </v:shape>
            </v:group>
            <v:group style="position:absolute;left:1097;top:8305;width:2;height:312" coordorigin="1097,8305" coordsize="2,312">
              <v:shape style="position:absolute;left:1097;top:8305;width:2;height:312" coordorigin="1097,8305" coordsize="0,312" path="m1097,8305l1097,8617e" filled="false" stroked="true" strokeweight=".72pt" strokecolor="#000000">
                <v:path arrowok="t"/>
              </v:shape>
            </v:group>
            <v:group style="position:absolute;left:1097;top:8617;width:2;height:313" coordorigin="1097,8617" coordsize="2,313">
              <v:shape style="position:absolute;left:1097;top:8617;width:2;height:313" coordorigin="1097,8617" coordsize="0,313" path="m1097,8617l1097,8929e" filled="false" stroked="true" strokeweight=".72pt" strokecolor="#000000">
                <v:path arrowok="t"/>
              </v:shape>
            </v:group>
            <v:group style="position:absolute;left:1097;top:8929;width:2;height:312" coordorigin="1097,8929" coordsize="2,312">
              <v:shape style="position:absolute;left:1097;top:8929;width:2;height:312" coordorigin="1097,8929" coordsize="0,312" path="m1097,8929l1097,9241e" filled="false" stroked="true" strokeweight=".72pt" strokecolor="#000000">
                <v:path arrowok="t"/>
              </v:shape>
            </v:group>
            <v:group style="position:absolute;left:1097;top:9241;width:2;height:312" coordorigin="1097,9241" coordsize="2,312">
              <v:shape style="position:absolute;left:1097;top:9241;width:2;height:312" coordorigin="1097,9241" coordsize="0,312" path="m1097,9241l1097,9553e" filled="false" stroked="true" strokeweight=".72pt" strokecolor="#000000">
                <v:path arrowok="t"/>
              </v:shape>
            </v:group>
            <v:group style="position:absolute;left:1097;top:9553;width:2;height:312" coordorigin="1097,9553" coordsize="2,312">
              <v:shape style="position:absolute;left:1097;top:9553;width:2;height:312" coordorigin="1097,9553" coordsize="0,312" path="m1097,9553l1097,9865e" filled="false" stroked="true" strokeweight=".72pt" strokecolor="#000000">
                <v:path arrowok="t"/>
              </v:shape>
            </v:group>
            <v:group style="position:absolute;left:1097;top:9865;width:2;height:312" coordorigin="1097,9865" coordsize="2,312">
              <v:shape style="position:absolute;left:1097;top:9865;width:2;height:312" coordorigin="1097,9865" coordsize="0,312" path="m1097,9865l1097,10177e" filled="false" stroked="true" strokeweight=".72pt" strokecolor="#000000">
                <v:path arrowok="t"/>
              </v:shape>
            </v:group>
            <v:group style="position:absolute;left:1097;top:10177;width:2;height:312" coordorigin="1097,10177" coordsize="2,312">
              <v:shape style="position:absolute;left:1097;top:10177;width:2;height:312" coordorigin="1097,10177" coordsize="0,312" path="m1097,10177l1097,10489e" filled="false" stroked="true" strokeweight=".72pt" strokecolor="#000000">
                <v:path arrowok="t"/>
              </v:shape>
            </v:group>
            <v:group style="position:absolute;left:1097;top:10489;width:2;height:312" coordorigin="1097,10489" coordsize="2,312">
              <v:shape style="position:absolute;left:1097;top:10489;width:2;height:312" coordorigin="1097,10489" coordsize="0,312" path="m1097,10489l1097,10801e" filled="false" stroked="true" strokeweight=".72pt" strokecolor="#000000">
                <v:path arrowok="t"/>
              </v:shape>
            </v:group>
            <v:group style="position:absolute;left:1097;top:10801;width:2;height:312" coordorigin="1097,10801" coordsize="2,312">
              <v:shape style="position:absolute;left:1097;top:10801;width:2;height:312" coordorigin="1097,10801" coordsize="0,312" path="m1097,10801l1097,11113e" filled="false" stroked="true" strokeweight=".72pt" strokecolor="#000000">
                <v:path arrowok="t"/>
              </v:shape>
            </v:group>
            <v:group style="position:absolute;left:1097;top:11113;width:2;height:312" coordorigin="1097,11113" coordsize="2,312">
              <v:shape style="position:absolute;left:1097;top:11113;width:2;height:312" coordorigin="1097,11113" coordsize="0,312" path="m1097,11113l1097,11425e" filled="false" stroked="true" strokeweight=".72pt" strokecolor="#000000">
                <v:path arrowok="t"/>
              </v:shape>
            </v:group>
            <v:group style="position:absolute;left:1097;top:11425;width:2;height:312" coordorigin="1097,11425" coordsize="2,312">
              <v:shape style="position:absolute;left:1097;top:11425;width:2;height:312" coordorigin="1097,11425" coordsize="0,312" path="m1097,11425l1097,11737e" filled="false" stroked="true" strokeweight=".72pt" strokecolor="#000000">
                <v:path arrowok="t"/>
              </v:shape>
            </v:group>
            <v:group style="position:absolute;left:1097;top:11737;width:2;height:312" coordorigin="1097,11737" coordsize="2,312">
              <v:shape style="position:absolute;left:1097;top:11737;width:2;height:312" coordorigin="1097,11737" coordsize="0,312" path="m1097,11737l1097,12049e" filled="false" stroked="true" strokeweight=".72pt" strokecolor="#000000">
                <v:path arrowok="t"/>
              </v:shape>
            </v:group>
            <v:group style="position:absolute;left:1097;top:12049;width:2;height:312" coordorigin="1097,12049" coordsize="2,312">
              <v:shape style="position:absolute;left:1097;top:12049;width:2;height:312" coordorigin="1097,12049" coordsize="0,312" path="m1097,12049l1097,12361e" filled="false" stroked="true" strokeweight=".72pt" strokecolor="#000000">
                <v:path arrowok="t"/>
              </v:shape>
            </v:group>
            <v:group style="position:absolute;left:1097;top:12362;width:2;height:313" coordorigin="1097,12362" coordsize="2,313">
              <v:shape style="position:absolute;left:1097;top:12362;width:2;height:313" coordorigin="1097,12362" coordsize="0,313" path="m1097,12362l1097,12674e" filled="false" stroked="true" strokeweight=".72pt" strokecolor="#000000">
                <v:path arrowok="t"/>
              </v:shape>
            </v:group>
            <v:group style="position:absolute;left:1097;top:12674;width:2;height:312" coordorigin="1097,12674" coordsize="2,312">
              <v:shape style="position:absolute;left:1097;top:12674;width:2;height:312" coordorigin="1097,12674" coordsize="0,312" path="m1097,12674l1097,12986e" filled="false" stroked="true" strokeweight=".72pt" strokecolor="#000000">
                <v:path arrowok="t"/>
              </v:shape>
            </v:group>
            <v:group style="position:absolute;left:1097;top:12986;width:2;height:312" coordorigin="1097,12986" coordsize="2,312">
              <v:shape style="position:absolute;left:1097;top:12986;width:2;height:312" coordorigin="1097,12986" coordsize="0,312" path="m1097,12986l1097,13298e" filled="false" stroked="true" strokeweight=".72pt" strokecolor="#000000">
                <v:path arrowok="t"/>
              </v:shape>
            </v:group>
            <v:group style="position:absolute;left:1097;top:13298;width:2;height:312" coordorigin="1097,13298" coordsize="2,312">
              <v:shape style="position:absolute;left:1097;top:13298;width:2;height:312" coordorigin="1097,13298" coordsize="0,312" path="m1097,13298l1097,13610e" filled="false" stroked="true" strokeweight=".72pt" strokecolor="#000000">
                <v:path arrowok="t"/>
              </v:shape>
            </v:group>
            <v:group style="position:absolute;left:1097;top:13610;width:2;height:312" coordorigin="1097,13610" coordsize="2,312">
              <v:shape style="position:absolute;left:1097;top:13610;width:2;height:312" coordorigin="1097,13610" coordsize="0,312" path="m1097,13610l1097,13922e" filled="false" stroked="true" strokeweight=".72pt" strokecolor="#000000">
                <v:path arrowok="t"/>
              </v:shape>
            </v:group>
            <v:group style="position:absolute;left:1097;top:13922;width:2;height:312" coordorigin="1097,13922" coordsize="2,312">
              <v:shape style="position:absolute;left:1097;top:13922;width:2;height:312" coordorigin="1097,13922" coordsize="0,312" path="m1097,13922l1097,14234e" filled="false" stroked="true" strokeweight=".72pt" strokecolor="#000000">
                <v:path arrowok="t"/>
              </v:shape>
            </v:group>
            <v:group style="position:absolute;left:1097;top:14234;width:2;height:312" coordorigin="1097,14234" coordsize="2,312">
              <v:shape style="position:absolute;left:1097;top:14234;width:2;height:312" coordorigin="1097,14234" coordsize="0,312" path="m1097,14234l1097,14546e" filled="false" stroked="true" strokeweight=".72pt" strokecolor="#000000">
                <v:path arrowok="t"/>
              </v:shape>
            </v:group>
            <v:group style="position:absolute;left:1097;top:14546;width:2;height:312" coordorigin="1097,14546" coordsize="2,312">
              <v:shape style="position:absolute;left:1097;top:14546;width:2;height:312" coordorigin="1097,14546" coordsize="0,312" path="m1097,14546l1097,14858e" filled="false" stroked="true" strokeweight=".72pt" strokecolor="#000000">
                <v:path arrowok="t"/>
              </v:shape>
            </v:group>
            <v:group style="position:absolute;left:1097;top:14858;width:2;height:312" coordorigin="1097,14858" coordsize="2,312">
              <v:shape style="position:absolute;left:1097;top:14858;width:2;height:312" coordorigin="1097,14858" coordsize="0,312" path="m1097,14858l1097,15170e" filled="false" stroked="true" strokeweight=".72pt" strokecolor="#000000">
                <v:path arrowok="t"/>
              </v:shape>
            </v:group>
            <w10:wrap type="none"/>
          </v:group>
        </w:pict>
      </w:r>
      <w:r>
        <w:rPr/>
        <w:pict>
          <v:group style="position:absolute;margin-left:538.419983pt;margin-top:71.639984pt;width:.75pt;height:687.25pt;mso-position-horizontal-relative:page;mso-position-vertical-relative:page;z-index:2800" coordorigin="10768,1433" coordsize="15,13745">
            <v:group style="position:absolute;left:10776;top:1440;width:2;height:312" coordorigin="10776,1440" coordsize="2,312">
              <v:shape style="position:absolute;left:10776;top:1440;width:2;height:312" coordorigin="10776,1440" coordsize="0,312" path="m10776,1440l10776,1752e" filled="false" stroked="true" strokeweight=".72pt" strokecolor="#000000">
                <v:path arrowok="t"/>
              </v:shape>
            </v:group>
            <v:group style="position:absolute;left:10776;top:1752;width:2;height:313" coordorigin="10776,1752" coordsize="2,313">
              <v:shape style="position:absolute;left:10776;top:1752;width:2;height:313" coordorigin="10776,1752" coordsize="0,313" path="m10776,1752l10776,2064e" filled="false" stroked="true" strokeweight=".72pt" strokecolor="#000000">
                <v:path arrowok="t"/>
              </v:shape>
            </v:group>
            <v:group style="position:absolute;left:10776;top:2064;width:2;height:312" coordorigin="10776,2064" coordsize="2,312">
              <v:shape style="position:absolute;left:10776;top:2064;width:2;height:312" coordorigin="10776,2064" coordsize="0,312" path="m10776,2064l10776,2376e" filled="false" stroked="true" strokeweight=".72pt" strokecolor="#000000">
                <v:path arrowok="t"/>
              </v:shape>
            </v:group>
            <v:group style="position:absolute;left:10776;top:2376;width:2;height:312" coordorigin="10776,2376" coordsize="2,312">
              <v:shape style="position:absolute;left:10776;top:2376;width:2;height:312" coordorigin="10776,2376" coordsize="0,312" path="m10776,2376l10776,2688e" filled="false" stroked="true" strokeweight=".72pt" strokecolor="#000000">
                <v:path arrowok="t"/>
              </v:shape>
            </v:group>
            <v:group style="position:absolute;left:10776;top:2688;width:2;height:312" coordorigin="10776,2688" coordsize="2,312">
              <v:shape style="position:absolute;left:10776;top:2688;width:2;height:312" coordorigin="10776,2688" coordsize="0,312" path="m10776,2688l10776,3000e" filled="false" stroked="true" strokeweight=".72pt" strokecolor="#000000">
                <v:path arrowok="t"/>
              </v:shape>
            </v:group>
            <v:group style="position:absolute;left:10776;top:3000;width:2;height:312" coordorigin="10776,3000" coordsize="2,312">
              <v:shape style="position:absolute;left:10776;top:3000;width:2;height:312" coordorigin="10776,3000" coordsize="0,312" path="m10776,3000l10776,3312e" filled="false" stroked="true" strokeweight=".72pt" strokecolor="#000000">
                <v:path arrowok="t"/>
              </v:shape>
            </v:group>
            <v:group style="position:absolute;left:10776;top:3312;width:2;height:312" coordorigin="10776,3312" coordsize="2,312">
              <v:shape style="position:absolute;left:10776;top:3312;width:2;height:312" coordorigin="10776,3312" coordsize="0,312" path="m10776,3312l10776,3624e" filled="false" stroked="true" strokeweight=".72pt" strokecolor="#000000">
                <v:path arrowok="t"/>
              </v:shape>
            </v:group>
            <v:group style="position:absolute;left:10776;top:3624;width:2;height:312" coordorigin="10776,3624" coordsize="2,312">
              <v:shape style="position:absolute;left:10776;top:3624;width:2;height:312" coordorigin="10776,3624" coordsize="0,312" path="m10776,3624l10776,3936e" filled="false" stroked="true" strokeweight=".72pt" strokecolor="#000000">
                <v:path arrowok="t"/>
              </v:shape>
            </v:group>
            <v:group style="position:absolute;left:10776;top:3936;width:2;height:312" coordorigin="10776,3936" coordsize="2,312">
              <v:shape style="position:absolute;left:10776;top:3936;width:2;height:312" coordorigin="10776,3936" coordsize="0,312" path="m10776,3936l10776,4248e" filled="false" stroked="true" strokeweight=".72pt" strokecolor="#000000">
                <v:path arrowok="t"/>
              </v:shape>
            </v:group>
            <v:group style="position:absolute;left:10776;top:4248;width:2;height:312" coordorigin="10776,4248" coordsize="2,312">
              <v:shape style="position:absolute;left:10776;top:4248;width:2;height:312" coordorigin="10776,4248" coordsize="0,312" path="m10776,4248l10776,4560e" filled="false" stroked="true" strokeweight=".72pt" strokecolor="#000000">
                <v:path arrowok="t"/>
              </v:shape>
            </v:group>
            <v:group style="position:absolute;left:10776;top:4560;width:2;height:312" coordorigin="10776,4560" coordsize="2,312">
              <v:shape style="position:absolute;left:10776;top:4560;width:2;height:312" coordorigin="10776,4560" coordsize="0,312" path="m10776,4560l10776,4872e" filled="false" stroked="true" strokeweight=".72pt" strokecolor="#000000">
                <v:path arrowok="t"/>
              </v:shape>
            </v:group>
            <v:group style="position:absolute;left:10776;top:4872;width:2;height:312" coordorigin="10776,4872" coordsize="2,312">
              <v:shape style="position:absolute;left:10776;top:4872;width:2;height:312" coordorigin="10776,4872" coordsize="0,312" path="m10776,4872l10776,5184e" filled="false" stroked="true" strokeweight=".72pt" strokecolor="#000000">
                <v:path arrowok="t"/>
              </v:shape>
            </v:group>
            <v:group style="position:absolute;left:10776;top:5185;width:2;height:313" coordorigin="10776,5185" coordsize="2,313">
              <v:shape style="position:absolute;left:10776;top:5185;width:2;height:313" coordorigin="10776,5185" coordsize="0,313" path="m10776,5185l10776,5497e" filled="false" stroked="true" strokeweight=".72pt" strokecolor="#000000">
                <v:path arrowok="t"/>
              </v:shape>
            </v:group>
            <v:group style="position:absolute;left:10776;top:5497;width:2;height:312" coordorigin="10776,5497" coordsize="2,312">
              <v:shape style="position:absolute;left:10776;top:5497;width:2;height:312" coordorigin="10776,5497" coordsize="0,312" path="m10776,5497l10776,5809e" filled="false" stroked="true" strokeweight=".72pt" strokecolor="#000000">
                <v:path arrowok="t"/>
              </v:shape>
            </v:group>
            <v:group style="position:absolute;left:10776;top:5809;width:2;height:312" coordorigin="10776,5809" coordsize="2,312">
              <v:shape style="position:absolute;left:10776;top:5809;width:2;height:312" coordorigin="10776,5809" coordsize="0,312" path="m10776,5809l10776,6121e" filled="false" stroked="true" strokeweight=".72pt" strokecolor="#000000">
                <v:path arrowok="t"/>
              </v:shape>
            </v:group>
            <v:group style="position:absolute;left:10776;top:6121;width:2;height:312" coordorigin="10776,6121" coordsize="2,312">
              <v:shape style="position:absolute;left:10776;top:6121;width:2;height:312" coordorigin="10776,6121" coordsize="0,312" path="m10776,6121l10776,6433e" filled="false" stroked="true" strokeweight=".72pt" strokecolor="#000000">
                <v:path arrowok="t"/>
              </v:shape>
            </v:group>
            <v:group style="position:absolute;left:10776;top:6433;width:2;height:312" coordorigin="10776,6433" coordsize="2,312">
              <v:shape style="position:absolute;left:10776;top:6433;width:2;height:312" coordorigin="10776,6433" coordsize="0,312" path="m10776,6433l10776,6745e" filled="false" stroked="true" strokeweight=".72pt" strokecolor="#000000">
                <v:path arrowok="t"/>
              </v:shape>
            </v:group>
            <v:group style="position:absolute;left:10776;top:6745;width:2;height:312" coordorigin="10776,6745" coordsize="2,312">
              <v:shape style="position:absolute;left:10776;top:6745;width:2;height:312" coordorigin="10776,6745" coordsize="0,312" path="m10776,6745l10776,7057e" filled="false" stroked="true" strokeweight=".72pt" strokecolor="#000000">
                <v:path arrowok="t"/>
              </v:shape>
            </v:group>
            <v:group style="position:absolute;left:10776;top:7057;width:2;height:312" coordorigin="10776,7057" coordsize="2,312">
              <v:shape style="position:absolute;left:10776;top:7057;width:2;height:312" coordorigin="10776,7057" coordsize="0,312" path="m10776,7057l10776,7369e" filled="false" stroked="true" strokeweight=".72pt" strokecolor="#000000">
                <v:path arrowok="t"/>
              </v:shape>
            </v:group>
            <v:group style="position:absolute;left:10776;top:7369;width:2;height:312" coordorigin="10776,7369" coordsize="2,312">
              <v:shape style="position:absolute;left:10776;top:7369;width:2;height:312" coordorigin="10776,7369" coordsize="0,312" path="m10776,7369l10776,7681e" filled="false" stroked="true" strokeweight=".72pt" strokecolor="#000000">
                <v:path arrowok="t"/>
              </v:shape>
            </v:group>
            <v:group style="position:absolute;left:10776;top:7681;width:2;height:312" coordorigin="10776,7681" coordsize="2,312">
              <v:shape style="position:absolute;left:10776;top:7681;width:2;height:312" coordorigin="10776,7681" coordsize="0,312" path="m10776,7681l10776,7993e" filled="false" stroked="true" strokeweight=".72pt" strokecolor="#000000">
                <v:path arrowok="t"/>
              </v:shape>
            </v:group>
            <v:group style="position:absolute;left:10776;top:7993;width:2;height:312" coordorigin="10776,7993" coordsize="2,312">
              <v:shape style="position:absolute;left:10776;top:7993;width:2;height:312" coordorigin="10776,7993" coordsize="0,312" path="m10776,7993l10776,8305e" filled="false" stroked="true" strokeweight=".72pt" strokecolor="#000000">
                <v:path arrowok="t"/>
              </v:shape>
            </v:group>
            <v:group style="position:absolute;left:10776;top:8305;width:2;height:312" coordorigin="10776,8305" coordsize="2,312">
              <v:shape style="position:absolute;left:10776;top:8305;width:2;height:312" coordorigin="10776,8305" coordsize="0,312" path="m10776,8305l10776,8617e" filled="false" stroked="true" strokeweight=".72pt" strokecolor="#000000">
                <v:path arrowok="t"/>
              </v:shape>
            </v:group>
            <v:group style="position:absolute;left:10776;top:8617;width:2;height:313" coordorigin="10776,8617" coordsize="2,313">
              <v:shape style="position:absolute;left:10776;top:8617;width:2;height:313" coordorigin="10776,8617" coordsize="0,313" path="m10776,8617l10776,8929e" filled="false" stroked="true" strokeweight=".72pt" strokecolor="#000000">
                <v:path arrowok="t"/>
              </v:shape>
            </v:group>
            <v:group style="position:absolute;left:10776;top:8929;width:2;height:312" coordorigin="10776,8929" coordsize="2,312">
              <v:shape style="position:absolute;left:10776;top:8929;width:2;height:312" coordorigin="10776,8929" coordsize="0,312" path="m10776,8929l10776,9241e" filled="false" stroked="true" strokeweight=".72pt" strokecolor="#000000">
                <v:path arrowok="t"/>
              </v:shape>
            </v:group>
            <v:group style="position:absolute;left:10776;top:9241;width:2;height:312" coordorigin="10776,9241" coordsize="2,312">
              <v:shape style="position:absolute;left:10776;top:9241;width:2;height:312" coordorigin="10776,9241" coordsize="0,312" path="m10776,9241l10776,9553e" filled="false" stroked="true" strokeweight=".72pt" strokecolor="#000000">
                <v:path arrowok="t"/>
              </v:shape>
            </v:group>
            <v:group style="position:absolute;left:10776;top:9553;width:2;height:312" coordorigin="10776,9553" coordsize="2,312">
              <v:shape style="position:absolute;left:10776;top:9553;width:2;height:312" coordorigin="10776,9553" coordsize="0,312" path="m10776,9553l10776,9865e" filled="false" stroked="true" strokeweight=".72pt" strokecolor="#000000">
                <v:path arrowok="t"/>
              </v:shape>
            </v:group>
            <v:group style="position:absolute;left:10776;top:9865;width:2;height:312" coordorigin="10776,9865" coordsize="2,312">
              <v:shape style="position:absolute;left:10776;top:9865;width:2;height:312" coordorigin="10776,9865" coordsize="0,312" path="m10776,9865l10776,10177e" filled="false" stroked="true" strokeweight=".72pt" strokecolor="#000000">
                <v:path arrowok="t"/>
              </v:shape>
            </v:group>
            <v:group style="position:absolute;left:10776;top:10177;width:2;height:312" coordorigin="10776,10177" coordsize="2,312">
              <v:shape style="position:absolute;left:10776;top:10177;width:2;height:312" coordorigin="10776,10177" coordsize="0,312" path="m10776,10177l10776,10489e" filled="false" stroked="true" strokeweight=".72pt" strokecolor="#000000">
                <v:path arrowok="t"/>
              </v:shape>
            </v:group>
            <v:group style="position:absolute;left:10776;top:10489;width:2;height:312" coordorigin="10776,10489" coordsize="2,312">
              <v:shape style="position:absolute;left:10776;top:10489;width:2;height:312" coordorigin="10776,10489" coordsize="0,312" path="m10776,10489l10776,10801e" filled="false" stroked="true" strokeweight=".72pt" strokecolor="#000000">
                <v:path arrowok="t"/>
              </v:shape>
            </v:group>
            <v:group style="position:absolute;left:10776;top:10801;width:2;height:312" coordorigin="10776,10801" coordsize="2,312">
              <v:shape style="position:absolute;left:10776;top:10801;width:2;height:312" coordorigin="10776,10801" coordsize="0,312" path="m10776,10801l10776,11113e" filled="false" stroked="true" strokeweight=".72pt" strokecolor="#000000">
                <v:path arrowok="t"/>
              </v:shape>
            </v:group>
            <v:group style="position:absolute;left:10776;top:11113;width:2;height:312" coordorigin="10776,11113" coordsize="2,312">
              <v:shape style="position:absolute;left:10776;top:11113;width:2;height:312" coordorigin="10776,11113" coordsize="0,312" path="m10776,11113l10776,11425e" filled="false" stroked="true" strokeweight=".72pt" strokecolor="#000000">
                <v:path arrowok="t"/>
              </v:shape>
            </v:group>
            <v:group style="position:absolute;left:10776;top:11425;width:2;height:312" coordorigin="10776,11425" coordsize="2,312">
              <v:shape style="position:absolute;left:10776;top:11425;width:2;height:312" coordorigin="10776,11425" coordsize="0,312" path="m10776,11425l10776,11737e" filled="false" stroked="true" strokeweight=".72pt" strokecolor="#000000">
                <v:path arrowok="t"/>
              </v:shape>
            </v:group>
            <v:group style="position:absolute;left:10776;top:11737;width:2;height:312" coordorigin="10776,11737" coordsize="2,312">
              <v:shape style="position:absolute;left:10776;top:11737;width:2;height:312" coordorigin="10776,11737" coordsize="0,312" path="m10776,11737l10776,12049e" filled="false" stroked="true" strokeweight=".72pt" strokecolor="#000000">
                <v:path arrowok="t"/>
              </v:shape>
            </v:group>
            <v:group style="position:absolute;left:10776;top:12049;width:2;height:312" coordorigin="10776,12049" coordsize="2,312">
              <v:shape style="position:absolute;left:10776;top:12049;width:2;height:312" coordorigin="10776,12049" coordsize="0,312" path="m10776,12049l10776,12361e" filled="false" stroked="true" strokeweight=".72pt" strokecolor="#000000">
                <v:path arrowok="t"/>
              </v:shape>
            </v:group>
            <v:group style="position:absolute;left:10776;top:12362;width:2;height:313" coordorigin="10776,12362" coordsize="2,313">
              <v:shape style="position:absolute;left:10776;top:12362;width:2;height:313" coordorigin="10776,12362" coordsize="0,313" path="m10776,12362l10776,12674e" filled="false" stroked="true" strokeweight=".72pt" strokecolor="#000000">
                <v:path arrowok="t"/>
              </v:shape>
            </v:group>
            <v:group style="position:absolute;left:10776;top:12674;width:2;height:312" coordorigin="10776,12674" coordsize="2,312">
              <v:shape style="position:absolute;left:10776;top:12674;width:2;height:312" coordorigin="10776,12674" coordsize="0,312" path="m10776,12674l10776,12986e" filled="false" stroked="true" strokeweight=".72pt" strokecolor="#000000">
                <v:path arrowok="t"/>
              </v:shape>
            </v:group>
            <v:group style="position:absolute;left:10776;top:12986;width:2;height:312" coordorigin="10776,12986" coordsize="2,312">
              <v:shape style="position:absolute;left:10776;top:12986;width:2;height:312" coordorigin="10776,12986" coordsize="0,312" path="m10776,12986l10776,13298e" filled="false" stroked="true" strokeweight=".72pt" strokecolor="#000000">
                <v:path arrowok="t"/>
              </v:shape>
            </v:group>
            <v:group style="position:absolute;left:10776;top:13298;width:2;height:312" coordorigin="10776,13298" coordsize="2,312">
              <v:shape style="position:absolute;left:10776;top:13298;width:2;height:312" coordorigin="10776,13298" coordsize="0,312" path="m10776,13298l10776,13610e" filled="false" stroked="true" strokeweight=".72pt" strokecolor="#000000">
                <v:path arrowok="t"/>
              </v:shape>
            </v:group>
            <v:group style="position:absolute;left:10776;top:13610;width:2;height:312" coordorigin="10776,13610" coordsize="2,312">
              <v:shape style="position:absolute;left:10776;top:13610;width:2;height:312" coordorigin="10776,13610" coordsize="0,312" path="m10776,13610l10776,13922e" filled="false" stroked="true" strokeweight=".72pt" strokecolor="#000000">
                <v:path arrowok="t"/>
              </v:shape>
            </v:group>
            <v:group style="position:absolute;left:10776;top:13922;width:2;height:312" coordorigin="10776,13922" coordsize="2,312">
              <v:shape style="position:absolute;left:10776;top:13922;width:2;height:312" coordorigin="10776,13922" coordsize="0,312" path="m10776,13922l10776,14234e" filled="false" stroked="true" strokeweight=".72pt" strokecolor="#000000">
                <v:path arrowok="t"/>
              </v:shape>
            </v:group>
            <v:group style="position:absolute;left:10776;top:14234;width:2;height:312" coordorigin="10776,14234" coordsize="2,312">
              <v:shape style="position:absolute;left:10776;top:14234;width:2;height:312" coordorigin="10776,14234" coordsize="0,312" path="m10776,14234l10776,14546e" filled="false" stroked="true" strokeweight=".72pt" strokecolor="#000000">
                <v:path arrowok="t"/>
              </v:shape>
            </v:group>
            <v:group style="position:absolute;left:10776;top:14546;width:2;height:312" coordorigin="10776,14546" coordsize="2,312">
              <v:shape style="position:absolute;left:10776;top:14546;width:2;height:312" coordorigin="10776,14546" coordsize="0,312" path="m10776,14546l10776,14858e" filled="false" stroked="true" strokeweight=".72pt" strokecolor="#000000">
                <v:path arrowok="t"/>
              </v:shape>
            </v:group>
            <v:group style="position:absolute;left:10776;top:14858;width:2;height:312" coordorigin="10776,14858" coordsize="2,312">
              <v:shape style="position:absolute;left:10776;top:14858;width:2;height:312" coordorigin="10776,14858" coordsize="0,312" path="m10776,14858l10776,15170e" filled="false" stroked="true" strokeweight=".72pt" strokecolor="#000000">
                <v:path arrowok="t"/>
              </v:shape>
            </v:group>
            <w10:wrap type="none"/>
          </v:group>
        </w:pict>
      </w:r>
    </w:p>
    <w:p>
      <w:pPr>
        <w:pStyle w:val="Heading5"/>
        <w:spacing w:line="259" w:lineRule="auto" w:before="36"/>
        <w:ind w:right="1160"/>
        <w:jc w:val="both"/>
      </w:pPr>
      <w:r>
        <w:rPr>
          <w:spacing w:val="-2"/>
        </w:rPr>
        <w:t>远光软件股份有限公司的批复</w:t>
      </w:r>
      <w:r>
        <w:rPr>
          <w:rFonts w:ascii="Times New Roman" w:hAnsi="Times New Roman" w:cs="Times New Roman" w:eastAsia="Times New Roman" w:hint="default"/>
          <w:spacing w:val="-2"/>
        </w:rPr>
        <w:t>”</w:t>
      </w:r>
      <w:r>
        <w:rPr>
          <w:spacing w:val="-2"/>
        </w:rPr>
        <w:t>文件批准，由珠海市东区荣光软件有限公司</w:t>
      </w:r>
      <w:r>
        <w:rPr>
          <w:rFonts w:ascii="Times New Roman" w:hAnsi="Times New Roman" w:cs="Times New Roman" w:eastAsia="Times New Roman" w:hint="default"/>
          <w:spacing w:val="-2"/>
        </w:rPr>
        <w:t>(</w:t>
      </w:r>
      <w:r>
        <w:rPr>
          <w:spacing w:val="-2"/>
        </w:rPr>
        <w:t>后更名为林芝地区东区荣光科</w:t>
      </w:r>
      <w:r>
        <w:rPr>
          <w:spacing w:val="-30"/>
        </w:rPr>
        <w:t> </w:t>
      </w:r>
      <w:r>
        <w:rPr>
          <w:spacing w:val="-30"/>
        </w:rPr>
      </w:r>
      <w:r>
        <w:rPr/>
        <w:t>技有限公司</w:t>
      </w:r>
      <w:r>
        <w:rPr>
          <w:rFonts w:ascii="Times New Roman" w:hAnsi="Times New Roman" w:cs="Times New Roman" w:eastAsia="Times New Roman" w:hint="default"/>
        </w:rPr>
        <w:t>)</w:t>
      </w:r>
      <w:r>
        <w:rPr/>
        <w:t>、国电电力发展股份有限公司、陈利浩、吉林省电力有限公司、福建省电力有限公司、广东</w:t>
      </w:r>
      <w:r>
        <w:rPr>
          <w:spacing w:val="-24"/>
        </w:rPr>
        <w:t> </w:t>
      </w:r>
      <w:r>
        <w:rPr>
          <w:spacing w:val="-24"/>
        </w:rPr>
      </w:r>
      <w:r>
        <w:rPr>
          <w:spacing w:val="-3"/>
        </w:rPr>
        <w:t>太平洋技术创业有限公司、浙江华能投资有限公司（后更名为浙江嘉汇集团有限公司）等七个发起人，以</w:t>
      </w:r>
      <w:r>
        <w:rPr>
          <w:spacing w:val="-30"/>
        </w:rPr>
        <w:t> </w:t>
      </w:r>
      <w:r>
        <w:rPr>
          <w:spacing w:val="-30"/>
        </w:rPr>
      </w:r>
      <w:r>
        <w:rPr/>
        <w:t>其在珠海远光新纪元软件产业有限公司的出资额整体变更设立广东远光软件股份有限公司（以下简称</w:t>
      </w:r>
      <w:r>
        <w:rPr>
          <w:rFonts w:ascii="Times New Roman" w:hAnsi="Times New Roman" w:cs="Times New Roman" w:eastAsia="Times New Roman" w:hint="default"/>
        </w:rPr>
        <w:t>“</w:t>
      </w:r>
      <w:r>
        <w:rPr/>
        <w:t>公</w:t>
      </w:r>
      <w:r>
        <w:rPr>
          <w:spacing w:val="-41"/>
        </w:rPr>
        <w:t> </w:t>
      </w:r>
      <w:r>
        <w:rPr>
          <w:spacing w:val="-1"/>
        </w:rPr>
        <w:t>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）。变更设立的股份有限公司股份总数为</w:t>
      </w:r>
      <w:r>
        <w:rPr>
          <w:rFonts w:ascii="Times New Roman" w:hAnsi="Times New Roman" w:cs="Times New Roman" w:eastAsia="Times New Roman" w:hint="default"/>
          <w:spacing w:val="-1"/>
        </w:rPr>
        <w:t>3,000</w:t>
      </w:r>
      <w:r>
        <w:rPr>
          <w:spacing w:val="-1"/>
        </w:rPr>
        <w:t>万股。该注册资本由利安达信隆会计师事务</w:t>
      </w:r>
      <w:r>
        <w:rPr>
          <w:spacing w:val="-31"/>
        </w:rPr>
        <w:t> </w:t>
      </w:r>
      <w:r>
        <w:rPr>
          <w:spacing w:val="-31"/>
        </w:rPr>
      </w:r>
      <w:r>
        <w:rPr/>
        <w:t>所利安达验字</w:t>
      </w:r>
      <w:r>
        <w:rPr>
          <w:rFonts w:ascii="Times New Roman" w:hAnsi="Times New Roman" w:cs="Times New Roman" w:eastAsia="Times New Roman" w:hint="default"/>
        </w:rPr>
        <w:t>[2001]B-1036</w:t>
      </w:r>
      <w:r>
        <w:rPr/>
        <w:t>号验资报告验证确认。</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日，广东省工商行政管理局核发注册号为</w:t>
      </w:r>
      <w:r>
        <w:rPr>
          <w:spacing w:val="2"/>
        </w:rPr>
        <w:t> </w:t>
      </w:r>
      <w:r>
        <w:rPr>
          <w:spacing w:val="2"/>
        </w:rPr>
      </w:r>
      <w:r>
        <w:rPr>
          <w:rFonts w:ascii="Times New Roman" w:hAnsi="Times New Roman" w:cs="Times New Roman" w:eastAsia="Times New Roman" w:hint="default"/>
        </w:rPr>
        <w:t>4400001009932</w:t>
      </w:r>
      <w:r>
        <w:rPr/>
        <w:t>号营业执照。</w:t>
      </w:r>
    </w:p>
    <w:p>
      <w:pPr>
        <w:pStyle w:val="Heading5"/>
        <w:spacing w:line="261" w:lineRule="auto" w:before="2"/>
        <w:ind w:right="1160" w:firstLine="413"/>
        <w:jc w:val="both"/>
      </w:pPr>
      <w:r>
        <w:rPr>
          <w:rFonts w:ascii="Times New Roman" w:hAnsi="Times New Roman" w:cs="Times New Roman" w:eastAsia="Times New Roman" w:hint="default"/>
          <w:spacing w:val="-5"/>
          <w:w w:val="100"/>
        </w:rPr>
        <w:t>2002</w:t>
      </w:r>
      <w:r>
        <w:rPr>
          <w:spacing w:val="-5"/>
          <w:w w:val="100"/>
        </w:rPr>
        <w:t>年</w:t>
      </w:r>
      <w:r>
        <w:rPr>
          <w:rFonts w:ascii="Times New Roman" w:hAnsi="Times New Roman" w:cs="Times New Roman" w:eastAsia="Times New Roman" w:hint="default"/>
          <w:spacing w:val="-5"/>
          <w:w w:val="100"/>
        </w:rPr>
        <w:t>6</w:t>
      </w:r>
      <w:r>
        <w:rPr>
          <w:spacing w:val="-5"/>
          <w:w w:val="100"/>
        </w:rPr>
        <w:t>月</w:t>
      </w:r>
      <w:r>
        <w:rPr>
          <w:rFonts w:ascii="Times New Roman" w:hAnsi="Times New Roman" w:cs="Times New Roman" w:eastAsia="Times New Roman" w:hint="default"/>
          <w:spacing w:val="-5"/>
          <w:w w:val="100"/>
        </w:rPr>
        <w:t>22</w:t>
      </w:r>
      <w:r>
        <w:rPr>
          <w:spacing w:val="-5"/>
          <w:w w:val="100"/>
        </w:rPr>
        <w:t>日，本公司</w:t>
      </w:r>
      <w:r>
        <w:rPr>
          <w:rFonts w:ascii="Times New Roman" w:hAnsi="Times New Roman" w:cs="Times New Roman" w:eastAsia="Times New Roman" w:hint="default"/>
          <w:spacing w:val="-5"/>
          <w:w w:val="100"/>
        </w:rPr>
        <w:t>2001</w:t>
      </w:r>
      <w:r>
        <w:rPr>
          <w:spacing w:val="-5"/>
          <w:w w:val="100"/>
        </w:rPr>
        <w:t>年度股东大会会议决议通过，并经广东省人民政府办公厅粤府函</w:t>
      </w:r>
      <w:r>
        <w:rPr>
          <w:rFonts w:ascii="Times New Roman" w:hAnsi="Times New Roman" w:cs="Times New Roman" w:eastAsia="Times New Roman" w:hint="default"/>
          <w:spacing w:val="-5"/>
          <w:w w:val="100"/>
        </w:rPr>
        <w:t>[2002]346</w:t>
      </w:r>
      <w:r>
        <w:rPr>
          <w:rFonts w:ascii="Times New Roman" w:hAnsi="Times New Roman" w:cs="Times New Roman" w:eastAsia="Times New Roman" w:hint="default"/>
          <w:w w:val="100"/>
        </w:rPr>
        <w:t> </w:t>
      </w:r>
      <w:r>
        <w:rPr>
          <w:spacing w:val="-3"/>
        </w:rPr>
        <w:t>号《关于同意广东远光软件股份有限公司以任意公积金分派新股的批复》及广东省经济贸易委员会粤经贸</w:t>
      </w:r>
      <w:r>
        <w:rPr>
          <w:spacing w:val="-30"/>
        </w:rPr>
        <w:t> </w:t>
      </w:r>
      <w:r>
        <w:rPr>
          <w:spacing w:val="-30"/>
        </w:rPr>
      </w:r>
      <w:r>
        <w:rPr>
          <w:spacing w:val="-4"/>
        </w:rPr>
        <w:t>监督</w:t>
      </w:r>
      <w:r>
        <w:rPr>
          <w:rFonts w:ascii="Times New Roman" w:hAnsi="Times New Roman" w:cs="Times New Roman" w:eastAsia="Times New Roman" w:hint="default"/>
          <w:spacing w:val="-4"/>
        </w:rPr>
        <w:t>[2002]449</w:t>
      </w:r>
      <w:r>
        <w:rPr>
          <w:spacing w:val="-4"/>
        </w:rPr>
        <w:t>号《关于同意广东远光软件股份有限公司转增新股的批复》文件批准，公司以任意盈余公积 </w:t>
      </w:r>
      <w:r>
        <w:rPr/>
        <w:t>金</w:t>
      </w:r>
      <w:r>
        <w:rPr>
          <w:rFonts w:ascii="Times New Roman" w:hAnsi="Times New Roman" w:cs="Times New Roman" w:eastAsia="Times New Roman" w:hint="default"/>
        </w:rPr>
        <w:t>1,116</w:t>
      </w:r>
      <w:r>
        <w:rPr/>
        <w:t>万元转增股本。转增后，公司注册资本增至</w:t>
      </w:r>
      <w:r>
        <w:rPr>
          <w:rFonts w:ascii="Times New Roman" w:hAnsi="Times New Roman" w:cs="Times New Roman" w:eastAsia="Times New Roman" w:hint="default"/>
        </w:rPr>
        <w:t>4,116</w:t>
      </w:r>
      <w:r>
        <w:rPr/>
        <w:t>万元。此次增资已由利安达信隆会计师事务所利</w:t>
      </w:r>
      <w:r>
        <w:rPr>
          <w:spacing w:val="-54"/>
        </w:rPr>
        <w:t> </w:t>
      </w:r>
      <w:r>
        <w:rPr/>
        <w:t>安达验字</w:t>
      </w:r>
      <w:r>
        <w:rPr>
          <w:rFonts w:ascii="Times New Roman" w:hAnsi="Times New Roman" w:cs="Times New Roman" w:eastAsia="Times New Roman" w:hint="default"/>
        </w:rPr>
        <w:t>[2002]B-1025</w:t>
      </w:r>
      <w:r>
        <w:rPr/>
        <w:t>号验资报告验证确认。</w:t>
      </w:r>
    </w:p>
    <w:p>
      <w:pPr>
        <w:pStyle w:val="Heading5"/>
        <w:spacing w:line="256" w:lineRule="auto" w:before="1"/>
        <w:ind w:right="1160" w:firstLine="413"/>
        <w:jc w:val="both"/>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7</w:t>
      </w:r>
      <w:r>
        <w:rPr>
          <w:spacing w:val="-3"/>
        </w:rPr>
        <w:t>日，经本公司第二届董事会第十三次会议决议、</w:t>
      </w:r>
      <w:r>
        <w:rPr>
          <w:rFonts w:ascii="Times New Roman" w:hAnsi="Times New Roman" w:cs="Times New Roman" w:eastAsia="Times New Roman" w:hint="default"/>
          <w:spacing w:val="-3"/>
        </w:rPr>
        <w:t>2005</w:t>
      </w:r>
      <w:r>
        <w:rPr>
          <w:spacing w:val="-3"/>
        </w:rPr>
        <w:t>年度股东大会会议决议通过，公司以</w:t>
      </w:r>
      <w:r>
        <w:rPr>
          <w:w w:val="100"/>
        </w:rPr>
        <w:t> </w:t>
      </w:r>
      <w:r>
        <w:rPr/>
        <w:t>未分配利润增加注册资本</w:t>
      </w:r>
      <w:r>
        <w:rPr>
          <w:rFonts w:ascii="Times New Roman" w:hAnsi="Times New Roman" w:cs="Times New Roman" w:eastAsia="Times New Roman" w:hint="default"/>
        </w:rPr>
        <w:t>4,116</w:t>
      </w:r>
      <w:r>
        <w:rPr/>
        <w:t>万元。转增后，公司注册资本增至</w:t>
      </w:r>
      <w:r>
        <w:rPr>
          <w:rFonts w:ascii="Times New Roman" w:hAnsi="Times New Roman" w:cs="Times New Roman" w:eastAsia="Times New Roman" w:hint="default"/>
        </w:rPr>
        <w:t>8,232</w:t>
      </w:r>
      <w:r>
        <w:rPr/>
        <w:t>万元，并于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日在广东省</w:t>
      </w:r>
      <w:r>
        <w:rPr>
          <w:spacing w:val="-54"/>
        </w:rPr>
        <w:t> </w:t>
      </w:r>
      <w:r>
        <w:rPr>
          <w:spacing w:val="-1"/>
        </w:rPr>
        <w:t>工商行政管理局办理了变更登记。此次增资已由利安达信隆会计师事务所利安达验字</w:t>
      </w:r>
      <w:r>
        <w:rPr>
          <w:rFonts w:ascii="Times New Roman" w:hAnsi="Times New Roman" w:cs="Times New Roman" w:eastAsia="Times New Roman" w:hint="default"/>
          <w:spacing w:val="-1"/>
        </w:rPr>
        <w:t>[2006]B-1019</w:t>
      </w:r>
      <w:r>
        <w:rPr>
          <w:spacing w:val="-1"/>
        </w:rPr>
        <w:t>号验资</w:t>
      </w:r>
      <w:r>
        <w:rPr>
          <w:spacing w:val="-49"/>
        </w:rPr>
        <w:t> </w:t>
      </w:r>
      <w:r>
        <w:rPr>
          <w:spacing w:val="-49"/>
        </w:rPr>
      </w:r>
      <w:r>
        <w:rPr/>
        <w:t>报告验证确认。</w:t>
      </w:r>
    </w:p>
    <w:p>
      <w:pPr>
        <w:pStyle w:val="Heading5"/>
        <w:spacing w:line="256" w:lineRule="auto" w:before="22"/>
        <w:ind w:right="1159" w:firstLine="413"/>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日，经中国证券监督管理委员会证监发行字</w:t>
      </w:r>
      <w:r>
        <w:rPr>
          <w:rFonts w:ascii="Times New Roman" w:hAnsi="Times New Roman" w:cs="Times New Roman" w:eastAsia="Times New Roman" w:hint="default"/>
        </w:rPr>
        <w:t>[2006]51</w:t>
      </w:r>
      <w:r>
        <w:rPr/>
        <w:t>号文核准，本公司发行普通股</w:t>
      </w:r>
      <w:r>
        <w:rPr>
          <w:rFonts w:ascii="Times New Roman" w:hAnsi="Times New Roman" w:cs="Times New Roman" w:eastAsia="Times New Roman" w:hint="default"/>
        </w:rPr>
        <w:t>2,750</w:t>
      </w:r>
      <w:r>
        <w:rPr>
          <w:rFonts w:ascii="Times New Roman" w:hAnsi="Times New Roman" w:cs="Times New Roman" w:eastAsia="Times New Roman" w:hint="default"/>
          <w:w w:val="100"/>
        </w:rPr>
        <w:t> </w:t>
      </w:r>
      <w:r>
        <w:rPr>
          <w:spacing w:val="-2"/>
        </w:rPr>
        <w:t>万股，每股面值</w:t>
      </w:r>
      <w:r>
        <w:rPr>
          <w:rFonts w:ascii="Times New Roman" w:hAnsi="Times New Roman" w:cs="Times New Roman" w:eastAsia="Times New Roman" w:hint="default"/>
          <w:spacing w:val="-2"/>
        </w:rPr>
        <w:t>1</w:t>
      </w:r>
      <w:r>
        <w:rPr>
          <w:spacing w:val="-2"/>
        </w:rPr>
        <w:t>元，并于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日在深圳证券交易所上市交易。公司发行后总股本为</w:t>
      </w:r>
      <w:r>
        <w:rPr>
          <w:rFonts w:ascii="Times New Roman" w:hAnsi="Times New Roman" w:cs="Times New Roman" w:eastAsia="Times New Roman" w:hint="default"/>
          <w:spacing w:val="-2"/>
        </w:rPr>
        <w:t>10,982</w:t>
      </w:r>
      <w:r>
        <w:rPr>
          <w:spacing w:val="-2"/>
        </w:rPr>
        <w:t>万元，</w:t>
      </w:r>
      <w:r>
        <w:rPr>
          <w:spacing w:val="-10"/>
        </w:rPr>
        <w:t> </w:t>
      </w:r>
      <w:r>
        <w:rPr>
          <w:spacing w:val="-10"/>
        </w:rPr>
      </w:r>
      <w:r>
        <w:rPr>
          <w:spacing w:val="-1"/>
        </w:rPr>
        <w:t>此次增资已由利安达信隆会计师事务所利安达验字</w:t>
      </w:r>
      <w:r>
        <w:rPr>
          <w:rFonts w:ascii="Times New Roman" w:hAnsi="Times New Roman" w:cs="Times New Roman" w:eastAsia="Times New Roman" w:hint="default"/>
          <w:spacing w:val="-1"/>
        </w:rPr>
        <w:t>[2006]B-1032</w:t>
      </w:r>
      <w:r>
        <w:rPr>
          <w:spacing w:val="-1"/>
        </w:rPr>
        <w:t>号验资报告验证确认，并于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4"/>
        </w:rPr>
        <w:t> </w:t>
      </w:r>
      <w:r>
        <w:rPr/>
        <w:t>日在广东省工商行政管理局办理了变更登记，变更后注册资本为</w:t>
      </w:r>
      <w:r>
        <w:rPr>
          <w:rFonts w:ascii="Times New Roman" w:hAnsi="Times New Roman" w:cs="Times New Roman" w:eastAsia="Times New Roman" w:hint="default"/>
        </w:rPr>
        <w:t>10,982</w:t>
      </w:r>
      <w:r>
        <w:rPr/>
        <w:t>万元。</w:t>
      </w:r>
    </w:p>
    <w:p>
      <w:pPr>
        <w:pStyle w:val="Heading5"/>
        <w:spacing w:line="240" w:lineRule="auto" w:before="5"/>
        <w:ind w:left="566" w:right="1123"/>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日，公司企业法人营业执照注册号由</w:t>
      </w:r>
      <w:r>
        <w:rPr>
          <w:rFonts w:ascii="Times New Roman" w:hAnsi="Times New Roman" w:cs="Times New Roman" w:eastAsia="Times New Roman" w:hint="default"/>
        </w:rPr>
        <w:t>4400001009932</w:t>
      </w:r>
      <w:r>
        <w:rPr/>
        <w:t>变更为</w:t>
      </w:r>
      <w:r>
        <w:rPr>
          <w:rFonts w:ascii="Times New Roman" w:hAnsi="Times New Roman" w:cs="Times New Roman" w:eastAsia="Times New Roman" w:hint="default"/>
        </w:rPr>
        <w:t>440000000039294</w:t>
      </w:r>
      <w:r>
        <w:rPr/>
        <w:t>。</w:t>
      </w:r>
    </w:p>
    <w:p>
      <w:pPr>
        <w:pStyle w:val="Heading5"/>
        <w:spacing w:line="256" w:lineRule="auto" w:before="21"/>
        <w:ind w:right="1162" w:firstLine="413"/>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日，经广东省工商行政管理局核准，公司名称由</w:t>
      </w:r>
      <w:r>
        <w:rPr>
          <w:rFonts w:ascii="Times New Roman" w:hAnsi="Times New Roman" w:cs="Times New Roman" w:eastAsia="Times New Roman" w:hint="default"/>
        </w:rPr>
        <w:t>“</w:t>
      </w:r>
      <w:r>
        <w:rPr/>
        <w:t>广东远光软件股份有限公司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w:t>
      </w:r>
      <w:r>
        <w:rPr>
          <w:w w:val="100"/>
        </w:rPr>
        <w:t> </w:t>
      </w:r>
      <w:r>
        <w:rPr/>
        <w:t>光软件股份有限公司</w:t>
      </w:r>
      <w:r>
        <w:rPr>
          <w:rFonts w:ascii="Times New Roman" w:hAnsi="Times New Roman" w:cs="Times New Roman" w:eastAsia="Times New Roman" w:hint="default"/>
        </w:rPr>
        <w:t>”</w:t>
      </w:r>
      <w:r>
        <w:rPr/>
        <w:t>。</w:t>
      </w:r>
    </w:p>
    <w:p>
      <w:pPr>
        <w:pStyle w:val="Heading5"/>
        <w:spacing w:line="256" w:lineRule="auto" w:before="5"/>
        <w:ind w:right="1163" w:firstLine="413"/>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日，经本公司第三届董事会第十七次会议决议、</w:t>
      </w:r>
      <w:r>
        <w:rPr>
          <w:rFonts w:ascii="Times New Roman" w:hAnsi="Times New Roman" w:cs="Times New Roman" w:eastAsia="Times New Roman" w:hint="default"/>
        </w:rPr>
        <w:t>2008</w:t>
      </w:r>
      <w:r>
        <w:rPr/>
        <w:t>年度股东大会会议决议通过，公司</w:t>
      </w:r>
      <w:r>
        <w:rPr>
          <w:w w:val="100"/>
        </w:rPr>
        <w:t> </w:t>
      </w:r>
      <w:r>
        <w:rPr/>
        <w:t>以资本公积转增注册资本</w:t>
      </w:r>
      <w:r>
        <w:rPr>
          <w:rFonts w:ascii="Times New Roman" w:hAnsi="Times New Roman" w:cs="Times New Roman" w:eastAsia="Times New Roman" w:hint="default"/>
        </w:rPr>
        <w:t>8,785.6</w:t>
      </w:r>
      <w:r>
        <w:rPr/>
        <w:t>万元。转增后，公司注册资本增至</w:t>
      </w:r>
      <w:r>
        <w:rPr>
          <w:rFonts w:ascii="Times New Roman" w:hAnsi="Times New Roman" w:cs="Times New Roman" w:eastAsia="Times New Roman" w:hint="default"/>
        </w:rPr>
        <w:t>19,767.6</w:t>
      </w:r>
      <w:r>
        <w:rPr/>
        <w:t>万元。此次增资已由利安达会</w:t>
      </w:r>
      <w:r>
        <w:rPr>
          <w:spacing w:val="-58"/>
        </w:rPr>
        <w:t> </w:t>
      </w:r>
      <w:r>
        <w:rPr>
          <w:spacing w:val="-58"/>
        </w:rPr>
      </w:r>
      <w:r>
        <w:rPr/>
        <w:t>计师事务所利安达验字</w:t>
      </w:r>
      <w:r>
        <w:rPr>
          <w:rFonts w:ascii="Times New Roman" w:hAnsi="Times New Roman" w:cs="Times New Roman" w:eastAsia="Times New Roman" w:hint="default"/>
        </w:rPr>
        <w:t>[2009]B-1021</w:t>
      </w:r>
      <w:r>
        <w:rPr/>
        <w:t>号验资报告验证确认，并于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日办理了变更登记。</w:t>
      </w:r>
    </w:p>
    <w:p>
      <w:pPr>
        <w:pStyle w:val="Heading5"/>
        <w:spacing w:line="256" w:lineRule="auto" w:before="5"/>
        <w:ind w:right="1162" w:firstLine="413"/>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日，经本公司第三届董事会第二十八次会议决议、</w:t>
      </w:r>
      <w:r>
        <w:rPr>
          <w:rFonts w:ascii="Times New Roman" w:hAnsi="Times New Roman" w:cs="Times New Roman" w:eastAsia="Times New Roman" w:hint="default"/>
        </w:rPr>
        <w:t>2009</w:t>
      </w:r>
      <w:r>
        <w:rPr/>
        <w:t>年度股东大会会议决议通过，公</w:t>
      </w:r>
      <w:r>
        <w:rPr>
          <w:w w:val="100"/>
        </w:rPr>
        <w:t> </w:t>
      </w:r>
      <w:r>
        <w:rPr/>
        <w:t>司以资本公积转增注册资本</w:t>
      </w:r>
      <w:r>
        <w:rPr>
          <w:rFonts w:ascii="Times New Roman" w:hAnsi="Times New Roman" w:cs="Times New Roman" w:eastAsia="Times New Roman" w:hint="default"/>
        </w:rPr>
        <w:t>1,976.76 </w:t>
      </w:r>
      <w:r>
        <w:rPr/>
        <w:t>万元，以未分配利润转增注册资本</w:t>
      </w:r>
      <w:r>
        <w:rPr>
          <w:rFonts w:ascii="Times New Roman" w:hAnsi="Times New Roman" w:cs="Times New Roman" w:eastAsia="Times New Roman" w:hint="default"/>
        </w:rPr>
        <w:t>3,953.52</w:t>
      </w:r>
      <w:r>
        <w:rPr>
          <w:rFonts w:ascii="Times New Roman" w:hAnsi="Times New Roman" w:cs="Times New Roman" w:eastAsia="Times New Roman" w:hint="default"/>
          <w:spacing w:val="18"/>
        </w:rPr>
        <w:t> </w:t>
      </w:r>
      <w:r>
        <w:rPr>
          <w:spacing w:val="-3"/>
        </w:rPr>
        <w:t>万元，转增后，公司注册</w:t>
      </w:r>
      <w:r>
        <w:rPr>
          <w:w w:val="100"/>
        </w:rPr>
        <w:t> </w:t>
      </w:r>
      <w:r>
        <w:rPr/>
        <w:t>资本增至</w:t>
      </w:r>
      <w:r>
        <w:rPr>
          <w:rFonts w:ascii="Times New Roman" w:hAnsi="Times New Roman" w:cs="Times New Roman" w:eastAsia="Times New Roman" w:hint="default"/>
        </w:rPr>
        <w:t>25,697.88</w:t>
      </w:r>
      <w:r>
        <w:rPr/>
        <w:t>万元。此次增资已由利安达会计师事务所利安达验字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1051 </w:t>
      </w:r>
      <w:r>
        <w:rPr/>
        <w:t>号验资报告验证确</w:t>
      </w:r>
      <w:r>
        <w:rPr>
          <w:spacing w:val="-53"/>
        </w:rPr>
        <w:t> </w:t>
      </w:r>
      <w:r>
        <w:rPr>
          <w:spacing w:val="-53"/>
        </w:rPr>
      </w:r>
      <w:r>
        <w:rPr/>
        <w:t>认，并办理了工商变更登记。</w:t>
      </w:r>
    </w:p>
    <w:p>
      <w:pPr>
        <w:pStyle w:val="Heading5"/>
        <w:spacing w:line="261" w:lineRule="auto" w:before="22"/>
        <w:ind w:right="1159" w:firstLine="413"/>
        <w:jc w:val="both"/>
      </w:pPr>
      <w:r>
        <w:rPr>
          <w:spacing w:val="-3"/>
        </w:rPr>
        <w:t>根据公司股票期权激励计划规定，经公司董事会申请、深圳证券交易所确认、中国证券登记结算有限</w:t>
      </w:r>
      <w:r>
        <w:rPr>
          <w:w w:val="100"/>
        </w:rPr>
        <w:t> </w:t>
      </w:r>
      <w:r>
        <w:rPr>
          <w:spacing w:val="-3"/>
        </w:rPr>
        <w:t>责任公司深圳分公司核准登记，以</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日为股票行权登记日，对本次提出申请行权的</w:t>
      </w:r>
      <w:r>
        <w:rPr>
          <w:rFonts w:ascii="Times New Roman" w:hAnsi="Times New Roman" w:cs="Times New Roman" w:eastAsia="Times New Roman" w:hint="default"/>
          <w:spacing w:val="-3"/>
        </w:rPr>
        <w:t>91</w:t>
      </w:r>
      <w:r>
        <w:rPr>
          <w:spacing w:val="-3"/>
        </w:rPr>
        <w:t>名激励对</w:t>
      </w:r>
      <w:r>
        <w:rPr>
          <w:spacing w:val="-16"/>
        </w:rPr>
        <w:t> </w:t>
      </w:r>
      <w:r>
        <w:rPr>
          <w:spacing w:val="-16"/>
        </w:rPr>
      </w:r>
      <w:r>
        <w:rPr>
          <w:spacing w:val="-3"/>
        </w:rPr>
        <w:t>象的</w:t>
      </w:r>
      <w:r>
        <w:rPr>
          <w:rFonts w:ascii="Times New Roman" w:hAnsi="Times New Roman" w:cs="Times New Roman" w:eastAsia="Times New Roman" w:hint="default"/>
          <w:spacing w:val="-3"/>
        </w:rPr>
        <w:t>1,573,603</w:t>
      </w:r>
      <w:r>
        <w:rPr>
          <w:spacing w:val="-3"/>
        </w:rPr>
        <w:t>份股票期权予以行权。行权后公司注册资本变更为</w:t>
      </w:r>
      <w:r>
        <w:rPr>
          <w:rFonts w:ascii="Times New Roman" w:hAnsi="Times New Roman" w:cs="Times New Roman" w:eastAsia="Times New Roman" w:hint="default"/>
          <w:spacing w:val="-3"/>
        </w:rPr>
        <w:t>25,855.24</w:t>
      </w:r>
      <w:r>
        <w:rPr>
          <w:spacing w:val="-3"/>
        </w:rPr>
        <w:t>万元。此次增资已由利安达会计</w:t>
      </w:r>
      <w:r>
        <w:rPr>
          <w:spacing w:val="-2"/>
        </w:rPr>
        <w:t> </w:t>
      </w:r>
      <w:r>
        <w:rPr>
          <w:spacing w:val="-2"/>
        </w:rPr>
      </w:r>
      <w:r>
        <w:rPr/>
        <w:t>师事务所利安达验字</w:t>
      </w:r>
      <w:r>
        <w:rPr>
          <w:rFonts w:ascii="Times New Roman" w:hAnsi="Times New Roman" w:cs="Times New Roman" w:eastAsia="Times New Roman" w:hint="default"/>
        </w:rPr>
        <w:t>[2010]1081</w:t>
      </w:r>
      <w:r>
        <w:rPr/>
        <w:t>号验资报告验证确认，并办理了工商变更登记。</w:t>
      </w:r>
    </w:p>
    <w:p>
      <w:pPr>
        <w:pStyle w:val="Heading5"/>
        <w:spacing w:line="261" w:lineRule="auto"/>
        <w:ind w:right="1160" w:firstLine="413"/>
        <w:jc w:val="both"/>
      </w:pPr>
      <w:r>
        <w:rPr>
          <w:spacing w:val="-3"/>
        </w:rPr>
        <w:t>根据公司股票期权激励计划规定，经公司董事会申请、深圳证券交易所确认、中国证券登记结算有限</w:t>
      </w:r>
      <w:r>
        <w:rPr>
          <w:w w:val="100"/>
        </w:rPr>
        <w:t> </w:t>
      </w:r>
      <w:r>
        <w:rPr/>
        <w:t>责任公司深圳分公司核准登记，以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日为股票行权登记日，对本次提出申请行权的激励对象的</w:t>
      </w:r>
      <w:r>
        <w:rPr>
          <w:spacing w:val="-53"/>
        </w:rPr>
        <w:t> </w:t>
      </w:r>
      <w:r>
        <w:rPr>
          <w:spacing w:val="-53"/>
        </w:rPr>
      </w:r>
      <w:r>
        <w:rPr>
          <w:rFonts w:ascii="Times New Roman" w:hAnsi="Times New Roman" w:cs="Times New Roman" w:eastAsia="Times New Roman" w:hint="default"/>
          <w:spacing w:val="-3"/>
        </w:rPr>
        <w:t>1,257,680</w:t>
      </w:r>
      <w:r>
        <w:rPr>
          <w:spacing w:val="-3"/>
        </w:rPr>
        <w:t>份股票期权予以行权。行权后公司注册资本变更为</w:t>
      </w:r>
      <w:r>
        <w:rPr>
          <w:rFonts w:ascii="Times New Roman" w:hAnsi="Times New Roman" w:cs="Times New Roman" w:eastAsia="Times New Roman" w:hint="default"/>
          <w:spacing w:val="-3"/>
        </w:rPr>
        <w:t>25,981.01</w:t>
      </w:r>
      <w:r>
        <w:rPr>
          <w:spacing w:val="-3"/>
        </w:rPr>
        <w:t>万元。此次增资已由利安达会计师事</w:t>
      </w:r>
      <w:r>
        <w:rPr>
          <w:spacing w:val="-1"/>
        </w:rPr>
        <w:t> </w:t>
      </w:r>
      <w:r>
        <w:rPr>
          <w:spacing w:val="-1"/>
        </w:rPr>
      </w:r>
      <w:r>
        <w:rPr/>
        <w:t>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1016</w:t>
      </w:r>
      <w:r>
        <w:rPr/>
        <w:t>号验资报告验证确认，并办理了工商变更登记。</w:t>
      </w:r>
    </w:p>
    <w:p>
      <w:pPr>
        <w:pStyle w:val="Heading5"/>
        <w:spacing w:line="256" w:lineRule="auto"/>
        <w:ind w:right="1163" w:firstLine="413"/>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日，经本公司第四届董事会第六次会议决议、</w:t>
      </w:r>
      <w:r>
        <w:rPr>
          <w:rFonts w:ascii="Times New Roman" w:hAnsi="Times New Roman" w:cs="Times New Roman" w:eastAsia="Times New Roman" w:hint="default"/>
        </w:rPr>
        <w:t>2010</w:t>
      </w:r>
      <w:r>
        <w:rPr/>
        <w:t>年度股东大会会议决议通过，公司以</w:t>
      </w:r>
      <w:r>
        <w:rPr>
          <w:w w:val="100"/>
        </w:rPr>
        <w:t> </w:t>
      </w:r>
      <w:r>
        <w:rPr/>
        <w:t>未分配利润转增注册资本</w:t>
      </w:r>
      <w:r>
        <w:rPr>
          <w:rFonts w:ascii="Times New Roman" w:hAnsi="Times New Roman" w:cs="Times New Roman" w:eastAsia="Times New Roman" w:hint="default"/>
        </w:rPr>
        <w:t>7,756.57</w:t>
      </w:r>
      <w:r>
        <w:rPr/>
        <w:t>万元，转增后，公司注册资本增至</w:t>
      </w:r>
      <w:r>
        <w:rPr>
          <w:rFonts w:ascii="Times New Roman" w:hAnsi="Times New Roman" w:cs="Times New Roman" w:eastAsia="Times New Roman" w:hint="default"/>
        </w:rPr>
        <w:t>33,737.58</w:t>
      </w:r>
      <w:r>
        <w:rPr/>
        <w:t>万元。此次增资已由利安达</w:t>
      </w:r>
      <w:r>
        <w:rPr>
          <w:spacing w:val="-60"/>
        </w:rPr>
        <w:t> </w:t>
      </w:r>
      <w:r>
        <w:rPr/>
        <w:t>会计师事务所利安达验字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1094</w:t>
      </w:r>
      <w:r>
        <w:rPr/>
        <w:t>号验资报告验证确认，并办理了工商变更登记。</w:t>
      </w:r>
    </w:p>
    <w:p>
      <w:pPr>
        <w:pStyle w:val="Heading5"/>
        <w:spacing w:line="264" w:lineRule="auto" w:before="5"/>
        <w:ind w:right="1160" w:firstLine="413"/>
        <w:jc w:val="both"/>
      </w:pPr>
      <w:r>
        <w:rPr>
          <w:spacing w:val="-3"/>
        </w:rPr>
        <w:t>根据公司股票期权激励计划规定，经公司董事会申请、深圳证券交易所确认、中国证券登记结算有限</w:t>
      </w:r>
      <w:r>
        <w:rPr>
          <w:w w:val="100"/>
        </w:rPr>
        <w:t> </w:t>
      </w:r>
      <w:r>
        <w:rPr>
          <w:spacing w:val="-3"/>
        </w:rPr>
        <w:t>责任公司深圳分公司核准登记，以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日为股票行权登记日，对本次提出申请行权的激励对象的</w:t>
      </w:r>
      <w:r>
        <w:rPr>
          <w:spacing w:val="-19"/>
        </w:rPr>
        <w:t> </w:t>
      </w:r>
      <w:r>
        <w:rPr>
          <w:spacing w:val="-19"/>
        </w:rPr>
      </w:r>
      <w:r>
        <w:rPr>
          <w:rFonts w:ascii="Times New Roman" w:hAnsi="Times New Roman" w:cs="Times New Roman" w:eastAsia="Times New Roman" w:hint="default"/>
          <w:spacing w:val="-3"/>
        </w:rPr>
        <w:t>2,549,823</w:t>
      </w:r>
      <w:r>
        <w:rPr>
          <w:spacing w:val="-3"/>
        </w:rPr>
        <w:t>份股票期权予以行权，本次行权于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22</w:t>
      </w:r>
      <w:r>
        <w:rPr>
          <w:spacing w:val="-3"/>
        </w:rPr>
        <w:t>日完成验资，</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日在中国证券登记结算</w:t>
      </w:r>
    </w:p>
    <w:p>
      <w:pPr>
        <w:spacing w:after="0" w:line="264" w:lineRule="auto"/>
        <w:jc w:val="both"/>
        <w:sectPr>
          <w:pgSz w:w="11910" w:h="16840"/>
          <w:pgMar w:header="877" w:footer="1340" w:top="1060" w:bottom="1540" w:left="980" w:right="0"/>
        </w:sectPr>
      </w:pPr>
    </w:p>
    <w:p>
      <w:pPr>
        <w:spacing w:line="240" w:lineRule="auto" w:before="12"/>
        <w:rPr>
          <w:rFonts w:ascii="宋体" w:hAnsi="宋体" w:cs="宋体" w:eastAsia="宋体" w:hint="default"/>
          <w:sz w:val="27"/>
          <w:szCs w:val="27"/>
        </w:rPr>
      </w:pPr>
    </w:p>
    <w:p>
      <w:pPr>
        <w:spacing w:line="4791" w:lineRule="exact"/>
        <w:ind w:left="109" w:right="0" w:firstLine="0"/>
        <w:rPr>
          <w:rFonts w:ascii="宋体" w:hAnsi="宋体" w:cs="宋体" w:eastAsia="宋体" w:hint="default"/>
          <w:sz w:val="20"/>
          <w:szCs w:val="20"/>
        </w:rPr>
      </w:pPr>
      <w:r>
        <w:rPr>
          <w:rFonts w:ascii="宋体" w:hAnsi="宋体" w:cs="宋体" w:eastAsia="宋体" w:hint="default"/>
          <w:position w:val="-95"/>
          <w:sz w:val="20"/>
          <w:szCs w:val="20"/>
        </w:rPr>
        <w:pict>
          <v:group style="width:484.7pt;height:239.6pt;mso-position-horizontal-relative:char;mso-position-vertical-relative:line" coordorigin="0,0" coordsize="9694,4792">
            <v:group style="position:absolute;left:7;top:7;width:2;height:312" coordorigin="7,7" coordsize="2,312">
              <v:shape style="position:absolute;left:7;top:7;width:2;height:312" coordorigin="7,7" coordsize="0,312" path="m7,7l7,319e" filled="false" stroked="true" strokeweight=".72pt" strokecolor="#000000">
                <v:path arrowok="t"/>
              </v:shape>
            </v:group>
            <v:group style="position:absolute;left:7;top:319;width:2;height:313" coordorigin="7,319" coordsize="2,313">
              <v:shape style="position:absolute;left:7;top:319;width:2;height:313" coordorigin="7,319" coordsize="0,313" path="m7,319l7,632e" filled="false" stroked="true" strokeweight=".72pt" strokecolor="#000000">
                <v:path arrowok="t"/>
              </v:shape>
            </v:group>
            <v:group style="position:absolute;left:7;top:632;width:2;height:312" coordorigin="7,632" coordsize="2,312">
              <v:shape style="position:absolute;left:7;top:632;width:2;height:312" coordorigin="7,632" coordsize="0,312" path="m7,632l7,944e" filled="false" stroked="true" strokeweight=".72pt" strokecolor="#000000">
                <v:path arrowok="t"/>
              </v:shape>
            </v:group>
            <v:group style="position:absolute;left:7;top:944;width:2;height:312" coordorigin="7,944" coordsize="2,312">
              <v:shape style="position:absolute;left:7;top:944;width:2;height:312" coordorigin="7,944" coordsize="0,312" path="m7,944l7,1256e" filled="false" stroked="true" strokeweight=".72pt" strokecolor="#000000">
                <v:path arrowok="t"/>
              </v:shape>
            </v:group>
            <v:group style="position:absolute;left:7;top:1256;width:2;height:312" coordorigin="7,1256" coordsize="2,312">
              <v:shape style="position:absolute;left:7;top:1256;width:2;height:312" coordorigin="7,1256" coordsize="0,312" path="m7,1256l7,1568e" filled="false" stroked="true" strokeweight=".72pt" strokecolor="#000000">
                <v:path arrowok="t"/>
              </v:shape>
            </v:group>
            <v:group style="position:absolute;left:7;top:1568;width:2;height:312" coordorigin="7,1568" coordsize="2,312">
              <v:shape style="position:absolute;left:7;top:1568;width:2;height:312" coordorigin="7,1568" coordsize="0,312" path="m7,1568l7,1880e" filled="false" stroked="true" strokeweight=".72pt" strokecolor="#000000">
                <v:path arrowok="t"/>
              </v:shape>
            </v:group>
            <v:group style="position:absolute;left:7;top:1880;width:2;height:312" coordorigin="7,1880" coordsize="2,312">
              <v:shape style="position:absolute;left:7;top:1880;width:2;height:312" coordorigin="7,1880" coordsize="0,312" path="m7,1880l7,2192e" filled="false" stroked="true" strokeweight=".72pt" strokecolor="#000000">
                <v:path arrowok="t"/>
              </v:shape>
            </v:group>
            <v:group style="position:absolute;left:7;top:2192;width:2;height:312" coordorigin="7,2192" coordsize="2,312">
              <v:shape style="position:absolute;left:7;top:2192;width:2;height:312" coordorigin="7,2192" coordsize="0,312" path="m7,2192l7,2504e" filled="false" stroked="true" strokeweight=".72pt" strokecolor="#000000">
                <v:path arrowok="t"/>
              </v:shape>
            </v:group>
            <v:group style="position:absolute;left:7;top:2504;width:2;height:312" coordorigin="7,2504" coordsize="2,312">
              <v:shape style="position:absolute;left:7;top:2504;width:2;height:312" coordorigin="7,2504" coordsize="0,312" path="m7,2504l7,2816e" filled="false" stroked="true" strokeweight=".72pt" strokecolor="#000000">
                <v:path arrowok="t"/>
              </v:shape>
            </v:group>
            <v:group style="position:absolute;left:7;top:2816;width:2;height:312" coordorigin="7,2816" coordsize="2,312">
              <v:shape style="position:absolute;left:7;top:2816;width:2;height:312" coordorigin="7,2816" coordsize="0,312" path="m7,2816l7,3128e" filled="false" stroked="true" strokeweight=".72pt" strokecolor="#000000">
                <v:path arrowok="t"/>
              </v:shape>
            </v:group>
            <v:group style="position:absolute;left:7;top:3128;width:2;height:312" coordorigin="7,3128" coordsize="2,312">
              <v:shape style="position:absolute;left:7;top:3128;width:2;height:312" coordorigin="7,3128" coordsize="0,312" path="m7,3128l7,3440e" filled="false" stroked="true" strokeweight=".72pt" strokecolor="#000000">
                <v:path arrowok="t"/>
              </v:shape>
            </v:group>
            <v:group style="position:absolute;left:7;top:3440;width:2;height:312" coordorigin="7,3440" coordsize="2,312">
              <v:shape style="position:absolute;left:7;top:3440;width:2;height:312" coordorigin="7,3440" coordsize="0,312" path="m7,3440l7,3752e" filled="false" stroked="true" strokeweight=".72pt" strokecolor="#000000">
                <v:path arrowok="t"/>
              </v:shape>
            </v:group>
            <v:group style="position:absolute;left:7;top:3752;width:2;height:313" coordorigin="7,3752" coordsize="2,313">
              <v:shape style="position:absolute;left:7;top:3752;width:2;height:313" coordorigin="7,3752" coordsize="0,313" path="m7,3752l7,4064e" filled="false" stroked="true" strokeweight=".72pt" strokecolor="#000000">
                <v:path arrowok="t"/>
              </v:shape>
            </v:group>
            <v:group style="position:absolute;left:7;top:4064;width:2;height:312" coordorigin="7,4064" coordsize="2,312">
              <v:shape style="position:absolute;left:7;top:4064;width:2;height:312" coordorigin="7,4064" coordsize="0,312" path="m7,4064l7,4376e" filled="false" stroked="true" strokeweight=".72pt" strokecolor="#000000">
                <v:path arrowok="t"/>
              </v:shape>
            </v:group>
            <v:group style="position:absolute;left:14;top:4777;width:9665;height:2" coordorigin="14,4777" coordsize="9665,2">
              <v:shape style="position:absolute;left:14;top:4777;width:9665;height:2" coordorigin="14,4777" coordsize="9665,0" path="m14,4777l9679,4777e" filled="false" stroked="true" strokeweight=".72pt" strokecolor="#000000">
                <v:path arrowok="t"/>
              </v:shape>
            </v:group>
            <v:group style="position:absolute;left:7;top:4376;width:2;height:408" coordorigin="7,4376" coordsize="2,408">
              <v:shape style="position:absolute;left:7;top:4376;width:2;height:408" coordorigin="7,4376" coordsize="0,408" path="m7,4376l7,4784e" filled="false" stroked="true" strokeweight=".72pt" strokecolor="#000000">
                <v:path arrowok="t"/>
              </v:shape>
            </v:group>
            <v:group style="position:absolute;left:9686;top:7;width:2;height:312" coordorigin="9686,7" coordsize="2,312">
              <v:shape style="position:absolute;left:9686;top:7;width:2;height:312" coordorigin="9686,7" coordsize="0,312" path="m9686,7l9686,319e" filled="false" stroked="true" strokeweight=".72pt" strokecolor="#000000">
                <v:path arrowok="t"/>
              </v:shape>
            </v:group>
            <v:group style="position:absolute;left:9686;top:319;width:2;height:313" coordorigin="9686,319" coordsize="2,313">
              <v:shape style="position:absolute;left:9686;top:319;width:2;height:313" coordorigin="9686,319" coordsize="0,313" path="m9686,319l9686,632e" filled="false" stroked="true" strokeweight=".72pt" strokecolor="#000000">
                <v:path arrowok="t"/>
              </v:shape>
            </v:group>
            <v:group style="position:absolute;left:9686;top:632;width:2;height:312" coordorigin="9686,632" coordsize="2,312">
              <v:shape style="position:absolute;left:9686;top:632;width:2;height:312" coordorigin="9686,632" coordsize="0,312" path="m9686,632l9686,944e" filled="false" stroked="true" strokeweight=".72pt" strokecolor="#000000">
                <v:path arrowok="t"/>
              </v:shape>
            </v:group>
            <v:group style="position:absolute;left:9686;top:944;width:2;height:312" coordorigin="9686,944" coordsize="2,312">
              <v:shape style="position:absolute;left:9686;top:944;width:2;height:312" coordorigin="9686,944" coordsize="0,312" path="m9686,944l9686,1256e" filled="false" stroked="true" strokeweight=".72pt" strokecolor="#000000">
                <v:path arrowok="t"/>
              </v:shape>
            </v:group>
            <v:group style="position:absolute;left:9686;top:1256;width:2;height:312" coordorigin="9686,1256" coordsize="2,312">
              <v:shape style="position:absolute;left:9686;top:1256;width:2;height:312" coordorigin="9686,1256" coordsize="0,312" path="m9686,1256l9686,1568e" filled="false" stroked="true" strokeweight=".72pt" strokecolor="#000000">
                <v:path arrowok="t"/>
              </v:shape>
            </v:group>
            <v:group style="position:absolute;left:9686;top:1568;width:2;height:312" coordorigin="9686,1568" coordsize="2,312">
              <v:shape style="position:absolute;left:9686;top:1568;width:2;height:312" coordorigin="9686,1568" coordsize="0,312" path="m9686,1568l9686,1880e" filled="false" stroked="true" strokeweight=".72pt" strokecolor="#000000">
                <v:path arrowok="t"/>
              </v:shape>
            </v:group>
            <v:group style="position:absolute;left:9686;top:1880;width:2;height:312" coordorigin="9686,1880" coordsize="2,312">
              <v:shape style="position:absolute;left:9686;top:1880;width:2;height:312" coordorigin="9686,1880" coordsize="0,312" path="m9686,1880l9686,2192e" filled="false" stroked="true" strokeweight=".72pt" strokecolor="#000000">
                <v:path arrowok="t"/>
              </v:shape>
            </v:group>
            <v:group style="position:absolute;left:9686;top:2192;width:2;height:312" coordorigin="9686,2192" coordsize="2,312">
              <v:shape style="position:absolute;left:9686;top:2192;width:2;height:312" coordorigin="9686,2192" coordsize="0,312" path="m9686,2192l9686,2504e" filled="false" stroked="true" strokeweight=".72pt" strokecolor="#000000">
                <v:path arrowok="t"/>
              </v:shape>
            </v:group>
            <v:group style="position:absolute;left:9686;top:2504;width:2;height:312" coordorigin="9686,2504" coordsize="2,312">
              <v:shape style="position:absolute;left:9686;top:2504;width:2;height:312" coordorigin="9686,2504" coordsize="0,312" path="m9686,2504l9686,2816e" filled="false" stroked="true" strokeweight=".72pt" strokecolor="#000000">
                <v:path arrowok="t"/>
              </v:shape>
            </v:group>
            <v:group style="position:absolute;left:9686;top:2816;width:2;height:312" coordorigin="9686,2816" coordsize="2,312">
              <v:shape style="position:absolute;left:9686;top:2816;width:2;height:312" coordorigin="9686,2816" coordsize="0,312" path="m9686,2816l9686,3128e" filled="false" stroked="true" strokeweight=".72pt" strokecolor="#000000">
                <v:path arrowok="t"/>
              </v:shape>
            </v:group>
            <v:group style="position:absolute;left:9686;top:3128;width:2;height:312" coordorigin="9686,3128" coordsize="2,312">
              <v:shape style="position:absolute;left:9686;top:3128;width:2;height:312" coordorigin="9686,3128" coordsize="0,312" path="m9686,3128l9686,3440e" filled="false" stroked="true" strokeweight=".72pt" strokecolor="#000000">
                <v:path arrowok="t"/>
              </v:shape>
            </v:group>
            <v:group style="position:absolute;left:9686;top:3440;width:2;height:312" coordorigin="9686,3440" coordsize="2,312">
              <v:shape style="position:absolute;left:9686;top:3440;width:2;height:312" coordorigin="9686,3440" coordsize="0,312" path="m9686,3440l9686,3752e" filled="false" stroked="true" strokeweight=".72pt" strokecolor="#000000">
                <v:path arrowok="t"/>
              </v:shape>
            </v:group>
            <v:group style="position:absolute;left:9686;top:3752;width:2;height:313" coordorigin="9686,3752" coordsize="2,313">
              <v:shape style="position:absolute;left:9686;top:3752;width:2;height:313" coordorigin="9686,3752" coordsize="0,313" path="m9686,3752l9686,4064e" filled="false" stroked="true" strokeweight=".72pt" strokecolor="#000000">
                <v:path arrowok="t"/>
              </v:shape>
            </v:group>
            <v:group style="position:absolute;left:9686;top:4064;width:2;height:312" coordorigin="9686,4064" coordsize="2,312">
              <v:shape style="position:absolute;left:9686;top:4064;width:2;height:312" coordorigin="9686,4064" coordsize="0,312" path="m9686,4064l9686,4376e" filled="false" stroked="true" strokeweight=".72pt" strokecolor="#000000">
                <v:path arrowok="t"/>
              </v:shape>
            </v:group>
            <v:group style="position:absolute;left:9686;top:4376;width:2;height:408" coordorigin="9686,4376" coordsize="2,408">
              <v:shape style="position:absolute;left:9686;top:4376;width:2;height:408" coordorigin="9686,4376" coordsize="0,408" path="m9686,4376l9686,4784e" filled="false" stroked="true" strokeweight=".72pt" strokecolor="#000000">
                <v:path arrowok="t"/>
              </v:shape>
              <v:shape style="position:absolute;left:0;top:0;width:9694;height:4792" type="#_x0000_t202" filled="false" stroked="false">
                <v:textbox inset="0,0,0,0">
                  <w:txbxContent>
                    <w:p>
                      <w:pPr>
                        <w:spacing w:line="256" w:lineRule="auto" w:before="0"/>
                        <w:ind w:left="43" w:right="36" w:firstLine="0"/>
                        <w:jc w:val="left"/>
                        <w:rPr>
                          <w:rFonts w:ascii="宋体" w:hAnsi="宋体" w:cs="宋体" w:eastAsia="宋体" w:hint="default"/>
                          <w:sz w:val="21"/>
                          <w:szCs w:val="21"/>
                        </w:rPr>
                      </w:pPr>
                      <w:r>
                        <w:rPr>
                          <w:rFonts w:ascii="宋体" w:hAnsi="宋体" w:cs="宋体" w:eastAsia="宋体" w:hint="default"/>
                          <w:spacing w:val="-3"/>
                          <w:sz w:val="21"/>
                          <w:szCs w:val="21"/>
                        </w:rPr>
                        <w:t>有限责任公司深圳分公司完成核准登记。行权后注册资本变更为</w:t>
                      </w:r>
                      <w:r>
                        <w:rPr>
                          <w:rFonts w:ascii="Times New Roman" w:hAnsi="Times New Roman" w:cs="Times New Roman" w:eastAsia="Times New Roman" w:hint="default"/>
                          <w:spacing w:val="-3"/>
                          <w:sz w:val="21"/>
                          <w:szCs w:val="21"/>
                        </w:rPr>
                        <w:t>33,992.56</w:t>
                      </w:r>
                      <w:r>
                        <w:rPr>
                          <w:rFonts w:ascii="宋体" w:hAnsi="宋体" w:cs="宋体" w:eastAsia="宋体" w:hint="default"/>
                          <w:spacing w:val="-3"/>
                          <w:sz w:val="21"/>
                          <w:szCs w:val="21"/>
                        </w:rPr>
                        <w:t>万元。此次增资已由利安达会计</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师事务所有限责任公司利安达验字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Times New Roman" w:hAnsi="Times New Roman" w:cs="Times New Roman" w:eastAsia="Times New Roman" w:hint="default"/>
                          <w:sz w:val="21"/>
                          <w:szCs w:val="21"/>
                        </w:rPr>
                        <w:t>1107</w:t>
                      </w:r>
                      <w:r>
                        <w:rPr>
                          <w:rFonts w:ascii="宋体" w:hAnsi="宋体" w:cs="宋体" w:eastAsia="宋体" w:hint="default"/>
                          <w:sz w:val="21"/>
                          <w:szCs w:val="21"/>
                        </w:rPr>
                        <w:t>号验资报告验证确认，并办理了工商变更登记。</w:t>
                      </w:r>
                    </w:p>
                    <w:p>
                      <w:pPr>
                        <w:spacing w:line="256" w:lineRule="auto" w:before="5"/>
                        <w:ind w:left="43" w:right="-8" w:firstLine="413"/>
                        <w:jc w:val="both"/>
                        <w:rPr>
                          <w:rFonts w:ascii="宋体" w:hAnsi="宋体" w:cs="宋体" w:eastAsia="宋体" w:hint="default"/>
                          <w:sz w:val="21"/>
                          <w:szCs w:val="21"/>
                        </w:rPr>
                      </w:pPr>
                      <w:r>
                        <w:rPr>
                          <w:rFonts w:ascii="宋体" w:hAnsi="宋体" w:cs="宋体" w:eastAsia="宋体" w:hint="default"/>
                          <w:spacing w:val="-2"/>
                          <w:sz w:val="21"/>
                          <w:szCs w:val="21"/>
                        </w:rPr>
                        <w:t>根据公司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年度股东会决议和修改后的章程规定，公司以未分配利润转增注册资本</w:t>
                      </w:r>
                      <w:r>
                        <w:rPr>
                          <w:rFonts w:ascii="Times New Roman" w:hAnsi="Times New Roman" w:cs="Times New Roman" w:eastAsia="Times New Roman" w:hint="default"/>
                          <w:spacing w:val="-2"/>
                          <w:sz w:val="21"/>
                          <w:szCs w:val="21"/>
                        </w:rPr>
                        <w:t>10,197.77</w:t>
                      </w:r>
                      <w:r>
                        <w:rPr>
                          <w:rFonts w:ascii="宋体" w:hAnsi="宋体" w:cs="宋体" w:eastAsia="宋体" w:hint="default"/>
                          <w:spacing w:val="-2"/>
                          <w:sz w:val="21"/>
                          <w:szCs w:val="21"/>
                        </w:rPr>
                        <w:t>万元，</w:t>
                      </w:r>
                      <w:r>
                        <w:rPr>
                          <w:rFonts w:ascii="宋体" w:hAnsi="宋体" w:cs="宋体" w:eastAsia="宋体" w:hint="default"/>
                          <w:spacing w:val="-3"/>
                          <w:w w:val="100"/>
                          <w:sz w:val="21"/>
                          <w:szCs w:val="21"/>
                        </w:rPr>
                        <w:t> </w:t>
                      </w:r>
                      <w:r>
                        <w:rPr>
                          <w:rFonts w:ascii="宋体" w:hAnsi="宋体" w:cs="宋体" w:eastAsia="宋体" w:hint="default"/>
                          <w:sz w:val="21"/>
                          <w:szCs w:val="21"/>
                        </w:rPr>
                        <w:t>转增基准日期为</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日，转增后，公司注册资本增至</w:t>
                      </w:r>
                      <w:r>
                        <w:rPr>
                          <w:rFonts w:ascii="Times New Roman" w:hAnsi="Times New Roman" w:cs="Times New Roman" w:eastAsia="Times New Roman" w:hint="default"/>
                          <w:sz w:val="21"/>
                          <w:szCs w:val="21"/>
                        </w:rPr>
                        <w:t>44,190.33</w:t>
                      </w:r>
                      <w:r>
                        <w:rPr>
                          <w:rFonts w:ascii="宋体" w:hAnsi="宋体" w:cs="宋体" w:eastAsia="宋体" w:hint="default"/>
                          <w:sz w:val="21"/>
                          <w:szCs w:val="21"/>
                        </w:rPr>
                        <w:t>万元。此次增资已由利安达会计师</w:t>
                      </w:r>
                      <w:r>
                        <w:rPr>
                          <w:rFonts w:ascii="宋体" w:hAnsi="宋体" w:cs="宋体" w:eastAsia="宋体" w:hint="default"/>
                          <w:spacing w:val="-53"/>
                          <w:sz w:val="21"/>
                          <w:szCs w:val="21"/>
                        </w:rPr>
                        <w:t> </w:t>
                      </w:r>
                      <w:r>
                        <w:rPr>
                          <w:rFonts w:ascii="宋体" w:hAnsi="宋体" w:cs="宋体" w:eastAsia="宋体" w:hint="default"/>
                          <w:sz w:val="21"/>
                          <w:szCs w:val="21"/>
                        </w:rPr>
                        <w:t>事务所利安达验字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Times New Roman" w:hAnsi="Times New Roman" w:cs="Times New Roman" w:eastAsia="Times New Roman" w:hint="default"/>
                          <w:sz w:val="21"/>
                          <w:szCs w:val="21"/>
                        </w:rPr>
                        <w:t>1046</w:t>
                      </w:r>
                      <w:r>
                        <w:rPr>
                          <w:rFonts w:ascii="宋体" w:hAnsi="宋体" w:cs="宋体" w:eastAsia="宋体" w:hint="default"/>
                          <w:sz w:val="21"/>
                          <w:szCs w:val="21"/>
                        </w:rPr>
                        <w:t>号验资报告验证确认，并办理了工商变更登记。</w:t>
                      </w:r>
                    </w:p>
                    <w:p>
                      <w:pPr>
                        <w:spacing w:line="261" w:lineRule="auto" w:before="5"/>
                        <w:ind w:left="43" w:right="36" w:firstLine="413"/>
                        <w:jc w:val="both"/>
                        <w:rPr>
                          <w:rFonts w:ascii="宋体" w:hAnsi="宋体" w:cs="宋体" w:eastAsia="宋体" w:hint="default"/>
                          <w:sz w:val="21"/>
                          <w:szCs w:val="21"/>
                        </w:rPr>
                      </w:pPr>
                      <w:r>
                        <w:rPr>
                          <w:rFonts w:ascii="宋体" w:hAnsi="宋体" w:cs="宋体" w:eastAsia="宋体" w:hint="default"/>
                          <w:spacing w:val="-3"/>
                          <w:sz w:val="21"/>
                          <w:szCs w:val="21"/>
                        </w:rPr>
                        <w:t>根据公司股票期权激励计划规定，经公司董事会申请、深圳证券交易所确认、中国证券登记结算有限</w:t>
                      </w:r>
                      <w:r>
                        <w:rPr>
                          <w:rFonts w:ascii="宋体" w:hAnsi="宋体" w:cs="宋体" w:eastAsia="宋体" w:hint="default"/>
                          <w:w w:val="100"/>
                          <w:sz w:val="21"/>
                          <w:szCs w:val="21"/>
                        </w:rPr>
                        <w:t> </w:t>
                      </w:r>
                      <w:r>
                        <w:rPr>
                          <w:rFonts w:ascii="宋体" w:hAnsi="宋体" w:cs="宋体" w:eastAsia="宋体" w:hint="default"/>
                          <w:sz w:val="21"/>
                          <w:szCs w:val="21"/>
                        </w:rPr>
                        <w:t>责任公司深圳分公司核准登记，以</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日为股票行权登记日，对本次提出申请行权的激励对象的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Times New Roman" w:hAnsi="Times New Roman" w:cs="Times New Roman" w:eastAsia="Times New Roman" w:hint="default"/>
                          <w:sz w:val="21"/>
                          <w:szCs w:val="21"/>
                        </w:rPr>
                        <w:t>1,279,860</w:t>
                      </w:r>
                      <w:r>
                        <w:rPr>
                          <w:rFonts w:ascii="宋体" w:hAnsi="宋体" w:cs="宋体" w:eastAsia="宋体" w:hint="default"/>
                          <w:sz w:val="21"/>
                          <w:szCs w:val="21"/>
                        </w:rPr>
                        <w:t>份股票期权予以行权，本次行权于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日完成验资，</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日在中国证券登记结</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算有限责任公司深圳分公司完成核准登记。行权后注册资本变更为</w:t>
                      </w:r>
                      <w:r>
                        <w:rPr>
                          <w:rFonts w:ascii="Times New Roman" w:hAnsi="Times New Roman" w:cs="Times New Roman" w:eastAsia="Times New Roman" w:hint="default"/>
                          <w:spacing w:val="-3"/>
                          <w:sz w:val="21"/>
                          <w:szCs w:val="21"/>
                        </w:rPr>
                        <w:t>44,318.32</w:t>
                      </w:r>
                      <w:r>
                        <w:rPr>
                          <w:rFonts w:ascii="宋体" w:hAnsi="宋体" w:cs="宋体" w:eastAsia="宋体" w:hint="default"/>
                          <w:spacing w:val="-3"/>
                          <w:sz w:val="21"/>
                          <w:szCs w:val="21"/>
                        </w:rPr>
                        <w:t>万元。此次增资已由利安达会</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计师事务所有限责任公司利安达验字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Times New Roman" w:hAnsi="Times New Roman" w:cs="Times New Roman" w:eastAsia="Times New Roman" w:hint="default"/>
                          <w:sz w:val="21"/>
                          <w:szCs w:val="21"/>
                        </w:rPr>
                        <w:t>1080</w:t>
                      </w:r>
                      <w:r>
                        <w:rPr>
                          <w:rFonts w:ascii="宋体" w:hAnsi="宋体" w:cs="宋体" w:eastAsia="宋体" w:hint="default"/>
                          <w:sz w:val="21"/>
                          <w:szCs w:val="21"/>
                        </w:rPr>
                        <w:t>号验资报告验证确认，并办理了工商变更登记。</w:t>
                      </w:r>
                    </w:p>
                    <w:p>
                      <w:pPr>
                        <w:tabs>
                          <w:tab w:pos="5100" w:val="left" w:leader="none"/>
                        </w:tabs>
                        <w:spacing w:line="261" w:lineRule="auto" w:before="0"/>
                        <w:ind w:left="456" w:right="826" w:firstLine="0"/>
                        <w:jc w:val="left"/>
                        <w:rPr>
                          <w:rFonts w:ascii="宋体" w:hAnsi="宋体" w:cs="宋体" w:eastAsia="宋体" w:hint="default"/>
                          <w:sz w:val="21"/>
                          <w:szCs w:val="21"/>
                        </w:rPr>
                      </w:pPr>
                      <w:r>
                        <w:rPr>
                          <w:rFonts w:ascii="宋体" w:hAnsi="宋体" w:cs="宋体" w:eastAsia="宋体" w:hint="default"/>
                          <w:sz w:val="21"/>
                          <w:szCs w:val="21"/>
                        </w:rPr>
                        <w:t>公司行业性质：</w:t>
                      </w:r>
                      <w:r>
                        <w:rPr>
                          <w:rFonts w:ascii="Times New Roman" w:hAnsi="Times New Roman" w:cs="Times New Roman" w:eastAsia="Times New Roman" w:hint="default"/>
                          <w:sz w:val="21"/>
                          <w:szCs w:val="21"/>
                        </w:rPr>
                        <w:t>IT</w:t>
                      </w:r>
                      <w:r>
                        <w:rPr>
                          <w:rFonts w:ascii="宋体" w:hAnsi="宋体" w:cs="宋体" w:eastAsia="宋体" w:hint="default"/>
                          <w:sz w:val="21"/>
                          <w:szCs w:val="21"/>
                        </w:rPr>
                        <w:t>行业。</w:t>
                      </w:r>
                      <w:r>
                        <w:rPr>
                          <w:rFonts w:ascii="宋体" w:hAnsi="宋体" w:cs="宋体" w:eastAsia="宋体" w:hint="default"/>
                          <w:w w:val="100"/>
                          <w:sz w:val="21"/>
                          <w:szCs w:val="21"/>
                        </w:rPr>
                        <w:t> </w:t>
                      </w:r>
                      <w:r>
                        <w:rPr>
                          <w:rFonts w:ascii="宋体" w:hAnsi="宋体" w:cs="宋体" w:eastAsia="宋体" w:hint="default"/>
                          <w:spacing w:val="-2"/>
                          <w:sz w:val="21"/>
                          <w:szCs w:val="21"/>
                        </w:rPr>
                        <w:t>公司经营范围：计算机软件的开发和销售，计算机软硬件系统集成，计算机技术咨询服务。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公司住所：广东省珠海市港湾大道科技一路</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号</w:t>
                        <w:tab/>
                        <w:t>法定代表人：陈利浩。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公司的主营业务：提供电力行业财务和管理信息化全面解决方案。</w:t>
                      </w:r>
                    </w:p>
                  </w:txbxContent>
                </v:textbox>
                <w10:wrap type="none"/>
              </v:shape>
            </v:group>
          </v:group>
        </w:pict>
      </w:r>
      <w:r>
        <w:rPr>
          <w:rFonts w:ascii="宋体" w:hAnsi="宋体" w:cs="宋体" w:eastAsia="宋体" w:hint="default"/>
          <w:position w:val="-95"/>
          <w:sz w:val="20"/>
          <w:szCs w:val="20"/>
        </w:rPr>
      </w:r>
    </w:p>
    <w:p>
      <w:pPr>
        <w:spacing w:line="240" w:lineRule="auto" w:before="7"/>
        <w:rPr>
          <w:rFonts w:ascii="宋体" w:hAnsi="宋体" w:cs="宋体" w:eastAsia="宋体" w:hint="default"/>
          <w:sz w:val="17"/>
          <w:szCs w:val="17"/>
        </w:rPr>
      </w:pPr>
    </w:p>
    <w:p>
      <w:pPr>
        <w:pStyle w:val="Heading2"/>
        <w:spacing w:line="240" w:lineRule="auto" w:before="26"/>
        <w:ind w:right="1123"/>
        <w:jc w:val="left"/>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5"/>
          <w:szCs w:val="25"/>
        </w:rPr>
      </w:pPr>
    </w:p>
    <w:p>
      <w:pPr>
        <w:spacing w:line="1994" w:lineRule="exact"/>
        <w:ind w:left="109"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87.8pt;height:99.75pt;mso-position-horizontal-relative:char;mso-position-vertical-relative:line" coordorigin="0,0" coordsize="9756,1995">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1980;width:9698;height:2" coordorigin="14,1980" coordsize="9698,2">
              <v:shape style="position:absolute;left:14;top:1980;width:9698;height:2" coordorigin="14,1980" coordsize="9698,0" path="m14,1980l9712,1980e" filled="false" stroked="true" strokeweight=".72pt" strokecolor="#000000">
                <v:path arrowok="t"/>
              </v:shape>
            </v:group>
            <v:group style="position:absolute;left:7;top:7;width:2;height:1981" coordorigin="7,7" coordsize="2,1981">
              <v:shape style="position:absolute;left:7;top:7;width:2;height:1981" coordorigin="7,7" coordsize="0,1981" path="m7,7l7,1988e" filled="false" stroked="true" strokeweight=".72pt" strokecolor="#000000">
                <v:path arrowok="t"/>
              </v:shape>
            </v:group>
            <v:group style="position:absolute;left:9720;top:7;width:2;height:1981" coordorigin="9720,7" coordsize="2,1981">
              <v:shape style="position:absolute;left:9720;top:7;width:2;height:1981" coordorigin="9720,7" coordsize="0,1981" path="m9720,7l9720,1988e" filled="false" stroked="true" strokeweight=".72pt" strokecolor="#000000">
                <v:path arrowok="t"/>
              </v:shape>
              <v:shape style="position:absolute;left:0;top:0;width:9756;height:1995" type="#_x0000_t202" filled="false" stroked="false">
                <v:textbox inset="0,0,0,0">
                  <w:txbxContent>
                    <w:p>
                      <w:pPr>
                        <w:spacing w:before="11"/>
                        <w:ind w:left="43" w:right="0" w:firstLine="0"/>
                        <w:jc w:val="left"/>
                        <w:rPr>
                          <w:rFonts w:ascii="宋体" w:hAnsi="宋体" w:cs="宋体" w:eastAsia="宋体" w:hint="default"/>
                          <w:sz w:val="21"/>
                          <w:szCs w:val="21"/>
                        </w:rPr>
                      </w:pPr>
                      <w:r>
                        <w:rPr>
                          <w:rFonts w:ascii="宋体" w:hAnsi="宋体" w:cs="宋体" w:eastAsia="宋体" w:hint="default"/>
                          <w:sz w:val="21"/>
                          <w:szCs w:val="21"/>
                        </w:rPr>
                        <w:t>公司财务报表以持续经营假设为基础，根据实际发生的交易和事项，按照财政部于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w:t>
                      </w:r>
                    </w:p>
                    <w:p>
                      <w:pPr>
                        <w:spacing w:line="256" w:lineRule="auto" w:before="19"/>
                        <w:ind w:left="43" w:right="69" w:firstLine="0"/>
                        <w:jc w:val="left"/>
                        <w:rPr>
                          <w:rFonts w:ascii="宋体" w:hAnsi="宋体" w:cs="宋体" w:eastAsia="宋体" w:hint="default"/>
                          <w:sz w:val="21"/>
                          <w:szCs w:val="21"/>
                        </w:rPr>
                      </w:pPr>
                      <w:r>
                        <w:rPr>
                          <w:rFonts w:ascii="宋体" w:hAnsi="宋体" w:cs="宋体" w:eastAsia="宋体" w:hint="default"/>
                          <w:sz w:val="21"/>
                          <w:szCs w:val="21"/>
                        </w:rPr>
                        <w:t>《企业会计准则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基本准则》（财政部令第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号）及《财政部关于印发</w:t>
                      </w:r>
                      <w:r>
                        <w:rPr>
                          <w:rFonts w:ascii="Times New Roman" w:hAnsi="Times New Roman" w:cs="Times New Roman" w:eastAsia="Times New Roman" w:hint="default"/>
                          <w:sz w:val="21"/>
                          <w:szCs w:val="21"/>
                        </w:rPr>
                        <w:t>&lt;</w:t>
                      </w:r>
                      <w:r>
                        <w:rPr>
                          <w:rFonts w:ascii="宋体" w:hAnsi="宋体" w:cs="宋体" w:eastAsia="宋体" w:hint="default"/>
                          <w:sz w:val="21"/>
                          <w:szCs w:val="21"/>
                        </w:rPr>
                        <w:t>企业会计准则第</w:t>
                      </w:r>
                      <w:r>
                        <w:rPr>
                          <w:rFonts w:ascii="Times New Roman" w:hAnsi="Times New Roman" w:cs="Times New Roman" w:eastAsia="Times New Roman" w:hint="default"/>
                          <w:sz w:val="21"/>
                          <w:szCs w:val="21"/>
                        </w:rPr>
                        <w:t>1</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存货</w:t>
                      </w:r>
                      <w:r>
                        <w:rPr>
                          <w:rFonts w:ascii="Times New Roman" w:hAnsi="Times New Roman" w:cs="Times New Roman" w:eastAsia="Times New Roman" w:hint="default"/>
                          <w:sz w:val="21"/>
                          <w:szCs w:val="21"/>
                        </w:rPr>
                        <w:t>&gt;</w:t>
                      </w:r>
                      <w:r>
                        <w:rPr>
                          <w:rFonts w:ascii="宋体" w:hAnsi="宋体" w:cs="宋体" w:eastAsia="宋体" w:hint="default"/>
                          <w:sz w:val="21"/>
                          <w:szCs w:val="21"/>
                        </w:rPr>
                        <w:t>等</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项具体准则的通知》（财会</w:t>
                      </w:r>
                      <w:r>
                        <w:rPr>
                          <w:rFonts w:ascii="Times New Roman" w:hAnsi="Times New Roman" w:cs="Times New Roman" w:eastAsia="Times New Roman" w:hint="default"/>
                          <w:sz w:val="21"/>
                          <w:szCs w:val="21"/>
                        </w:rPr>
                        <w:t>[2006]3</w:t>
                      </w:r>
                      <w:r>
                        <w:rPr>
                          <w:rFonts w:ascii="宋体" w:hAnsi="宋体" w:cs="宋体" w:eastAsia="宋体" w:hint="default"/>
                          <w:sz w:val="21"/>
                          <w:szCs w:val="21"/>
                        </w:rPr>
                        <w:t>号）、财政部</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日颁布的《财政部关于印发</w:t>
                      </w:r>
                      <w:r>
                        <w:rPr>
                          <w:rFonts w:ascii="Times New Roman" w:hAnsi="Times New Roman" w:cs="Times New Roman" w:eastAsia="Times New Roman" w:hint="default"/>
                          <w:sz w:val="21"/>
                          <w:szCs w:val="21"/>
                        </w:rPr>
                        <w:t>&lt;</w:t>
                      </w:r>
                      <w:r>
                        <w:rPr>
                          <w:rFonts w:ascii="宋体" w:hAnsi="宋体" w:cs="宋体" w:eastAsia="宋体" w:hint="default"/>
                          <w:sz w:val="21"/>
                          <w:szCs w:val="21"/>
                        </w:rPr>
                        <w:t>企业会计准则</w:t>
                      </w:r>
                    </w:p>
                    <w:p>
                      <w:pPr>
                        <w:spacing w:before="5"/>
                        <w:ind w:left="43"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应用指南</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的通知》（财会</w:t>
                      </w:r>
                      <w:r>
                        <w:rPr>
                          <w:rFonts w:ascii="Times New Roman" w:hAnsi="Times New Roman" w:cs="Times New Roman" w:eastAsia="Times New Roman" w:hint="default"/>
                          <w:spacing w:val="-2"/>
                          <w:sz w:val="21"/>
                          <w:szCs w:val="21"/>
                        </w:rPr>
                        <w:t>[2006]18</w:t>
                      </w:r>
                      <w:r>
                        <w:rPr>
                          <w:rFonts w:ascii="宋体" w:hAnsi="宋体" w:cs="宋体" w:eastAsia="宋体" w:hint="default"/>
                          <w:spacing w:val="-2"/>
                          <w:sz w:val="21"/>
                          <w:szCs w:val="21"/>
                        </w:rPr>
                        <w:t>号）、《企业会计准则解释第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号》、《企业会计准则解释第</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w:t>
                      </w:r>
                    </w:p>
                    <w:p>
                      <w:pPr>
                        <w:spacing w:line="259" w:lineRule="auto" w:before="21"/>
                        <w:ind w:left="43" w:right="68" w:firstLine="0"/>
                        <w:jc w:val="left"/>
                        <w:rPr>
                          <w:rFonts w:ascii="宋体" w:hAnsi="宋体" w:cs="宋体" w:eastAsia="宋体" w:hint="default"/>
                          <w:sz w:val="21"/>
                          <w:szCs w:val="21"/>
                        </w:rPr>
                      </w:pPr>
                      <w:r>
                        <w:rPr>
                          <w:rFonts w:ascii="宋体" w:hAnsi="宋体" w:cs="宋体" w:eastAsia="宋体" w:hint="default"/>
                          <w:sz w:val="21"/>
                          <w:szCs w:val="21"/>
                        </w:rPr>
                        <w:t>《企业会计准则解释第</w:t>
                      </w:r>
                      <w:r>
                        <w:rPr>
                          <w:rFonts w:ascii="Times New Roman" w:hAnsi="Times New Roman" w:cs="Times New Roman" w:eastAsia="Times New Roman" w:hint="default"/>
                          <w:sz w:val="21"/>
                          <w:szCs w:val="21"/>
                        </w:rPr>
                        <w:t>3</w:t>
                      </w:r>
                      <w:r>
                        <w:rPr>
                          <w:rFonts w:ascii="宋体" w:hAnsi="宋体" w:cs="宋体" w:eastAsia="宋体" w:hint="default"/>
                          <w:sz w:val="21"/>
                          <w:szCs w:val="21"/>
                        </w:rPr>
                        <w:t>号》、《企业会计准则解释第</w:t>
                      </w:r>
                      <w:r>
                        <w:rPr>
                          <w:rFonts w:ascii="Times New Roman" w:hAnsi="Times New Roman" w:cs="Times New Roman" w:eastAsia="Times New Roman" w:hint="default"/>
                          <w:sz w:val="21"/>
                          <w:szCs w:val="21"/>
                        </w:rPr>
                        <w:t>4</w:t>
                      </w:r>
                      <w:r>
                        <w:rPr>
                          <w:rFonts w:ascii="宋体" w:hAnsi="宋体" w:cs="宋体" w:eastAsia="宋体" w:hint="default"/>
                          <w:sz w:val="21"/>
                          <w:szCs w:val="21"/>
                        </w:rPr>
                        <w:t>号》、《企业会计准则解释第</w:t>
                      </w:r>
                      <w:r>
                        <w:rPr>
                          <w:rFonts w:ascii="Times New Roman" w:hAnsi="Times New Roman" w:cs="Times New Roman" w:eastAsia="Times New Roman" w:hint="default"/>
                          <w:sz w:val="21"/>
                          <w:szCs w:val="21"/>
                        </w:rPr>
                        <w:t>5</w:t>
                      </w:r>
                      <w:r>
                        <w:rPr>
                          <w:rFonts w:ascii="宋体" w:hAnsi="宋体" w:cs="宋体" w:eastAsia="宋体" w:hint="default"/>
                          <w:sz w:val="21"/>
                          <w:szCs w:val="21"/>
                        </w:rPr>
                        <w:t>号》等有关规定，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并基于以下所述重要会计政策、会计估计编制。</w:t>
                      </w:r>
                    </w:p>
                  </w:txbxContent>
                </v:textbox>
                <w10:wrap type="none"/>
              </v:shape>
            </v:group>
          </v:group>
        </w:pict>
      </w:r>
      <w:r>
        <w:rPr>
          <w:rFonts w:ascii="宋体" w:hAnsi="宋体" w:cs="宋体" w:eastAsia="宋体" w:hint="default"/>
          <w:position w:val="-39"/>
          <w:sz w:val="20"/>
          <w:szCs w:val="20"/>
        </w:rPr>
      </w:r>
    </w:p>
    <w:p>
      <w:pPr>
        <w:spacing w:line="240" w:lineRule="auto" w:before="9"/>
        <w:rPr>
          <w:rFonts w:ascii="宋体" w:hAnsi="宋体" w:cs="宋体" w:eastAsia="宋体" w:hint="default"/>
          <w:b/>
          <w:bCs/>
          <w:sz w:val="18"/>
          <w:szCs w:val="18"/>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3"/>
        <w:rPr>
          <w:rFonts w:ascii="宋体" w:hAnsi="宋体" w:cs="宋体" w:eastAsia="宋体" w:hint="default"/>
          <w:b/>
          <w:bCs/>
          <w:sz w:val="26"/>
          <w:szCs w:val="26"/>
        </w:rPr>
      </w:pPr>
    </w:p>
    <w:p>
      <w:pPr>
        <w:spacing w:line="720" w:lineRule="exact"/>
        <w:ind w:left="116"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85.65pt;height:36pt;mso-position-horizontal-relative:char;mso-position-vertical-relative:line" type="#_x0000_t202" filled="false" stroked="true" strokeweight=".72pt" strokecolor="#000000">
            <w10:anchorlock/>
            <v:textbox inset="0,0,0,0">
              <w:txbxContent>
                <w:p>
                  <w:pPr>
                    <w:spacing w:line="273" w:lineRule="auto" w:before="0"/>
                    <w:ind w:left="28" w:right="21" w:firstLine="420"/>
                    <w:jc w:val="left"/>
                    <w:rPr>
                      <w:rFonts w:ascii="宋体" w:hAnsi="宋体" w:cs="宋体" w:eastAsia="宋体" w:hint="default"/>
                      <w:sz w:val="21"/>
                      <w:szCs w:val="21"/>
                    </w:rPr>
                  </w:pPr>
                  <w:r>
                    <w:rPr>
                      <w:rFonts w:ascii="宋体" w:hAnsi="宋体" w:cs="宋体" w:eastAsia="宋体" w:hint="default"/>
                      <w:spacing w:val="-2"/>
                      <w:sz w:val="21"/>
                      <w:szCs w:val="21"/>
                    </w:rPr>
                    <w:t>公司编制的财务报表符合企业会计准则的要求，真实、完整地反映了公司的财务状况、经营成果和现</w:t>
                  </w:r>
                  <w:r>
                    <w:rPr>
                      <w:rFonts w:ascii="宋体" w:hAnsi="宋体" w:cs="宋体" w:eastAsia="宋体" w:hint="default"/>
                      <w:w w:val="100"/>
                      <w:sz w:val="21"/>
                      <w:szCs w:val="21"/>
                    </w:rPr>
                    <w:t> </w:t>
                  </w:r>
                  <w:r>
                    <w:rPr>
                      <w:rFonts w:ascii="宋体" w:hAnsi="宋体" w:cs="宋体" w:eastAsia="宋体" w:hint="default"/>
                      <w:sz w:val="21"/>
                      <w:szCs w:val="21"/>
                    </w:rPr>
                    <w:t>金流量等有关信息。</w:t>
                  </w:r>
                </w:p>
              </w:txbxContent>
            </v:textbox>
          </v:shape>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
        <w:rPr>
          <w:rFonts w:ascii="宋体" w:hAnsi="宋体" w:cs="宋体" w:eastAsia="宋体" w:hint="default"/>
          <w:b/>
          <w:bCs/>
          <w:sz w:val="26"/>
          <w:szCs w:val="26"/>
        </w:rPr>
      </w:pPr>
    </w:p>
    <w:p>
      <w:pPr>
        <w:spacing w:line="408"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3.95pt;height:20.4pt;mso-position-horizontal-relative:char;mso-position-vertical-relative:line" type="#_x0000_t202" filled="false" stroked="true" strokeweight=".72pt" strokecolor="#000000">
            <w10:anchorlock/>
            <v:textbox inset="0,0,0,0">
              <w:txbxContent>
                <w:p>
                  <w:pPr>
                    <w:spacing w:line="281" w:lineRule="exact" w:before="0"/>
                    <w:ind w:left="432" w:right="0" w:firstLine="0"/>
                    <w:jc w:val="left"/>
                    <w:rPr>
                      <w:rFonts w:ascii="宋体" w:hAnsi="宋体" w:cs="宋体" w:eastAsia="宋体" w:hint="default"/>
                      <w:sz w:val="21"/>
                      <w:szCs w:val="21"/>
                    </w:rPr>
                  </w:pPr>
                  <w:r>
                    <w:rPr>
                      <w:rFonts w:ascii="宋体" w:hAnsi="宋体" w:cs="宋体" w:eastAsia="宋体" w:hint="default"/>
                      <w:sz w:val="21"/>
                      <w:szCs w:val="21"/>
                    </w:rPr>
                    <w:t>公司会计年度采用公历制，即自公历每年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6"/>
          <w:szCs w:val="26"/>
        </w:rPr>
      </w:pPr>
    </w:p>
    <w:p>
      <w:pPr>
        <w:spacing w:line="408"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3.95pt;height:20.4pt;mso-position-horizontal-relative:char;mso-position-vertical-relative:line" type="#_x0000_t202" filled="false" stroked="true" strokeweight=".72pt" strokecolor="#000000">
            <w10:anchorlock/>
            <v:textbox inset="0,0,0,0">
              <w:txbxContent>
                <w:p>
                  <w:pPr>
                    <w:spacing w:line="265" w:lineRule="exact" w:before="0"/>
                    <w:ind w:left="449" w:right="0" w:firstLine="0"/>
                    <w:jc w:val="left"/>
                    <w:rPr>
                      <w:rFonts w:ascii="宋体" w:hAnsi="宋体" w:cs="宋体" w:eastAsia="宋体" w:hint="default"/>
                      <w:sz w:val="21"/>
                      <w:szCs w:val="21"/>
                    </w:rPr>
                  </w:pPr>
                  <w:r>
                    <w:rPr>
                      <w:rFonts w:ascii="宋体" w:hAnsi="宋体" w:cs="宋体" w:eastAsia="宋体" w:hint="default"/>
                      <w:sz w:val="21"/>
                      <w:szCs w:val="21"/>
                    </w:rPr>
                    <w:t>公司以人民币为记账本位币。</w:t>
                  </w:r>
                </w:p>
              </w:txbxContent>
            </v:textbox>
          </v:shape>
        </w:pict>
      </w:r>
      <w:r>
        <w:rPr>
          <w:rFonts w:ascii="宋体" w:hAnsi="宋体" w:cs="宋体" w:eastAsia="宋体" w:hint="default"/>
          <w:position w:val="-7"/>
          <w:sz w:val="20"/>
          <w:szCs w:val="20"/>
        </w:rPr>
      </w:r>
    </w:p>
    <w:p>
      <w:pPr>
        <w:spacing w:after="0" w:line="408"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
        <w:rPr>
          <w:rFonts w:ascii="宋体" w:hAnsi="宋体" w:cs="宋体" w:eastAsia="宋体" w:hint="default"/>
          <w:b/>
          <w:bCs/>
          <w:sz w:val="26"/>
          <w:szCs w:val="26"/>
        </w:rPr>
      </w:pPr>
    </w:p>
    <w:p>
      <w:pPr>
        <w:spacing w:line="2532" w:lineRule="exact"/>
        <w:ind w:left="116" w:right="0" w:firstLine="0"/>
        <w:rPr>
          <w:rFonts w:ascii="宋体" w:hAnsi="宋体" w:cs="宋体" w:eastAsia="宋体" w:hint="default"/>
          <w:sz w:val="20"/>
          <w:szCs w:val="20"/>
        </w:rPr>
      </w:pPr>
      <w:r>
        <w:rPr>
          <w:rFonts w:ascii="宋体" w:hAnsi="宋体" w:cs="宋体" w:eastAsia="宋体" w:hint="default"/>
          <w:position w:val="-50"/>
          <w:sz w:val="20"/>
          <w:szCs w:val="20"/>
        </w:rPr>
        <w:pict>
          <v:shape style="width:485.65pt;height:126.6pt;mso-position-horizontal-relative:char;mso-position-vertical-relative:line" type="#_x0000_t202" filled="false" stroked="true" strokeweight=".72pt" strokecolor="#000000">
            <w10:anchorlock/>
            <v:textbox inset="0,0,0,0">
              <w:txbxContent>
                <w:p>
                  <w:pPr>
                    <w:spacing w:line="271" w:lineRule="auto" w:before="0"/>
                    <w:ind w:left="28" w:right="22" w:firstLine="420"/>
                    <w:jc w:val="both"/>
                    <w:rPr>
                      <w:rFonts w:ascii="宋体" w:hAnsi="宋体" w:cs="宋体" w:eastAsia="宋体" w:hint="default"/>
                      <w:sz w:val="21"/>
                      <w:szCs w:val="21"/>
                    </w:rPr>
                  </w:pPr>
                  <w:r>
                    <w:rPr>
                      <w:rFonts w:ascii="宋体" w:hAnsi="宋体" w:cs="宋体" w:eastAsia="宋体" w:hint="default"/>
                      <w:spacing w:val="-2"/>
                      <w:sz w:val="21"/>
                      <w:szCs w:val="21"/>
                    </w:rPr>
                    <w:t>本公司对同一控制下的企业合并采用权益结合法进行会计处理。通过合并取得的被合并方的资产、负</w:t>
                  </w:r>
                  <w:r>
                    <w:rPr>
                      <w:rFonts w:ascii="宋体" w:hAnsi="宋体" w:cs="宋体" w:eastAsia="宋体" w:hint="default"/>
                      <w:w w:val="100"/>
                      <w:sz w:val="21"/>
                      <w:szCs w:val="21"/>
                    </w:rPr>
                    <w:t> </w:t>
                  </w:r>
                  <w:r>
                    <w:rPr>
                      <w:rFonts w:ascii="宋体" w:hAnsi="宋体" w:cs="宋体" w:eastAsia="宋体" w:hint="default"/>
                      <w:spacing w:val="-2"/>
                      <w:sz w:val="21"/>
                      <w:szCs w:val="21"/>
                    </w:rPr>
                    <w:t>债，除因会计政策不同而进行的必要调整外，本公司按合并日被合并方的原账面价值计量。合并对价的账</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面价值（或发行股份面值总额）与合并中取得的净资产账面价值份额的差额调整资本公积，资本公积不足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冲减的，调整留存收益。</w:t>
                  </w:r>
                </w:p>
                <w:p>
                  <w:pPr>
                    <w:spacing w:line="273" w:lineRule="auto" w:before="10"/>
                    <w:ind w:left="28" w:right="22" w:firstLine="420"/>
                    <w:jc w:val="both"/>
                    <w:rPr>
                      <w:rFonts w:ascii="宋体" w:hAnsi="宋体" w:cs="宋体" w:eastAsia="宋体" w:hint="default"/>
                      <w:sz w:val="21"/>
                      <w:szCs w:val="21"/>
                    </w:rPr>
                  </w:pPr>
                  <w:r>
                    <w:rPr>
                      <w:rFonts w:ascii="宋体" w:hAnsi="宋体" w:cs="宋体" w:eastAsia="宋体" w:hint="default"/>
                      <w:spacing w:val="-2"/>
                      <w:sz w:val="21"/>
                      <w:szCs w:val="21"/>
                    </w:rPr>
                    <w:t>本公司作为合并方为进行企业合并发生的审计、法律服务、评估咨询等中介费用以及其他相关管理费</w:t>
                  </w:r>
                  <w:r>
                    <w:rPr>
                      <w:rFonts w:ascii="宋体" w:hAnsi="宋体" w:cs="宋体" w:eastAsia="宋体" w:hint="default"/>
                      <w:w w:val="100"/>
                      <w:sz w:val="21"/>
                      <w:szCs w:val="21"/>
                    </w:rPr>
                    <w:t> </w:t>
                  </w:r>
                  <w:r>
                    <w:rPr>
                      <w:rFonts w:ascii="宋体" w:hAnsi="宋体" w:cs="宋体" w:eastAsia="宋体" w:hint="default"/>
                      <w:spacing w:val="-2"/>
                      <w:sz w:val="21"/>
                      <w:szCs w:val="21"/>
                    </w:rPr>
                    <w:t>用，于发生时计入当期损益。为企业合并发行的债券或承担其他债务支付的手续费、佣金等，计入所发行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债券及其他债务的初始计量金额。企业合并中发行权益性证券发生的手续费、佣金等费用，应当抵减权益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性证券溢价收入，溢价收入不足冲减的，冲减留存收益。</w:t>
                  </w:r>
                </w:p>
              </w:txbxContent>
            </v:textbox>
          </v:shape>
        </w:pict>
      </w:r>
      <w:r>
        <w:rPr>
          <w:rFonts w:ascii="宋体" w:hAnsi="宋体" w:cs="宋体" w:eastAsia="宋体" w:hint="default"/>
          <w:position w:val="-50"/>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
        <w:rPr>
          <w:rFonts w:ascii="宋体" w:hAnsi="宋体" w:cs="宋体" w:eastAsia="宋体" w:hint="default"/>
          <w:b/>
          <w:bCs/>
          <w:sz w:val="26"/>
          <w:szCs w:val="26"/>
        </w:rPr>
      </w:pPr>
    </w:p>
    <w:p>
      <w:pPr>
        <w:spacing w:line="1284" w:lineRule="exact"/>
        <w:ind w:left="116"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85.65pt;height:64.2pt;mso-position-horizontal-relative:char;mso-position-vertical-relative:line" type="#_x0000_t202" filled="false" stroked="true" strokeweight=".72pt" strokecolor="#000000">
            <w10:anchorlock/>
            <v:textbox inset="0,0,0,0">
              <w:txbxContent>
                <w:p>
                  <w:pPr>
                    <w:spacing w:line="273" w:lineRule="auto" w:before="0"/>
                    <w:ind w:left="28" w:right="22" w:firstLine="420"/>
                    <w:jc w:val="both"/>
                    <w:rPr>
                      <w:rFonts w:ascii="宋体" w:hAnsi="宋体" w:cs="宋体" w:eastAsia="宋体" w:hint="default"/>
                      <w:sz w:val="21"/>
                      <w:szCs w:val="21"/>
                    </w:rPr>
                  </w:pPr>
                  <w:r>
                    <w:rPr>
                      <w:rFonts w:ascii="宋体" w:hAnsi="宋体" w:cs="宋体" w:eastAsia="宋体" w:hint="default"/>
                      <w:sz w:val="21"/>
                      <w:szCs w:val="21"/>
                    </w:rPr>
                    <w:t>对于非同一控制下的企业合并，合并成本为购买方在购买日为取得对被购买方的控制权而付出的资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pacing w:val="-2"/>
                      <w:sz w:val="21"/>
                      <w:szCs w:val="21"/>
                    </w:rPr>
                    <w:t>产、发生或承担的负债以及发行的权益性证券的公允价值。通过多次交换交易分步实现的企业合并，合并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成本为每一单项交易成本之和。购买方为进行企业合并发生的各项直接相关费用计入当期损益。购买日是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指本公司实际取得对被购买方控制权的日期。</w:t>
                  </w:r>
                </w:p>
              </w:txbxContent>
            </v:textbox>
          </v:shape>
        </w:pict>
      </w:r>
      <w:r>
        <w:rPr>
          <w:rFonts w:ascii="宋体" w:hAnsi="宋体" w:cs="宋体" w:eastAsia="宋体" w:hint="default"/>
          <w:position w:val="-25"/>
          <w:sz w:val="20"/>
          <w:szCs w:val="20"/>
        </w:rPr>
      </w:r>
    </w:p>
    <w:p>
      <w:pPr>
        <w:pStyle w:val="Heading5"/>
        <w:spacing w:line="273" w:lineRule="auto"/>
        <w:ind w:right="1126"/>
        <w:jc w:val="both"/>
      </w:pPr>
      <w:r>
        <w:rPr>
          <w:spacing w:val="-2"/>
        </w:rPr>
        <w:t>购买方对合并成本大于合并中取得的被购买方可辨认净资产公允价值份额的差额，确认为商誉。购买方对</w:t>
      </w:r>
      <w:r>
        <w:rPr>
          <w:spacing w:val="-43"/>
        </w:rPr>
        <w:t> </w:t>
      </w:r>
      <w:r>
        <w:rPr>
          <w:spacing w:val="-43"/>
        </w:rPr>
      </w:r>
      <w:r>
        <w:rPr>
          <w:spacing w:val="-2"/>
        </w:rPr>
        <w:t>合并成本小于合并中取得的被购买方可辨认净资产公允价值份额的，经复核后合并成本仍小于合并中取得</w:t>
      </w:r>
      <w:r>
        <w:rPr>
          <w:spacing w:val="-43"/>
        </w:rPr>
        <w:t> </w:t>
      </w:r>
      <w:r>
        <w:rPr>
          <w:spacing w:val="-43"/>
        </w:rPr>
      </w:r>
      <w:r>
        <w:rPr/>
        <w:t>的被购买方可辨认净资产公允价值份额的差额，计入当期损益。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
        <w:rPr>
          <w:rFonts w:ascii="宋体" w:hAnsi="宋体" w:cs="宋体" w:eastAsia="宋体" w:hint="default"/>
          <w:b/>
          <w:bCs/>
          <w:sz w:val="26"/>
          <w:szCs w:val="26"/>
        </w:rPr>
      </w:pPr>
    </w:p>
    <w:p>
      <w:pPr>
        <w:spacing w:line="4716" w:lineRule="exact"/>
        <w:ind w:left="116" w:right="0" w:firstLine="0"/>
        <w:rPr>
          <w:rFonts w:ascii="宋体" w:hAnsi="宋体" w:cs="宋体" w:eastAsia="宋体" w:hint="default"/>
          <w:sz w:val="20"/>
          <w:szCs w:val="20"/>
        </w:rPr>
      </w:pPr>
      <w:r>
        <w:rPr>
          <w:rFonts w:ascii="宋体" w:hAnsi="宋体" w:cs="宋体" w:eastAsia="宋体" w:hint="default"/>
          <w:position w:val="-93"/>
          <w:sz w:val="20"/>
          <w:szCs w:val="20"/>
        </w:rPr>
        <w:pict>
          <v:shape style="width:485.65pt;height:235.85pt;mso-position-horizontal-relative:char;mso-position-vertical-relative:line" type="#_x0000_t202" filled="false" stroked="true" strokeweight=".72pt" strokecolor="#000000">
            <w10:anchorlock/>
            <v:textbox inset="0,0,0,0">
              <w:txbxContent>
                <w:p>
                  <w:pPr>
                    <w:spacing w:line="256" w:lineRule="auto" w:before="0"/>
                    <w:ind w:left="449" w:right="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）合并范围的确定原则</w:t>
                  </w:r>
                  <w:r>
                    <w:rPr>
                      <w:rFonts w:ascii="宋体" w:hAnsi="宋体" w:cs="宋体" w:eastAsia="宋体" w:hint="default"/>
                      <w:w w:val="100"/>
                      <w:sz w:val="21"/>
                      <w:szCs w:val="21"/>
                    </w:rPr>
                    <w:t> </w:t>
                  </w:r>
                  <w:r>
                    <w:rPr>
                      <w:rFonts w:ascii="宋体" w:hAnsi="宋体" w:cs="宋体" w:eastAsia="宋体" w:hint="default"/>
                      <w:sz w:val="21"/>
                      <w:szCs w:val="21"/>
                    </w:rPr>
                    <w:t>合并财务报表按照</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月颁布的《企业会计准则第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合并财务报表》执行。以控制为基础</w:t>
                  </w:r>
                </w:p>
                <w:p>
                  <w:pPr>
                    <w:spacing w:line="273" w:lineRule="auto" w:before="5"/>
                    <w:ind w:left="28" w:right="2" w:firstLine="0"/>
                    <w:jc w:val="both"/>
                    <w:rPr>
                      <w:rFonts w:ascii="宋体" w:hAnsi="宋体" w:cs="宋体" w:eastAsia="宋体" w:hint="default"/>
                      <w:sz w:val="21"/>
                      <w:szCs w:val="21"/>
                    </w:rPr>
                  </w:pPr>
                  <w:r>
                    <w:rPr>
                      <w:rFonts w:ascii="宋体" w:hAnsi="宋体" w:cs="宋体" w:eastAsia="宋体" w:hint="default"/>
                      <w:spacing w:val="-2"/>
                      <w:sz w:val="21"/>
                      <w:szCs w:val="21"/>
                    </w:rPr>
                    <w:t>确定合并财务报表的合并范围，合并了本公司及本公司直接或间接控制的子公司、特殊目的主体的财务报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表。控制是指本公司有权决定被投资单位的财务和经营政策，并能据以从该企业的经营活动中获取利益。</w:t>
                  </w:r>
                </w:p>
                <w:p>
                  <w:pPr>
                    <w:spacing w:before="7"/>
                    <w:ind w:left="449" w:right="0" w:firstLine="0"/>
                    <w:jc w:val="left"/>
                    <w:rPr>
                      <w:rFonts w:ascii="宋体" w:hAnsi="宋体" w:cs="宋体" w:eastAsia="宋体" w:hint="default"/>
                      <w:sz w:val="21"/>
                      <w:szCs w:val="21"/>
                    </w:rPr>
                  </w:pPr>
                  <w:r>
                    <w:rPr>
                      <w:rFonts w:ascii="宋体" w:hAnsi="宋体" w:cs="宋体" w:eastAsia="宋体" w:hint="default"/>
                      <w:sz w:val="21"/>
                      <w:szCs w:val="21"/>
                    </w:rPr>
                    <w:t>有证据表明母公司不能控制被投资单位的，不纳入合并报表范围。</w:t>
                  </w:r>
                </w:p>
                <w:p>
                  <w:pPr>
                    <w:spacing w:line="259" w:lineRule="auto" w:before="37"/>
                    <w:ind w:left="554" w:right="27"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）购买或出售子公司股权的处理</w:t>
                  </w:r>
                  <w:r>
                    <w:rPr>
                      <w:rFonts w:ascii="宋体" w:hAnsi="宋体" w:cs="宋体" w:eastAsia="宋体" w:hint="default"/>
                      <w:w w:val="100"/>
                      <w:sz w:val="21"/>
                      <w:szCs w:val="21"/>
                    </w:rPr>
                    <w:t> </w:t>
                  </w:r>
                  <w:r>
                    <w:rPr>
                      <w:rFonts w:ascii="宋体" w:hAnsi="宋体" w:cs="宋体" w:eastAsia="宋体" w:hint="default"/>
                      <w:sz w:val="21"/>
                      <w:szCs w:val="21"/>
                    </w:rPr>
                    <w:t>本公司将与购买或出售子公司股权所有权相关的风险和报酬实质上发生转移的时间确认为购买日和</w:t>
                  </w:r>
                </w:p>
                <w:p>
                  <w:pPr>
                    <w:spacing w:line="273" w:lineRule="auto" w:before="20"/>
                    <w:ind w:left="28" w:right="22" w:firstLine="0"/>
                    <w:jc w:val="both"/>
                    <w:rPr>
                      <w:rFonts w:ascii="宋体" w:hAnsi="宋体" w:cs="宋体" w:eastAsia="宋体" w:hint="default"/>
                      <w:sz w:val="21"/>
                      <w:szCs w:val="21"/>
                    </w:rPr>
                  </w:pPr>
                  <w:r>
                    <w:rPr>
                      <w:rFonts w:ascii="宋体" w:hAnsi="宋体" w:cs="宋体" w:eastAsia="宋体" w:hint="default"/>
                      <w:spacing w:val="-2"/>
                      <w:sz w:val="21"/>
                      <w:szCs w:val="21"/>
                    </w:rPr>
                    <w:t>出售日。对于非同一控制下企业合并取得或出售的子公司，在购买日后及出售日前的经营成果及现金流量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已适当地包括在合并利润表和合并现金流量表中；对于同一控制下企业合并取得的子公司，自合并当期期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初至合并日的经营成果和现金流量也已包括在合并利润表和合并现金流量表中并单独列示，合并财务报表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的比较数也已作出了相应的调整。</w:t>
                  </w:r>
                </w:p>
                <w:p>
                  <w:pPr>
                    <w:spacing w:line="264" w:lineRule="auto" w:before="7"/>
                    <w:ind w:left="28" w:right="27" w:firstLine="526"/>
                    <w:jc w:val="both"/>
                    <w:rPr>
                      <w:rFonts w:ascii="宋体" w:hAnsi="宋体" w:cs="宋体" w:eastAsia="宋体" w:hint="default"/>
                      <w:sz w:val="21"/>
                      <w:szCs w:val="21"/>
                    </w:rPr>
                  </w:pPr>
                  <w:r>
                    <w:rPr>
                      <w:rFonts w:ascii="宋体" w:hAnsi="宋体" w:cs="宋体" w:eastAsia="宋体" w:hint="default"/>
                      <w:sz w:val="21"/>
                      <w:szCs w:val="21"/>
                    </w:rPr>
                    <w:t>购买子公司少数股权所形成的长期股权投资，公司在编制合并财务报表时，因购买少数股权新取得</w:t>
                  </w:r>
                  <w:r>
                    <w:rPr>
                      <w:rFonts w:ascii="宋体" w:hAnsi="宋体" w:cs="宋体" w:eastAsia="宋体" w:hint="default"/>
                      <w:w w:val="100"/>
                      <w:sz w:val="21"/>
                      <w:szCs w:val="21"/>
                    </w:rPr>
                    <w:t> </w:t>
                  </w:r>
                  <w:r>
                    <w:rPr>
                      <w:rFonts w:ascii="宋体" w:hAnsi="宋体" w:cs="宋体" w:eastAsia="宋体" w:hint="default"/>
                      <w:sz w:val="21"/>
                      <w:szCs w:val="21"/>
                    </w:rPr>
                    <w:t>的长期股权投资与按照新增持股比例计算应享有子公司自购买日</w:t>
                  </w:r>
                  <w:r>
                    <w:rPr>
                      <w:rFonts w:ascii="Times New Roman" w:hAnsi="Times New Roman" w:cs="Times New Roman" w:eastAsia="Times New Roman" w:hint="default"/>
                      <w:sz w:val="21"/>
                      <w:szCs w:val="21"/>
                    </w:rPr>
                    <w:t>(</w:t>
                  </w:r>
                  <w:r>
                    <w:rPr>
                      <w:rFonts w:ascii="宋体" w:hAnsi="宋体" w:cs="宋体" w:eastAsia="宋体" w:hint="default"/>
                      <w:sz w:val="21"/>
                      <w:szCs w:val="21"/>
                    </w:rPr>
                    <w:t>或合并日</w:t>
                  </w:r>
                  <w:r>
                    <w:rPr>
                      <w:rFonts w:ascii="Times New Roman" w:hAnsi="Times New Roman" w:cs="Times New Roman" w:eastAsia="Times New Roman" w:hint="default"/>
                      <w:sz w:val="21"/>
                      <w:szCs w:val="21"/>
                    </w:rPr>
                    <w:t>)</w:t>
                  </w:r>
                  <w:r>
                    <w:rPr>
                      <w:rFonts w:ascii="宋体" w:hAnsi="宋体" w:cs="宋体" w:eastAsia="宋体" w:hint="default"/>
                      <w:sz w:val="21"/>
                      <w:szCs w:val="21"/>
                    </w:rPr>
                    <w:t>开始持续计算的净资产份额之</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间的差额，调整所有者权益</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，资本公积不足冲减的，调整留存收益。</w:t>
                  </w:r>
                </w:p>
                <w:p>
                  <w:pPr>
                    <w:spacing w:before="0"/>
                    <w:ind w:left="44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）当子公司的会计政策、会计期间与母公司不一致时，对子公司的财务报表进行调整。</w:t>
                  </w:r>
                </w:p>
              </w:txbxContent>
            </v:textbox>
          </v:shape>
        </w:pict>
      </w:r>
      <w:r>
        <w:rPr>
          <w:rFonts w:ascii="宋体" w:hAnsi="宋体" w:cs="宋体" w:eastAsia="宋体" w:hint="default"/>
          <w:position w:val="-93"/>
          <w:sz w:val="20"/>
          <w:szCs w:val="20"/>
        </w:rPr>
      </w:r>
    </w:p>
    <w:p>
      <w:pPr>
        <w:spacing w:after="0" w:line="4716"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
        <w:rPr>
          <w:rFonts w:ascii="宋体" w:hAnsi="宋体" w:cs="宋体" w:eastAsia="宋体" w:hint="default"/>
          <w:b/>
          <w:bCs/>
          <w:sz w:val="29"/>
          <w:szCs w:val="29"/>
        </w:rPr>
      </w:pPr>
    </w:p>
    <w:p>
      <w:pPr>
        <w:spacing w:line="1596" w:lineRule="exact"/>
        <w:ind w:left="116" w:right="0" w:firstLine="0"/>
        <w:rPr>
          <w:rFonts w:ascii="宋体" w:hAnsi="宋体" w:cs="宋体" w:eastAsia="宋体" w:hint="default"/>
          <w:sz w:val="20"/>
          <w:szCs w:val="20"/>
        </w:rPr>
      </w:pPr>
      <w:r>
        <w:rPr>
          <w:rFonts w:ascii="宋体" w:hAnsi="宋体" w:cs="宋体" w:eastAsia="宋体" w:hint="default"/>
          <w:position w:val="-31"/>
          <w:sz w:val="20"/>
          <w:szCs w:val="20"/>
        </w:rPr>
        <w:pict>
          <v:shape style="width:485.65pt;height:79.850pt;mso-position-horizontal-relative:char;mso-position-vertical-relative:line" type="#_x0000_t202" filled="false" stroked="true" strokeweight=".72pt" strokecolor="#000000">
            <w10:anchorlock/>
            <v:textbox inset="0,0,0,0">
              <w:txbxContent>
                <w:p>
                  <w:pPr>
                    <w:spacing w:line="271" w:lineRule="auto" w:before="0"/>
                    <w:ind w:left="28" w:right="21" w:firstLine="526"/>
                    <w:jc w:val="both"/>
                    <w:rPr>
                      <w:rFonts w:ascii="宋体" w:hAnsi="宋体" w:cs="宋体" w:eastAsia="宋体" w:hint="default"/>
                      <w:sz w:val="21"/>
                      <w:szCs w:val="21"/>
                    </w:rPr>
                  </w:pPr>
                  <w:r>
                    <w:rPr>
                      <w:rFonts w:ascii="宋体" w:hAnsi="宋体" w:cs="宋体" w:eastAsia="宋体" w:hint="default"/>
                      <w:sz w:val="21"/>
                      <w:szCs w:val="21"/>
                    </w:rPr>
                    <w:t>如果子公司执行的会计政策与本公司不一致，编制合并财务报表时已按照本公司的会计政策对子公</w:t>
                  </w:r>
                  <w:r>
                    <w:rPr>
                      <w:rFonts w:ascii="宋体" w:hAnsi="宋体" w:cs="宋体" w:eastAsia="宋体" w:hint="default"/>
                      <w:w w:val="100"/>
                      <w:sz w:val="21"/>
                      <w:szCs w:val="21"/>
                    </w:rPr>
                    <w:t> </w:t>
                  </w:r>
                  <w:r>
                    <w:rPr>
                      <w:rFonts w:ascii="宋体" w:hAnsi="宋体" w:cs="宋体" w:eastAsia="宋体" w:hint="default"/>
                      <w:spacing w:val="-2"/>
                      <w:sz w:val="21"/>
                      <w:szCs w:val="21"/>
                    </w:rPr>
                    <w:t>司财务报表进行了相应的调整；对非同一控制下企业合并取得的子公司，已按照购买日该子公司可辨认的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资产、负债及或有负债的公允价值对子公司财务报表进行了相应的调整。</w:t>
                  </w:r>
                </w:p>
                <w:p>
                  <w:pPr>
                    <w:spacing w:line="259" w:lineRule="auto" w:before="10"/>
                    <w:ind w:left="554" w:right="312"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）合并方法</w:t>
                  </w:r>
                  <w:r>
                    <w:rPr>
                      <w:rFonts w:ascii="宋体" w:hAnsi="宋体" w:cs="宋体" w:eastAsia="宋体" w:hint="default"/>
                      <w:w w:val="100"/>
                      <w:sz w:val="21"/>
                      <w:szCs w:val="21"/>
                    </w:rPr>
                    <w:t> </w:t>
                  </w:r>
                  <w:r>
                    <w:rPr>
                      <w:rFonts w:ascii="宋体" w:hAnsi="宋体" w:cs="宋体" w:eastAsia="宋体" w:hint="default"/>
                      <w:spacing w:val="-2"/>
                      <w:sz w:val="21"/>
                      <w:szCs w:val="21"/>
                    </w:rPr>
                    <w:t>在编制合并财务报表时，本公司与子公司及子公司相互之间的所有重大账户及交易将予以抵销。</w:t>
                  </w:r>
                </w:p>
              </w:txbxContent>
            </v:textbox>
          </v:shape>
        </w:pict>
      </w:r>
      <w:r>
        <w:rPr>
          <w:rFonts w:ascii="宋体" w:hAnsi="宋体" w:cs="宋体" w:eastAsia="宋体" w:hint="default"/>
          <w:position w:val="-31"/>
          <w:sz w:val="20"/>
          <w:szCs w:val="20"/>
        </w:rPr>
      </w:r>
    </w:p>
    <w:p>
      <w:pPr>
        <w:pStyle w:val="Heading5"/>
        <w:spacing w:line="270" w:lineRule="exact"/>
        <w:ind w:right="1123"/>
        <w:jc w:val="left"/>
      </w:pPr>
      <w:r>
        <w:rPr/>
        <w:t>被合并子公司净资产属于少数股东权益的部分在合并财务报表的股东权益中单独列报。</w:t>
      </w:r>
    </w:p>
    <w:p>
      <w:pPr>
        <w:spacing w:line="240" w:lineRule="auto" w:before="3"/>
        <w:rPr>
          <w:rFonts w:ascii="宋体" w:hAnsi="宋体" w:cs="宋体" w:eastAsia="宋体" w:hint="default"/>
          <w:sz w:val="3"/>
          <w:szCs w:val="3"/>
        </w:rPr>
      </w:pPr>
    </w:p>
    <w:p>
      <w:pPr>
        <w:spacing w:line="376"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6.35pt;height:18.850pt;mso-position-horizontal-relative:char;mso-position-vertical-relative:line" coordorigin="0,0" coordsize="9727,377">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362;width:9698;height:2" coordorigin="14,362" coordsize="9698,2">
              <v:shape style="position:absolute;left:14;top:362;width:9698;height:2" coordorigin="14,362" coordsize="9698,0" path="m14,362l9712,362e" filled="false" stroked="true" strokeweight=".72pt" strokecolor="#000000">
                <v:path arrowok="t"/>
              </v:shape>
            </v:group>
            <v:group style="position:absolute;left:7;top:7;width:2;height:363" coordorigin="7,7" coordsize="2,363">
              <v:shape style="position:absolute;left:7;top:7;width:2;height:363" coordorigin="7,7" coordsize="0,363" path="m7,7l7,370e" filled="false" stroked="true" strokeweight=".72pt" strokecolor="#000000">
                <v:path arrowok="t"/>
              </v:shape>
            </v:group>
            <v:group style="position:absolute;left:9720;top:7;width:2;height:363" coordorigin="9720,7" coordsize="2,363">
              <v:shape style="position:absolute;left:9720;top:7;width:2;height:363" coordorigin="9720,7" coordsize="0,363" path="m9720,7l9720,370e" filled="false" stroked="true" strokeweight=".72pt" strokecolor="#000000">
                <v:path arrowok="t"/>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8"/>
          <w:szCs w:val="18"/>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3"/>
        <w:rPr>
          <w:rFonts w:ascii="宋体" w:hAnsi="宋体" w:cs="宋体" w:eastAsia="宋体" w:hint="default"/>
          <w:b/>
          <w:bCs/>
          <w:sz w:val="26"/>
          <w:szCs w:val="26"/>
        </w:rPr>
      </w:pPr>
    </w:p>
    <w:p>
      <w:pPr>
        <w:spacing w:line="720" w:lineRule="exact"/>
        <w:ind w:left="116"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85.65pt;height:36.050pt;mso-position-horizontal-relative:char;mso-position-vertical-relative:line" type="#_x0000_t202" filled="false" stroked="true" strokeweight=".72pt" strokecolor="#000000">
            <w10:anchorlock/>
            <v:textbox inset="0,0,0,0">
              <w:txbxContent>
                <w:p>
                  <w:pPr>
                    <w:spacing w:line="273" w:lineRule="auto" w:before="0"/>
                    <w:ind w:left="28" w:right="24" w:firstLine="420"/>
                    <w:jc w:val="left"/>
                    <w:rPr>
                      <w:rFonts w:ascii="宋体" w:hAnsi="宋体" w:cs="宋体" w:eastAsia="宋体" w:hint="default"/>
                      <w:sz w:val="21"/>
                      <w:szCs w:val="21"/>
                    </w:rPr>
                  </w:pPr>
                  <w:r>
                    <w:rPr>
                      <w:rFonts w:ascii="宋体" w:hAnsi="宋体" w:cs="宋体" w:eastAsia="宋体" w:hint="default"/>
                      <w:spacing w:val="-2"/>
                      <w:sz w:val="21"/>
                      <w:szCs w:val="21"/>
                    </w:rPr>
                    <w:t>本公司之现金等价物指持有期限短（一般是指从购买日起三个月内到期）、流动性强、易于转换为已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知金额现金、价值变动风险很小的投资。</w:t>
                  </w:r>
                </w:p>
              </w:txbxContent>
            </v:textbox>
          </v:shape>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3"/>
        <w:rPr>
          <w:rFonts w:ascii="宋体" w:hAnsi="宋体" w:cs="宋体" w:eastAsia="宋体" w:hint="default"/>
          <w:b/>
          <w:bCs/>
          <w:sz w:val="26"/>
          <w:szCs w:val="26"/>
        </w:rPr>
      </w:pPr>
    </w:p>
    <w:p>
      <w:pPr>
        <w:spacing w:line="2278" w:lineRule="exact"/>
        <w:ind w:left="116" w:right="0" w:firstLine="0"/>
        <w:rPr>
          <w:rFonts w:ascii="宋体" w:hAnsi="宋体" w:cs="宋体" w:eastAsia="宋体" w:hint="default"/>
          <w:sz w:val="20"/>
          <w:szCs w:val="20"/>
        </w:rPr>
      </w:pPr>
      <w:r>
        <w:rPr>
          <w:rFonts w:ascii="宋体" w:hAnsi="宋体" w:cs="宋体" w:eastAsia="宋体" w:hint="default"/>
          <w:position w:val="-45"/>
          <w:sz w:val="20"/>
          <w:szCs w:val="20"/>
        </w:rPr>
        <w:pict>
          <v:shape style="width:485.65pt;height:113.9pt;mso-position-horizontal-relative:char;mso-position-vertical-relative:line" type="#_x0000_t202" filled="false" stroked="true" strokeweight=".72pt" strokecolor="#000000">
            <w10:anchorlock/>
            <v:textbox inset="0,0,0,0">
              <w:txbxContent>
                <w:p>
                  <w:pPr>
                    <w:spacing w:line="271" w:lineRule="auto" w:before="0"/>
                    <w:ind w:left="28" w:right="22" w:firstLine="420"/>
                    <w:jc w:val="both"/>
                    <w:rPr>
                      <w:rFonts w:ascii="宋体" w:hAnsi="宋体" w:cs="宋体" w:eastAsia="宋体" w:hint="default"/>
                      <w:sz w:val="21"/>
                      <w:szCs w:val="21"/>
                    </w:rPr>
                  </w:pPr>
                  <w:r>
                    <w:rPr>
                      <w:rFonts w:ascii="宋体" w:hAnsi="宋体" w:cs="宋体" w:eastAsia="宋体" w:hint="default"/>
                      <w:spacing w:val="-2"/>
                      <w:sz w:val="21"/>
                      <w:szCs w:val="21"/>
                    </w:rPr>
                    <w:t>本公司发生的外币交易，采用交易发生日的即期汇率（通常指中国人民银行公布的当日外汇牌价的中</w:t>
                  </w:r>
                  <w:r>
                    <w:rPr>
                      <w:rFonts w:ascii="宋体" w:hAnsi="宋体" w:cs="宋体" w:eastAsia="宋体" w:hint="default"/>
                      <w:w w:val="100"/>
                      <w:sz w:val="21"/>
                      <w:szCs w:val="21"/>
                    </w:rPr>
                    <w:t> </w:t>
                  </w:r>
                  <w:r>
                    <w:rPr>
                      <w:rFonts w:ascii="宋体" w:hAnsi="宋体" w:cs="宋体" w:eastAsia="宋体" w:hint="default"/>
                      <w:sz w:val="21"/>
                      <w:szCs w:val="21"/>
                    </w:rPr>
                    <w:t>间价，下同）折合算成人民币记账。</w:t>
                  </w:r>
                </w:p>
                <w:p>
                  <w:pPr>
                    <w:spacing w:line="273" w:lineRule="auto" w:before="10"/>
                    <w:ind w:left="28" w:right="21" w:firstLine="420"/>
                    <w:jc w:val="both"/>
                    <w:rPr>
                      <w:rFonts w:ascii="宋体" w:hAnsi="宋体" w:cs="宋体" w:eastAsia="宋体" w:hint="default"/>
                      <w:sz w:val="21"/>
                      <w:szCs w:val="21"/>
                    </w:rPr>
                  </w:pPr>
                  <w:r>
                    <w:rPr>
                      <w:rFonts w:ascii="宋体" w:hAnsi="宋体" w:cs="宋体" w:eastAsia="宋体" w:hint="default"/>
                      <w:spacing w:val="-2"/>
                      <w:sz w:val="21"/>
                      <w:szCs w:val="21"/>
                    </w:rPr>
                    <w:t>在资产负债表日，对外币货币性项目，采用资产负债表日即期汇率折算，因资产负债表日即期汇率与</w:t>
                  </w:r>
                  <w:r>
                    <w:rPr>
                      <w:rFonts w:ascii="宋体" w:hAnsi="宋体" w:cs="宋体" w:eastAsia="宋体" w:hint="default"/>
                      <w:w w:val="100"/>
                      <w:sz w:val="21"/>
                      <w:szCs w:val="21"/>
                    </w:rPr>
                    <w:t> </w:t>
                  </w:r>
                  <w:r>
                    <w:rPr>
                      <w:rFonts w:ascii="宋体" w:hAnsi="宋体" w:cs="宋体" w:eastAsia="宋体" w:hint="default"/>
                      <w:spacing w:val="-2"/>
                      <w:sz w:val="21"/>
                      <w:szCs w:val="21"/>
                    </w:rPr>
                    <w:t>初始确认时或者前一资产负债表日即期汇率不同而产生的汇兑差额，计入当期损益。以历史成本计量的外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币非货币性项目，仍采用交易发生日的即期汇率折算，不改变其记账本位币金额。以公允价值计量的外币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非货币性项目，采用公允价值确定日的即期汇率折算，折算后的记账本位币金额与原记账本位币金额的差</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额，作为公允价值变动处理，计入当期损益。</w:t>
                  </w:r>
                </w:p>
              </w:txbxContent>
            </v:textbox>
          </v:shape>
        </w:pict>
      </w:r>
      <w:r>
        <w:rPr>
          <w:rFonts w:ascii="宋体" w:hAnsi="宋体" w:cs="宋体" w:eastAsia="宋体" w:hint="default"/>
          <w:position w:val="-45"/>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3"/>
        <w:rPr>
          <w:rFonts w:ascii="宋体" w:hAnsi="宋体" w:cs="宋体" w:eastAsia="宋体" w:hint="default"/>
          <w:b/>
          <w:bCs/>
          <w:sz w:val="26"/>
          <w:szCs w:val="26"/>
        </w:rPr>
      </w:pPr>
    </w:p>
    <w:p>
      <w:pPr>
        <w:spacing w:line="1968" w:lineRule="exact"/>
        <w:ind w:left="116"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85.65pt;height:98.45pt;mso-position-horizontal-relative:char;mso-position-vertical-relative:line" type="#_x0000_t202" filled="false" stroked="true" strokeweight=".72pt" strokecolor="#000000">
            <w10:anchorlock/>
            <v:textbox inset="0,0,0,0">
              <w:txbxContent>
                <w:p>
                  <w:pPr>
                    <w:spacing w:line="256" w:lineRule="auto" w:before="0"/>
                    <w:ind w:left="28" w:right="21" w:firstLine="42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7"/>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项目外，其他项目采用发生时的即期汇率折算。</w:t>
                  </w:r>
                </w:p>
                <w:p>
                  <w:pPr>
                    <w:spacing w:line="273" w:lineRule="auto" w:before="5"/>
                    <w:ind w:left="449" w:right="838"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2"/>
                      <w:sz w:val="21"/>
                      <w:szCs w:val="21"/>
                    </w:rPr>
                    <w:t> </w:t>
                  </w:r>
                  <w:r>
                    <w:rPr>
                      <w:rFonts w:ascii="宋体" w:hAnsi="宋体" w:cs="宋体" w:eastAsia="宋体" w:hint="default"/>
                      <w:sz w:val="21"/>
                      <w:szCs w:val="21"/>
                    </w:rPr>
                    <w:t>利润表中的收入和费用项目，采用交易发生日的即期汇率折算。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按照上述折算产生的外币财务报表折算差额，在资产负债表中所有者权益项目下单独列示。</w:t>
                  </w:r>
                </w:p>
                <w:p>
                  <w:pPr>
                    <w:spacing w:line="273" w:lineRule="auto" w:before="7"/>
                    <w:ind w:left="28" w:right="29" w:firstLine="42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8"/>
                      <w:sz w:val="21"/>
                      <w:szCs w:val="21"/>
                    </w:rPr>
                    <w:t> </w:t>
                  </w:r>
                  <w:r>
                    <w:rPr>
                      <w:rFonts w:ascii="宋体" w:hAnsi="宋体" w:cs="宋体" w:eastAsia="宋体" w:hint="default"/>
                      <w:sz w:val="21"/>
                      <w:szCs w:val="21"/>
                    </w:rPr>
                    <w:t>现金流量表采用现金流量发生日的即期汇率折算。汇率变动对现金的影响额作为调节项目，在现</w:t>
                  </w:r>
                  <w:r>
                    <w:rPr>
                      <w:rFonts w:ascii="宋体" w:hAnsi="宋体" w:cs="宋体" w:eastAsia="宋体" w:hint="default"/>
                      <w:w w:val="100"/>
                      <w:sz w:val="21"/>
                      <w:szCs w:val="21"/>
                    </w:rPr>
                    <w:t> </w:t>
                  </w:r>
                  <w:r>
                    <w:rPr>
                      <w:rFonts w:ascii="宋体" w:hAnsi="宋体" w:cs="宋体" w:eastAsia="宋体" w:hint="default"/>
                      <w:sz w:val="21"/>
                      <w:szCs w:val="21"/>
                    </w:rPr>
                    <w:t>金流量表中单独列示。</w:t>
                  </w:r>
                </w:p>
              </w:txbxContent>
            </v:textbox>
          </v:shape>
        </w:pict>
      </w:r>
      <w:r>
        <w:rPr>
          <w:rFonts w:ascii="宋体" w:hAnsi="宋体" w:cs="宋体" w:eastAsia="宋体" w:hint="default"/>
          <w:position w:val="-38"/>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5"/>
        <w:spacing w:line="506" w:lineRule="auto" w:before="36"/>
        <w:ind w:right="1814"/>
        <w:jc w:val="left"/>
      </w:pPr>
      <w:r>
        <w:rPr>
          <w:rFonts w:ascii="Times New Roman" w:hAnsi="Times New Roman" w:cs="Times New Roman" w:eastAsia="Times New Roman" w:hint="default"/>
          <w:b/>
          <w:bCs/>
        </w:rPr>
        <w:t>9</w:t>
      </w:r>
      <w:r>
        <w:rPr>
          <w:rFonts w:ascii="宋体" w:hAnsi="宋体" w:cs="宋体" w:eastAsia="宋体" w:hint="default"/>
          <w:b/>
          <w:bCs/>
        </w:rPr>
        <w:t>、金融工具</w:t>
      </w:r>
      <w:r>
        <w:rPr>
          <w:rFonts w:ascii="宋体" w:hAnsi="宋体" w:cs="宋体" w:eastAsia="宋体" w:hint="default"/>
          <w:b/>
          <w:bCs/>
          <w:spacing w:val="-104"/>
        </w:rPr>
        <w:t> </w:t>
      </w:r>
      <w:r>
        <w:rPr>
          <w:spacing w:val="-2"/>
        </w:rPr>
        <w:t>金融工具，是指形成一个企业的金融资产，并形成其他单位的金融负债或权益工具的合同。</w:t>
      </w:r>
    </w:p>
    <w:p>
      <w:pPr>
        <w:spacing w:after="0" w:line="506"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spacing w:line="2277" w:lineRule="exact"/>
        <w:ind w:left="116" w:right="0" w:firstLine="0"/>
        <w:rPr>
          <w:rFonts w:ascii="宋体" w:hAnsi="宋体" w:cs="宋体" w:eastAsia="宋体" w:hint="default"/>
          <w:sz w:val="20"/>
          <w:szCs w:val="20"/>
        </w:rPr>
      </w:pPr>
      <w:r>
        <w:rPr>
          <w:rFonts w:ascii="宋体" w:hAnsi="宋体" w:cs="宋体" w:eastAsia="宋体" w:hint="default"/>
          <w:position w:val="-45"/>
          <w:sz w:val="20"/>
          <w:szCs w:val="20"/>
        </w:rPr>
        <w:pict>
          <v:shape style="width:485.65pt;height:113.9pt;mso-position-horizontal-relative:char;mso-position-vertical-relative:line" type="#_x0000_t202" filled="false" stroked="true" strokeweight=".72pt" strokecolor="#000000">
            <w10:anchorlock/>
            <v:textbox inset="0,0,0,0">
              <w:txbxContent>
                <w:p>
                  <w:pPr>
                    <w:spacing w:line="265" w:lineRule="exact" w:before="0"/>
                    <w:ind w:left="422" w:right="0" w:firstLine="0"/>
                    <w:jc w:val="left"/>
                    <w:rPr>
                      <w:rFonts w:ascii="宋体" w:hAnsi="宋体" w:cs="宋体" w:eastAsia="宋体" w:hint="default"/>
                      <w:sz w:val="21"/>
                      <w:szCs w:val="21"/>
                    </w:rPr>
                  </w:pPr>
                  <w:r>
                    <w:rPr>
                      <w:rFonts w:ascii="宋体" w:hAnsi="宋体" w:cs="宋体" w:eastAsia="宋体" w:hint="default"/>
                      <w:sz w:val="21"/>
                      <w:szCs w:val="21"/>
                    </w:rPr>
                    <w:t>按投资目的和经济实质对金融工具分为下列五类：</w:t>
                  </w:r>
                </w:p>
                <w:p>
                  <w:pPr>
                    <w:spacing w:line="273" w:lineRule="auto" w:before="34"/>
                    <w:ind w:left="28" w:right="571" w:firstLine="394"/>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5"/>
                      <w:sz w:val="21"/>
                      <w:szCs w:val="21"/>
                    </w:rPr>
                    <w:t> </w:t>
                  </w:r>
                  <w:r>
                    <w:rPr>
                      <w:rFonts w:ascii="宋体" w:hAnsi="宋体" w:cs="宋体" w:eastAsia="宋体" w:hint="default"/>
                      <w:sz w:val="21"/>
                      <w:szCs w:val="21"/>
                    </w:rPr>
                    <w:t>以公允价值计量且其变动计入当期损益的金融资产或金融负债，包括交易性金融资产或交易</w:t>
                  </w:r>
                  <w:r>
                    <w:rPr>
                      <w:rFonts w:ascii="宋体" w:hAnsi="宋体" w:cs="宋体" w:eastAsia="宋体" w:hint="default"/>
                      <w:w w:val="100"/>
                      <w:sz w:val="21"/>
                      <w:szCs w:val="21"/>
                    </w:rPr>
                    <w:t> </w:t>
                  </w:r>
                  <w:r>
                    <w:rPr>
                      <w:rFonts w:ascii="宋体" w:hAnsi="宋体" w:cs="宋体" w:eastAsia="宋体" w:hint="default"/>
                      <w:sz w:val="21"/>
                      <w:szCs w:val="21"/>
                    </w:rPr>
                    <w:t>性金融负债、指定为以公允价值计量且其变动计入当期损益的金融资产或金融负债；</w:t>
                  </w:r>
                </w:p>
                <w:p>
                  <w:pPr>
                    <w:spacing w:before="7"/>
                    <w:ind w:left="422"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0"/>
                      <w:sz w:val="21"/>
                      <w:szCs w:val="21"/>
                    </w:rPr>
                    <w:t> </w:t>
                  </w:r>
                  <w:r>
                    <w:rPr>
                      <w:rFonts w:ascii="宋体" w:hAnsi="宋体" w:cs="宋体" w:eastAsia="宋体" w:hint="default"/>
                      <w:sz w:val="21"/>
                      <w:szCs w:val="21"/>
                    </w:rPr>
                    <w:t>持有至到期投资；</w:t>
                  </w:r>
                </w:p>
                <w:p>
                  <w:pPr>
                    <w:spacing w:before="37"/>
                    <w:ind w:left="422"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0"/>
                      <w:sz w:val="21"/>
                      <w:szCs w:val="21"/>
                    </w:rPr>
                    <w:t> </w:t>
                  </w:r>
                  <w:r>
                    <w:rPr>
                      <w:rFonts w:ascii="宋体" w:hAnsi="宋体" w:cs="宋体" w:eastAsia="宋体" w:hint="default"/>
                      <w:sz w:val="21"/>
                      <w:szCs w:val="21"/>
                    </w:rPr>
                    <w:t>贷款和应收款项；</w:t>
                  </w:r>
                </w:p>
                <w:p>
                  <w:pPr>
                    <w:spacing w:before="37"/>
                    <w:ind w:left="422"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21"/>
                      <w:sz w:val="21"/>
                      <w:szCs w:val="21"/>
                    </w:rPr>
                    <w:t> </w:t>
                  </w:r>
                  <w:r>
                    <w:rPr>
                      <w:rFonts w:ascii="宋体" w:hAnsi="宋体" w:cs="宋体" w:eastAsia="宋体" w:hint="default"/>
                      <w:sz w:val="21"/>
                      <w:szCs w:val="21"/>
                    </w:rPr>
                    <w:t>可供出售金融资产；</w:t>
                  </w:r>
                </w:p>
                <w:p>
                  <w:pPr>
                    <w:spacing w:before="39"/>
                    <w:ind w:left="422"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21"/>
                      <w:sz w:val="21"/>
                      <w:szCs w:val="21"/>
                    </w:rPr>
                    <w:t> </w:t>
                  </w:r>
                  <w:r>
                    <w:rPr>
                      <w:rFonts w:ascii="宋体" w:hAnsi="宋体" w:cs="宋体" w:eastAsia="宋体" w:hint="default"/>
                      <w:sz w:val="21"/>
                      <w:szCs w:val="21"/>
                    </w:rPr>
                    <w:t>其他金融负债。</w:t>
                  </w:r>
                </w:p>
              </w:txbxContent>
            </v:textbox>
          </v:shape>
        </w:pict>
      </w:r>
      <w:r>
        <w:rPr>
          <w:rFonts w:ascii="宋体" w:hAnsi="宋体" w:cs="宋体" w:eastAsia="宋体" w:hint="default"/>
          <w:position w:val="-45"/>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25"/>
          <w:szCs w:val="25"/>
        </w:rPr>
      </w:pPr>
    </w:p>
    <w:p>
      <w:pPr>
        <w:spacing w:line="4181" w:lineRule="exact"/>
        <w:ind w:left="109"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489.7pt;height:209.1pt;mso-position-horizontal-relative:char;mso-position-vertical-relative:line" coordorigin="0,0" coordsize="9794,4182">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4167;width:9698;height:2" coordorigin="14,4167" coordsize="9698,2">
              <v:shape style="position:absolute;left:14;top:4167;width:9698;height:2" coordorigin="14,4167" coordsize="9698,0" path="m14,4167l9712,4167e" filled="false" stroked="true" strokeweight=".72pt" strokecolor="#000000">
                <v:path arrowok="t"/>
              </v:shape>
            </v:group>
            <v:group style="position:absolute;left:7;top:7;width:2;height:4167" coordorigin="7,7" coordsize="2,4167">
              <v:shape style="position:absolute;left:7;top:7;width:2;height:4167" coordorigin="7,7" coordsize="0,4167" path="m7,7l7,4174e" filled="false" stroked="true" strokeweight=".72pt" strokecolor="#000000">
                <v:path arrowok="t"/>
              </v:shape>
            </v:group>
            <v:group style="position:absolute;left:9720;top:7;width:2;height:4167" coordorigin="9720,7" coordsize="2,4167">
              <v:shape style="position:absolute;left:9720;top:7;width:2;height:4167" coordorigin="9720,7" coordsize="0,4167" path="m9720,7l9720,4174e" filled="false" stroked="true" strokeweight=".72pt" strokecolor="#000000">
                <v:path arrowok="t"/>
              </v:shape>
              <v:shape style="position:absolute;left:0;top:0;width:9794;height:4182" type="#_x0000_t202" filled="false" stroked="false">
                <v:textbox inset="0,0,0,0">
                  <w:txbxContent>
                    <w:p>
                      <w:pPr>
                        <w:spacing w:line="271" w:lineRule="auto" w:before="11"/>
                        <w:ind w:left="43" w:right="0" w:firstLine="588"/>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pacing w:val="-3"/>
                          <w:sz w:val="21"/>
                          <w:szCs w:val="21"/>
                        </w:rPr>
                        <w:t>以公允价值计量且其变动计入当期损益的金融资产或金融负债：按照取得时的公允价值作为初始</w:t>
                      </w:r>
                      <w:r>
                        <w:rPr>
                          <w:rFonts w:ascii="宋体" w:hAnsi="宋体" w:cs="宋体" w:eastAsia="宋体" w:hint="default"/>
                          <w:w w:val="100"/>
                          <w:sz w:val="21"/>
                          <w:szCs w:val="21"/>
                        </w:rPr>
                        <w:t> </w:t>
                      </w:r>
                      <w:r>
                        <w:rPr>
                          <w:rFonts w:ascii="宋体" w:hAnsi="宋体" w:cs="宋体" w:eastAsia="宋体" w:hint="default"/>
                          <w:spacing w:val="-5"/>
                          <w:sz w:val="21"/>
                          <w:szCs w:val="21"/>
                        </w:rPr>
                        <w:t>确认金额，相关的交易费用在发生时计入当期损益。支付的价款中包含已宣告发放的现金股利或债券利息，</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单独确认为应收项目。持有期间取得的利息或现金股利，确认为投资收益。资产负债表日，将其公允价值</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变动计入当期损益。</w:t>
                      </w:r>
                    </w:p>
                    <w:p>
                      <w:pPr>
                        <w:spacing w:line="273" w:lineRule="auto" w:before="10"/>
                        <w:ind w:left="43" w:right="103" w:firstLine="394"/>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8"/>
                          <w:sz w:val="21"/>
                          <w:szCs w:val="21"/>
                        </w:rPr>
                        <w:t> </w:t>
                      </w:r>
                      <w:r>
                        <w:rPr>
                          <w:rFonts w:ascii="宋体" w:hAnsi="宋体" w:cs="宋体" w:eastAsia="宋体" w:hint="default"/>
                          <w:spacing w:val="-4"/>
                          <w:sz w:val="21"/>
                          <w:szCs w:val="21"/>
                        </w:rPr>
                        <w:t>持有至到期投资：按取得时的公允价值和相关交易费用之和作为初始确认金额。支付的价款中包含</w:t>
                      </w:r>
                      <w:r>
                        <w:rPr>
                          <w:rFonts w:ascii="宋体" w:hAnsi="宋体" w:cs="宋体" w:eastAsia="宋体" w:hint="default"/>
                          <w:w w:val="100"/>
                          <w:sz w:val="21"/>
                          <w:szCs w:val="21"/>
                        </w:rPr>
                        <w:t> </w:t>
                      </w:r>
                      <w:r>
                        <w:rPr>
                          <w:rFonts w:ascii="宋体" w:hAnsi="宋体" w:cs="宋体" w:eastAsia="宋体" w:hint="default"/>
                          <w:spacing w:val="-2"/>
                          <w:sz w:val="21"/>
                          <w:szCs w:val="21"/>
                        </w:rPr>
                        <w:t>已宣告发放的现金股利或债券利息，单独确认为应收项目。持有期间按照实际利率法确认利息收入，计入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投资收益。</w:t>
                      </w:r>
                    </w:p>
                    <w:p>
                      <w:pPr>
                        <w:spacing w:before="7"/>
                        <w:ind w:left="463"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4"/>
                          <w:sz w:val="21"/>
                          <w:szCs w:val="21"/>
                        </w:rPr>
                        <w:t> </w:t>
                      </w:r>
                      <w:r>
                        <w:rPr>
                          <w:rFonts w:ascii="宋体" w:hAnsi="宋体" w:cs="宋体" w:eastAsia="宋体" w:hint="default"/>
                          <w:sz w:val="21"/>
                          <w:szCs w:val="21"/>
                        </w:rPr>
                        <w:t>应收款项：按从购货方应收的合同或协议价款作为初始入账金额。</w:t>
                      </w:r>
                    </w:p>
                    <w:p>
                      <w:pPr>
                        <w:spacing w:line="273" w:lineRule="auto" w:before="37"/>
                        <w:ind w:left="43" w:right="104" w:firstLine="42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24"/>
                          <w:sz w:val="21"/>
                          <w:szCs w:val="21"/>
                        </w:rPr>
                        <w:t> </w:t>
                      </w:r>
                      <w:r>
                        <w:rPr>
                          <w:rFonts w:ascii="宋体" w:hAnsi="宋体" w:cs="宋体" w:eastAsia="宋体" w:hint="default"/>
                          <w:sz w:val="21"/>
                          <w:szCs w:val="21"/>
                        </w:rPr>
                        <w:t>可供出售金融资产：按取得该金融资产的公允价值和相关交易费用之和作为初始确认金额。支付</w:t>
                      </w:r>
                      <w:r>
                        <w:rPr>
                          <w:rFonts w:ascii="宋体" w:hAnsi="宋体" w:cs="宋体" w:eastAsia="宋体" w:hint="default"/>
                          <w:w w:val="100"/>
                          <w:sz w:val="21"/>
                          <w:szCs w:val="21"/>
                        </w:rPr>
                        <w:t> </w:t>
                      </w:r>
                      <w:r>
                        <w:rPr>
                          <w:rFonts w:ascii="宋体" w:hAnsi="宋体" w:cs="宋体" w:eastAsia="宋体" w:hint="default"/>
                          <w:spacing w:val="-2"/>
                          <w:sz w:val="21"/>
                          <w:szCs w:val="21"/>
                        </w:rPr>
                        <w:t>的价款中包含了已宣告发放的现金股利或债券利息，单独确认为应收项目。持有期间取得的利息或现金股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利，计入投资收益。期末，可供出售金融资产以公允价值计量，且公允价值变动计入资本公积（其他资本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公积）。</w:t>
                      </w:r>
                    </w:p>
                    <w:p>
                      <w:pPr>
                        <w:spacing w:before="10"/>
                        <w:ind w:left="463"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31"/>
                          <w:sz w:val="21"/>
                          <w:szCs w:val="21"/>
                        </w:rPr>
                        <w:t> </w:t>
                      </w:r>
                      <w:r>
                        <w:rPr>
                          <w:rFonts w:ascii="宋体" w:hAnsi="宋体" w:cs="宋体" w:eastAsia="宋体" w:hint="default"/>
                          <w:sz w:val="21"/>
                          <w:szCs w:val="21"/>
                        </w:rPr>
                        <w:t>其他金融负债：按其公允价值和相关交易费用之和作为初始入账金额，按摊余成本进行后续计量。</w:t>
                      </w:r>
                    </w:p>
                  </w:txbxContent>
                </v:textbox>
                <w10:wrap type="none"/>
              </v:shape>
            </v:group>
          </v:group>
        </w:pict>
      </w:r>
      <w:r>
        <w:rPr>
          <w:rFonts w:ascii="宋体" w:hAnsi="宋体" w:cs="宋体" w:eastAsia="宋体" w:hint="default"/>
          <w:position w:val="-83"/>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3"/>
        <w:rPr>
          <w:rFonts w:ascii="宋体" w:hAnsi="宋体" w:cs="宋体" w:eastAsia="宋体" w:hint="default"/>
          <w:b/>
          <w:bCs/>
          <w:sz w:val="24"/>
          <w:szCs w:val="24"/>
        </w:rPr>
      </w:pPr>
    </w:p>
    <w:p>
      <w:pPr>
        <w:spacing w:line="3245" w:lineRule="exact"/>
        <w:ind w:left="109" w:right="0" w:firstLine="0"/>
        <w:rPr>
          <w:rFonts w:ascii="宋体" w:hAnsi="宋体" w:cs="宋体" w:eastAsia="宋体" w:hint="default"/>
          <w:sz w:val="20"/>
          <w:szCs w:val="20"/>
        </w:rPr>
      </w:pPr>
      <w:r>
        <w:rPr>
          <w:rFonts w:ascii="宋体" w:hAnsi="宋体" w:cs="宋体" w:eastAsia="宋体" w:hint="default"/>
          <w:position w:val="-64"/>
          <w:sz w:val="20"/>
          <w:szCs w:val="20"/>
        </w:rPr>
        <w:pict>
          <v:group style="width:489.7pt;height:162.3pt;mso-position-horizontal-relative:char;mso-position-vertical-relative:line" coordorigin="0,0" coordsize="9794,3246">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3231;width:9698;height:2" coordorigin="14,3231" coordsize="9698,2">
              <v:shape style="position:absolute;left:14;top:3231;width:9698;height:2" coordorigin="14,3231" coordsize="9698,0" path="m14,3231l9712,3231e" filled="false" stroked="true" strokeweight=".72pt" strokecolor="#000000">
                <v:path arrowok="t"/>
              </v:shape>
            </v:group>
            <v:group style="position:absolute;left:7;top:7;width:2;height:3231" coordorigin="7,7" coordsize="2,3231">
              <v:shape style="position:absolute;left:7;top:7;width:2;height:3231" coordorigin="7,7" coordsize="0,3231" path="m7,7l7,3238e" filled="false" stroked="true" strokeweight=".72pt" strokecolor="#000000">
                <v:path arrowok="t"/>
              </v:shape>
            </v:group>
            <v:group style="position:absolute;left:9720;top:7;width:2;height:3231" coordorigin="9720,7" coordsize="2,3231">
              <v:shape style="position:absolute;left:9720;top:7;width:2;height:3231" coordorigin="9720,7" coordsize="0,3231" path="m9720,7l9720,3238e" filled="false" stroked="true" strokeweight=".72pt" strokecolor="#000000">
                <v:path arrowok="t"/>
              </v:shape>
              <v:shape style="position:absolute;left:0;top:0;width:9794;height:3246" type="#_x0000_t202" filled="false" stroked="false">
                <v:textbox inset="0,0,0,0">
                  <w:txbxContent>
                    <w:p>
                      <w:pPr>
                        <w:spacing w:line="266" w:lineRule="auto" w:before="11"/>
                        <w:ind w:left="43" w:right="0" w:firstLine="420"/>
                        <w:jc w:val="left"/>
                        <w:rPr>
                          <w:rFonts w:ascii="宋体" w:hAnsi="宋体" w:cs="宋体" w:eastAsia="宋体" w:hint="default"/>
                          <w:sz w:val="21"/>
                          <w:szCs w:val="21"/>
                        </w:rPr>
                      </w:pPr>
                      <w:r>
                        <w:rPr>
                          <w:rFonts w:ascii="宋体" w:hAnsi="宋体" w:cs="宋体" w:eastAsia="宋体" w:hint="default"/>
                          <w:sz w:val="21"/>
                          <w:szCs w:val="21"/>
                        </w:rPr>
                        <w:t>公司已将金融资产所有权上几乎所有的风险和报酬转移给了转入方的，终止确认该金融资产；保留了</w:t>
                      </w:r>
                      <w:r>
                        <w:rPr>
                          <w:rFonts w:ascii="宋体" w:hAnsi="宋体" w:cs="宋体" w:eastAsia="宋体" w:hint="default"/>
                          <w:w w:val="100"/>
                          <w:sz w:val="21"/>
                          <w:szCs w:val="21"/>
                        </w:rPr>
                        <w:t> </w:t>
                      </w:r>
                      <w:r>
                        <w:rPr>
                          <w:rFonts w:ascii="宋体" w:hAnsi="宋体" w:cs="宋体" w:eastAsia="宋体" w:hint="default"/>
                          <w:sz w:val="21"/>
                          <w:szCs w:val="21"/>
                        </w:rPr>
                        <w:t>金融资产所有权上几乎所有的风险和报酬的，继续确认所转移的金融资产，并将收到的对价确认为一项金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7"/>
                          <w:sz w:val="21"/>
                          <w:szCs w:val="21"/>
                        </w:rPr>
                        <w:t>融负债。公司既没有转移也没有保留金融资产所有权上几乎所有的风险和报酬的，分别下列情况处理：（</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放弃了对该金融资产控制的，终止确认该金融资产；（</w:t>
                      </w:r>
                      <w:r>
                        <w:rPr>
                          <w:rFonts w:ascii="Times New Roman" w:hAnsi="Times New Roman" w:cs="Times New Roman" w:eastAsia="Times New Roman" w:hint="default"/>
                          <w:sz w:val="21"/>
                          <w:szCs w:val="21"/>
                        </w:rPr>
                        <w:t>2</w:t>
                      </w:r>
                      <w:r>
                        <w:rPr>
                          <w:rFonts w:ascii="宋体" w:hAnsi="宋体" w:cs="宋体" w:eastAsia="宋体" w:hint="default"/>
                          <w:sz w:val="21"/>
                          <w:szCs w:val="21"/>
                        </w:rPr>
                        <w:t>）未放弃对该金融资产控制的，按照继续涉入所</w:t>
                      </w:r>
                      <w:r>
                        <w:rPr>
                          <w:rFonts w:ascii="宋体" w:hAnsi="宋体" w:cs="宋体" w:eastAsia="宋体" w:hint="default"/>
                          <w:w w:val="100"/>
                          <w:sz w:val="21"/>
                          <w:szCs w:val="21"/>
                        </w:rPr>
                        <w:t> </w:t>
                      </w:r>
                      <w:r>
                        <w:rPr>
                          <w:rFonts w:ascii="宋体" w:hAnsi="宋体" w:cs="宋体" w:eastAsia="宋体" w:hint="default"/>
                          <w:sz w:val="21"/>
                          <w:szCs w:val="21"/>
                        </w:rPr>
                        <w:t>转移金融资产的程度确认有关金融资产，并相应确认有关负债。金融资产整体转移满足终止确认条件的，</w:t>
                      </w:r>
                      <w:r>
                        <w:rPr>
                          <w:rFonts w:ascii="宋体" w:hAnsi="宋体" w:cs="宋体" w:eastAsia="宋体" w:hint="default"/>
                          <w:w w:val="100"/>
                          <w:sz w:val="21"/>
                          <w:szCs w:val="21"/>
                        </w:rPr>
                        <w:t> </w:t>
                      </w:r>
                      <w:r>
                        <w:rPr>
                          <w:rFonts w:ascii="宋体" w:hAnsi="宋体" w:cs="宋体" w:eastAsia="宋体" w:hint="default"/>
                          <w:spacing w:val="-2"/>
                          <w:sz w:val="21"/>
                          <w:szCs w:val="21"/>
                        </w:rPr>
                        <w:t>将下列两项金额的差额计入当期损益：（</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）所转移金融资产的账面价值；（</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）因转移而收到的对价，与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原直接计入所有者权益的公允价值变动累计额之和。金融资产部分转移满足终止确认条件的，将所转移金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融资产整体的账面价值，在终止确认部分和未终止确认部分之间，按照各自的相对公允价值进行分摊，并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将下列两项金额的差额计入当期损益：（</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r>
                        <w:rPr>
                          <w:rFonts w:ascii="Times New Roman" w:hAnsi="Times New Roman" w:cs="Times New Roman" w:eastAsia="Times New Roman" w:hint="default"/>
                          <w:sz w:val="21"/>
                          <w:szCs w:val="21"/>
                        </w:rPr>
                        <w:t>2</w:t>
                      </w:r>
                      <w:r>
                        <w:rPr>
                          <w:rFonts w:ascii="宋体" w:hAnsi="宋体" w:cs="宋体" w:eastAsia="宋体" w:hint="default"/>
                          <w:sz w:val="21"/>
                          <w:szCs w:val="21"/>
                        </w:rPr>
                        <w:t>）终止确认部分的对价，与原</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直接计入所有者权益的公允价值变动累计额中对应终止确认部分的金额之和。</w:t>
                      </w:r>
                    </w:p>
                  </w:txbxContent>
                </v:textbox>
                <w10:wrap type="none"/>
              </v:shape>
            </v:group>
          </v:group>
        </w:pict>
      </w:r>
      <w:r>
        <w:rPr>
          <w:rFonts w:ascii="宋体" w:hAnsi="宋体" w:cs="宋体" w:eastAsia="宋体" w:hint="default"/>
          <w:position w:val="-64"/>
          <w:sz w:val="20"/>
          <w:szCs w:val="20"/>
        </w:rPr>
      </w:r>
    </w:p>
    <w:p>
      <w:pPr>
        <w:spacing w:after="0" w:line="3245"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4"/>
        <w:rPr>
          <w:rFonts w:ascii="宋体" w:hAnsi="宋体" w:cs="宋体" w:eastAsia="宋体" w:hint="default"/>
          <w:b/>
          <w:bCs/>
          <w:sz w:val="26"/>
          <w:szCs w:val="26"/>
        </w:rPr>
      </w:pPr>
    </w:p>
    <w:p>
      <w:pPr>
        <w:spacing w:line="1029" w:lineRule="exact"/>
        <w:ind w:left="116" w:right="0" w:firstLine="0"/>
        <w:rPr>
          <w:rFonts w:ascii="宋体" w:hAnsi="宋体" w:cs="宋体" w:eastAsia="宋体" w:hint="default"/>
          <w:sz w:val="20"/>
          <w:szCs w:val="20"/>
        </w:rPr>
      </w:pPr>
      <w:r>
        <w:rPr>
          <w:rFonts w:ascii="宋体" w:hAnsi="宋体" w:cs="宋体" w:eastAsia="宋体" w:hint="default"/>
          <w:position w:val="-20"/>
          <w:sz w:val="20"/>
          <w:szCs w:val="20"/>
        </w:rPr>
        <w:pict>
          <v:shape style="width:485.65pt;height:51.5pt;mso-position-horizontal-relative:char;mso-position-vertical-relative:line" type="#_x0000_t202" filled="false" stroked="true" strokeweight=".72pt" strokecolor="#000000">
            <w10:anchorlock/>
            <v:textbox inset="0,0,0,0">
              <w:txbxContent>
                <w:p>
                  <w:pPr>
                    <w:spacing w:line="273" w:lineRule="auto" w:before="0"/>
                    <w:ind w:left="28" w:right="22" w:firstLine="420"/>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当收取某项金融资产现金流量的合同权利已终止或该金融资产所有权上几乎所有的风险和报酬已转</w:t>
                  </w:r>
                  <w:r>
                    <w:rPr>
                      <w:rFonts w:ascii="宋体" w:hAnsi="宋体" w:cs="宋体" w:eastAsia="宋体" w:hint="default"/>
                      <w:w w:val="100"/>
                      <w:sz w:val="21"/>
                      <w:szCs w:val="21"/>
                    </w:rPr>
                    <w:t> </w:t>
                  </w:r>
                  <w:r>
                    <w:rPr>
                      <w:rFonts w:ascii="宋体" w:hAnsi="宋体" w:cs="宋体" w:eastAsia="宋体" w:hint="default"/>
                      <w:spacing w:val="-2"/>
                      <w:sz w:val="21"/>
                      <w:szCs w:val="21"/>
                    </w:rPr>
                    <w:t>移时，终止确认该金融资产；当金融负债的现时义务全部或部分解除时，相应终止确认该金融负债或其一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部分。</w:t>
                  </w:r>
                </w:p>
              </w:txbxContent>
            </v:textbox>
          </v:shape>
        </w:pict>
      </w:r>
      <w:r>
        <w:rPr>
          <w:rFonts w:ascii="宋体" w:hAnsi="宋体" w:cs="宋体" w:eastAsia="宋体" w:hint="default"/>
          <w:position w:val="-20"/>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3"/>
        <w:rPr>
          <w:rFonts w:ascii="宋体" w:hAnsi="宋体" w:cs="宋体" w:eastAsia="宋体" w:hint="default"/>
          <w:b/>
          <w:bCs/>
          <w:sz w:val="26"/>
          <w:szCs w:val="26"/>
        </w:rPr>
      </w:pPr>
    </w:p>
    <w:p>
      <w:pPr>
        <w:spacing w:line="1344" w:lineRule="exact"/>
        <w:ind w:left="116"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85.65pt;height:67.25pt;mso-position-horizontal-relative:char;mso-position-vertical-relative:line" type="#_x0000_t202" filled="false" stroked="true" strokeweight=".72pt" strokecolor="#000000">
            <w10:anchorlock/>
            <v:textbox inset="0,0,0,0">
              <w:txbxContent>
                <w:p>
                  <w:pPr>
                    <w:spacing w:line="273" w:lineRule="auto" w:before="0"/>
                    <w:ind w:left="28" w:right="0" w:firstLine="420"/>
                    <w:jc w:val="both"/>
                    <w:rPr>
                      <w:rFonts w:ascii="宋体" w:hAnsi="宋体" w:cs="宋体" w:eastAsia="宋体" w:hint="default"/>
                      <w:sz w:val="21"/>
                      <w:szCs w:val="21"/>
                    </w:rPr>
                  </w:pPr>
                  <w:r>
                    <w:rPr>
                      <w:rFonts w:ascii="宋体" w:hAnsi="宋体" w:cs="宋体" w:eastAsia="宋体" w:hint="default"/>
                      <w:spacing w:val="-2"/>
                      <w:sz w:val="21"/>
                      <w:szCs w:val="21"/>
                    </w:rPr>
                    <w:t>存在活跃市场的金融资产或金融负债，以活跃市场的报价确定其公允价值；不存在活跃市场的金融资</w:t>
                  </w:r>
                  <w:r>
                    <w:rPr>
                      <w:rFonts w:ascii="宋体" w:hAnsi="宋体" w:cs="宋体" w:eastAsia="宋体" w:hint="default"/>
                      <w:w w:val="100"/>
                      <w:sz w:val="21"/>
                      <w:szCs w:val="21"/>
                    </w:rPr>
                    <w:t> </w:t>
                  </w:r>
                  <w:r>
                    <w:rPr>
                      <w:rFonts w:ascii="宋体" w:hAnsi="宋体" w:cs="宋体" w:eastAsia="宋体" w:hint="default"/>
                      <w:spacing w:val="-2"/>
                      <w:sz w:val="21"/>
                      <w:szCs w:val="21"/>
                    </w:rPr>
                    <w:t>产或金融负债，采用估值技术（包括参考熟悉情况并自愿交易的各方最近进行的市场交易中使用的价格、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参照实质上相同的其他金融工具的当前公允价值、现金流量折现法和期权定价模型等）确定其公允价值；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初始取得或源生的金融资产或承担的金融负债，以市场交易价格作为确定其公允价值的基础。</w:t>
                  </w:r>
                </w:p>
              </w:txbxContent>
            </v:textbox>
          </v:shape>
        </w:pict>
      </w:r>
      <w:r>
        <w:rPr>
          <w:rFonts w:ascii="宋体" w:hAnsi="宋体" w:cs="宋体" w:eastAsia="宋体" w:hint="default"/>
          <w:position w:val="-26"/>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3"/>
        <w:rPr>
          <w:rFonts w:ascii="宋体" w:hAnsi="宋体" w:cs="宋体" w:eastAsia="宋体" w:hint="default"/>
          <w:b/>
          <w:bCs/>
          <w:sz w:val="24"/>
          <w:szCs w:val="24"/>
        </w:rPr>
      </w:pPr>
    </w:p>
    <w:p>
      <w:pPr>
        <w:spacing w:line="3557" w:lineRule="exact"/>
        <w:ind w:left="109"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489.7pt;height:177.9pt;mso-position-horizontal-relative:char;mso-position-vertical-relative:line" coordorigin="0,0" coordsize="9794,3558">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3543;width:9698;height:2" coordorigin="14,3543" coordsize="9698,2">
              <v:shape style="position:absolute;left:14;top:3543;width:9698;height:2" coordorigin="14,3543" coordsize="9698,0" path="m14,3543l9712,3543e" filled="false" stroked="true" strokeweight=".72pt" strokecolor="#000000">
                <v:path arrowok="t"/>
              </v:shape>
            </v:group>
            <v:group style="position:absolute;left:7;top:7;width:2;height:3543" coordorigin="7,7" coordsize="2,3543">
              <v:shape style="position:absolute;left:7;top:7;width:2;height:3543" coordorigin="7,7" coordsize="0,3543" path="m7,7l7,3550e" filled="false" stroked="true" strokeweight=".72pt" strokecolor="#000000">
                <v:path arrowok="t"/>
              </v:shape>
            </v:group>
            <v:group style="position:absolute;left:9720;top:7;width:2;height:3543" coordorigin="9720,7" coordsize="2,3543">
              <v:shape style="position:absolute;left:9720;top:7;width:2;height:3543" coordorigin="9720,7" coordsize="0,3543" path="m9720,7l9720,3550e" filled="false" stroked="true" strokeweight=".72pt" strokecolor="#000000">
                <v:path arrowok="t"/>
              </v:shape>
              <v:shape style="position:absolute;left:0;top:0;width:9794;height:3558" type="#_x0000_t202" filled="false" stroked="false">
                <v:textbox inset="0,0,0,0">
                  <w:txbxContent>
                    <w:p>
                      <w:pPr>
                        <w:spacing w:line="273" w:lineRule="auto" w:before="11"/>
                        <w:ind w:left="43" w:right="0" w:firstLine="420"/>
                        <w:jc w:val="left"/>
                        <w:rPr>
                          <w:rFonts w:ascii="宋体" w:hAnsi="宋体" w:cs="宋体" w:eastAsia="宋体" w:hint="default"/>
                          <w:sz w:val="21"/>
                          <w:szCs w:val="21"/>
                        </w:rPr>
                      </w:pPr>
                      <w:r>
                        <w:rPr>
                          <w:rFonts w:ascii="宋体" w:hAnsi="宋体" w:cs="宋体" w:eastAsia="宋体" w:hint="default"/>
                          <w:sz w:val="21"/>
                          <w:szCs w:val="21"/>
                        </w:rPr>
                        <w:t>资产负债表日对以公允价值计量且其变动计入当期损益的金融资产以外的金融资产的账面价值进行</w:t>
                      </w:r>
                      <w:r>
                        <w:rPr>
                          <w:rFonts w:ascii="宋体" w:hAnsi="宋体" w:cs="宋体" w:eastAsia="宋体" w:hint="default"/>
                          <w:spacing w:val="4"/>
                          <w:w w:val="100"/>
                          <w:sz w:val="21"/>
                          <w:szCs w:val="21"/>
                        </w:rPr>
                        <w:t> </w:t>
                      </w:r>
                      <w:r>
                        <w:rPr>
                          <w:rFonts w:ascii="宋体" w:hAnsi="宋体" w:cs="宋体" w:eastAsia="宋体" w:hint="default"/>
                          <w:sz w:val="21"/>
                          <w:szCs w:val="21"/>
                        </w:rPr>
                        <w:t>检查，如有客观证据表明该金融资产发生减值的，计提减值准备。对单项金额重大的金融资产单独</w:t>
                      </w:r>
                      <w:r>
                        <w:rPr>
                          <w:rFonts w:ascii="宋体" w:hAnsi="宋体" w:cs="宋体" w:eastAsia="宋体" w:hint="default"/>
                          <w:w w:val="100"/>
                          <w:sz w:val="21"/>
                          <w:szCs w:val="21"/>
                        </w:rPr>
                        <w:t> </w:t>
                      </w:r>
                      <w:r>
                        <w:rPr>
                          <w:rFonts w:ascii="宋体" w:hAnsi="宋体" w:cs="宋体" w:eastAsia="宋体" w:hint="default"/>
                          <w:sz w:val="21"/>
                          <w:szCs w:val="21"/>
                        </w:rPr>
                        <w:t>进行减值测试；对单项金额不重大的金融资产，可以单独进行减值测试，或包括在具有类似信用风险特征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的金融资产组合中进行减值测试；单独测试未发生减值的金融资产（包括单项金额重大和不重大的金融资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产），包括在具有类似信用风险特征的金融资产组合中再进行减值测试。按摊余成本计量的金融资产，期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末有客观证据表明其发生了减值的，根据其账面价值高于预计未来现金流量现值之间的差额确认减值损</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失。在活跃市场中没有报价且其公允价值不能可靠计量的权益工具投资，或与该权益工具挂钩并须通过交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付该权益工具结算的衍生金融资产发生减值时，将该权益工具投资或衍生金融资产的账面价值，高于按照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类似金融资产当时市场收益率对未来现金流量折现确定的现值之间的差额，确认为减值损失。可供出售金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融资产的公允价值发生较大幅度下降，或在综合考虑各种相关因素后，预期这种下降趋势属于非暂时性的， </w:t>
                      </w:r>
                      <w:r>
                        <w:rPr>
                          <w:rFonts w:ascii="宋体" w:hAnsi="宋体" w:cs="宋体" w:eastAsia="宋体" w:hint="default"/>
                          <w:spacing w:val="-5"/>
                          <w:sz w:val="21"/>
                          <w:szCs w:val="21"/>
                        </w:rPr>
                      </w:r>
                      <w:r>
                        <w:rPr>
                          <w:rFonts w:ascii="宋体" w:hAnsi="宋体" w:cs="宋体" w:eastAsia="宋体" w:hint="default"/>
                          <w:sz w:val="21"/>
                          <w:szCs w:val="21"/>
                        </w:rPr>
                        <w:t>确认其减值损失，并将原直接计入所有者权益的公允价值累计损失一并转出计入减值损失。</w:t>
                      </w:r>
                    </w:p>
                  </w:txbxContent>
                </v:textbox>
                <w10:wrap type="none"/>
              </v:shape>
            </v:group>
          </v:group>
        </w:pict>
      </w:r>
      <w:r>
        <w:rPr>
          <w:rFonts w:ascii="宋体" w:hAnsi="宋体" w:cs="宋体" w:eastAsia="宋体" w:hint="default"/>
          <w:position w:val="-70"/>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573" w:right="1123"/>
        <w:jc w:val="left"/>
      </w:pPr>
      <w:r>
        <w:rPr>
          <w:rFonts w:ascii="Times New Roman" w:hAnsi="Times New Roman" w:cs="Times New Roman" w:eastAsia="Times New Roman" w:hint="default"/>
        </w:rPr>
        <w:t>a</w:t>
      </w:r>
      <w:r>
        <w:rPr/>
        <w:t>单项金额重大的应收款项坏账准备的确认标准、计提方法：</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349"/>
        <w:gridCol w:w="6087"/>
      </w:tblGrid>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8"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2"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972"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79" w:right="672" w:firstLine="180"/>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计提坏账准备的计提方法</w:t>
            </w:r>
          </w:p>
        </w:tc>
        <w:tc>
          <w:tcPr>
            <w:tcW w:w="60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both"/>
              <w:rPr>
                <w:rFonts w:ascii="宋体" w:hAnsi="宋体" w:cs="宋体" w:eastAsia="宋体" w:hint="default"/>
                <w:sz w:val="18"/>
                <w:szCs w:val="18"/>
              </w:rPr>
            </w:pPr>
            <w:r>
              <w:rPr>
                <w:rFonts w:ascii="宋体" w:hAnsi="宋体" w:cs="宋体" w:eastAsia="宋体" w:hint="default"/>
                <w:spacing w:val="-2"/>
                <w:sz w:val="18"/>
                <w:szCs w:val="18"/>
              </w:rPr>
              <w:t>经单独进行减值测试有客观证据表明发生减值的，根据其未来现金流量现值低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于其账面价值的差额计提坏账准备；经单独进行减值测试未发生减值的，参照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信用风险组合以账龄分析法计提坏账准备。</w:t>
            </w:r>
          </w:p>
        </w:tc>
      </w:tr>
    </w:tbl>
    <w:p>
      <w:pPr>
        <w:pStyle w:val="Heading5"/>
        <w:spacing w:line="278" w:lineRule="exact"/>
        <w:ind w:left="566" w:right="1123"/>
        <w:jc w:val="left"/>
      </w:pPr>
      <w:r>
        <w:rPr>
          <w:rFonts w:ascii="Times New Roman" w:hAnsi="Times New Roman" w:cs="Times New Roman" w:eastAsia="Times New Roman" w:hint="default"/>
        </w:rPr>
        <w:t>b</w:t>
      </w:r>
      <w:r>
        <w:rPr/>
        <w:t>按组合计提坏账准备的应收款项</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349"/>
        <w:gridCol w:w="6087"/>
      </w:tblGrid>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6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sz w:val="18"/>
                <w:szCs w:val="18"/>
              </w:rPr>
              <w:t>以账龄为信用风险组合确认依据</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6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Heading5"/>
        <w:spacing w:line="262" w:lineRule="exact"/>
        <w:ind w:left="573" w:right="1123"/>
        <w:jc w:val="left"/>
      </w:pPr>
      <w:r>
        <w:rPr/>
        <w:t>以账龄为信用风险组合的应收款项坏账准备计提方法：</w:t>
      </w:r>
    </w:p>
    <w:p>
      <w:pPr>
        <w:spacing w:after="0" w:line="262" w:lineRule="exact"/>
        <w:jc w:val="left"/>
        <w:sectPr>
          <w:pgSz w:w="11910" w:h="16840"/>
          <w:pgMar w:header="877" w:footer="1340" w:top="1060" w:bottom="1540" w:left="980" w:right="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53"/>
        <w:gridCol w:w="1445"/>
        <w:gridCol w:w="1361"/>
        <w:gridCol w:w="1625"/>
      </w:tblGrid>
      <w:tr>
        <w:trPr>
          <w:trHeight w:val="590" w:hRule="exact"/>
        </w:trPr>
        <w:tc>
          <w:tcPr>
            <w:tcW w:w="5353"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1445"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361" w:type="dxa"/>
            <w:tcBorders>
              <w:top w:val="single" w:sz="6" w:space="0" w:color="000000"/>
              <w:left w:val="nil" w:sz="6" w:space="0" w:color="auto"/>
              <w:bottom w:val="nil" w:sz="6" w:space="0" w:color="auto"/>
              <w:right w:val="nil" w:sz="6" w:space="0" w:color="auto"/>
            </w:tcBorders>
          </w:tcPr>
          <w:p>
            <w:pPr/>
          </w:p>
        </w:tc>
        <w:tc>
          <w:tcPr>
            <w:tcW w:w="1625"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5" w:hRule="exact"/>
        </w:trPr>
        <w:tc>
          <w:tcPr>
            <w:tcW w:w="5353"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40" w:right="0"/>
              <w:jc w:val="left"/>
              <w:rPr>
                <w:rFonts w:ascii="宋体" w:hAnsi="宋体" w:cs="宋体" w:eastAsia="宋体" w:hint="default"/>
                <w:sz w:val="18"/>
                <w:szCs w:val="18"/>
              </w:rPr>
            </w:pPr>
            <w:r>
              <w:rPr>
                <w:rFonts w:ascii="宋体" w:hAnsi="宋体" w:cs="宋体" w:eastAsia="宋体" w:hint="default"/>
                <w:sz w:val="18"/>
                <w:szCs w:val="18"/>
              </w:rPr>
              <w:t>一年以内（含一年）</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z w:val="18"/>
              </w:rPr>
              <w:t>5%</w:t>
            </w:r>
          </w:p>
        </w:tc>
        <w:tc>
          <w:tcPr>
            <w:tcW w:w="1361"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z w:val="18"/>
              </w:rPr>
              <w:t>5%</w:t>
            </w:r>
          </w:p>
        </w:tc>
      </w:tr>
      <w:tr>
        <w:trPr>
          <w:trHeight w:val="332" w:hRule="exact"/>
        </w:trPr>
        <w:tc>
          <w:tcPr>
            <w:tcW w:w="535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0" w:right="0"/>
              <w:jc w:val="left"/>
              <w:rPr>
                <w:rFonts w:ascii="宋体" w:hAnsi="宋体" w:cs="宋体" w:eastAsia="宋体" w:hint="default"/>
                <w:sz w:val="18"/>
                <w:szCs w:val="18"/>
              </w:rPr>
            </w:pPr>
            <w:r>
              <w:rPr>
                <w:rFonts w:ascii="宋体" w:hAnsi="宋体" w:cs="宋体" w:eastAsia="宋体" w:hint="default"/>
                <w:sz w:val="18"/>
                <w:szCs w:val="18"/>
              </w:rPr>
              <w:t>一至二年（含二年）</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z w:val="18"/>
              </w:rPr>
              <w:t>10%</w:t>
            </w:r>
          </w:p>
        </w:tc>
        <w:tc>
          <w:tcPr>
            <w:tcW w:w="136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z w:val="18"/>
              </w:rPr>
              <w:t>10%</w:t>
            </w:r>
          </w:p>
        </w:tc>
      </w:tr>
      <w:tr>
        <w:trPr>
          <w:trHeight w:val="331" w:hRule="exact"/>
        </w:trPr>
        <w:tc>
          <w:tcPr>
            <w:tcW w:w="53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 w:right="0"/>
              <w:jc w:val="left"/>
              <w:rPr>
                <w:rFonts w:ascii="宋体" w:hAnsi="宋体" w:cs="宋体" w:eastAsia="宋体" w:hint="default"/>
                <w:sz w:val="18"/>
                <w:szCs w:val="18"/>
              </w:rPr>
            </w:pPr>
            <w:r>
              <w:rPr>
                <w:rFonts w:ascii="宋体" w:hAnsi="宋体" w:cs="宋体" w:eastAsia="宋体" w:hint="default"/>
                <w:sz w:val="18"/>
                <w:szCs w:val="18"/>
              </w:rPr>
              <w:t>二至三年（含三年）</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20%</w:t>
            </w:r>
          </w:p>
        </w:tc>
        <w:tc>
          <w:tcPr>
            <w:tcW w:w="136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20%</w:t>
            </w:r>
          </w:p>
        </w:tc>
      </w:tr>
      <w:tr>
        <w:trPr>
          <w:trHeight w:val="261" w:hRule="exact"/>
        </w:trPr>
        <w:tc>
          <w:tcPr>
            <w:tcW w:w="53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100%</w:t>
            </w:r>
          </w:p>
        </w:tc>
        <w:tc>
          <w:tcPr>
            <w:tcW w:w="136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36"/>
        <w:ind w:left="132"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5066"/>
        <w:gridCol w:w="4503"/>
      </w:tblGrid>
      <w:tr>
        <w:trPr>
          <w:trHeight w:val="403"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37"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经单独进行减值测试有客观证据表明发生减值的，根据其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未来现金流量现值低于其账面价值的差额计提坏账准备； </w:t>
            </w:r>
            <w:r>
              <w:rPr>
                <w:rFonts w:ascii="宋体" w:hAnsi="宋体" w:cs="宋体" w:eastAsia="宋体" w:hint="default"/>
                <w:spacing w:val="-2"/>
                <w:sz w:val="18"/>
                <w:szCs w:val="18"/>
              </w:rPr>
              <w:t>经单独进行减值测试未发生减值的，参照信用风险组合以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账龄分析法计提坏账准备。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left="132"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2598"/>
        <w:gridCol w:w="2187"/>
        <w:gridCol w:w="4784"/>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应收款项账龄组合</w:t>
            </w:r>
          </w:p>
        </w:tc>
        <w:tc>
          <w:tcPr>
            <w:tcW w:w="2187" w:type="dxa"/>
            <w:tcBorders>
              <w:top w:val="single" w:sz="4" w:space="0" w:color="000000"/>
              <w:left w:val="single" w:sz="4" w:space="0" w:color="000000"/>
              <w:bottom w:val="single" w:sz="4" w:space="0" w:color="000000"/>
              <w:right w:val="single" w:sz="10" w:space="0" w:color="C6ECCC"/>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以账龄为信用风险组合确认依据</w:t>
            </w:r>
          </w:p>
        </w:tc>
      </w:tr>
    </w:tbl>
    <w:p>
      <w:pPr>
        <w:pStyle w:val="BodyText"/>
        <w:spacing w:line="240" w:lineRule="auto" w:before="49"/>
        <w:ind w:left="132" w:right="0"/>
        <w:jc w:val="left"/>
      </w:pPr>
      <w:r>
        <w:rPr/>
        <w:t>组合中，采用账龄分析法计提坏账准备的</w:t>
      </w:r>
    </w:p>
    <w:p>
      <w:pPr>
        <w:pStyle w:val="BodyText"/>
        <w:spacing w:line="240" w:lineRule="auto" w:before="115"/>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2577"/>
        <w:gridCol w:w="2988"/>
        <w:gridCol w:w="3994"/>
      </w:tblGrid>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left="132" w:right="0"/>
        <w:jc w:val="left"/>
      </w:pPr>
      <w:r>
        <w:rPr/>
        <w:t>组合中，采用余额百分比法计提坏账准备的</w:t>
      </w:r>
    </w:p>
    <w:p>
      <w:pPr>
        <w:pStyle w:val="BodyText"/>
        <w:spacing w:line="340" w:lineRule="auto" w:before="115"/>
        <w:ind w:left="13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3355"/>
        <w:gridCol w:w="6215"/>
      </w:tblGrid>
      <w:tr>
        <w:trPr>
          <w:trHeight w:val="402"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以单项金额不重大且账龄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年以上为确认依据</w:t>
            </w:r>
          </w:p>
        </w:tc>
      </w:tr>
      <w:tr>
        <w:trPr>
          <w:trHeight w:val="1026"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60"/>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准备，如果无法准确预计其未来现金流量现值的，参照信用风险组合以账龄分 析法计提坏账准备。</w:t>
            </w:r>
          </w:p>
        </w:tc>
      </w:tr>
    </w:tbl>
    <w:p>
      <w:pPr>
        <w:spacing w:after="0" w:line="316" w:lineRule="auto"/>
        <w:jc w:val="both"/>
        <w:rPr>
          <w:rFonts w:ascii="宋体" w:hAnsi="宋体" w:cs="宋体" w:eastAsia="宋体" w:hint="default"/>
          <w:sz w:val="18"/>
          <w:szCs w:val="18"/>
        </w:rPr>
        <w:sectPr>
          <w:pgSz w:w="11910" w:h="16840"/>
          <w:pgMar w:header="877" w:footer="1340" w:top="1060" w:bottom="1540" w:left="100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0"/>
          <w:szCs w:val="20"/>
        </w:rPr>
      </w:pPr>
    </w:p>
    <w:p>
      <w:pPr>
        <w:pStyle w:val="Heading4"/>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jc w:val="left"/>
      </w:pPr>
      <w:r>
        <w:rPr>
          <w:spacing w:val="-2"/>
        </w:rPr>
        <w:t>存货包括在生产经营过程中为销售或耗用而储备的原材料、低值易耗品及提供劳务过程中所耗用的人工成本等。公司存货主</w:t>
      </w:r>
      <w:r>
        <w:rPr>
          <w:spacing w:val="-64"/>
        </w:rPr>
        <w:t> </w:t>
      </w:r>
      <w:r>
        <w:rPr>
          <w:spacing w:val="-64"/>
        </w:rPr>
      </w:r>
      <w:r>
        <w:rPr/>
        <w:t>要为制作软件所耗用的光盘、软件保护卡等低值易耗品、定制软件的实施成本、系统集成的硬件采购成本。</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计价方法：加权平均法</w:t>
      </w:r>
    </w:p>
    <w:p>
      <w:pPr>
        <w:pStyle w:val="Heading5"/>
        <w:spacing w:line="273" w:lineRule="auto" w:before="94"/>
        <w:ind w:right="1123"/>
        <w:jc w:val="left"/>
      </w:pPr>
      <w:r>
        <w:rPr>
          <w:spacing w:val="-2"/>
        </w:rPr>
        <w:t>存货在取得时按实际成本计价，系统集成的硬件采购成本发出采用个别认定法，其他存货发出采用加权平</w:t>
      </w:r>
      <w:r>
        <w:rPr>
          <w:spacing w:val="-43"/>
        </w:rPr>
        <w:t> </w:t>
      </w:r>
      <w:r>
        <w:rPr>
          <w:spacing w:val="-43"/>
        </w:rPr>
      </w:r>
      <w:r>
        <w:rPr/>
        <w:t>均法核算。低值易耗品在领用时采用一次摊销法核算。</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1104"/>
        <w:jc w:val="both"/>
      </w:pPr>
      <w:r>
        <w:rPr>
          <w:spacing w:val="-2"/>
        </w:rPr>
        <w:t>对由于存货遭受损毁、陈旧过时和销售价格低于成本等原因造成的存货成本不可收回部分提取存货跌价准</w:t>
      </w:r>
      <w:r>
        <w:rPr>
          <w:spacing w:val="-43"/>
        </w:rPr>
        <w:t> </w:t>
      </w:r>
      <w:r>
        <w:rPr>
          <w:spacing w:val="-43"/>
        </w:rPr>
      </w:r>
      <w:r>
        <w:rPr>
          <w:spacing w:val="-2"/>
        </w:rPr>
        <w:t>备。存货跌价准备按单个存货项目的成本高于其可变现净值的差额提取。可变现净值按正常经营过程中，</w:t>
      </w:r>
      <w:r>
        <w:rPr>
          <w:spacing w:val="-20"/>
        </w:rPr>
        <w:t> </w:t>
      </w:r>
      <w:r>
        <w:rPr>
          <w:spacing w:val="-20"/>
        </w:rPr>
      </w:r>
      <w:r>
        <w:rPr/>
        <w:t>估计售价减去估计完工成本及销售所必须的估计费用后的价值确定。</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盘存制度：永续盘存制</w:t>
      </w:r>
    </w:p>
    <w:p>
      <w:pPr>
        <w:pStyle w:val="Heading5"/>
        <w:spacing w:line="240" w:lineRule="auto" w:before="96"/>
        <w:ind w:right="0"/>
        <w:jc w:val="both"/>
      </w:pPr>
      <w:r>
        <w:rPr/>
        <w:t>存货数量的盘存方法：永续盘存制</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低值易耗品 摊销方法：一次摊销法 包装物 摊销方法：一次摊销法</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9"/>
        <w:jc w:val="both"/>
      </w:pPr>
      <w:r>
        <w:rPr/>
        <w:t>（</w:t>
      </w:r>
      <w:r>
        <w:rPr>
          <w:rFonts w:ascii="Times New Roman" w:hAnsi="Times New Roman" w:cs="Times New Roman" w:eastAsia="Times New Roman" w:hint="default"/>
        </w:rPr>
        <w:t>1</w:t>
      </w:r>
      <w:r>
        <w:rPr/>
        <w:t>）企业合并形成的长期股权投资①同一控制下的企业合并取得的长期股权投资，公司以支付现金、转让非现金资产或承 </w:t>
      </w:r>
      <w:r>
        <w:rPr>
          <w:spacing w:val="-2"/>
        </w:rPr>
        <w:t>担债务方式作为合并对价的，在合并日按照取得被合并方所有者权益账面价值的份额作为长期股权投资的初始投资成本。合</w:t>
      </w:r>
      <w:r>
        <w:rPr>
          <w:spacing w:val="-64"/>
        </w:rPr>
        <w:t> </w:t>
      </w:r>
      <w:r>
        <w:rPr>
          <w:spacing w:val="-64"/>
        </w:rPr>
      </w:r>
      <w:r>
        <w:rPr>
          <w:spacing w:val="-2"/>
        </w:rPr>
        <w:t>并方发生的审计、法律服务、评估咨询的中介费用以及其他相关管理费用，于发生时计入当期损益。长期股权投资初始投资</w:t>
      </w:r>
      <w:r>
        <w:rPr>
          <w:spacing w:val="-64"/>
        </w:rPr>
        <w:t> </w:t>
      </w:r>
      <w:r>
        <w:rPr>
          <w:spacing w:val="-64"/>
        </w:rPr>
      </w:r>
      <w:r>
        <w:rPr>
          <w:spacing w:val="-2"/>
        </w:rPr>
        <w:t>成本与支付的现金、转让的非现金资产以及所承担债务账面价值之间的差额，调整资本公积；资本公积不足冲减的，调整留</w:t>
      </w:r>
      <w:r>
        <w:rPr>
          <w:spacing w:val="-64"/>
        </w:rPr>
        <w:t> </w:t>
      </w:r>
      <w:r>
        <w:rPr>
          <w:spacing w:val="-64"/>
        </w:rPr>
      </w:r>
      <w:r>
        <w:rPr>
          <w:spacing w:val="-2"/>
        </w:rPr>
        <w:t>存收益。公司以发行权益性证券作为合并对价的，在合并日按照取得被合并方所有者权益账面价值的份额作为长期股权投资</w:t>
      </w:r>
      <w:r>
        <w:rPr>
          <w:spacing w:val="-64"/>
        </w:rPr>
        <w:t> </w:t>
      </w:r>
      <w:r>
        <w:rPr>
          <w:spacing w:val="-64"/>
        </w:rPr>
      </w:r>
      <w:r>
        <w:rPr>
          <w:spacing w:val="-2"/>
        </w:rPr>
        <w:t>的初始投资成本。按照发行股份的面值总额作为股本，长期股权投资初始投资成本与所发行股份面值总额之间的差额，调整</w:t>
      </w:r>
      <w:r>
        <w:rPr>
          <w:spacing w:val="-63"/>
        </w:rPr>
        <w:t> </w:t>
      </w:r>
      <w:r>
        <w:rPr>
          <w:spacing w:val="-63"/>
        </w:rPr>
      </w:r>
      <w:r>
        <w:rPr>
          <w:spacing w:val="-2"/>
        </w:rPr>
        <w:t>资本公积；资本公积不足冲减的，调整留存收益。②非同一控制下的企业合并取得的长期股权投资，合并成本为在购买日为</w:t>
      </w:r>
      <w:r>
        <w:rPr>
          <w:spacing w:val="-62"/>
        </w:rPr>
        <w:t> </w:t>
      </w:r>
      <w:r>
        <w:rPr>
          <w:spacing w:val="-62"/>
        </w:rPr>
      </w:r>
      <w:r>
        <w:rPr>
          <w:spacing w:val="-2"/>
        </w:rPr>
        <w:t>取得对被购买方的控制权而付出的资产、发生或承担的负债以及发行的权益性证券的公允价值。企业合并成本大于合并中取</w:t>
      </w:r>
      <w:r>
        <w:rPr>
          <w:spacing w:val="-64"/>
        </w:rPr>
        <w:t> </w:t>
      </w:r>
      <w:r>
        <w:rPr>
          <w:spacing w:val="-64"/>
        </w:rPr>
      </w:r>
      <w:r>
        <w:rPr>
          <w:spacing w:val="-2"/>
        </w:rPr>
        <w:t>得的被购买方可辨认净资产公允价值份额的差额，确认为合并资产负债表中的商誉。企业合并成本小于合并中取得的被购买</w:t>
      </w:r>
    </w:p>
    <w:p>
      <w:pPr>
        <w:spacing w:after="0" w:line="316"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6" w:lineRule="auto"/>
        <w:ind w:right="1128"/>
        <w:jc w:val="both"/>
      </w:pPr>
      <w:r>
        <w:rPr>
          <w:spacing w:val="-2"/>
        </w:rPr>
        <w:t>方可辨认净资产公允价值份额的差额，计入当期损益（营业外收入）。为企业合并发生的各项费用，包括为进行企业合并而</w:t>
      </w:r>
      <w:r>
        <w:rPr>
          <w:spacing w:val="-72"/>
        </w:rPr>
        <w:t> </w:t>
      </w:r>
      <w:r>
        <w:rPr>
          <w:spacing w:val="-72"/>
        </w:rPr>
      </w:r>
      <w:r>
        <w:rPr>
          <w:spacing w:val="-2"/>
        </w:rPr>
        <w:t>支付的审计、法律服务、评估咨询等中介费用以及其他相关管理费用，于发生时计入当期损益；购买方作为合并对价发行的</w:t>
      </w:r>
      <w:r>
        <w:rPr>
          <w:spacing w:val="-64"/>
        </w:rPr>
        <w:t> </w:t>
      </w:r>
      <w:r>
        <w:rPr>
          <w:spacing w:val="-64"/>
        </w:rPr>
      </w:r>
      <w:r>
        <w:rPr>
          <w:spacing w:val="-2"/>
        </w:rPr>
        <w:t>权益性证券或债务性证券的交易费用，计入权益性证券或债务性证券的初始确认金额。企业通过多次交易分步实现非同一控</w:t>
      </w:r>
      <w:r>
        <w:rPr>
          <w:spacing w:val="-63"/>
        </w:rPr>
        <w:t> </w:t>
      </w:r>
      <w:r>
        <w:rPr>
          <w:spacing w:val="-63"/>
        </w:rPr>
      </w:r>
      <w:r>
        <w:rPr>
          <w:spacing w:val="-2"/>
        </w:rPr>
        <w:t>制下企业合并的，应当区分个别财务报表和合并财务报表进行相关会计处理：（Ⅰ）在个别财务报表中，应当以购买日之前</w:t>
      </w:r>
      <w:r>
        <w:rPr>
          <w:spacing w:val="-72"/>
        </w:rPr>
        <w:t> </w:t>
      </w:r>
      <w:r>
        <w:rPr>
          <w:spacing w:val="-72"/>
        </w:rPr>
      </w:r>
      <w:r>
        <w:rPr>
          <w:spacing w:val="-2"/>
        </w:rPr>
        <w:t>所持被购买方的股权投资的账面价值与购买日新增投资成本之和，作为该项投资的初始投资成本；购买日之前持有的被购买</w:t>
      </w:r>
      <w:r>
        <w:rPr>
          <w:spacing w:val="-64"/>
        </w:rPr>
        <w:t> </w:t>
      </w:r>
      <w:r>
        <w:rPr>
          <w:spacing w:val="-64"/>
        </w:rPr>
      </w:r>
      <w:r>
        <w:rPr>
          <w:spacing w:val="-2"/>
        </w:rPr>
        <w:t>方的股权涉及其他综合收益的，应当在处置该项投资时将与其相关的其他综合收益（例如，可供出售金融资产公允价值变动</w:t>
      </w:r>
      <w:r>
        <w:rPr>
          <w:spacing w:val="-63"/>
        </w:rPr>
        <w:t> </w:t>
      </w:r>
      <w:r>
        <w:rPr>
          <w:spacing w:val="-63"/>
        </w:rPr>
      </w:r>
      <w:r>
        <w:rPr>
          <w:spacing w:val="-2"/>
        </w:rPr>
        <w:t>计入资本公积的部分，下同）转入当期投资收益。（Ⅱ）在合并财务报表中，对于购买日之前持有的被购买方的股权，应当</w:t>
      </w:r>
      <w:r>
        <w:rPr>
          <w:spacing w:val="-72"/>
        </w:rPr>
        <w:t> </w:t>
      </w:r>
      <w:r>
        <w:rPr>
          <w:spacing w:val="-72"/>
        </w:rPr>
      </w:r>
      <w:r>
        <w:rPr>
          <w:spacing w:val="-2"/>
        </w:rPr>
        <w:t>按照该股权在购买日的公允价值进行重新计量，公允价值与其账面价值的差额计入当期投资收益；购买日之前持有的被购买</w:t>
      </w:r>
      <w:r>
        <w:rPr>
          <w:spacing w:val="-63"/>
        </w:rPr>
        <w:t> </w:t>
      </w:r>
      <w:r>
        <w:rPr>
          <w:spacing w:val="-63"/>
        </w:rPr>
      </w:r>
      <w:r>
        <w:rPr>
          <w:spacing w:val="-2"/>
        </w:rPr>
        <w:t>方的股权涉及其他综合收益的，与其相关的其他综合收益应当转为购买日所属当期投资收益。购买方应当在附注中披露其在</w:t>
      </w:r>
      <w:r>
        <w:rPr>
          <w:spacing w:val="-64"/>
        </w:rPr>
        <w:t> </w:t>
      </w:r>
      <w:r>
        <w:rPr>
          <w:spacing w:val="-64"/>
        </w:rPr>
      </w:r>
      <w:r>
        <w:rPr>
          <w:spacing w:val="-4"/>
        </w:rPr>
        <w:t>购买日之前持有的被购买方的股权在购买日的公允价值、按照公允价值重新计量产生的相关利得或损失的金额。（</w:t>
      </w:r>
      <w:r>
        <w:rPr>
          <w:rFonts w:ascii="Times New Roman" w:hAnsi="Times New Roman" w:cs="Times New Roman" w:eastAsia="Times New Roman" w:hint="default"/>
          <w:spacing w:val="-4"/>
        </w:rPr>
        <w:t>2</w:t>
      </w:r>
      <w:r>
        <w:rPr>
          <w:spacing w:val="-4"/>
        </w:rPr>
        <w:t>）其他方</w:t>
      </w:r>
      <w:r>
        <w:rPr>
          <w:spacing w:val="-42"/>
        </w:rPr>
        <w:t> </w:t>
      </w:r>
      <w:r>
        <w:rPr>
          <w:spacing w:val="-42"/>
        </w:rPr>
      </w:r>
      <w:r>
        <w:rPr>
          <w:spacing w:val="-2"/>
        </w:rPr>
        <w:t>式取得的长期股权投资①以支付现金取得的长期股权投资，按照实际支付的购买价款作为初始投资成本。初始投资成本包括</w:t>
      </w:r>
      <w:r>
        <w:rPr>
          <w:spacing w:val="-64"/>
        </w:rPr>
        <w:t> </w:t>
      </w:r>
      <w:r>
        <w:rPr>
          <w:spacing w:val="-64"/>
        </w:rPr>
      </w:r>
      <w:r>
        <w:rPr>
          <w:spacing w:val="-2"/>
        </w:rPr>
        <w:t>与取得长期股权投资直接相关的费用、税金及其他必要支出。②以发行权益性证券取得的长期股权投资，按照发行权益性证</w:t>
      </w:r>
      <w:r>
        <w:rPr>
          <w:spacing w:val="-63"/>
        </w:rPr>
        <w:t> </w:t>
      </w:r>
      <w:r>
        <w:rPr>
          <w:spacing w:val="-63"/>
        </w:rPr>
      </w:r>
      <w:r>
        <w:rPr>
          <w:spacing w:val="-2"/>
        </w:rPr>
        <w:t>券的公允价值作为初始投资成本。③投资者投入的长期股权投资，按照投资合同或协议约定的价值作为初始投资成本，但合</w:t>
      </w:r>
      <w:r>
        <w:rPr>
          <w:spacing w:val="-63"/>
        </w:rPr>
        <w:t> </w:t>
      </w:r>
      <w:r>
        <w:rPr>
          <w:spacing w:val="-63"/>
        </w:rPr>
      </w:r>
      <w:r>
        <w:rPr>
          <w:spacing w:val="-2"/>
        </w:rPr>
        <w:t>同或协议约定价值不公允的除外。④以非货币资产交换方式取得的长期股权投资，如果该项交换具有商业实质且换入资产或</w:t>
      </w:r>
      <w:r>
        <w:rPr>
          <w:spacing w:val="-64"/>
        </w:rPr>
        <w:t> </w:t>
      </w:r>
      <w:r>
        <w:rPr>
          <w:spacing w:val="-64"/>
        </w:rPr>
      </w:r>
      <w:r>
        <w:rPr>
          <w:spacing w:val="-2"/>
        </w:rPr>
        <w:t>换出资产的公允价值能可靠计量，则以换出资产的公允价值和相关税费作为初始投资成本，换出资产的公允价值与账面价值</w:t>
      </w:r>
      <w:r>
        <w:rPr>
          <w:spacing w:val="-64"/>
        </w:rPr>
        <w:t> </w:t>
      </w:r>
      <w:r>
        <w:rPr>
          <w:spacing w:val="-64"/>
        </w:rPr>
      </w:r>
      <w:r>
        <w:rPr>
          <w:spacing w:val="-2"/>
        </w:rPr>
        <w:t>之间的差额计入当期损益；若非货币资产交换不同时具备上述两个条件，则按换出资产的账面价值和相关税费作为初始投资</w:t>
      </w:r>
      <w:r>
        <w:rPr>
          <w:spacing w:val="-64"/>
        </w:rPr>
        <w:t> </w:t>
      </w:r>
      <w:r>
        <w:rPr>
          <w:spacing w:val="-64"/>
        </w:rPr>
      </w:r>
      <w:r>
        <w:rPr>
          <w:spacing w:val="-2"/>
        </w:rPr>
        <w:t>成本。⑤以债务重组方式取得的长期股权投资，按取得的股权的公允价值作为初始投资成本，初始投资成本与债权账面价值</w:t>
      </w:r>
      <w:r>
        <w:rPr>
          <w:spacing w:val="-61"/>
        </w:rPr>
        <w:t> </w:t>
      </w:r>
      <w:r>
        <w:rPr>
          <w:spacing w:val="-61"/>
        </w:rPr>
      </w:r>
      <w:r>
        <w:rPr/>
        <w:t>之间的差额计入当期损益。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2" w:lineRule="auto" w:before="0"/>
        <w:ind w:right="1034"/>
        <w:jc w:val="left"/>
      </w:pPr>
      <w:r>
        <w:rPr>
          <w:spacing w:val="-3"/>
        </w:rPr>
        <w:t>（</w:t>
      </w:r>
      <w:r>
        <w:rPr>
          <w:rFonts w:ascii="Times New Roman" w:hAnsi="Times New Roman" w:cs="Times New Roman" w:eastAsia="Times New Roman" w:hint="default"/>
          <w:spacing w:val="-3"/>
        </w:rPr>
        <w:t>1</w:t>
      </w:r>
      <w:r>
        <w:rPr>
          <w:spacing w:val="-3"/>
        </w:rPr>
        <w:t>）对子公司的长期股权投资采用的成本法核算</w:t>
      </w:r>
      <w:r>
        <w:rPr>
          <w:rFonts w:ascii="Times New Roman" w:hAnsi="Times New Roman" w:cs="Times New Roman" w:eastAsia="Times New Roman" w:hint="default"/>
          <w:spacing w:val="-3"/>
        </w:rPr>
        <w:t>,</w:t>
      </w:r>
      <w:r>
        <w:rPr>
          <w:spacing w:val="-3"/>
        </w:rPr>
        <w:t>编制合并财务报表时按照权益法进行调整。（</w:t>
      </w:r>
      <w:r>
        <w:rPr>
          <w:rFonts w:ascii="Times New Roman" w:hAnsi="Times New Roman" w:cs="Times New Roman" w:eastAsia="Times New Roman" w:hint="default"/>
          <w:spacing w:val="-3"/>
        </w:rPr>
        <w:t>2</w:t>
      </w:r>
      <w:r>
        <w:rPr>
          <w:spacing w:val="-3"/>
        </w:rPr>
        <w:t>）对被投资单位不具有共同</w:t>
      </w:r>
      <w:r>
        <w:rPr>
          <w:spacing w:val="-50"/>
        </w:rPr>
        <w:t> </w:t>
      </w:r>
      <w:r>
        <w:rPr>
          <w:spacing w:val="-50"/>
        </w:rPr>
      </w:r>
      <w:r>
        <w:rPr/>
        <w:t>控制或重大影响且在活跃市场中没有报价、公允价值不能可靠计量的长期股权投资，采用成本法核算。采用成本法核算时， </w:t>
      </w:r>
      <w:r>
        <w:rPr>
          <w:spacing w:val="-2"/>
        </w:rPr>
        <w:t>追加或收回投资调整长期股权投资的成本。除取得投资时实际支付的价款或对价中包含的已宣告但尚未发放的现金股利或利</w:t>
      </w:r>
      <w:r>
        <w:rPr>
          <w:spacing w:val="-64"/>
        </w:rPr>
        <w:t> </w:t>
      </w:r>
      <w:r>
        <w:rPr>
          <w:spacing w:val="-64"/>
        </w:rPr>
      </w:r>
      <w:r>
        <w:rPr>
          <w:spacing w:val="-2"/>
        </w:rPr>
        <w:t>润外，投资企业应当按照享有被投资单位宣告发放的现金股利或利润确认投资收益，不再划分是否属于投资前和投资后被投</w:t>
      </w:r>
      <w:r>
        <w:rPr>
          <w:spacing w:val="-64"/>
        </w:rPr>
        <w:t> </w:t>
      </w:r>
      <w:r>
        <w:rPr>
          <w:spacing w:val="-64"/>
        </w:rPr>
      </w:r>
      <w:r>
        <w:rPr>
          <w:spacing w:val="-2"/>
        </w:rPr>
        <w:t>资单位实现的净利润。（</w:t>
      </w:r>
      <w:r>
        <w:rPr>
          <w:rFonts w:ascii="Times New Roman" w:hAnsi="Times New Roman" w:cs="Times New Roman" w:eastAsia="Times New Roman" w:hint="default"/>
          <w:spacing w:val="-2"/>
        </w:rPr>
        <w:t>3</w:t>
      </w:r>
      <w:r>
        <w:rPr>
          <w:spacing w:val="-2"/>
        </w:rPr>
        <w:t>）对被投资单位具有共同控制或重大影响的长期股权投资，采用权益法核算。采用权益法核算时，</w:t>
      </w:r>
      <w:r>
        <w:rPr>
          <w:spacing w:val="-71"/>
        </w:rPr>
        <w:t> </w:t>
      </w:r>
      <w:r>
        <w:rPr>
          <w:spacing w:val="-2"/>
        </w:rPr>
        <w:t>按照应享有或应分担的被投资单位实现的净损益的份额，确认投资损益并调整长期股权投资的账面价值。当期投资损益为按</w:t>
      </w:r>
      <w:r>
        <w:rPr>
          <w:spacing w:val="-64"/>
        </w:rPr>
        <w:t> </w:t>
      </w:r>
      <w:r>
        <w:rPr>
          <w:spacing w:val="-64"/>
        </w:rPr>
      </w:r>
      <w:r>
        <w:rPr>
          <w:spacing w:val="-2"/>
        </w:rPr>
        <w:t>应享有或应分担的被投资单位当年实现的净利润或发生的净亏损的份额。在确认应分担的被投资单位发生的净亏损时，以投</w:t>
      </w:r>
      <w:r>
        <w:rPr>
          <w:spacing w:val="-64"/>
        </w:rPr>
        <w:t> </w:t>
      </w:r>
      <w:r>
        <w:rPr>
          <w:spacing w:val="-64"/>
        </w:rPr>
      </w:r>
      <w:r>
        <w:rPr>
          <w:spacing w:val="-2"/>
        </w:rPr>
        <w:t>资账面价值减记至零为限（投资企业负有承担额外损失义务的除外）；如果被投资单位以后各期实现净利润，在收益分享额</w:t>
      </w:r>
      <w:r>
        <w:rPr>
          <w:spacing w:val="-72"/>
        </w:rPr>
        <w:t> </w:t>
      </w:r>
      <w:r>
        <w:rPr>
          <w:spacing w:val="-72"/>
        </w:rPr>
      </w:r>
      <w:r>
        <w:rPr>
          <w:spacing w:val="-4"/>
        </w:rPr>
        <w:t>超过未确认的亏损分担额以后，按超过未确认的亏损分担额的金额，恢复投资的账面价值。（</w:t>
      </w:r>
      <w:r>
        <w:rPr>
          <w:rFonts w:ascii="Times New Roman" w:hAnsi="Times New Roman" w:cs="Times New Roman" w:eastAsia="Times New Roman" w:hint="default"/>
          <w:spacing w:val="-4"/>
        </w:rPr>
        <w:t>4</w:t>
      </w:r>
      <w:r>
        <w:rPr>
          <w:spacing w:val="-4"/>
        </w:rPr>
        <w:t>）被投资单位采用的会计政策</w:t>
      </w:r>
      <w:r>
        <w:rPr>
          <w:spacing w:val="-43"/>
        </w:rPr>
        <w:t> </w:t>
      </w:r>
      <w:r>
        <w:rPr>
          <w:spacing w:val="-43"/>
        </w:rPr>
      </w:r>
      <w:r>
        <w:rPr>
          <w:spacing w:val="-2"/>
        </w:rPr>
        <w:t>及会计期间与投资企业不一致的，按照投资企业的会计政策及会计期间对被投资单位的财务报表进行调整，并据以确认投资</w:t>
      </w:r>
      <w:r>
        <w:rPr>
          <w:spacing w:val="-64"/>
        </w:rPr>
        <w:t> </w:t>
      </w:r>
      <w:r>
        <w:rPr>
          <w:spacing w:val="-64"/>
        </w:rPr>
      </w:r>
      <w:r>
        <w:rPr>
          <w:spacing w:val="-5"/>
        </w:rPr>
        <w:t>损益。投资企业对于被投资单位除净损益以外所有者权益的其他变动，调整长期股权投资的账面价值并计入所有者权益。（</w:t>
      </w:r>
      <w:r>
        <w:rPr>
          <w:rFonts w:ascii="Times New Roman" w:hAnsi="Times New Roman" w:cs="Times New Roman" w:eastAsia="Times New Roman" w:hint="default"/>
          <w:spacing w:val="-5"/>
        </w:rPr>
        <w:t>5</w:t>
      </w:r>
      <w:r>
        <w:rPr>
          <w:spacing w:val="-5"/>
        </w:rPr>
        <w:t>）</w:t>
      </w:r>
      <w:r>
        <w:rPr>
          <w:spacing w:val="-71"/>
        </w:rPr>
        <w:t> </w:t>
      </w:r>
      <w:r>
        <w:rPr>
          <w:spacing w:val="-2"/>
        </w:rPr>
        <w:t>处置长期股权投资，其账面价值与实际取得价款的差额，计入当期损益。采用权益法核算的长期股权投资，因被投资单位除</w:t>
      </w:r>
      <w:r>
        <w:rPr>
          <w:spacing w:val="-65"/>
        </w:rPr>
        <w:t> </w:t>
      </w:r>
      <w:r>
        <w:rPr>
          <w:spacing w:val="-65"/>
        </w:rPr>
      </w:r>
      <w:r>
        <w:rPr>
          <w:spacing w:val="-2"/>
        </w:rPr>
        <w:t>净损益以外所有者权益的其他变动而计入所有者权益的，处置该项投资时将原计入所有者权益的部分按相应比例转入当期损</w:t>
      </w:r>
      <w:r>
        <w:rPr>
          <w:spacing w:val="-64"/>
        </w:rPr>
        <w:t> </w:t>
      </w:r>
      <w:r>
        <w:rPr>
          <w:spacing w:val="-64"/>
        </w:rPr>
      </w:r>
      <w:r>
        <w:rPr/>
        <w:t>益。</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jc w:val="both"/>
      </w:pPr>
      <w:r>
        <w:rPr>
          <w:spacing w:val="-2"/>
        </w:rPr>
        <w:t>共同控制，指按照合同约定对某项经济活动所共有的控制，仅在与该项经济活动相关的重要财务和经营决策需要分享控制权</w:t>
      </w:r>
      <w:r>
        <w:rPr>
          <w:spacing w:val="-64"/>
        </w:rPr>
        <w:t> </w:t>
      </w:r>
      <w:r>
        <w:rPr>
          <w:spacing w:val="-64"/>
        </w:rPr>
      </w:r>
      <w:r>
        <w:rPr>
          <w:spacing w:val="-2"/>
        </w:rPr>
        <w:t>的投资方一致同意时存在。投资企业与其他方对被投资单位实施共同控制的，被投资单位为其合营企业。重大影响，指对一</w:t>
      </w:r>
      <w:r>
        <w:rPr>
          <w:spacing w:val="-64"/>
        </w:rPr>
        <w:t> </w:t>
      </w:r>
      <w:r>
        <w:rPr>
          <w:spacing w:val="-64"/>
        </w:rPr>
      </w:r>
      <w:r>
        <w:rPr>
          <w:spacing w:val="-2"/>
        </w:rPr>
        <w:t>个企业的财务和经营政策有参与决策的权力，但并不能够控制或者与其他方一起共同控制这些政策的制定。投资企业能够对</w:t>
      </w:r>
      <w:r>
        <w:rPr>
          <w:spacing w:val="-64"/>
        </w:rPr>
        <w:t> </w:t>
      </w:r>
      <w:r>
        <w:rPr>
          <w:spacing w:val="-64"/>
        </w:rPr>
      </w:r>
      <w:r>
        <w:rPr/>
        <w:t>被投资单位施加重大影响的，被投资单位为其联营企业。</w:t>
      </w:r>
    </w:p>
    <w:p>
      <w:pPr>
        <w:spacing w:after="0" w:line="316" w:lineRule="auto"/>
        <w:jc w:val="both"/>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spacing w:line="1341" w:lineRule="exact"/>
        <w:ind w:left="116"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85.65pt;height:67.1pt;mso-position-horizontal-relative:char;mso-position-vertical-relative:line" type="#_x0000_t202" filled="false" stroked="true" strokeweight=".72pt" strokecolor="#000000">
            <w10:anchorlock/>
            <v:textbox inset="0,0,0,0">
              <w:txbxContent>
                <w:p>
                  <w:pPr>
                    <w:spacing w:line="273" w:lineRule="auto" w:before="0"/>
                    <w:ind w:left="28" w:right="22" w:firstLine="413"/>
                    <w:jc w:val="both"/>
                    <w:rPr>
                      <w:rFonts w:ascii="宋体" w:hAnsi="宋体" w:cs="宋体" w:eastAsia="宋体" w:hint="default"/>
                      <w:sz w:val="21"/>
                      <w:szCs w:val="21"/>
                    </w:rPr>
                  </w:pPr>
                  <w:r>
                    <w:rPr>
                      <w:rFonts w:ascii="宋体" w:hAnsi="宋体" w:cs="宋体" w:eastAsia="宋体" w:hint="default"/>
                      <w:spacing w:val="-2"/>
                      <w:sz w:val="21"/>
                      <w:szCs w:val="21"/>
                    </w:rPr>
                    <w:t>成本法核算的、在活跃市场中没有报价、公允价值不能可靠计量的长期股权投资，其减值损失根据其</w:t>
                  </w:r>
                  <w:r>
                    <w:rPr>
                      <w:rFonts w:ascii="宋体" w:hAnsi="宋体" w:cs="宋体" w:eastAsia="宋体" w:hint="default"/>
                      <w:w w:val="100"/>
                      <w:sz w:val="21"/>
                      <w:szCs w:val="21"/>
                    </w:rPr>
                    <w:t> </w:t>
                  </w:r>
                  <w:r>
                    <w:rPr>
                      <w:rFonts w:ascii="宋体" w:hAnsi="宋体" w:cs="宋体" w:eastAsia="宋体" w:hint="default"/>
                      <w:spacing w:val="-2"/>
                      <w:sz w:val="21"/>
                      <w:szCs w:val="21"/>
                    </w:rPr>
                    <w:t>账面价值与按类似金融资产当时市场收益率对未来现金流量折现确定的现值之间的差额进行确定。其他长</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期股权投资，如果可收回金额的计量结果表明，该长期股权投资的可收回金额低于其账面价值的，将差额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确认为资产减值损失。长期股权投资减值损失一经确认，不再转回。</w:t>
                  </w:r>
                </w:p>
              </w:txbxContent>
            </v:textbox>
          </v:shape>
        </w:pict>
      </w:r>
      <w:r>
        <w:rPr>
          <w:rFonts w:ascii="宋体" w:hAnsi="宋体" w:cs="宋体" w:eastAsia="宋体" w:hint="default"/>
          <w:position w:val="-26"/>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pPr>
      <w:r>
        <w:rPr>
          <w:spacing w:val="-2"/>
        </w:rPr>
        <w:t>固定资产是指为生产商品、提供劳务、出租或经营管理而持有的，使用寿命超过一个会计年度的有形资产。固定资产在同时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）与该项固定资产有关的经济利益很可能流入企业；（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0"/>
        <w:jc w:val="left"/>
      </w:pPr>
      <w:r>
        <w:rPr>
          <w:spacing w:val="-5"/>
        </w:rPr>
        <w:t>本公司固定资产从其达到预定可使用状态的次月起，采用年限平均法提取折旧。各类固定资产的折旧年限、 </w:t>
      </w:r>
      <w:r>
        <w:rPr/>
        <w:t>年折旧率、预计残值率如下：</w:t>
      </w:r>
    </w:p>
    <w:tbl>
      <w:tblPr>
        <w:tblW w:w="0" w:type="auto"/>
        <w:jc w:val="left"/>
        <w:tblInd w:w="160" w:type="dxa"/>
        <w:tblLayout w:type="fixed"/>
        <w:tblCellMar>
          <w:top w:w="0" w:type="dxa"/>
          <w:left w:w="0" w:type="dxa"/>
          <w:bottom w:w="0" w:type="dxa"/>
          <w:right w:w="0" w:type="dxa"/>
        </w:tblCellMar>
        <w:tblLook w:val="01E0"/>
      </w:tblPr>
      <w:tblGrid>
        <w:gridCol w:w="2495"/>
        <w:gridCol w:w="2105"/>
        <w:gridCol w:w="2231"/>
        <w:gridCol w:w="2727"/>
      </w:tblGrid>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r>
    </w:tbl>
    <w:p>
      <w:pPr>
        <w:spacing w:line="240" w:lineRule="auto" w:before="10"/>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
        <w:rPr>
          <w:rFonts w:ascii="宋体" w:hAnsi="宋体" w:cs="宋体" w:eastAsia="宋体" w:hint="default"/>
          <w:b/>
          <w:bCs/>
          <w:sz w:val="26"/>
          <w:szCs w:val="26"/>
        </w:rPr>
      </w:pPr>
    </w:p>
    <w:p>
      <w:pPr>
        <w:spacing w:line="1968" w:lineRule="exact"/>
        <w:ind w:left="116"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85.65pt;height:98.45pt;mso-position-horizontal-relative:char;mso-position-vertical-relative:line" type="#_x0000_t202" filled="false" stroked="true" strokeweight=".72pt" strokecolor="#000000">
            <w10:anchorlock/>
            <v:textbox inset="0,0,0,0">
              <w:txbxContent>
                <w:p>
                  <w:pPr>
                    <w:spacing w:line="273" w:lineRule="auto" w:before="0"/>
                    <w:ind w:left="28" w:right="21" w:firstLine="413"/>
                    <w:jc w:val="both"/>
                    <w:rPr>
                      <w:rFonts w:ascii="宋体" w:hAnsi="宋体" w:cs="宋体" w:eastAsia="宋体" w:hint="default"/>
                      <w:sz w:val="21"/>
                      <w:szCs w:val="21"/>
                    </w:rPr>
                  </w:pPr>
                  <w:r>
                    <w:rPr>
                      <w:rFonts w:ascii="宋体" w:hAnsi="宋体" w:cs="宋体" w:eastAsia="宋体" w:hint="default"/>
                      <w:spacing w:val="-2"/>
                      <w:sz w:val="21"/>
                      <w:szCs w:val="21"/>
                    </w:rPr>
                    <w:t>在每期末判断相关资产是否存在可能发生减值的迹象。存在减值迹象的，估计其可回收金额。可回收</w:t>
                  </w:r>
                  <w:r>
                    <w:rPr>
                      <w:rFonts w:ascii="宋体" w:hAnsi="宋体" w:cs="宋体" w:eastAsia="宋体" w:hint="default"/>
                      <w:w w:val="100"/>
                      <w:sz w:val="21"/>
                      <w:szCs w:val="21"/>
                    </w:rPr>
                    <w:t> </w:t>
                  </w:r>
                  <w:r>
                    <w:rPr>
                      <w:rFonts w:ascii="宋体" w:hAnsi="宋体" w:cs="宋体" w:eastAsia="宋体" w:hint="default"/>
                      <w:spacing w:val="-2"/>
                      <w:sz w:val="21"/>
                      <w:szCs w:val="21"/>
                    </w:rPr>
                    <w:t>金额根据资产的公允价值减去处置费用后的净额与资产预计未来现金流量的现值两者之间较高者确定。资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产的可收回金额低于其账面价值的，将差额确认为资产减值损失。固定资产减值准备按单项资产计提。资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产减值损失一经确认，在以后会计期间不再转回。</w:t>
                  </w:r>
                </w:p>
                <w:p>
                  <w:pPr>
                    <w:spacing w:line="273" w:lineRule="auto" w:before="7"/>
                    <w:ind w:left="28" w:right="22" w:firstLine="420"/>
                    <w:jc w:val="both"/>
                    <w:rPr>
                      <w:rFonts w:ascii="宋体" w:hAnsi="宋体" w:cs="宋体" w:eastAsia="宋体" w:hint="default"/>
                      <w:sz w:val="21"/>
                      <w:szCs w:val="21"/>
                    </w:rPr>
                  </w:pPr>
                  <w:r>
                    <w:rPr>
                      <w:rFonts w:ascii="宋体" w:hAnsi="宋体" w:cs="宋体" w:eastAsia="宋体" w:hint="default"/>
                      <w:spacing w:val="-2"/>
                      <w:sz w:val="21"/>
                      <w:szCs w:val="21"/>
                    </w:rPr>
                    <w:t>已计提减值准备的固定资产在计提折旧时，按照该项固定资产的账面价值，以及尚可使用年限重新计</w:t>
                  </w:r>
                  <w:r>
                    <w:rPr>
                      <w:rFonts w:ascii="宋体" w:hAnsi="宋体" w:cs="宋体" w:eastAsia="宋体" w:hint="default"/>
                      <w:w w:val="100"/>
                      <w:sz w:val="21"/>
                      <w:szCs w:val="21"/>
                    </w:rPr>
                    <w:t> </w:t>
                  </w:r>
                  <w:r>
                    <w:rPr>
                      <w:rFonts w:ascii="宋体" w:hAnsi="宋体" w:cs="宋体" w:eastAsia="宋体" w:hint="default"/>
                      <w:sz w:val="21"/>
                      <w:szCs w:val="21"/>
                    </w:rPr>
                    <w:t>算确定折旧率和折旧额，已全额计提减值准备的固定资产不再计提折旧。</w:t>
                  </w:r>
                </w:p>
              </w:txbxContent>
            </v:textbox>
          </v:shape>
        </w:pict>
      </w:r>
      <w:r>
        <w:rPr>
          <w:rFonts w:ascii="宋体" w:hAnsi="宋体" w:cs="宋体" w:eastAsia="宋体" w:hint="default"/>
          <w:position w:val="-38"/>
          <w:sz w:val="20"/>
          <w:szCs w:val="20"/>
        </w:rPr>
      </w:r>
    </w:p>
    <w:p>
      <w:pPr>
        <w:spacing w:after="0" w:line="1968"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在建工程以立项项目分类核算。</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jc w:val="left"/>
      </w:pPr>
      <w:r>
        <w:rPr>
          <w:spacing w:val="-2"/>
        </w:rPr>
        <w:t>在建工程项目按建造该项资产达到预定可使用状态前所发生的全部支出，作为固定资产的入账价值。所建造固定资产在建工</w:t>
      </w:r>
      <w:r>
        <w:rPr>
          <w:spacing w:val="-64"/>
        </w:rPr>
        <w:t> </w:t>
      </w:r>
      <w:r>
        <w:rPr>
          <w:spacing w:val="-64"/>
        </w:rPr>
      </w:r>
      <w:r>
        <w:rPr>
          <w:spacing w:val="-4"/>
        </w:rPr>
        <w:t>程已达到预定可使用状态，但尚未办理竣工决算的，自达到预定可使用状态之日起，根据工程预算、造价或工程实际成本等，</w:t>
      </w:r>
      <w:r>
        <w:rPr>
          <w:spacing w:val="-46"/>
        </w:rPr>
        <w:t> </w:t>
      </w:r>
      <w:r>
        <w:rPr>
          <w:spacing w:val="-46"/>
        </w:rPr>
      </w:r>
      <w:r>
        <w:rPr>
          <w:spacing w:val="-4"/>
        </w:rPr>
        <w:t>按估计价值确定其成本，并计提折旧，待办理竣工决算后，再按实际成本调整原来的暂估价值，但不调整原已计提的折旧额。</w:t>
      </w:r>
    </w:p>
    <w:p>
      <w:pPr>
        <w:spacing w:line="240" w:lineRule="auto" w:before="9"/>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1123"/>
        <w:jc w:val="left"/>
      </w:pPr>
      <w:r>
        <w:rPr/>
        <w:t>期末公司根据在建工程的减值迹象判断是否应当计提减值准备﹐对长期停建并计划在三年内不会重新开</w:t>
      </w:r>
      <w:r>
        <w:rPr>
          <w:w w:val="100"/>
        </w:rPr>
        <w:t> </w:t>
      </w:r>
      <w:r>
        <w:rPr>
          <w:spacing w:val="-2"/>
        </w:rPr>
        <w:t>工等预计发生减值的在建工程，对可收回金额低于账面价值的部分计提在建工程减值准备。在建工程减值</w:t>
      </w:r>
      <w:r>
        <w:rPr>
          <w:spacing w:val="-41"/>
        </w:rPr>
        <w:t> </w:t>
      </w:r>
      <w:r>
        <w:rPr>
          <w:spacing w:val="-41"/>
        </w:rPr>
      </w:r>
      <w:r>
        <w:rPr/>
        <w:t>准备一旦计提，不得转回。</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3"/>
        <w:rPr>
          <w:rFonts w:ascii="宋体" w:hAnsi="宋体" w:cs="宋体" w:eastAsia="宋体" w:hint="default"/>
          <w:b/>
          <w:bCs/>
          <w:sz w:val="26"/>
          <w:szCs w:val="26"/>
        </w:rPr>
      </w:pPr>
    </w:p>
    <w:p>
      <w:pPr>
        <w:spacing w:line="2280" w:lineRule="exact"/>
        <w:ind w:left="116" w:right="0" w:firstLine="0"/>
        <w:rPr>
          <w:rFonts w:ascii="宋体" w:hAnsi="宋体" w:cs="宋体" w:eastAsia="宋体" w:hint="default"/>
          <w:sz w:val="20"/>
          <w:szCs w:val="20"/>
        </w:rPr>
      </w:pPr>
      <w:r>
        <w:rPr>
          <w:rFonts w:ascii="宋体" w:hAnsi="宋体" w:cs="宋体" w:eastAsia="宋体" w:hint="default"/>
          <w:position w:val="-45"/>
          <w:sz w:val="20"/>
          <w:szCs w:val="20"/>
        </w:rPr>
        <w:pict>
          <v:shape style="width:485.65pt;height:114.05pt;mso-position-horizontal-relative:char;mso-position-vertical-relative:line" type="#_x0000_t202" filled="false" stroked="true" strokeweight=".72pt" strokecolor="#000000">
            <w10:anchorlock/>
            <v:textbox inset="0,0,0,0">
              <w:txbxContent>
                <w:p>
                  <w:pPr>
                    <w:spacing w:line="271" w:lineRule="auto" w:before="0"/>
                    <w:ind w:left="28" w:right="21" w:firstLine="420"/>
                    <w:jc w:val="both"/>
                    <w:rPr>
                      <w:rFonts w:ascii="宋体" w:hAnsi="宋体" w:cs="宋体" w:eastAsia="宋体" w:hint="default"/>
                      <w:sz w:val="21"/>
                      <w:szCs w:val="21"/>
                    </w:rPr>
                  </w:pPr>
                  <w:r>
                    <w:rPr>
                      <w:rFonts w:ascii="宋体" w:hAnsi="宋体" w:cs="宋体" w:eastAsia="宋体" w:hint="default"/>
                      <w:spacing w:val="-2"/>
                      <w:sz w:val="21"/>
                      <w:szCs w:val="21"/>
                    </w:rPr>
                    <w:t>企业发生的借款费用，可直接归属于符合资本化条件的资产的购建或者生产的，应当予以资本化，计</w:t>
                  </w:r>
                  <w:r>
                    <w:rPr>
                      <w:rFonts w:ascii="宋体" w:hAnsi="宋体" w:cs="宋体" w:eastAsia="宋体" w:hint="default"/>
                      <w:w w:val="100"/>
                      <w:sz w:val="21"/>
                      <w:szCs w:val="21"/>
                    </w:rPr>
                    <w:t> </w:t>
                  </w:r>
                  <w:r>
                    <w:rPr>
                      <w:rFonts w:ascii="宋体" w:hAnsi="宋体" w:cs="宋体" w:eastAsia="宋体" w:hint="default"/>
                      <w:spacing w:val="-2"/>
                      <w:sz w:val="21"/>
                      <w:szCs w:val="21"/>
                    </w:rPr>
                    <w:t>入相关资产成本；其他借款费用，应当在发生时根据其发生额确认为费用，计入当期损益。符合资本化条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件的资产，是指需要经过相当长时间的购建或者生产活动才能达到预定可使用或者可销售状态的固定资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产、投资性房地产和存货等资产。借款费用同时满足下列条件的，才能开始资本化：</w:t>
                  </w:r>
                </w:p>
                <w:p>
                  <w:pPr>
                    <w:spacing w:line="256" w:lineRule="auto" w:before="10"/>
                    <w:ind w:left="28" w:right="3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）资产支出已经发生，资产支出包括为购建或者生产符合资本化条件的资产而以支付现金、转移</w:t>
                  </w:r>
                  <w:r>
                    <w:rPr>
                      <w:rFonts w:ascii="宋体" w:hAnsi="宋体" w:cs="宋体" w:eastAsia="宋体" w:hint="default"/>
                      <w:w w:val="100"/>
                      <w:sz w:val="21"/>
                      <w:szCs w:val="21"/>
                    </w:rPr>
                    <w:t> </w:t>
                  </w:r>
                  <w:r>
                    <w:rPr>
                      <w:rFonts w:ascii="宋体" w:hAnsi="宋体" w:cs="宋体" w:eastAsia="宋体" w:hint="default"/>
                      <w:sz w:val="21"/>
                      <w:szCs w:val="21"/>
                    </w:rPr>
                    <w:t>非现金资产或者承担带息债务形式发生的支出；</w:t>
                  </w:r>
                </w:p>
                <w:p>
                  <w:pPr>
                    <w:spacing w:before="25"/>
                    <w:ind w:left="44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txbxContent>
            </v:textbox>
          </v:shape>
        </w:pict>
      </w:r>
      <w:r>
        <w:rPr>
          <w:rFonts w:ascii="宋体" w:hAnsi="宋体" w:cs="宋体" w:eastAsia="宋体" w:hint="default"/>
          <w:position w:val="-45"/>
          <w:sz w:val="20"/>
          <w:szCs w:val="20"/>
        </w:rPr>
      </w:r>
    </w:p>
    <w:p>
      <w:pPr>
        <w:pStyle w:val="Heading5"/>
        <w:spacing w:line="286" w:lineRule="exact"/>
        <w:ind w:right="112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7"/>
        <w:rPr>
          <w:rFonts w:ascii="宋体" w:hAnsi="宋体" w:cs="宋体" w:eastAsia="宋体" w:hint="default"/>
          <w:sz w:val="25"/>
          <w:szCs w:val="25"/>
        </w:rPr>
      </w:pPr>
    </w:p>
    <w:p>
      <w:pPr>
        <w:spacing w:line="590" w:lineRule="atLeast" w:before="0"/>
        <w:ind w:left="573" w:right="409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借款费用同时满足下列条件的，才能开始资本化：</w:t>
      </w:r>
    </w:p>
    <w:p>
      <w:pPr>
        <w:pStyle w:val="Heading5"/>
        <w:spacing w:line="240" w:lineRule="auto" w:before="37"/>
        <w:ind w:left="573" w:right="1123"/>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资产支出已经发生；</w:t>
      </w:r>
    </w:p>
    <w:p>
      <w:pPr>
        <w:pStyle w:val="Heading5"/>
        <w:spacing w:line="240" w:lineRule="auto" w:before="21"/>
        <w:ind w:left="573" w:right="1123"/>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借款费用已经发生；</w:t>
      </w:r>
    </w:p>
    <w:p>
      <w:pPr>
        <w:pStyle w:val="Heading5"/>
        <w:spacing w:line="256" w:lineRule="auto" w:before="21"/>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为使资产达到预定可使用或者可销售状态所必要的购建或者生产活动已经开始。</w:t>
      </w:r>
      <w:r>
        <w:rPr>
          <w:w w:val="100"/>
        </w:rPr>
        <w:t> </w:t>
      </w:r>
      <w:r>
        <w:rPr>
          <w:spacing w:val="-3"/>
        </w:rPr>
        <w:t>购建或者生产符合资本化条件的资产达到预定可使用或者可销售状态时，借款费用停止资本化。之后</w:t>
      </w:r>
    </w:p>
    <w:p>
      <w:pPr>
        <w:pStyle w:val="Heading5"/>
        <w:spacing w:line="240" w:lineRule="auto" w:before="22"/>
        <w:ind w:right="1123"/>
        <w:jc w:val="left"/>
      </w:pPr>
      <w:r>
        <w:rPr/>
        <w:t>发生的借款费用计入当期损益。</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54.48pt;margin-top:747.935974pt;width:540.85pt;height:94pt;mso-position-horizontal-relative:page;mso-position-vertical-relative:page;z-index:3592" coordorigin="1090,14959" coordsize="10817,1880">
            <v:group style="position:absolute;left:1104;top:14973;width:9665;height:2" coordorigin="1104,14973" coordsize="9665,2">
              <v:shape style="position:absolute;left:1104;top:14973;width:9665;height:2" coordorigin="1104,14973" coordsize="9665,0" path="m1104,14973l10768,14973e" filled="false" stroked="true" strokeweight=".72pt" strokecolor="#000000">
                <v:path arrowok="t"/>
              </v:shape>
            </v:group>
            <v:group style="position:absolute;left:1097;top:14966;width:2;height:329" coordorigin="1097,14966" coordsize="2,329">
              <v:shape style="position:absolute;left:1097;top:14966;width:2;height:329" coordorigin="1097,14966" coordsize="0,329" path="m1097,14966l1097,15295e" filled="false" stroked="true" strokeweight=".72pt" strokecolor="#000000">
                <v:path arrowok="t"/>
              </v:shape>
            </v:group>
            <v:group style="position:absolute;left:10776;top:14966;width:2;height:329" coordorigin="10776,14966" coordsize="2,329">
              <v:shape style="position:absolute;left:10776;top:14966;width:2;height:329" coordorigin="10776,14966" coordsize="0,329" path="m10776,14966l10776,15295e" filled="false" stroked="true" strokeweight=".72pt" strokecolor="#000000">
                <v:path arrowok="t"/>
              </v:shape>
              <v:shape style="position:absolute;left:9206;top:15298;width:2700;height:1540" type="#_x0000_t75" stroked="false">
                <v:imagedata r:id="rId15" o:title=""/>
              </v:shape>
              <v:shape style="position:absolute;left:1553;top:15034;width:918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无形资产的使用寿命为有限的，估计该使用寿命的年限或者构成使用寿命的产量等类似计量单位数</w:t>
                      </w:r>
                    </w:p>
                  </w:txbxContent>
                </v:textbox>
                <w10:wrap type="non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group>
            <w10:wrap type="none"/>
          </v:group>
        </w:pict>
      </w: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0"/>
        <w:rPr>
          <w:rFonts w:ascii="宋体" w:hAnsi="宋体" w:cs="宋体" w:eastAsia="宋体" w:hint="default"/>
          <w:b/>
          <w:bCs/>
          <w:sz w:val="24"/>
          <w:szCs w:val="24"/>
        </w:rPr>
      </w:pPr>
    </w:p>
    <w:p>
      <w:pPr>
        <w:pStyle w:val="Heading5"/>
        <w:spacing w:line="264" w:lineRule="auto"/>
        <w:ind w:right="1160" w:firstLine="420"/>
        <w:jc w:val="both"/>
      </w:pPr>
      <w:r>
        <w:rPr>
          <w:spacing w:val="-3"/>
        </w:rPr>
        <w:t>符合资本化条件的资产在购建或者生产过程中，发生除达到预定可使用或者可销售状态必要的程序之</w:t>
      </w:r>
      <w:r>
        <w:rPr>
          <w:w w:val="100"/>
        </w:rPr>
        <w:t> </w:t>
      </w:r>
      <w:r>
        <w:rPr/>
        <w:t>外的非正常中断、且中断时间连续超过</w:t>
      </w:r>
      <w:r>
        <w:rPr>
          <w:rFonts w:ascii="Times New Roman" w:hAnsi="Times New Roman" w:cs="Times New Roman" w:eastAsia="Times New Roman" w:hint="default"/>
        </w:rPr>
        <w:t>3 </w:t>
      </w:r>
      <w:r>
        <w:rPr>
          <w:spacing w:val="-3"/>
        </w:rPr>
        <w:t>个月的，暂停借款费用的资本化。在中断期间发生的借款费用确</w:t>
      </w:r>
      <w:r>
        <w:rPr>
          <w:spacing w:val="-85"/>
        </w:rPr>
        <w:t> </w:t>
      </w:r>
      <w:r>
        <w:rPr>
          <w:spacing w:val="-85"/>
        </w:rPr>
      </w:r>
      <w:r>
        <w:rPr/>
        <w:t>认为费用，计入当期损益，直至资产的购建或者生产活动重新开始。</w:t>
      </w:r>
    </w:p>
    <w:p>
      <w:pPr>
        <w:spacing w:line="240" w:lineRule="auto" w:before="2"/>
        <w:rPr>
          <w:rFonts w:ascii="宋体" w:hAnsi="宋体" w:cs="宋体" w:eastAsia="宋体" w:hint="default"/>
          <w:sz w:val="25"/>
          <w:szCs w:val="25"/>
        </w:rPr>
      </w:pPr>
    </w:p>
    <w:p>
      <w:pPr>
        <w:spacing w:line="59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3"/>
          <w:sz w:val="21"/>
          <w:szCs w:val="21"/>
        </w:rPr>
        <w:t>在资本化期间内，每一会计期间的利息（包括折价或溢价的摊销）资本化金额，应当按照下列规定确</w:t>
      </w:r>
    </w:p>
    <w:p>
      <w:pPr>
        <w:pStyle w:val="Heading5"/>
        <w:spacing w:line="240" w:lineRule="auto" w:before="37"/>
        <w:ind w:right="1123"/>
        <w:jc w:val="left"/>
      </w:pPr>
      <w:r>
        <w:rPr/>
        <w:t>定：</w:t>
      </w:r>
    </w:p>
    <w:p>
      <w:pPr>
        <w:pStyle w:val="Heading5"/>
        <w:spacing w:line="266" w:lineRule="auto" w:before="37"/>
        <w:ind w:right="1160" w:firstLine="420"/>
        <w:jc w:val="both"/>
      </w:pPr>
      <w:r>
        <w:rPr/>
        <w:t>（</w:t>
      </w:r>
      <w:r>
        <w:rPr>
          <w:rFonts w:ascii="Times New Roman" w:hAnsi="Times New Roman" w:cs="Times New Roman" w:eastAsia="Times New Roman" w:hint="default"/>
        </w:rPr>
        <w:t>1</w:t>
      </w:r>
      <w:r>
        <w:rPr/>
        <w:t>）为购建或者生产符合资本化条件的资产而借入专门借款的，公司以专门借款当期实际发生的利</w:t>
      </w:r>
      <w:r>
        <w:rPr>
          <w:w w:val="100"/>
        </w:rPr>
        <w:t> </w:t>
      </w:r>
      <w:r>
        <w:rPr>
          <w:spacing w:val="-3"/>
        </w:rPr>
        <w:t>息费用，减去将尚未动用的借款资金存入银行取得的利息收入或进行暂时性投资取得的投资收益后的金额</w:t>
      </w:r>
      <w:r>
        <w:rPr>
          <w:spacing w:val="-30"/>
        </w:rPr>
        <w:t> </w:t>
      </w:r>
      <w:r>
        <w:rPr>
          <w:spacing w:val="-30"/>
        </w:rPr>
      </w:r>
      <w:r>
        <w:rPr/>
        <w:t>确定。</w:t>
      </w:r>
    </w:p>
    <w:p>
      <w:pPr>
        <w:pStyle w:val="Heading5"/>
        <w:spacing w:line="266" w:lineRule="auto" w:before="14"/>
        <w:ind w:right="1160" w:firstLine="420"/>
        <w:jc w:val="both"/>
      </w:pPr>
      <w:r>
        <w:rPr/>
        <w:t>（</w:t>
      </w:r>
      <w:r>
        <w:rPr>
          <w:rFonts w:ascii="Times New Roman" w:hAnsi="Times New Roman" w:cs="Times New Roman" w:eastAsia="Times New Roman" w:hint="default"/>
        </w:rPr>
        <w:t>2</w:t>
      </w:r>
      <w:r>
        <w:rPr/>
        <w:t>）为购建或者生产符合资本化条件的资产而占用了一般借款的，公司根据累计资产支出超过专门</w:t>
      </w:r>
      <w:r>
        <w:rPr>
          <w:w w:val="100"/>
        </w:rPr>
        <w:t> </w:t>
      </w:r>
      <w:r>
        <w:rPr>
          <w:spacing w:val="-3"/>
        </w:rPr>
        <w:t>借款部分的资产支出加权平均数乘以所占用一般借款的资本化率，计算确定一般借款应予资本化的利息金</w:t>
      </w:r>
      <w:r>
        <w:rPr>
          <w:spacing w:val="-31"/>
        </w:rPr>
        <w:t> </w:t>
      </w:r>
      <w:r>
        <w:rPr>
          <w:spacing w:val="-31"/>
        </w:rPr>
      </w:r>
      <w:r>
        <w:rPr>
          <w:spacing w:val="-3"/>
        </w:rPr>
        <w:t>额。资本化率应当根据一般借款加权平均利率计算确定。资本化期间，是指从借款费用开始资本化时点到</w:t>
      </w:r>
      <w:r>
        <w:rPr>
          <w:spacing w:val="-31"/>
        </w:rPr>
        <w:t> </w:t>
      </w:r>
      <w:r>
        <w:rPr>
          <w:spacing w:val="-31"/>
        </w:rPr>
      </w:r>
      <w:r>
        <w:rPr/>
        <w:t>停止资本化时点的期间，借款费用暂停资本化的期间不包括在内。</w:t>
      </w:r>
    </w:p>
    <w:p>
      <w:pPr>
        <w:pStyle w:val="Heading5"/>
        <w:spacing w:line="273" w:lineRule="auto" w:before="14"/>
        <w:ind w:right="1160" w:firstLine="420"/>
        <w:jc w:val="both"/>
      </w:pPr>
      <w:r>
        <w:rPr>
          <w:spacing w:val="-3"/>
        </w:rPr>
        <w:t>借款存在折价或者溢价的，应当按照实际利率法确定每一会计期间应摊销的折价或者溢价金额，调整</w:t>
      </w:r>
      <w:r>
        <w:rPr>
          <w:w w:val="100"/>
        </w:rPr>
        <w:t> </w:t>
      </w:r>
      <w:r>
        <w:rPr/>
        <w:t>每期利息金额。</w:t>
      </w:r>
    </w:p>
    <w:p>
      <w:pPr>
        <w:pStyle w:val="Heading5"/>
        <w:spacing w:line="273" w:lineRule="auto" w:before="7"/>
        <w:ind w:right="1160" w:firstLine="420"/>
        <w:jc w:val="both"/>
      </w:pPr>
      <w:r>
        <w:rPr>
          <w:spacing w:val="-3"/>
        </w:rPr>
        <w:t>在资本化期间内，外币专门借款本金及利息的汇兑差额，公司予以资本化，计入符合资本化条件的资</w:t>
      </w:r>
      <w:r>
        <w:rPr>
          <w:w w:val="100"/>
        </w:rPr>
        <w:t> </w:t>
      </w:r>
      <w:r>
        <w:rPr/>
        <w:t>产的成本。</w:t>
      </w:r>
    </w:p>
    <w:p>
      <w:pPr>
        <w:pStyle w:val="Heading5"/>
        <w:spacing w:line="273" w:lineRule="auto" w:before="7"/>
        <w:ind w:right="1160" w:firstLine="420"/>
        <w:jc w:val="both"/>
      </w:pPr>
      <w:r>
        <w:rPr>
          <w:spacing w:val="-3"/>
        </w:rPr>
        <w:t>购建或者生产符合资本化条件的资产达到预定可使用或者可销售状态时，借款费用停止资本化。在符</w:t>
      </w:r>
      <w:r>
        <w:rPr>
          <w:w w:val="100"/>
        </w:rPr>
        <w:t> </w:t>
      </w:r>
      <w:r>
        <w:rPr>
          <w:spacing w:val="-3"/>
        </w:rPr>
        <w:t>合资本化条件的资产达到预定可使用或者可销售状态之后所发生的借款费用，在发生时根据其发生额确认</w:t>
      </w:r>
      <w:r>
        <w:rPr>
          <w:spacing w:val="-31"/>
        </w:rPr>
        <w:t> </w:t>
      </w:r>
      <w:r>
        <w:rPr>
          <w:spacing w:val="-31"/>
        </w:rPr>
      </w:r>
      <w:r>
        <w:rPr/>
        <w:t>为费用，计入当期损益。</w:t>
      </w:r>
    </w:p>
    <w:p>
      <w:pPr>
        <w:spacing w:line="436" w:lineRule="exact"/>
        <w:ind w:left="10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86.35pt;height:21.85pt;mso-position-horizontal-relative:char;mso-position-vertical-relative:line" coordorigin="0,0" coordsize="9727,437">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422;width:9698;height:2" coordorigin="14,422" coordsize="9698,2">
              <v:shape style="position:absolute;left:14;top:422;width:9698;height:2" coordorigin="14,422" coordsize="9698,0" path="m14,422l9712,422e" filled="false" stroked="true" strokeweight=".72pt" strokecolor="#000000">
                <v:path arrowok="t"/>
              </v:shape>
            </v:group>
            <v:group style="position:absolute;left:7;top:7;width:2;height:423" coordorigin="7,7" coordsize="2,423">
              <v:shape style="position:absolute;left:7;top:7;width:2;height:423" coordorigin="7,7" coordsize="0,423" path="m7,7l7,430e" filled="false" stroked="true" strokeweight=".72pt" strokecolor="#000000">
                <v:path arrowok="t"/>
              </v:shape>
            </v:group>
            <v:group style="position:absolute;left:9720;top:7;width:2;height:423" coordorigin="9720,7" coordsize="2,423">
              <v:shape style="position:absolute;left:9720;top:7;width:2;height:423" coordorigin="9720,7" coordsize="0,423" path="m9720,7l9720,430e" filled="false" stroked="true" strokeweight=".72pt" strokecolor="#000000">
                <v:path arrowok="t"/>
              </v:shape>
            </v:group>
          </v:group>
        </w:pict>
      </w:r>
      <w:r>
        <w:rPr>
          <w:rFonts w:ascii="宋体" w:hAnsi="宋体" w:cs="宋体" w:eastAsia="宋体" w:hint="default"/>
          <w:position w:val="-8"/>
          <w:sz w:val="20"/>
          <w:szCs w:val="20"/>
        </w:rPr>
      </w:r>
    </w:p>
    <w:p>
      <w:pPr>
        <w:spacing w:line="240" w:lineRule="auto" w:before="9"/>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
        <w:rPr>
          <w:rFonts w:ascii="宋体" w:hAnsi="宋体" w:cs="宋体" w:eastAsia="宋体" w:hint="default"/>
          <w:b/>
          <w:bCs/>
          <w:sz w:val="26"/>
          <w:szCs w:val="26"/>
        </w:rPr>
      </w:pPr>
    </w:p>
    <w:p>
      <w:pPr>
        <w:spacing w:line="1344" w:lineRule="exact"/>
        <w:ind w:left="116"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83.95pt;height:67.25pt;mso-position-horizontal-relative:char;mso-position-vertical-relative:line" type="#_x0000_t202" filled="false" stroked="true" strokeweight=".72pt" strokecolor="#000000">
            <w10:anchorlock/>
            <v:textbox inset="0,0,0,0">
              <w:txbxContent>
                <w:p>
                  <w:pPr>
                    <w:spacing w:line="273" w:lineRule="auto" w:before="0"/>
                    <w:ind w:left="28" w:right="21" w:firstLine="420"/>
                    <w:jc w:val="both"/>
                    <w:rPr>
                      <w:rFonts w:ascii="宋体" w:hAnsi="宋体" w:cs="宋体" w:eastAsia="宋体" w:hint="default"/>
                      <w:sz w:val="21"/>
                      <w:szCs w:val="21"/>
                    </w:rPr>
                  </w:pPr>
                  <w:r>
                    <w:rPr>
                      <w:rFonts w:ascii="宋体" w:hAnsi="宋体" w:cs="宋体" w:eastAsia="宋体" w:hint="default"/>
                      <w:spacing w:val="-3"/>
                      <w:sz w:val="21"/>
                      <w:szCs w:val="21"/>
                    </w:rPr>
                    <w:t>无形资产按实际成本计价。外购无形资产的成本，包括购买价款、相关税费以及直接归属于使该项资</w:t>
                  </w:r>
                  <w:r>
                    <w:rPr>
                      <w:rFonts w:ascii="宋体" w:hAnsi="宋体" w:cs="宋体" w:eastAsia="宋体" w:hint="default"/>
                      <w:w w:val="100"/>
                      <w:sz w:val="21"/>
                      <w:szCs w:val="21"/>
                    </w:rPr>
                    <w:t> </w:t>
                  </w:r>
                  <w:r>
                    <w:rPr>
                      <w:rFonts w:ascii="宋体" w:hAnsi="宋体" w:cs="宋体" w:eastAsia="宋体" w:hint="default"/>
                      <w:spacing w:val="-3"/>
                      <w:sz w:val="21"/>
                      <w:szCs w:val="21"/>
                    </w:rPr>
                    <w:t>产达到预定用途所发生的其他支出。购买无形资产的价款超过正常信用条件延期支付，实质上具有融资性</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质的，无形资产的成本以购买价款的现值为基础确定。实际支付的价款与购买价款的现值之间的差额，除</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按照《企业会计准则第</w:t>
                  </w:r>
                  <w:r>
                    <w:rPr>
                      <w:rFonts w:ascii="Times New Roman" w:hAnsi="Times New Roman" w:cs="Times New Roman" w:eastAsia="Times New Roman" w:hint="default"/>
                      <w:sz w:val="21"/>
                      <w:szCs w:val="21"/>
                    </w:rPr>
                    <w:t>17</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借款费用》应予资本化的以外，在信用期间内计入当期损益。</w:t>
                  </w:r>
                </w:p>
              </w:txbxContent>
            </v:textbox>
          </v:shape>
        </w:pict>
      </w:r>
      <w:r>
        <w:rPr>
          <w:rFonts w:ascii="宋体" w:hAnsi="宋体" w:cs="宋体" w:eastAsia="宋体" w:hint="default"/>
          <w:position w:val="-26"/>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after="0" w:line="240" w:lineRule="auto"/>
        <w:jc w:val="left"/>
        <w:sectPr>
          <w:headerReference w:type="default" r:id="rId41"/>
          <w:footerReference w:type="default" r:id="rId42"/>
          <w:pgSz w:w="11910" w:h="16840"/>
          <w:pgMar w:header="877" w:footer="0" w:top="1060" w:bottom="0" w:left="980" w:right="0"/>
        </w:sectPr>
      </w:pPr>
    </w:p>
    <w:p>
      <w:pPr>
        <w:spacing w:line="240" w:lineRule="auto" w:before="12"/>
        <w:rPr>
          <w:rFonts w:ascii="宋体" w:hAnsi="宋体" w:cs="宋体" w:eastAsia="宋体" w:hint="default"/>
          <w:b/>
          <w:bCs/>
          <w:sz w:val="27"/>
          <w:szCs w:val="27"/>
        </w:rPr>
      </w:pPr>
    </w:p>
    <w:p>
      <w:pPr>
        <w:spacing w:line="422"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4.7pt;height:21.15pt;mso-position-horizontal-relative:char;mso-position-vertical-relative:line" coordorigin="0,0" coordsize="9694,423">
            <v:group style="position:absolute;left:14;top:408;width:9665;height:2" coordorigin="14,408" coordsize="9665,2">
              <v:shape style="position:absolute;left:14;top:408;width:9665;height:2" coordorigin="14,408" coordsize="9665,0" path="m14,408l9679,408e" filled="false" stroked="true" strokeweight=".72pt" strokecolor="#000000">
                <v:path arrowok="t"/>
              </v:shape>
            </v:group>
            <v:group style="position:absolute;left:7;top:7;width:2;height:409" coordorigin="7,7" coordsize="2,409">
              <v:shape style="position:absolute;left:7;top:7;width:2;height:409" coordorigin="7,7" coordsize="0,409" path="m7,7l7,416e" filled="false" stroked="true" strokeweight=".72pt" strokecolor="#000000">
                <v:path arrowok="t"/>
              </v:shape>
            </v:group>
            <v:group style="position:absolute;left:9686;top:7;width:2;height:409" coordorigin="9686,7" coordsize="2,409">
              <v:shape style="position:absolute;left:9686;top:7;width:2;height:409" coordorigin="9686,7" coordsize="0,409" path="m9686,7l9686,416e" filled="false" stroked="true" strokeweight=".72pt" strokecolor="#000000">
                <v:path arrowok="t"/>
              </v:shape>
              <v:shape style="position:absolute;left:0;top:0;width:9694;height:423" type="#_x0000_t202" filled="false" stroked="false">
                <v:textbox inset="0,0,0,0">
                  <w:txbxContent>
                    <w:p>
                      <w:pPr>
                        <w:spacing w:line="272" w:lineRule="exact" w:before="0"/>
                        <w:ind w:left="43" w:right="0" w:firstLine="0"/>
                        <w:jc w:val="left"/>
                        <w:rPr>
                          <w:rFonts w:ascii="宋体" w:hAnsi="宋体" w:cs="宋体" w:eastAsia="宋体" w:hint="default"/>
                          <w:sz w:val="21"/>
                          <w:szCs w:val="21"/>
                        </w:rPr>
                      </w:pPr>
                      <w:r>
                        <w:rPr>
                          <w:rFonts w:ascii="宋体" w:hAnsi="宋体" w:cs="宋体" w:eastAsia="宋体" w:hint="default"/>
                          <w:sz w:val="21"/>
                          <w:szCs w:val="21"/>
                        </w:rPr>
                        <w:t>量，在使用寿命内系统合理摊销。</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土地使用证</w:t>
            </w:r>
          </w:p>
        </w:tc>
      </w:tr>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2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使用寿命</w:t>
            </w:r>
          </w:p>
        </w:tc>
      </w:tr>
    </w:tbl>
    <w:p>
      <w:pPr>
        <w:spacing w:line="240" w:lineRule="auto" w:before="3"/>
        <w:rPr>
          <w:rFonts w:ascii="宋体" w:hAnsi="宋体" w:cs="宋体" w:eastAsia="宋体" w:hint="default"/>
          <w:b/>
          <w:bCs/>
          <w:sz w:val="19"/>
          <w:szCs w:val="19"/>
        </w:rPr>
      </w:pPr>
    </w:p>
    <w:p>
      <w:pPr>
        <w:spacing w:line="506" w:lineRule="auto"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无法预见无形资产为企业带来经济利益期限的，视为使用寿命不确定的无形资产。</w:t>
      </w:r>
    </w:p>
    <w:p>
      <w:pPr>
        <w:pStyle w:val="Heading4"/>
        <w:spacing w:line="240" w:lineRule="auto" w:before="104"/>
        <w:ind w:right="1123"/>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
        <w:rPr>
          <w:rFonts w:ascii="宋体" w:hAnsi="宋体" w:cs="宋体" w:eastAsia="宋体" w:hint="default"/>
          <w:b/>
          <w:bCs/>
          <w:sz w:val="26"/>
          <w:szCs w:val="26"/>
        </w:rPr>
      </w:pPr>
    </w:p>
    <w:p>
      <w:pPr>
        <w:spacing w:line="1656" w:lineRule="exact"/>
        <w:ind w:left="116"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483.95pt;height:82.8pt;mso-position-horizontal-relative:char;mso-position-vertical-relative:line" type="#_x0000_t202" filled="false" stroked="true" strokeweight=".72pt" strokecolor="#000000">
            <w10:anchorlock/>
            <v:textbox inset="0,0,0,0">
              <w:txbxContent>
                <w:p>
                  <w:pPr>
                    <w:spacing w:line="273" w:lineRule="auto" w:before="0"/>
                    <w:ind w:left="28" w:right="22" w:firstLine="420"/>
                    <w:jc w:val="both"/>
                    <w:rPr>
                      <w:rFonts w:ascii="宋体" w:hAnsi="宋体" w:cs="宋体" w:eastAsia="宋体" w:hint="default"/>
                      <w:sz w:val="21"/>
                      <w:szCs w:val="21"/>
                    </w:rPr>
                  </w:pPr>
                  <w:r>
                    <w:rPr>
                      <w:rFonts w:ascii="宋体" w:hAnsi="宋体" w:cs="宋体" w:eastAsia="宋体" w:hint="default"/>
                      <w:spacing w:val="-3"/>
                      <w:sz w:val="21"/>
                      <w:szCs w:val="21"/>
                    </w:rPr>
                    <w:t>公司在资产负债表日判断无形资产是否存在可能发生减值的迹象。存在减值迹象的，估计其可收回金</w:t>
                  </w:r>
                  <w:r>
                    <w:rPr>
                      <w:rFonts w:ascii="宋体" w:hAnsi="宋体" w:cs="宋体" w:eastAsia="宋体" w:hint="default"/>
                      <w:w w:val="100"/>
                      <w:sz w:val="21"/>
                      <w:szCs w:val="21"/>
                    </w:rPr>
                    <w:t> </w:t>
                  </w:r>
                  <w:r>
                    <w:rPr>
                      <w:rFonts w:ascii="宋体" w:hAnsi="宋体" w:cs="宋体" w:eastAsia="宋体" w:hint="default"/>
                      <w:spacing w:val="-3"/>
                      <w:sz w:val="21"/>
                      <w:szCs w:val="21"/>
                    </w:rPr>
                    <w:t>额。可收回金额根据资产的公允价值减去处置费用后的净额与资产预计未来现金流量的现值两者之间较高</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者确定。可收回金额的计量结果表明，资产的可收回金额低于其账面价值的，将资产的账面价值减记至可</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收回金额，减记的金额确认为资产减值损失，计入当期损益，同时计提相应的资产减值准备。</w:t>
                  </w:r>
                </w:p>
                <w:p>
                  <w:pPr>
                    <w:spacing w:before="10"/>
                    <w:ind w:left="449" w:right="0"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无形资产减值损失一经确认，在以后会计期间不得转回。</w:t>
                  </w:r>
                </w:p>
              </w:txbxContent>
            </v:textbox>
          </v:shape>
        </w:pict>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left="405" w:right="1123"/>
        <w:jc w:val="left"/>
      </w:pPr>
      <w:r>
        <w:rPr/>
        <w:t>研究是指为获取并理解新的科学或技术知识而进行的独创性的有计划调查。</w:t>
      </w:r>
      <w:r>
        <w:rPr>
          <w:w w:val="100"/>
        </w:rPr>
        <w:t> </w:t>
      </w:r>
      <w:r>
        <w:rPr>
          <w:spacing w:val="-3"/>
        </w:rPr>
        <w:t>开发是指在进行商业性生产或使用前，将研究成果或其他知识应用于某项计划或设计，以生产出新的或</w:t>
      </w:r>
    </w:p>
    <w:p>
      <w:pPr>
        <w:pStyle w:val="Heading5"/>
        <w:spacing w:line="240" w:lineRule="auto" w:before="7"/>
        <w:ind w:right="1123"/>
        <w:jc w:val="left"/>
      </w:pPr>
      <w:r>
        <w:rPr/>
        <w:t>具有实质性改进的材料、装置、产品等。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
        <w:rPr>
          <w:rFonts w:ascii="宋体" w:hAnsi="宋体" w:cs="宋体" w:eastAsia="宋体" w:hint="default"/>
          <w:b/>
          <w:bCs/>
          <w:sz w:val="26"/>
          <w:szCs w:val="26"/>
        </w:rPr>
      </w:pPr>
    </w:p>
    <w:p>
      <w:pPr>
        <w:spacing w:line="2904" w:lineRule="exact"/>
        <w:ind w:left="116" w:right="0" w:firstLine="0"/>
        <w:rPr>
          <w:rFonts w:ascii="宋体" w:hAnsi="宋体" w:cs="宋体" w:eastAsia="宋体" w:hint="default"/>
          <w:sz w:val="20"/>
          <w:szCs w:val="20"/>
        </w:rPr>
      </w:pPr>
      <w:r>
        <w:rPr>
          <w:rFonts w:ascii="宋体" w:hAnsi="宋体" w:cs="宋体" w:eastAsia="宋体" w:hint="default"/>
          <w:position w:val="-57"/>
          <w:sz w:val="20"/>
          <w:szCs w:val="20"/>
        </w:rPr>
        <w:pict>
          <v:shape style="width:483.95pt;height:145.25pt;mso-position-horizontal-relative:char;mso-position-vertical-relative:line" type="#_x0000_t202" filled="false" stroked="true" strokeweight=".72pt" strokecolor="#000000">
            <w10:anchorlock/>
            <v:textbox inset="0,0,0,0">
              <w:txbxContent>
                <w:p>
                  <w:pPr>
                    <w:spacing w:line="271" w:lineRule="auto" w:before="0"/>
                    <w:ind w:left="28" w:right="21" w:firstLine="420"/>
                    <w:jc w:val="both"/>
                    <w:rPr>
                      <w:rFonts w:ascii="宋体" w:hAnsi="宋体" w:cs="宋体" w:eastAsia="宋体" w:hint="default"/>
                      <w:sz w:val="21"/>
                      <w:szCs w:val="21"/>
                    </w:rPr>
                  </w:pPr>
                  <w:r>
                    <w:rPr>
                      <w:rFonts w:ascii="宋体" w:hAnsi="宋体" w:cs="宋体" w:eastAsia="宋体" w:hint="default"/>
                      <w:spacing w:val="-3"/>
                      <w:sz w:val="21"/>
                      <w:szCs w:val="21"/>
                    </w:rPr>
                    <w:t>本公司将内部研究开发项目支出区分为研究阶段支出与开发阶段支出两部份。内部研究开发项目研究</w:t>
                  </w:r>
                  <w:r>
                    <w:rPr>
                      <w:rFonts w:ascii="宋体" w:hAnsi="宋体" w:cs="宋体" w:eastAsia="宋体" w:hint="default"/>
                      <w:w w:val="100"/>
                      <w:sz w:val="21"/>
                      <w:szCs w:val="21"/>
                    </w:rPr>
                    <w:t> </w:t>
                  </w:r>
                  <w:r>
                    <w:rPr>
                      <w:rFonts w:ascii="宋体" w:hAnsi="宋体" w:cs="宋体" w:eastAsia="宋体" w:hint="default"/>
                      <w:spacing w:val="-3"/>
                      <w:sz w:val="21"/>
                      <w:szCs w:val="21"/>
                    </w:rPr>
                    <w:t>阶段的支出，于发生时计入当期损益；内部研究开发项目开发阶段的支出在同时满足下列条件时确认为无</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形资产：</w:t>
                  </w:r>
                </w:p>
                <w:p>
                  <w:pPr>
                    <w:spacing w:line="256" w:lineRule="auto" w:before="10"/>
                    <w:ind w:left="449" w:right="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本公司完成该无形资产以使其能够使用或出售在技术上具有可行性；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本公司有确凿证据证明运用该无形资产生产的产品存在市场或无形资产自身存在市场；</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本公司有足够的技术、财务资源和其他资源支持，以完成该无形资产的开发，有能力使用或出售该</w:t>
                  </w:r>
                </w:p>
                <w:p>
                  <w:pPr>
                    <w:spacing w:before="5"/>
                    <w:ind w:left="28" w:right="0" w:firstLine="0"/>
                    <w:jc w:val="left"/>
                    <w:rPr>
                      <w:rFonts w:ascii="宋体" w:hAnsi="宋体" w:cs="宋体" w:eastAsia="宋体" w:hint="default"/>
                      <w:sz w:val="21"/>
                      <w:szCs w:val="21"/>
                    </w:rPr>
                  </w:pPr>
                  <w:r>
                    <w:rPr>
                      <w:rFonts w:ascii="宋体" w:hAnsi="宋体" w:cs="宋体" w:eastAsia="宋体" w:hint="default"/>
                      <w:sz w:val="21"/>
                      <w:szCs w:val="21"/>
                    </w:rPr>
                    <w:t>无形资产；</w:t>
                  </w:r>
                </w:p>
                <w:p>
                  <w:pPr>
                    <w:spacing w:before="39"/>
                    <w:ind w:left="44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．归属于该无形产开发阶段的支出能够可靠地计量。</w:t>
                  </w:r>
                </w:p>
              </w:txbxContent>
            </v:textbox>
          </v:shape>
        </w:pict>
      </w:r>
      <w:r>
        <w:rPr>
          <w:rFonts w:ascii="宋体" w:hAnsi="宋体" w:cs="宋体" w:eastAsia="宋体" w:hint="default"/>
          <w:position w:val="-57"/>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3"/>
        <w:rPr>
          <w:rFonts w:ascii="宋体" w:hAnsi="宋体" w:cs="宋体" w:eastAsia="宋体" w:hint="default"/>
          <w:b/>
          <w:bCs/>
          <w:sz w:val="26"/>
          <w:szCs w:val="26"/>
        </w:rPr>
      </w:pPr>
    </w:p>
    <w:p>
      <w:pPr>
        <w:spacing w:line="405"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5.65pt;height:20.3pt;mso-position-horizontal-relative:char;mso-position-vertical-relative:line" type="#_x0000_t202" filled="false" stroked="true" strokeweight=".72pt" strokecolor="#000000">
            <w10:anchorlock/>
            <v:textbox inset="0,0,0,0">
              <w:txbxContent>
                <w:p>
                  <w:pPr>
                    <w:spacing w:line="265" w:lineRule="exact" w:before="0"/>
                    <w:ind w:left="442" w:right="0" w:firstLine="0"/>
                    <w:jc w:val="left"/>
                    <w:rPr>
                      <w:rFonts w:ascii="宋体" w:hAnsi="宋体" w:cs="宋体" w:eastAsia="宋体" w:hint="default"/>
                      <w:sz w:val="21"/>
                      <w:szCs w:val="21"/>
                    </w:rPr>
                  </w:pPr>
                  <w:r>
                    <w:rPr>
                      <w:rFonts w:ascii="宋体" w:hAnsi="宋体" w:cs="宋体" w:eastAsia="宋体" w:hint="default"/>
                      <w:sz w:val="21"/>
                      <w:szCs w:val="21"/>
                    </w:rPr>
                    <w:t>长期待摊费用按实际发生额核算，在费用项目的受益期限内分期平均摊销。</w:t>
                  </w:r>
                </w:p>
              </w:txbxContent>
            </v:textbox>
          </v:shape>
        </w:pict>
      </w:r>
      <w:r>
        <w:rPr>
          <w:rFonts w:ascii="宋体" w:hAnsi="宋体" w:cs="宋体" w:eastAsia="宋体" w:hint="default"/>
          <w:position w:val="-7"/>
          <w:sz w:val="20"/>
          <w:szCs w:val="20"/>
        </w:rPr>
      </w:r>
    </w:p>
    <w:p>
      <w:pPr>
        <w:spacing w:after="0" w:line="405" w:lineRule="exact"/>
        <w:rPr>
          <w:rFonts w:ascii="宋体" w:hAnsi="宋体" w:cs="宋体" w:eastAsia="宋体" w:hint="default"/>
          <w:sz w:val="20"/>
          <w:szCs w:val="20"/>
        </w:rPr>
        <w:sectPr>
          <w:footerReference w:type="default" r:id="rId43"/>
          <w:pgSz w:w="11910" w:h="16840"/>
          <w:pgMar w:footer="1330" w:header="877" w:top="1060" w:bottom="1520" w:left="980" w:right="0"/>
          <w:pgNumType w:start="91"/>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预计负债是因或有事项可能产生的负债。</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3"/>
        <w:rPr>
          <w:rFonts w:ascii="宋体" w:hAnsi="宋体" w:cs="宋体" w:eastAsia="宋体" w:hint="default"/>
          <w:b/>
          <w:bCs/>
          <w:sz w:val="26"/>
          <w:szCs w:val="26"/>
        </w:rPr>
      </w:pPr>
    </w:p>
    <w:p>
      <w:pPr>
        <w:spacing w:line="1594" w:lineRule="exact"/>
        <w:ind w:left="116" w:right="0" w:firstLine="0"/>
        <w:rPr>
          <w:rFonts w:ascii="宋体" w:hAnsi="宋体" w:cs="宋体" w:eastAsia="宋体" w:hint="default"/>
          <w:sz w:val="20"/>
          <w:szCs w:val="20"/>
        </w:rPr>
      </w:pPr>
      <w:r>
        <w:rPr>
          <w:rFonts w:ascii="宋体" w:hAnsi="宋体" w:cs="宋体" w:eastAsia="宋体" w:hint="default"/>
          <w:position w:val="-31"/>
          <w:sz w:val="20"/>
          <w:szCs w:val="20"/>
        </w:rPr>
        <w:pict>
          <v:shape style="width:485.65pt;height:79.75pt;mso-position-horizontal-relative:char;mso-position-vertical-relative:line" type="#_x0000_t202" filled="false" stroked="true" strokeweight=".72pt" strokecolor="#000000">
            <w10:anchorlock/>
            <v:textbox inset="0,0,0,0">
              <w:txbxContent>
                <w:p>
                  <w:pPr>
                    <w:spacing w:line="265" w:lineRule="exact" w:before="0"/>
                    <w:ind w:left="442" w:right="0" w:firstLine="0"/>
                    <w:jc w:val="left"/>
                    <w:rPr>
                      <w:rFonts w:ascii="宋体" w:hAnsi="宋体" w:cs="宋体" w:eastAsia="宋体" w:hint="default"/>
                      <w:sz w:val="21"/>
                      <w:szCs w:val="21"/>
                    </w:rPr>
                  </w:pPr>
                  <w:r>
                    <w:rPr>
                      <w:rFonts w:ascii="宋体" w:hAnsi="宋体" w:cs="宋体" w:eastAsia="宋体" w:hint="default"/>
                      <w:sz w:val="21"/>
                      <w:szCs w:val="21"/>
                    </w:rPr>
                    <w:t>若或有事项相关的义务同时符合以下条件，则将其确认为负债：</w:t>
                  </w:r>
                </w:p>
                <w:p>
                  <w:pPr>
                    <w:spacing w:before="34"/>
                    <w:ind w:left="3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）该义务是公司承担的现时义务；</w:t>
                  </w:r>
                </w:p>
                <w:p>
                  <w:pPr>
                    <w:spacing w:before="21"/>
                    <w:ind w:left="3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）该义务的履行很可能导致经济利益流出公司；</w:t>
                  </w:r>
                </w:p>
                <w:p>
                  <w:pPr>
                    <w:spacing w:line="259" w:lineRule="auto" w:before="21"/>
                    <w:ind w:left="442" w:right="2736" w:hanging="10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公司的亏损合同和承担的重组义务符合上述条件的，确认为预计负债。</w:t>
                  </w:r>
                </w:p>
              </w:txbxContent>
            </v:textbox>
          </v:shape>
        </w:pict>
      </w:r>
      <w:r>
        <w:rPr>
          <w:rFonts w:ascii="宋体" w:hAnsi="宋体" w:cs="宋体" w:eastAsia="宋体" w:hint="default"/>
          <w:position w:val="-31"/>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3"/>
        <w:rPr>
          <w:rFonts w:ascii="宋体" w:hAnsi="宋体" w:cs="宋体" w:eastAsia="宋体" w:hint="default"/>
          <w:b/>
          <w:bCs/>
          <w:sz w:val="26"/>
          <w:szCs w:val="26"/>
        </w:rPr>
      </w:pPr>
    </w:p>
    <w:p>
      <w:pPr>
        <w:spacing w:line="1908" w:lineRule="exact"/>
        <w:ind w:left="116" w:right="0" w:firstLine="0"/>
        <w:rPr>
          <w:rFonts w:ascii="宋体" w:hAnsi="宋体" w:cs="宋体" w:eastAsia="宋体" w:hint="default"/>
          <w:sz w:val="20"/>
          <w:szCs w:val="20"/>
        </w:rPr>
      </w:pPr>
      <w:r>
        <w:rPr>
          <w:rFonts w:ascii="宋体" w:hAnsi="宋体" w:cs="宋体" w:eastAsia="宋体" w:hint="default"/>
          <w:position w:val="-37"/>
          <w:sz w:val="20"/>
          <w:szCs w:val="20"/>
        </w:rPr>
        <w:pict>
          <v:shape style="width:485.65pt;height:95.4pt;mso-position-horizontal-relative:char;mso-position-vertical-relative:line" type="#_x0000_t202" filled="false" stroked="true" strokeweight=".72pt" strokecolor="#000000">
            <w10:anchorlock/>
            <v:textbox inset="0,0,0,0">
              <w:txbxContent>
                <w:p>
                  <w:pPr>
                    <w:spacing w:line="271" w:lineRule="auto" w:before="0"/>
                    <w:ind w:left="28" w:right="21" w:firstLine="420"/>
                    <w:jc w:val="left"/>
                    <w:rPr>
                      <w:rFonts w:ascii="宋体" w:hAnsi="宋体" w:cs="宋体" w:eastAsia="宋体" w:hint="default"/>
                      <w:sz w:val="21"/>
                      <w:szCs w:val="21"/>
                    </w:rPr>
                  </w:pPr>
                  <w:r>
                    <w:rPr>
                      <w:rFonts w:ascii="宋体" w:hAnsi="宋体" w:cs="宋体" w:eastAsia="宋体" w:hint="default"/>
                      <w:spacing w:val="-2"/>
                      <w:sz w:val="21"/>
                      <w:szCs w:val="21"/>
                    </w:rPr>
                    <w:t>如果所需支出存在一个金额范围，则最佳估计数按该范围的上、下限金额的平均数确定；如果所需支</w:t>
                  </w:r>
                  <w:r>
                    <w:rPr>
                      <w:rFonts w:ascii="宋体" w:hAnsi="宋体" w:cs="宋体" w:eastAsia="宋体" w:hint="default"/>
                      <w:w w:val="100"/>
                      <w:sz w:val="21"/>
                      <w:szCs w:val="21"/>
                    </w:rPr>
                    <w:t> </w:t>
                  </w:r>
                  <w:r>
                    <w:rPr>
                      <w:rFonts w:ascii="宋体" w:hAnsi="宋体" w:cs="宋体" w:eastAsia="宋体" w:hint="default"/>
                      <w:sz w:val="21"/>
                      <w:szCs w:val="21"/>
                    </w:rPr>
                    <w:t>出不存在一个金额范围，则按如下方法确定：</w:t>
                  </w:r>
                </w:p>
                <w:p>
                  <w:pPr>
                    <w:spacing w:before="10"/>
                    <w:ind w:left="3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）或有事项涉及单个项目时，最佳估计数按最可能发生的金额确定；</w:t>
                  </w:r>
                </w:p>
                <w:p>
                  <w:pPr>
                    <w:spacing w:line="266" w:lineRule="auto" w:before="21"/>
                    <w:ind w:left="28" w:right="22" w:firstLine="31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）或有事项涉及多个项目时，最佳估计数按各种可能发生额及其发生概率计算确定。清偿确认的负</w:t>
                  </w:r>
                  <w:r>
                    <w:rPr>
                      <w:rFonts w:ascii="宋体" w:hAnsi="宋体" w:cs="宋体" w:eastAsia="宋体" w:hint="default"/>
                      <w:w w:val="100"/>
                      <w:sz w:val="21"/>
                      <w:szCs w:val="21"/>
                    </w:rPr>
                    <w:t> </w:t>
                  </w:r>
                  <w:r>
                    <w:rPr>
                      <w:rFonts w:ascii="宋体" w:hAnsi="宋体" w:cs="宋体" w:eastAsia="宋体" w:hint="default"/>
                      <w:spacing w:val="-2"/>
                      <w:sz w:val="21"/>
                      <w:szCs w:val="21"/>
                    </w:rPr>
                    <w:t>债所需支出全部或部分预期由第三方或其他方补偿的，则补偿金额在基本确定能收到时，作为资产单独确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认。确认的补偿金额不超过所确认负债的账面价值。</w:t>
                  </w:r>
                </w:p>
              </w:txbxContent>
            </v:textbox>
          </v:shape>
        </w:pict>
      </w:r>
      <w:r>
        <w:rPr>
          <w:rFonts w:ascii="宋体" w:hAnsi="宋体" w:cs="宋体" w:eastAsia="宋体" w:hint="default"/>
          <w:position w:val="-37"/>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t>本公司的股份支付分为以现金结算的股份支付和以权益结算的股份支付。①以现金结算的股份支付以现金结算的股份支付， </w:t>
      </w:r>
      <w:r>
        <w:rPr>
          <w:spacing w:val="-2"/>
        </w:rPr>
        <w:t>按照本公司承担的以股份或其他权益工具为基础计算确定的负债的公允价值计量。授予后立即可行权的以现金结算的股份支</w:t>
      </w:r>
      <w:r>
        <w:rPr>
          <w:spacing w:val="-63"/>
        </w:rPr>
        <w:t> </w:t>
      </w:r>
      <w:r>
        <w:rPr>
          <w:spacing w:val="-63"/>
        </w:rPr>
      </w:r>
      <w:r>
        <w:rPr>
          <w:spacing w:val="-2"/>
        </w:rPr>
        <w:t>付，在授予日以本公司承担负债的公允价值计入相关成本或费用，相应增加负债。存在等待期的以现金结算的股份支付，在</w:t>
      </w:r>
      <w:r>
        <w:rPr>
          <w:spacing w:val="-66"/>
        </w:rPr>
        <w:t> </w:t>
      </w:r>
      <w:r>
        <w:rPr>
          <w:spacing w:val="-66"/>
        </w:rPr>
      </w:r>
      <w:r>
        <w:rPr>
          <w:spacing w:val="-2"/>
        </w:rPr>
        <w:t>等待期内的每个资产负债表日以对可行权情况的最佳估计为基础，按本公司承担负债的公允价值金额，将当期取得的服务计</w:t>
      </w:r>
      <w:r>
        <w:rPr>
          <w:spacing w:val="-64"/>
        </w:rPr>
        <w:t> </w:t>
      </w:r>
      <w:r>
        <w:rPr>
          <w:spacing w:val="-64"/>
        </w:rPr>
      </w:r>
      <w:r>
        <w:rPr/>
        <w:t>入成本或费用和相应的负债。②以权益工具结算的股份支付以权益结算的股份支付，以授予职工权益工具的公允价值计量。 </w:t>
      </w:r>
      <w:r>
        <w:rPr>
          <w:spacing w:val="-2"/>
        </w:rPr>
        <w:t>授予后立即可行权的以权益结算的股份支付，在授予日以权益工具的公允价值计入相关成本或费用，相应增加资本公积。存</w:t>
      </w:r>
      <w:r>
        <w:rPr>
          <w:spacing w:val="-63"/>
        </w:rPr>
        <w:t> </w:t>
      </w:r>
      <w:r>
        <w:rPr>
          <w:spacing w:val="-63"/>
        </w:rPr>
      </w:r>
      <w:r>
        <w:rPr>
          <w:spacing w:val="-2"/>
        </w:rPr>
        <w:t>在等待期的以权益结算的股份支付，在等待期内的每个资产负债表日，以对可行权权益工具数量的最佳估计为基础，按权益</w:t>
      </w:r>
      <w:r>
        <w:rPr>
          <w:spacing w:val="-62"/>
        </w:rPr>
        <w:t> </w:t>
      </w:r>
      <w:r>
        <w:rPr>
          <w:spacing w:val="-62"/>
        </w:rPr>
      </w:r>
      <w:r>
        <w:rPr/>
        <w:t>工具授予日的公允价值，将当期取得的服务计入成本或费用和资本公积。</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
        <w:rPr>
          <w:rFonts w:ascii="宋体" w:hAnsi="宋体" w:cs="宋体" w:eastAsia="宋体" w:hint="default"/>
          <w:b/>
          <w:bCs/>
          <w:sz w:val="26"/>
          <w:szCs w:val="26"/>
        </w:rPr>
      </w:pPr>
    </w:p>
    <w:p>
      <w:pPr>
        <w:spacing w:line="1343" w:lineRule="exact"/>
        <w:ind w:left="116"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85.65pt;height:67.2pt;mso-position-horizontal-relative:char;mso-position-vertical-relative:line" type="#_x0000_t202" filled="false" stroked="true" strokeweight=".72pt" strokecolor="#000000">
            <w10:anchorlock/>
            <v:textbox inset="0,0,0,0">
              <w:txbxContent>
                <w:p>
                  <w:pPr>
                    <w:spacing w:line="273" w:lineRule="auto" w:before="0"/>
                    <w:ind w:left="28" w:right="29" w:firstLine="336"/>
                    <w:jc w:val="left"/>
                    <w:rPr>
                      <w:rFonts w:ascii="宋体" w:hAnsi="宋体" w:cs="宋体" w:eastAsia="宋体" w:hint="default"/>
                      <w:sz w:val="21"/>
                      <w:szCs w:val="21"/>
                    </w:rPr>
                  </w:pPr>
                  <w:r>
                    <w:rPr>
                      <w:rFonts w:ascii="宋体" w:hAnsi="宋体" w:cs="宋体" w:eastAsia="宋体" w:hint="default"/>
                      <w:sz w:val="21"/>
                      <w:szCs w:val="21"/>
                    </w:rPr>
                    <w:t>①对于授予职工的股份，其公允价值按公司股份的市场价格计量，同时考虑授予股份所依据的条款和</w:t>
                  </w:r>
                  <w:r>
                    <w:rPr>
                      <w:rFonts w:ascii="宋体" w:hAnsi="宋体" w:cs="宋体" w:eastAsia="宋体" w:hint="default"/>
                      <w:w w:val="100"/>
                      <w:sz w:val="21"/>
                      <w:szCs w:val="21"/>
                    </w:rPr>
                    <w:t> </w:t>
                  </w:r>
                  <w:r>
                    <w:rPr>
                      <w:rFonts w:ascii="宋体" w:hAnsi="宋体" w:cs="宋体" w:eastAsia="宋体" w:hint="default"/>
                      <w:sz w:val="21"/>
                      <w:szCs w:val="21"/>
                    </w:rPr>
                    <w:t>条件（不包括市场条件之外的可行权条件）进行调整。</w:t>
                  </w:r>
                </w:p>
                <w:p>
                  <w:pPr>
                    <w:spacing w:line="249" w:lineRule="auto" w:before="7"/>
                    <w:ind w:left="28" w:right="24" w:firstLine="468"/>
                    <w:jc w:val="left"/>
                    <w:rPr>
                      <w:rFonts w:ascii="宋体" w:hAnsi="宋体" w:cs="宋体" w:eastAsia="宋体" w:hint="default"/>
                      <w:sz w:val="24"/>
                      <w:szCs w:val="24"/>
                    </w:rPr>
                  </w:pPr>
                  <w:r>
                    <w:rPr>
                      <w:rFonts w:ascii="宋体" w:hAnsi="宋体" w:cs="宋体" w:eastAsia="宋体" w:hint="default"/>
                      <w:spacing w:val="-3"/>
                      <w:sz w:val="21"/>
                      <w:szCs w:val="21"/>
                    </w:rPr>
                    <w:t>②对于授予职工的股票期权，在许多情况下难以获得其市场价格。如果不存在条款和条件相似的交易</w:t>
                  </w:r>
                  <w:r>
                    <w:rPr>
                      <w:rFonts w:ascii="宋体" w:hAnsi="宋体" w:cs="宋体" w:eastAsia="宋体" w:hint="default"/>
                      <w:w w:val="100"/>
                      <w:sz w:val="21"/>
                      <w:szCs w:val="21"/>
                    </w:rPr>
                    <w:t> </w:t>
                  </w:r>
                  <w:r>
                    <w:rPr>
                      <w:rFonts w:ascii="宋体" w:hAnsi="宋体" w:cs="宋体" w:eastAsia="宋体" w:hint="default"/>
                      <w:sz w:val="21"/>
                      <w:szCs w:val="21"/>
                    </w:rPr>
                    <w:t>期权，公司选择适用的期权定价模型估计所授予的期权的公允价值</w:t>
                  </w:r>
                  <w:r>
                    <w:rPr>
                      <w:rFonts w:ascii="宋体" w:hAnsi="宋体" w:cs="宋体" w:eastAsia="宋体" w:hint="default"/>
                      <w:sz w:val="24"/>
                      <w:szCs w:val="24"/>
                    </w:rPr>
                    <w:t>。</w:t>
                  </w:r>
                </w:p>
              </w:txbxContent>
            </v:textbox>
          </v:shape>
        </w:pict>
      </w:r>
      <w:r>
        <w:rPr>
          <w:rFonts w:ascii="宋体" w:hAnsi="宋体" w:cs="宋体" w:eastAsia="宋体" w:hint="default"/>
          <w:position w:val="-26"/>
          <w:sz w:val="20"/>
          <w:szCs w:val="20"/>
        </w:rPr>
      </w:r>
    </w:p>
    <w:p>
      <w:pPr>
        <w:spacing w:after="0" w:line="1343" w:lineRule="exact"/>
        <w:rPr>
          <w:rFonts w:ascii="宋体" w:hAnsi="宋体" w:cs="宋体" w:eastAsia="宋体" w:hint="default"/>
          <w:sz w:val="20"/>
          <w:szCs w:val="20"/>
        </w:rPr>
        <w:sectPr>
          <w:pgSz w:w="11910" w:h="16840"/>
          <w:pgMar w:header="877" w:footer="1330" w:top="1060" w:bottom="154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3"/>
        <w:jc w:val="left"/>
      </w:pPr>
      <w:r>
        <w:rPr>
          <w:spacing w:val="-2"/>
        </w:rPr>
        <w:t>在等待期内每个资产负债表日，公司根据最新取得的可行权职工人数变动等后续信息作出最佳估计，修正预计可行权的权益</w:t>
      </w:r>
      <w:r>
        <w:rPr>
          <w:spacing w:val="-64"/>
        </w:rPr>
        <w:t> </w:t>
      </w:r>
      <w:r>
        <w:rPr>
          <w:spacing w:val="-64"/>
        </w:rPr>
      </w:r>
      <w:r>
        <w:rPr/>
        <w:t>工具数量，以作出可行权权益工具的最佳估计。</w:t>
      </w:r>
    </w:p>
    <w:p>
      <w:pPr>
        <w:spacing w:line="240" w:lineRule="auto" w:before="8"/>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3"/>
        <w:rPr>
          <w:rFonts w:ascii="宋体" w:hAnsi="宋体" w:cs="宋体" w:eastAsia="宋体" w:hint="default"/>
          <w:b/>
          <w:bCs/>
          <w:sz w:val="26"/>
          <w:szCs w:val="26"/>
        </w:rPr>
      </w:pPr>
    </w:p>
    <w:p>
      <w:pPr>
        <w:spacing w:line="3216" w:lineRule="exact"/>
        <w:ind w:left="116" w:right="0" w:firstLine="0"/>
        <w:rPr>
          <w:rFonts w:ascii="宋体" w:hAnsi="宋体" w:cs="宋体" w:eastAsia="宋体" w:hint="default"/>
          <w:sz w:val="20"/>
          <w:szCs w:val="20"/>
        </w:rPr>
      </w:pPr>
      <w:r>
        <w:rPr>
          <w:rFonts w:ascii="宋体" w:hAnsi="宋体" w:cs="宋体" w:eastAsia="宋体" w:hint="default"/>
          <w:position w:val="-63"/>
          <w:sz w:val="20"/>
          <w:szCs w:val="20"/>
        </w:rPr>
        <w:pict>
          <v:shape style="width:485.65pt;height:160.85pt;mso-position-horizontal-relative:char;mso-position-vertical-relative:line" type="#_x0000_t202" filled="false" stroked="true" strokeweight=".72pt" strokecolor="#000000">
            <w10:anchorlock/>
            <v:textbox inset="0,0,0,0">
              <w:txbxContent>
                <w:p>
                  <w:pPr>
                    <w:spacing w:line="271" w:lineRule="auto" w:before="0"/>
                    <w:ind w:left="28" w:right="22" w:firstLine="420"/>
                    <w:jc w:val="both"/>
                    <w:rPr>
                      <w:rFonts w:ascii="宋体" w:hAnsi="宋体" w:cs="宋体" w:eastAsia="宋体" w:hint="default"/>
                      <w:sz w:val="21"/>
                      <w:szCs w:val="21"/>
                    </w:rPr>
                  </w:pPr>
                  <w:r>
                    <w:rPr>
                      <w:rFonts w:ascii="宋体" w:hAnsi="宋体" w:cs="宋体" w:eastAsia="宋体" w:hint="default"/>
                      <w:spacing w:val="-2"/>
                      <w:sz w:val="21"/>
                      <w:szCs w:val="21"/>
                    </w:rPr>
                    <w:t>如果修改增加了所授予的权益工具的公允价值，公司按照权益工具公允价值的增加相应地确认取得服</w:t>
                  </w:r>
                  <w:r>
                    <w:rPr>
                      <w:rFonts w:ascii="宋体" w:hAnsi="宋体" w:cs="宋体" w:eastAsia="宋体" w:hint="default"/>
                      <w:w w:val="100"/>
                      <w:sz w:val="21"/>
                      <w:szCs w:val="21"/>
                    </w:rPr>
                    <w:t> </w:t>
                  </w:r>
                  <w:r>
                    <w:rPr>
                      <w:rFonts w:ascii="宋体" w:hAnsi="宋体" w:cs="宋体" w:eastAsia="宋体" w:hint="default"/>
                      <w:spacing w:val="-2"/>
                      <w:sz w:val="21"/>
                      <w:szCs w:val="21"/>
                    </w:rPr>
                    <w:t>务的增加；如果修改增加了所授予的权益工具的数量，公司将增加的权益工具的公允价值相应地确认为取</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得服务的增加；如果公司按照有利于职工的方式修改可行权条件，公司在处理可行权条件时，考虑修改后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的可行权条件。</w:t>
                  </w:r>
                </w:p>
                <w:p>
                  <w:pPr>
                    <w:spacing w:line="273" w:lineRule="auto" w:before="10"/>
                    <w:ind w:left="28" w:right="21" w:firstLine="420"/>
                    <w:jc w:val="both"/>
                    <w:rPr>
                      <w:rFonts w:ascii="宋体" w:hAnsi="宋体" w:cs="宋体" w:eastAsia="宋体" w:hint="default"/>
                      <w:sz w:val="21"/>
                      <w:szCs w:val="21"/>
                    </w:rPr>
                  </w:pPr>
                  <w:r>
                    <w:rPr>
                      <w:rFonts w:ascii="宋体" w:hAnsi="宋体" w:cs="宋体" w:eastAsia="宋体" w:hint="default"/>
                      <w:spacing w:val="-2"/>
                      <w:sz w:val="21"/>
                      <w:szCs w:val="21"/>
                    </w:rPr>
                    <w:t>如果修改减少了授予的权益工具的公允价值，公司继续以权益工具在授予日的公允价值为基础，确认</w:t>
                  </w:r>
                  <w:r>
                    <w:rPr>
                      <w:rFonts w:ascii="宋体" w:hAnsi="宋体" w:cs="宋体" w:eastAsia="宋体" w:hint="default"/>
                      <w:w w:val="100"/>
                      <w:sz w:val="21"/>
                      <w:szCs w:val="21"/>
                    </w:rPr>
                    <w:t> </w:t>
                  </w:r>
                  <w:r>
                    <w:rPr>
                      <w:rFonts w:ascii="宋体" w:hAnsi="宋体" w:cs="宋体" w:eastAsia="宋体" w:hint="default"/>
                      <w:spacing w:val="-2"/>
                      <w:sz w:val="21"/>
                      <w:szCs w:val="21"/>
                    </w:rPr>
                    <w:t>取得服务的金额，而不考虑权益工具公允价值的减少；如果修改减少了授予的权益工具的数量，公司将减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少部分作为已授予的权益工具的取消来进行处理；如果以不利于职工的方式修改了可行权条件，在处理可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行权条件时，不考虑修改后的可行权条件。</w:t>
                  </w:r>
                </w:p>
                <w:p>
                  <w:pPr>
                    <w:spacing w:line="273" w:lineRule="auto" w:before="7"/>
                    <w:ind w:left="28" w:right="22" w:firstLine="420"/>
                    <w:jc w:val="both"/>
                    <w:rPr>
                      <w:rFonts w:ascii="宋体" w:hAnsi="宋体" w:cs="宋体" w:eastAsia="宋体" w:hint="default"/>
                      <w:sz w:val="21"/>
                      <w:szCs w:val="21"/>
                    </w:rPr>
                  </w:pPr>
                  <w:r>
                    <w:rPr>
                      <w:rFonts w:ascii="宋体" w:hAnsi="宋体" w:cs="宋体" w:eastAsia="宋体" w:hint="default"/>
                      <w:spacing w:val="-2"/>
                      <w:sz w:val="21"/>
                      <w:szCs w:val="21"/>
                    </w:rPr>
                    <w:t>如果公司在等待期内取消了所授予的权益工具或结算了所授予的权益工具（因未满足可行权条件而被</w:t>
                  </w:r>
                  <w:r>
                    <w:rPr>
                      <w:rFonts w:ascii="宋体" w:hAnsi="宋体" w:cs="宋体" w:eastAsia="宋体" w:hint="default"/>
                      <w:w w:val="100"/>
                      <w:sz w:val="21"/>
                      <w:szCs w:val="21"/>
                    </w:rPr>
                    <w:t> </w:t>
                  </w:r>
                  <w:r>
                    <w:rPr>
                      <w:rFonts w:ascii="宋体" w:hAnsi="宋体" w:cs="宋体" w:eastAsia="宋体" w:hint="default"/>
                      <w:sz w:val="21"/>
                      <w:szCs w:val="21"/>
                    </w:rPr>
                    <w:t>取消的除外），则将取消或结算作为加速可行权处理，立即确认原本在剩余等待期内确认的金额。</w:t>
                  </w:r>
                </w:p>
              </w:txbxContent>
            </v:textbox>
          </v:shape>
        </w:pict>
      </w:r>
      <w:r>
        <w:rPr>
          <w:rFonts w:ascii="宋体" w:hAnsi="宋体" w:cs="宋体" w:eastAsia="宋体" w:hint="default"/>
          <w:position w:val="-63"/>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3"/>
        <w:rPr>
          <w:rFonts w:ascii="宋体" w:hAnsi="宋体" w:cs="宋体" w:eastAsia="宋体" w:hint="default"/>
          <w:b/>
          <w:bCs/>
          <w:sz w:val="24"/>
          <w:szCs w:val="24"/>
        </w:rPr>
      </w:pPr>
    </w:p>
    <w:p>
      <w:pPr>
        <w:spacing w:line="1997" w:lineRule="exact"/>
        <w:ind w:left="109"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89.6pt;height:99.9pt;mso-position-horizontal-relative:char;mso-position-vertical-relative:line" coordorigin="0,0" coordsize="9792,1998">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14;top:1983;width:9698;height:2" coordorigin="14,1983" coordsize="9698,2">
              <v:shape style="position:absolute;left:14;top:1983;width:9698;height:2" coordorigin="14,1983" coordsize="9698,0" path="m14,1983l9712,1983e" filled="false" stroked="true" strokeweight=".72pt" strokecolor="#000000">
                <v:path arrowok="t"/>
              </v:shape>
            </v:group>
            <v:group style="position:absolute;left:7;top:7;width:2;height:1983" coordorigin="7,7" coordsize="2,1983">
              <v:shape style="position:absolute;left:7;top:7;width:2;height:1983" coordorigin="7,7" coordsize="0,1983" path="m7,7l7,1990e" filled="false" stroked="true" strokeweight=".72pt" strokecolor="#000000">
                <v:path arrowok="t"/>
              </v:shape>
            </v:group>
            <v:group style="position:absolute;left:9720;top:7;width:2;height:1983" coordorigin="9720,7" coordsize="2,1983">
              <v:shape style="position:absolute;left:9720;top:7;width:2;height:1983" coordorigin="9720,7" coordsize="0,1983" path="m9720,7l9720,1990e" filled="false" stroked="true" strokeweight=".72pt" strokecolor="#000000">
                <v:path arrowok="t"/>
              </v:shape>
              <v:shape style="position:absolute;left:0;top:0;width:9792;height:1998" type="#_x0000_t202" filled="false" stroked="false">
                <v:textbox inset="0,0,0,0">
                  <w:txbxContent>
                    <w:p>
                      <w:pPr>
                        <w:spacing w:line="266" w:lineRule="auto" w:before="11"/>
                        <w:ind w:left="43" w:right="12" w:firstLine="425"/>
                        <w:jc w:val="both"/>
                        <w:rPr>
                          <w:rFonts w:ascii="宋体" w:hAnsi="宋体" w:cs="宋体" w:eastAsia="宋体" w:hint="default"/>
                          <w:sz w:val="21"/>
                          <w:szCs w:val="21"/>
                        </w:rPr>
                      </w:pPr>
                      <w:r>
                        <w:rPr>
                          <w:rFonts w:ascii="宋体" w:hAnsi="宋体" w:cs="宋体" w:eastAsia="宋体" w:hint="default"/>
                          <w:sz w:val="21"/>
                          <w:szCs w:val="21"/>
                        </w:rPr>
                        <w:t>本公司按法定程序报经批准采用收购本公司股票方式减资的，按注销股票面值总额减少股本，购回股</w:t>
                      </w:r>
                      <w:r>
                        <w:rPr>
                          <w:rFonts w:ascii="宋体" w:hAnsi="宋体" w:cs="宋体" w:eastAsia="宋体" w:hint="default"/>
                          <w:w w:val="100"/>
                          <w:sz w:val="21"/>
                          <w:szCs w:val="21"/>
                        </w:rPr>
                        <w:t> </w:t>
                      </w:r>
                      <w:r>
                        <w:rPr>
                          <w:rFonts w:ascii="宋体" w:hAnsi="宋体" w:cs="宋体" w:eastAsia="宋体" w:hint="default"/>
                          <w:sz w:val="21"/>
                          <w:szCs w:val="21"/>
                        </w:rPr>
                        <w:t>票支付的价款</w:t>
                      </w:r>
                      <w:r>
                        <w:rPr>
                          <w:rFonts w:ascii="Times New Roman" w:hAnsi="Times New Roman" w:cs="Times New Roman" w:eastAsia="Times New Roman" w:hint="default"/>
                          <w:sz w:val="21"/>
                          <w:szCs w:val="21"/>
                        </w:rPr>
                        <w:t>(</w:t>
                      </w:r>
                      <w:r>
                        <w:rPr>
                          <w:rFonts w:ascii="宋体" w:hAnsi="宋体" w:cs="宋体" w:eastAsia="宋体" w:hint="default"/>
                          <w:sz w:val="21"/>
                          <w:szCs w:val="21"/>
                        </w:rPr>
                        <w:t>含交易费用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与股票面值的差额调整所有者权益，超过面值总额的部分，应依次冲减资本公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股本溢价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、盈余公积和未分配利润；低于面值总额的，低于面值总额的部分增加资本公积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股本溢价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line="273" w:lineRule="auto" w:before="0"/>
                        <w:ind w:left="468" w:right="0" w:firstLine="0"/>
                        <w:jc w:val="left"/>
                        <w:rPr>
                          <w:rFonts w:ascii="宋体" w:hAnsi="宋体" w:cs="宋体" w:eastAsia="宋体" w:hint="default"/>
                          <w:sz w:val="21"/>
                          <w:szCs w:val="21"/>
                        </w:rPr>
                      </w:pPr>
                      <w:r>
                        <w:rPr>
                          <w:rFonts w:ascii="宋体" w:hAnsi="宋体" w:cs="宋体" w:eastAsia="宋体" w:hint="default"/>
                          <w:sz w:val="21"/>
                          <w:szCs w:val="21"/>
                        </w:rPr>
                        <w:t>本公司回购的股份在注销或者转让之前，作为库存股管理，回购股份的全部支出转作库存股成本。</w:t>
                      </w:r>
                      <w:r>
                        <w:rPr>
                          <w:rFonts w:ascii="宋体" w:hAnsi="宋体" w:cs="宋体" w:eastAsia="宋体" w:hint="default"/>
                          <w:w w:val="100"/>
                          <w:sz w:val="21"/>
                          <w:szCs w:val="21"/>
                        </w:rPr>
                        <w:t> </w:t>
                      </w:r>
                      <w:r>
                        <w:rPr>
                          <w:rFonts w:ascii="宋体" w:hAnsi="宋体" w:cs="宋体" w:eastAsia="宋体" w:hint="default"/>
                          <w:spacing w:val="-3"/>
                          <w:sz w:val="21"/>
                          <w:szCs w:val="21"/>
                        </w:rPr>
                        <w:t>库存股转让时，转让收入高于库存股成本的部分，增加资本公积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股本溢价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；低于库存股成本的部分，</w:t>
                      </w:r>
                    </w:p>
                    <w:p>
                      <w:pPr>
                        <w:spacing w:line="282" w:lineRule="exact" w:before="0"/>
                        <w:ind w:left="43" w:right="0" w:firstLine="0"/>
                        <w:jc w:val="left"/>
                        <w:rPr>
                          <w:rFonts w:ascii="宋体" w:hAnsi="宋体" w:cs="宋体" w:eastAsia="宋体" w:hint="default"/>
                          <w:sz w:val="21"/>
                          <w:szCs w:val="21"/>
                        </w:rPr>
                      </w:pPr>
                      <w:r>
                        <w:rPr>
                          <w:rFonts w:ascii="宋体" w:hAnsi="宋体" w:cs="宋体" w:eastAsia="宋体" w:hint="default"/>
                          <w:sz w:val="21"/>
                          <w:szCs w:val="21"/>
                        </w:rPr>
                        <w:t>依次冲减资本公积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、盈余公积、未分配利润。</w:t>
                      </w:r>
                    </w:p>
                  </w:txbxContent>
                </v:textbox>
                <w10:wrap type="none"/>
              </v:shape>
            </v:group>
          </v:group>
        </w:pict>
      </w:r>
      <w:r>
        <w:rPr>
          <w:rFonts w:ascii="宋体" w:hAnsi="宋体" w:cs="宋体" w:eastAsia="宋体" w:hint="default"/>
          <w:position w:val="-39"/>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4"/>
        <w:spacing w:line="240" w:lineRule="auto" w:before="36"/>
        <w:ind w:right="112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right="1034"/>
        <w:jc w:val="left"/>
      </w:pPr>
      <w:r>
        <w:rPr/>
        <w:t>（</w:t>
      </w:r>
      <w:r>
        <w:rPr>
          <w:rFonts w:ascii="Times New Roman" w:hAnsi="Times New Roman" w:cs="Times New Roman" w:eastAsia="Times New Roman" w:hint="default"/>
        </w:rPr>
        <w:t>1</w:t>
      </w:r>
      <w:r>
        <w:rPr/>
        <w:t>）自行开发研制的软件产品销售收入的确认原则及方法：自行开发研制的软件产品是指拥有自主知识产权，无差异化、 </w:t>
      </w:r>
      <w:r>
        <w:rPr>
          <w:spacing w:val="-2"/>
        </w:rPr>
        <w:t>可批量复制的软件产品。其收入确认原则及方法为：软件产品所有权上的重要风险和报酬转移给买方，公司不再对该软件产</w:t>
      </w:r>
      <w:r>
        <w:rPr>
          <w:spacing w:val="-63"/>
        </w:rPr>
        <w:t> </w:t>
      </w:r>
      <w:r>
        <w:rPr>
          <w:spacing w:val="-63"/>
        </w:rPr>
      </w:r>
      <w:r>
        <w:rPr>
          <w:spacing w:val="-2"/>
        </w:rPr>
        <w:t>品实施继续管理权和实际控制权，相关的收入已经收到或取得了收款的证据，并且与销售该软件产品有关的成本能够可靠地</w:t>
      </w:r>
      <w:r>
        <w:rPr>
          <w:spacing w:val="-64"/>
        </w:rPr>
        <w:t> </w:t>
      </w:r>
      <w:r>
        <w:rPr>
          <w:spacing w:val="-64"/>
        </w:rPr>
      </w:r>
      <w:r>
        <w:rPr>
          <w:spacing w:val="-2"/>
        </w:rPr>
        <w:t>计量时，确认销售收入。（</w:t>
      </w:r>
      <w:r>
        <w:rPr>
          <w:rFonts w:ascii="Times New Roman" w:hAnsi="Times New Roman" w:cs="Times New Roman" w:eastAsia="Times New Roman" w:hint="default"/>
          <w:spacing w:val="-2"/>
        </w:rPr>
        <w:t>2</w:t>
      </w:r>
      <w:r>
        <w:rPr>
          <w:spacing w:val="-2"/>
        </w:rPr>
        <w:t>）定制软件收入的确认原则及方法：定制软件是指根据与客户签订的技术开发、技术转让合同，</w:t>
      </w:r>
      <w:r>
        <w:rPr>
          <w:spacing w:val="-71"/>
        </w:rPr>
        <w:t> </w:t>
      </w:r>
      <w:r>
        <w:rPr/>
        <w:t>对用户的业务进行充分实地调查，并根据用户的实际需求进行专门的软件设计与开发，由此开发出来的软件不具有通用性。</w:t>
      </w:r>
      <w:r>
        <w:rPr/>
        <w:t> </w:t>
      </w:r>
      <w:r>
        <w:rPr>
          <w:spacing w:val="-2"/>
        </w:rPr>
        <w:t>其收入确认原则及方法为：①软件项目在同一会计年度内开始并完成的，在软件成果的使用权已经提供，收到价款或取得收</w:t>
      </w:r>
      <w:r>
        <w:rPr>
          <w:spacing w:val="-63"/>
        </w:rPr>
        <w:t> </w:t>
      </w:r>
      <w:r>
        <w:rPr>
          <w:spacing w:val="-63"/>
        </w:rPr>
      </w:r>
      <w:r>
        <w:rPr>
          <w:spacing w:val="-2"/>
        </w:rPr>
        <w:t>取款项的证据时，确认收入。②软件项目的开始和完成分属不同的会计年度的，在合同的总收入、项目的完成程度能够可靠</w:t>
      </w:r>
      <w:r>
        <w:rPr>
          <w:spacing w:val="-64"/>
        </w:rPr>
        <w:t> </w:t>
      </w:r>
      <w:r>
        <w:rPr>
          <w:spacing w:val="-64"/>
        </w:rPr>
      </w:r>
      <w:r>
        <w:rPr/>
        <w:t>地确定，与项目有关的价款能够流入</w:t>
      </w:r>
      <w:r>
        <w:rPr>
          <w:spacing w:val="2"/>
        </w:rPr>
        <w:t> </w:t>
      </w:r>
      <w:r>
        <w:rPr/>
        <w:t>，已经发生的成本和完成该项软件将要发生的成本能够可靠地计量时，在资产负债表</w:t>
      </w:r>
      <w:r>
        <w:rPr/>
        <w:t> 日按完工百分比法（工程完工进度）确认软件收入。③对在资产负债表日劳务交易结果不能可靠估计的定制软件项目，</w:t>
      </w:r>
      <w:r>
        <w:rPr>
          <w:spacing w:val="3"/>
        </w:rPr>
        <w:t> </w:t>
      </w:r>
      <w:r>
        <w:rPr/>
        <w:t>如</w:t>
      </w:r>
      <w:r>
        <w:rPr/>
        <w:t> 果已经发生的成本预计能够得到补偿，应按能够得到补偿的收入金额确认收入，并按相同的金额结转成本；</w:t>
      </w:r>
      <w:r>
        <w:rPr>
          <w:spacing w:val="2"/>
        </w:rPr>
        <w:t> </w:t>
      </w:r>
      <w:r>
        <w:rPr/>
        <w:t>如果已经发生</w:t>
      </w:r>
      <w:r>
        <w:rPr/>
        <w:t> </w:t>
      </w:r>
      <w:r>
        <w:rPr>
          <w:spacing w:val="-2"/>
        </w:rPr>
        <w:t>的成本预计不能全部得到补偿，应按能够得到补偿的收入金额确认收入，并按已发生的成本结转成本，确认的收入金额小于</w:t>
      </w:r>
    </w:p>
    <w:p>
      <w:pPr>
        <w:spacing w:after="0" w:line="314" w:lineRule="auto"/>
        <w:jc w:val="left"/>
        <w:sectPr>
          <w:pgSz w:w="11910" w:h="16840"/>
          <w:pgMar w:header="877" w:footer="1330" w:top="1060" w:bottom="1540" w:left="980" w:right="0"/>
        </w:sectPr>
      </w:pPr>
    </w:p>
    <w:p>
      <w:pPr>
        <w:spacing w:line="240" w:lineRule="auto" w:before="9"/>
        <w:rPr>
          <w:rFonts w:ascii="宋体" w:hAnsi="宋体" w:cs="宋体" w:eastAsia="宋体" w:hint="default"/>
          <w:sz w:val="25"/>
          <w:szCs w:val="25"/>
        </w:rPr>
      </w:pPr>
    </w:p>
    <w:p>
      <w:pPr>
        <w:pStyle w:val="BodyText"/>
        <w:spacing w:line="312" w:lineRule="auto"/>
        <w:ind w:right="0"/>
        <w:jc w:val="left"/>
      </w:pPr>
      <w:r>
        <w:rPr/>
        <w:t>已经发生的成本的差额，确认为损失；</w:t>
      </w:r>
      <w:r>
        <w:rPr>
          <w:spacing w:val="2"/>
        </w:rPr>
        <w:t> </w:t>
      </w:r>
      <w:r>
        <w:rPr/>
        <w:t>如果已发生的成本全部不能得到补偿，则不应确认收入，但应将已发生的成本确认</w:t>
      </w:r>
      <w:r>
        <w:rPr/>
        <w:t> </w:t>
      </w:r>
      <w:r>
        <w:rPr>
          <w:spacing w:val="-5"/>
        </w:rPr>
        <w:t>为费用。（</w:t>
      </w:r>
      <w:r>
        <w:rPr>
          <w:rFonts w:ascii="Times New Roman" w:hAnsi="Times New Roman" w:cs="Times New Roman" w:eastAsia="Times New Roman" w:hint="default"/>
          <w:spacing w:val="-5"/>
        </w:rPr>
        <w:t>3</w:t>
      </w:r>
      <w:r>
        <w:rPr>
          <w:spacing w:val="-5"/>
        </w:rPr>
        <w:t>）软件服务收入的确认原则及方法：</w:t>
      </w:r>
      <w:r>
        <w:rPr/>
        <w:t> 软件服务是指公司为客户提供软件应用、实施等技术服务实现的收入。包</w:t>
      </w:r>
      <w:r>
        <w:rPr>
          <w:spacing w:val="-70"/>
        </w:rPr>
        <w:t> </w:t>
      </w:r>
      <w:r>
        <w:rPr>
          <w:spacing w:val="-70"/>
        </w:rPr>
      </w:r>
      <w:r>
        <w:rPr>
          <w:spacing w:val="-2"/>
        </w:rPr>
        <w:t>括但不限于：免费服务期后的系统维护、数据修复、技术业务咨询服务、技术支持、应用培训等技术服务；二次开发服务业</w:t>
      </w:r>
      <w:r>
        <w:rPr>
          <w:spacing w:val="-65"/>
        </w:rPr>
        <w:t> </w:t>
      </w:r>
      <w:r>
        <w:rPr>
          <w:spacing w:val="-65"/>
        </w:rPr>
      </w:r>
      <w:r>
        <w:rPr>
          <w:spacing w:val="-4"/>
        </w:rPr>
        <w:t>务；其他为客户（包括使用非公司产品）进行的技术支持、技术应用及技术咨询等服务。软件服务收入的确认原则及方法为：</w:t>
      </w:r>
      <w:r>
        <w:rPr>
          <w:spacing w:val="-46"/>
        </w:rPr>
        <w:t> </w:t>
      </w:r>
      <w:r>
        <w:rPr>
          <w:spacing w:val="-46"/>
        </w:rPr>
      </w:r>
      <w:r>
        <w:rPr>
          <w:spacing w:val="-4"/>
        </w:rPr>
        <w:t>在劳务已经提供，收到价款或取得收取款项的证据时，确认劳务收入。（</w:t>
      </w:r>
      <w:r>
        <w:rPr>
          <w:rFonts w:ascii="Times New Roman" w:hAnsi="Times New Roman" w:cs="Times New Roman" w:eastAsia="Times New Roman" w:hint="default"/>
          <w:spacing w:val="-4"/>
        </w:rPr>
        <w:t>4</w:t>
      </w:r>
      <w:r>
        <w:rPr>
          <w:spacing w:val="-4"/>
        </w:rPr>
        <w:t>）系统集成收入的确认原则及方法：系统集成收入</w:t>
      </w:r>
      <w:r>
        <w:rPr>
          <w:spacing w:val="-44"/>
        </w:rPr>
        <w:t> </w:t>
      </w:r>
      <w:r>
        <w:rPr>
          <w:spacing w:val="-44"/>
        </w:rPr>
      </w:r>
      <w:r>
        <w:rPr>
          <w:spacing w:val="-2"/>
        </w:rPr>
        <w:t>是公司为客户实施软件项目时，应客户要求代其外购软硬件系统所获得的收入。系统集成收入的确认原则及方法：系统集成</w:t>
      </w:r>
      <w:r>
        <w:rPr>
          <w:spacing w:val="-63"/>
        </w:rPr>
        <w:t> </w:t>
      </w:r>
      <w:r>
        <w:rPr>
          <w:spacing w:val="-63"/>
        </w:rPr>
      </w:r>
      <w:r>
        <w:rPr>
          <w:spacing w:val="-2"/>
        </w:rPr>
        <w:t>项目软硬件系统所有权上的重要风险和报酬转移给买方，公司不再对其实施继续管理权和实际控制权，相关的收入已经收到</w:t>
      </w:r>
      <w:r>
        <w:rPr>
          <w:spacing w:val="-64"/>
        </w:rPr>
        <w:t> </w:t>
      </w:r>
      <w:r>
        <w:rPr>
          <w:spacing w:val="-64"/>
        </w:rPr>
      </w:r>
      <w:r>
        <w:rPr/>
        <w:t>或取得了收款的证据，与销售该软硬件系统有关的成本能够可靠地计量时，确认销售收入。</w:t>
      </w:r>
    </w:p>
    <w:p>
      <w:pPr>
        <w:spacing w:line="240" w:lineRule="auto" w:before="1"/>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3"/>
        <w:rPr>
          <w:rFonts w:ascii="宋体" w:hAnsi="宋体" w:cs="宋体" w:eastAsia="宋体" w:hint="default"/>
          <w:b/>
          <w:bCs/>
          <w:sz w:val="26"/>
          <w:szCs w:val="26"/>
        </w:rPr>
      </w:pPr>
    </w:p>
    <w:p>
      <w:pPr>
        <w:spacing w:line="1030" w:lineRule="exact"/>
        <w:ind w:left="116" w:right="0" w:firstLine="0"/>
        <w:rPr>
          <w:rFonts w:ascii="宋体" w:hAnsi="宋体" w:cs="宋体" w:eastAsia="宋体" w:hint="default"/>
          <w:sz w:val="20"/>
          <w:szCs w:val="20"/>
        </w:rPr>
      </w:pPr>
      <w:r>
        <w:rPr>
          <w:rFonts w:ascii="宋体" w:hAnsi="宋体" w:cs="宋体" w:eastAsia="宋体" w:hint="default"/>
          <w:position w:val="-20"/>
          <w:sz w:val="20"/>
          <w:szCs w:val="20"/>
        </w:rPr>
        <w:pict>
          <v:shape style="width:483.95pt;height:51.55pt;mso-position-horizontal-relative:char;mso-position-vertical-relative:line" type="#_x0000_t202" filled="false" stroked="true" strokeweight=".72pt" strokecolor="#000000">
            <w10:anchorlock/>
            <v:textbox inset="0,0,0,0">
              <w:txbxContent>
                <w:p>
                  <w:pPr>
                    <w:spacing w:line="273" w:lineRule="auto" w:before="0"/>
                    <w:ind w:left="28" w:right="22" w:firstLine="0"/>
                    <w:jc w:val="both"/>
                    <w:rPr>
                      <w:rFonts w:ascii="宋体" w:hAnsi="宋体" w:cs="宋体" w:eastAsia="宋体" w:hint="default"/>
                      <w:sz w:val="21"/>
                      <w:szCs w:val="21"/>
                    </w:rPr>
                  </w:pPr>
                  <w:r>
                    <w:rPr>
                      <w:rFonts w:ascii="宋体" w:hAnsi="宋体" w:cs="宋体" w:eastAsia="宋体" w:hint="default"/>
                      <w:spacing w:val="-3"/>
                      <w:sz w:val="21"/>
                      <w:szCs w:val="21"/>
                    </w:rPr>
                    <w:t>让渡无形资产（如商标权、专利权、专营权、软件、版权等），以及其他非现金资产的使用权而形成的使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用费收入，按有关合同或协议规定的收费时间和方法计算确定。上述收入的确定并应同时满足：①与交易</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相关的经济利益能够流入公司；②收入金额能够可靠地计量。</w:t>
                  </w:r>
                </w:p>
              </w:txbxContent>
            </v:textbox>
          </v:shape>
        </w:pict>
      </w:r>
      <w:r>
        <w:rPr>
          <w:rFonts w:ascii="宋体" w:hAnsi="宋体" w:cs="宋体" w:eastAsia="宋体" w:hint="default"/>
          <w:position w:val="-20"/>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1160"/>
        <w:jc w:val="both"/>
      </w:pPr>
      <w:r>
        <w:rPr>
          <w:spacing w:val="-3"/>
        </w:rPr>
        <w:t>①软件项目在同一会计年度内开始并完成的，在软件成果的使用权已经提供，收到价款或取得收取款项的</w:t>
      </w:r>
      <w:r>
        <w:rPr>
          <w:spacing w:val="-30"/>
        </w:rPr>
        <w:t> </w:t>
      </w:r>
      <w:r>
        <w:rPr>
          <w:spacing w:val="-30"/>
        </w:rPr>
      </w:r>
      <w:r>
        <w:rPr/>
        <w:t>证据时，确认收入。</w:t>
      </w:r>
    </w:p>
    <w:p>
      <w:pPr>
        <w:pStyle w:val="Heading5"/>
        <w:spacing w:line="273" w:lineRule="auto" w:before="7"/>
        <w:ind w:right="1160"/>
        <w:jc w:val="both"/>
      </w:pPr>
      <w:r>
        <w:rPr>
          <w:spacing w:val="-3"/>
        </w:rPr>
        <w:t>②软件项目的开始和完成分属不同的会计年度的，在合同的总收入、项目的完成程度能够可靠地确定，与</w:t>
      </w:r>
      <w:r>
        <w:rPr>
          <w:spacing w:val="-31"/>
        </w:rPr>
        <w:t> </w:t>
      </w:r>
      <w:r>
        <w:rPr>
          <w:spacing w:val="-31"/>
        </w:rPr>
      </w:r>
      <w:r>
        <w:rPr/>
        <w:t>项目有关的价款能够流入</w:t>
      </w:r>
      <w:r>
        <w:rPr>
          <w:spacing w:val="38"/>
        </w:rPr>
        <w:t> </w:t>
      </w:r>
      <w:r>
        <w:rPr/>
        <w:t>，已经发生的成本和完成该项软件将要发生的成本能够可靠地计量时，在资产</w:t>
      </w:r>
      <w:r>
        <w:rPr>
          <w:spacing w:val="-95"/>
        </w:rPr>
        <w:t> </w:t>
      </w:r>
      <w:r>
        <w:rPr>
          <w:spacing w:val="-95"/>
        </w:rPr>
      </w:r>
      <w:r>
        <w:rPr/>
        <w:t>负债表日按完工百分比法（工程完工进度）确认软件收入。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160"/>
        <w:jc w:val="both"/>
      </w:pPr>
      <w:r>
        <w:rPr>
          <w:spacing w:val="-3"/>
        </w:rPr>
        <w:t>①软件项目在同一会计年度内开始并完成的，在软件成果的使用权已经提供，收到价款或取得收取款项的</w:t>
      </w:r>
      <w:r>
        <w:rPr>
          <w:spacing w:val="-30"/>
        </w:rPr>
        <w:t> </w:t>
      </w:r>
      <w:r>
        <w:rPr>
          <w:spacing w:val="-30"/>
        </w:rPr>
      </w:r>
      <w:r>
        <w:rPr/>
        <w:t>证据时，确认收入。</w:t>
      </w:r>
    </w:p>
    <w:p>
      <w:pPr>
        <w:pStyle w:val="Heading5"/>
        <w:spacing w:line="273" w:lineRule="auto" w:before="7"/>
        <w:ind w:right="1160"/>
        <w:jc w:val="both"/>
      </w:pPr>
      <w:r>
        <w:rPr>
          <w:spacing w:val="-3"/>
        </w:rPr>
        <w:t>②软件项目的开始和完成分属不同的会计年度的，在合同的总收入、项目的完成程度能够可靠地确定，与</w:t>
      </w:r>
      <w:r>
        <w:rPr>
          <w:spacing w:val="-31"/>
        </w:rPr>
        <w:t> </w:t>
      </w:r>
      <w:r>
        <w:rPr>
          <w:spacing w:val="-31"/>
        </w:rPr>
      </w:r>
      <w:r>
        <w:rPr/>
        <w:t>项目有关的价款能够流入</w:t>
      </w:r>
      <w:r>
        <w:rPr>
          <w:spacing w:val="40"/>
        </w:rPr>
        <w:t> </w:t>
      </w:r>
      <w:r>
        <w:rPr/>
        <w:t>，已经发生的成本和完成该项软件将要发生的成本能够可靠地计量时，在资产</w:t>
      </w:r>
      <w:r>
        <w:rPr>
          <w:spacing w:val="-96"/>
        </w:rPr>
        <w:t> </w:t>
      </w:r>
      <w:r>
        <w:rPr>
          <w:spacing w:val="-96"/>
        </w:rPr>
      </w:r>
      <w:r>
        <w:rPr/>
        <w:t>负债表日按完工百分比法（工程完工进度）确认软件收入。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5"/>
        <w:jc w:val="both"/>
      </w:pPr>
      <w:r>
        <w:rPr/>
        <w:t>①</w:t>
      </w:r>
      <w:r>
        <w:rPr>
          <w:spacing w:val="1"/>
        </w:rPr>
        <w:t> </w:t>
      </w:r>
      <w:r>
        <w:rPr/>
        <w:t>政府补助为货币性资产的，按照收到或应收的金额计量。政府补助为非货币性资产的，按照公允价值计量；公允价值不</w:t>
      </w:r>
      <w:r>
        <w:rPr/>
        <w:t> 能可靠取得的，按照名义金额计量。②</w:t>
      </w:r>
      <w:r>
        <w:rPr>
          <w:spacing w:val="2"/>
        </w:rPr>
        <w:t> </w:t>
      </w:r>
      <w:r>
        <w:rPr/>
        <w:t>与资产相关的政府补助，公司取得时确认为递延收益，自相关资产达到预定可使用</w:t>
      </w:r>
      <w:r>
        <w:rPr/>
        <w:t> </w:t>
      </w:r>
      <w:r>
        <w:rPr>
          <w:spacing w:val="-2"/>
        </w:rPr>
        <w:t>状态时，在该资产使用寿命内平均分配，分次计入以后各期的损益。相关资产在使用寿命结束前被出售、转让、报废或发生</w:t>
      </w:r>
      <w:r>
        <w:rPr>
          <w:spacing w:val="-67"/>
        </w:rPr>
        <w:t> </w:t>
      </w:r>
      <w:r>
        <w:rPr>
          <w:spacing w:val="-67"/>
        </w:rPr>
      </w:r>
      <w:r>
        <w:rPr/>
        <w:t>毁损的，将尚未分配的递延收益余额一次性转入资产处置当期的损益。</w:t>
      </w:r>
    </w:p>
    <w:p>
      <w:pPr>
        <w:spacing w:after="0" w:line="316" w:lineRule="auto"/>
        <w:jc w:val="both"/>
        <w:sectPr>
          <w:pgSz w:w="11910" w:h="16840"/>
          <w:pgMar w:header="877" w:footer="133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spacing w:line="3213" w:lineRule="exact"/>
        <w:ind w:left="116" w:right="0" w:firstLine="0"/>
        <w:rPr>
          <w:rFonts w:ascii="宋体" w:hAnsi="宋体" w:cs="宋体" w:eastAsia="宋体" w:hint="default"/>
          <w:sz w:val="20"/>
          <w:szCs w:val="20"/>
        </w:rPr>
      </w:pPr>
      <w:r>
        <w:rPr>
          <w:rFonts w:ascii="宋体" w:hAnsi="宋体" w:cs="宋体" w:eastAsia="宋体" w:hint="default"/>
          <w:position w:val="-63"/>
          <w:sz w:val="20"/>
          <w:szCs w:val="20"/>
        </w:rPr>
        <w:pict>
          <v:shape style="width:485.65pt;height:160.7pt;mso-position-horizontal-relative:char;mso-position-vertical-relative:line" type="#_x0000_t202" filled="false" stroked="true" strokeweight=".72pt" strokecolor="#000000">
            <w10:anchorlock/>
            <v:textbox inset="0,0,0,0">
              <w:txbxContent>
                <w:p>
                  <w:pPr>
                    <w:spacing w:line="271" w:lineRule="auto" w:before="0"/>
                    <w:ind w:left="28" w:right="29" w:firstLine="420"/>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8"/>
                      <w:sz w:val="21"/>
                      <w:szCs w:val="21"/>
                    </w:rPr>
                    <w:t> </w:t>
                  </w:r>
                  <w:r>
                    <w:rPr>
                      <w:rFonts w:ascii="宋体" w:hAnsi="宋体" w:cs="宋体" w:eastAsia="宋体" w:hint="default"/>
                      <w:sz w:val="21"/>
                      <w:szCs w:val="21"/>
                    </w:rPr>
                    <w:t>政府补助为货币性资产的，按照收到或应收的金额计量。政府补助为非货币性资产的，按照公允</w:t>
                  </w:r>
                  <w:r>
                    <w:rPr>
                      <w:rFonts w:ascii="宋体" w:hAnsi="宋体" w:cs="宋体" w:eastAsia="宋体" w:hint="default"/>
                      <w:w w:val="100"/>
                      <w:sz w:val="21"/>
                      <w:szCs w:val="21"/>
                    </w:rPr>
                    <w:t> </w:t>
                  </w:r>
                  <w:r>
                    <w:rPr>
                      <w:rFonts w:ascii="宋体" w:hAnsi="宋体" w:cs="宋体" w:eastAsia="宋体" w:hint="default"/>
                      <w:sz w:val="21"/>
                      <w:szCs w:val="21"/>
                    </w:rPr>
                    <w:t>价值计量；公允价值不能可靠取得的，按照名义金额计量。</w:t>
                  </w:r>
                </w:p>
                <w:p>
                  <w:pPr>
                    <w:spacing w:line="273" w:lineRule="auto" w:before="10"/>
                    <w:ind w:left="28" w:right="24" w:firstLine="420"/>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5"/>
                      <w:sz w:val="21"/>
                      <w:szCs w:val="21"/>
                    </w:rPr>
                    <w:t> </w:t>
                  </w:r>
                  <w:r>
                    <w:rPr>
                      <w:rFonts w:ascii="宋体" w:hAnsi="宋体" w:cs="宋体" w:eastAsia="宋体" w:hint="default"/>
                      <w:sz w:val="21"/>
                      <w:szCs w:val="21"/>
                    </w:rPr>
                    <w:t>与资产相关的政府补助，公司取得时确认为递延收益，自相关资产达到预定可使用状态时，在该</w:t>
                  </w:r>
                  <w:r>
                    <w:rPr>
                      <w:rFonts w:ascii="宋体" w:hAnsi="宋体" w:cs="宋体" w:eastAsia="宋体" w:hint="default"/>
                      <w:w w:val="100"/>
                      <w:sz w:val="21"/>
                      <w:szCs w:val="21"/>
                    </w:rPr>
                    <w:t> </w:t>
                  </w:r>
                  <w:r>
                    <w:rPr>
                      <w:rFonts w:ascii="宋体" w:hAnsi="宋体" w:cs="宋体" w:eastAsia="宋体" w:hint="default"/>
                      <w:spacing w:val="-2"/>
                      <w:sz w:val="21"/>
                      <w:szCs w:val="21"/>
                    </w:rPr>
                    <w:t>资产使用寿命内平均分配，分次计入以后各期的损益。相关资产在使用寿命结束前被出售、转让、报废或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发生毁损的，将尚未分配的递延收益余额一次性转入资产处置当期的损益。</w:t>
                  </w:r>
                </w:p>
                <w:p>
                  <w:pPr>
                    <w:spacing w:line="273" w:lineRule="auto" w:before="7"/>
                    <w:ind w:left="28" w:right="2" w:firstLine="420"/>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与收益相关的政府补助，用于补偿公司以后期间的相关费用或损失的，取得时确认为递延收益，在确</w:t>
                  </w:r>
                  <w:r>
                    <w:rPr>
                      <w:rFonts w:ascii="宋体" w:hAnsi="宋体" w:cs="宋体" w:eastAsia="宋体" w:hint="default"/>
                      <w:w w:val="100"/>
                      <w:sz w:val="21"/>
                      <w:szCs w:val="21"/>
                    </w:rPr>
                    <w:t> </w:t>
                  </w:r>
                  <w:r>
                    <w:rPr>
                      <w:rFonts w:ascii="宋体" w:hAnsi="宋体" w:cs="宋体" w:eastAsia="宋体" w:hint="default"/>
                      <w:spacing w:val="-2"/>
                      <w:sz w:val="21"/>
                      <w:szCs w:val="21"/>
                    </w:rPr>
                    <w:t>认相关费用的期间计入当期损益；用于补偿公司已发生的相关费用或损失的，取得时直接计入当期损益。</w:t>
                  </w:r>
                </w:p>
                <w:p>
                  <w:pPr>
                    <w:spacing w:line="266" w:lineRule="auto" w:before="7"/>
                    <w:ind w:left="449" w:right="1798"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2"/>
                      <w:sz w:val="21"/>
                      <w:szCs w:val="21"/>
                    </w:rPr>
                    <w:t> </w:t>
                  </w:r>
                  <w:r>
                    <w:rPr>
                      <w:rFonts w:ascii="宋体" w:hAnsi="宋体" w:cs="宋体" w:eastAsia="宋体" w:hint="default"/>
                      <w:sz w:val="21"/>
                      <w:szCs w:val="21"/>
                    </w:rPr>
                    <w:t>已确认的政府补助需要返还的，分别下列情况处理：</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、存在相关递延收益的，冲减相关递延收益账面余额，超出部分计入当期损益。</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Times New Roman" w:hAnsi="Times New Roman" w:cs="Times New Roman" w:eastAsia="Times New Roman" w:hint="default"/>
                      <w:sz w:val="21"/>
                      <w:szCs w:val="21"/>
                    </w:rPr>
                    <w:t>b</w:t>
                  </w:r>
                  <w:r>
                    <w:rPr>
                      <w:rFonts w:ascii="宋体" w:hAnsi="宋体" w:cs="宋体" w:eastAsia="宋体" w:hint="default"/>
                      <w:sz w:val="21"/>
                      <w:szCs w:val="21"/>
                    </w:rPr>
                    <w:t>、不存在相关递延收益的，直接计入当期损益。</w:t>
                  </w:r>
                </w:p>
              </w:txbxContent>
            </v:textbox>
          </v:shape>
        </w:pict>
      </w:r>
      <w:r>
        <w:rPr>
          <w:rFonts w:ascii="宋体" w:hAnsi="宋体" w:cs="宋体" w:eastAsia="宋体" w:hint="default"/>
          <w:position w:val="-63"/>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07" w:lineRule="auto" w:before="0"/>
        <w:ind w:right="1034"/>
        <w:jc w:val="left"/>
      </w:pPr>
      <w:r>
        <w:rPr/>
        <w:t>①本公司以很可能取得用来抵扣可抵扣暂时性差异的应纳税所得额为限，确认由可抵扣暂时性差异产生的递延所得税资产。 但是同时具有下列特征的交易中因资产或负债的初始确认所产生的递延所得税资产不予确认：</w:t>
      </w:r>
      <w:r>
        <w:rPr>
          <w:rFonts w:ascii="Times New Roman" w:hAnsi="Times New Roman" w:cs="Times New Roman" w:eastAsia="Times New Roman" w:hint="default"/>
        </w:rPr>
        <w:t>a.</w:t>
      </w:r>
      <w:r>
        <w:rPr/>
        <w:t>该项交易不是企业合并；</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。②本公司对与子公司、联营公司及合营企业投资相关 的可抵扣暂时性差异，同时满足下列条件的，确认相应的递延所得税资产：</w:t>
      </w:r>
      <w:r>
        <w:rPr>
          <w:rFonts w:ascii="Times New Roman" w:hAnsi="Times New Roman" w:cs="Times New Roman" w:eastAsia="Times New Roman" w:hint="default"/>
        </w:rPr>
        <w:t>a.</w:t>
      </w:r>
      <w:r>
        <w:rPr/>
        <w:t>暂时性差异在可预见的未来很可能转回；</w:t>
      </w:r>
      <w:r>
        <w:rPr>
          <w:rFonts w:ascii="Times New Roman" w:hAnsi="Times New Roman" w:cs="Times New Roman" w:eastAsia="Times New Roman" w:hint="default"/>
        </w:rPr>
        <w:t>b.</w:t>
      </w:r>
      <w:r>
        <w:rPr/>
        <w:t>未 </w:t>
      </w:r>
      <w:r>
        <w:rPr>
          <w:spacing w:val="-2"/>
        </w:rPr>
        <w:t>来很可能获得用来抵扣暂时性差异的应纳税所得额。③本公司对于能够结转以后年度的可抵扣亏损和税款抵减，以很可能获</w:t>
      </w:r>
      <w:r>
        <w:rPr>
          <w:spacing w:val="-63"/>
        </w:rPr>
        <w:t> </w:t>
      </w:r>
      <w:r>
        <w:rPr>
          <w:spacing w:val="-63"/>
        </w:rPr>
      </w:r>
      <w:r>
        <w:rPr/>
        <w:t>得用来抵扣可抵扣亏损和税款抵减的未来应纳税所得额为限，确认相应的递延所得税资产。</w:t>
      </w:r>
    </w:p>
    <w:p>
      <w:pPr>
        <w:spacing w:line="240" w:lineRule="auto" w:before="5"/>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07" w:lineRule="auto" w:before="0"/>
        <w:ind w:right="1128"/>
        <w:jc w:val="both"/>
      </w:pPr>
      <w:r>
        <w:rPr>
          <w:spacing w:val="-2"/>
        </w:rPr>
        <w:t>除下列情况产生的递延所得税负债以外，本公司确认所有应纳税暂时性差异产生的递延所得税负债：①商誉的初始确认；②</w:t>
      </w:r>
      <w:r>
        <w:rPr>
          <w:spacing w:val="-62"/>
        </w:rPr>
        <w:t> </w:t>
      </w:r>
      <w:r>
        <w:rPr>
          <w:spacing w:val="-62"/>
        </w:rPr>
      </w:r>
      <w:r>
        <w:rPr/>
        <w:t>同时满足具有下列特征的交易中产生的资产或负债的初始确认：</w:t>
      </w:r>
      <w:r>
        <w:rPr>
          <w:rFonts w:ascii="Times New Roman" w:hAnsi="Times New Roman" w:cs="Times New Roman" w:eastAsia="Times New Roman" w:hint="default"/>
        </w:rPr>
        <w:t>a.</w:t>
      </w:r>
      <w:r>
        <w:rPr/>
        <w:t>该项交易不是企业合并；</w:t>
      </w:r>
      <w:r>
        <w:rPr>
          <w:rFonts w:ascii="Times New Roman" w:hAnsi="Times New Roman" w:cs="Times New Roman" w:eastAsia="Times New Roman" w:hint="default"/>
        </w:rPr>
        <w:t>b.</w:t>
      </w:r>
      <w:r>
        <w:rPr/>
        <w:t>交易发生时既不影响会计利润 </w:t>
      </w:r>
      <w:r>
        <w:rPr>
          <w:spacing w:val="-1"/>
        </w:rPr>
        <w:t>也不影响应纳税所得额</w:t>
      </w:r>
      <w:r>
        <w:rPr>
          <w:rFonts w:ascii="Times New Roman" w:hAnsi="Times New Roman" w:cs="Times New Roman" w:eastAsia="Times New Roman" w:hint="default"/>
          <w:spacing w:val="-1"/>
        </w:rPr>
        <w:t>(</w:t>
      </w:r>
      <w:r>
        <w:rPr>
          <w:spacing w:val="-1"/>
        </w:rPr>
        <w:t>或可抵扣亏损</w:t>
      </w:r>
      <w:r>
        <w:rPr>
          <w:rFonts w:ascii="Times New Roman" w:hAnsi="Times New Roman" w:cs="Times New Roman" w:eastAsia="Times New Roman" w:hint="default"/>
          <w:spacing w:val="-1"/>
        </w:rPr>
        <w:t>)</w:t>
      </w:r>
      <w:r>
        <w:rPr>
          <w:spacing w:val="-1"/>
        </w:rPr>
        <w:t>。③本公司对与子公司、联营公司及合营企业投资产生相关的应纳税暂时性差异，同</w:t>
      </w:r>
      <w:r>
        <w:rPr>
          <w:spacing w:val="-59"/>
        </w:rPr>
        <w:t> </w:t>
      </w:r>
      <w:r>
        <w:rPr>
          <w:spacing w:val="-59"/>
        </w:rPr>
      </w:r>
      <w:r>
        <w:rPr/>
        <w:t>时满足下列条件的：</w:t>
      </w:r>
      <w:r>
        <w:rPr>
          <w:rFonts w:ascii="Times New Roman" w:hAnsi="Times New Roman" w:cs="Times New Roman" w:eastAsia="Times New Roman" w:hint="default"/>
        </w:rPr>
        <w:t>a.</w:t>
      </w:r>
      <w:r>
        <w:rPr/>
        <w:t>投资企业能够控制暂时性差异的转回的时间；</w:t>
      </w:r>
      <w:r>
        <w:rPr>
          <w:rFonts w:ascii="Times New Roman" w:hAnsi="Times New Roman" w:cs="Times New Roman" w:eastAsia="Times New Roman" w:hint="default"/>
        </w:rPr>
        <w:t>b.</w:t>
      </w:r>
      <w:r>
        <w:rPr/>
        <w:t>该暂时性差异在可预见的未来很可能不会转回。</w:t>
      </w:r>
    </w:p>
    <w:p>
      <w:pPr>
        <w:spacing w:line="240" w:lineRule="auto" w:before="12"/>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0"/>
        <w:rPr>
          <w:rFonts w:ascii="宋体" w:hAnsi="宋体" w:cs="宋体" w:eastAsia="宋体" w:hint="default"/>
          <w:b/>
          <w:bCs/>
          <w:sz w:val="25"/>
          <w:szCs w:val="25"/>
        </w:rPr>
      </w:pPr>
    </w:p>
    <w:p>
      <w:pPr>
        <w:spacing w:line="2524" w:lineRule="exact"/>
        <w:ind w:left="109" w:right="0" w:firstLine="0"/>
        <w:rPr>
          <w:rFonts w:ascii="宋体" w:hAnsi="宋体" w:cs="宋体" w:eastAsia="宋体" w:hint="default"/>
          <w:sz w:val="20"/>
          <w:szCs w:val="20"/>
        </w:rPr>
      </w:pPr>
      <w:r>
        <w:rPr>
          <w:rFonts w:ascii="宋体" w:hAnsi="宋体" w:cs="宋体" w:eastAsia="宋体" w:hint="default"/>
          <w:position w:val="-49"/>
          <w:sz w:val="20"/>
          <w:szCs w:val="20"/>
        </w:rPr>
        <w:pict>
          <v:group style="width:486.35pt;height:126.25pt;mso-position-horizontal-relative:char;mso-position-vertical-relative:line" coordorigin="0,0" coordsize="9727,2525">
            <v:group style="position:absolute;left:14;top:14;width:9698;height:2" coordorigin="14,14" coordsize="9698,2">
              <v:shape style="position:absolute;left:14;top:14;width:9698;height:2" coordorigin="14,14" coordsize="9698,0" path="m14,14l9712,14e" filled="false" stroked="true" strokeweight=".72pt" strokecolor="#000000">
                <v:path arrowok="t"/>
              </v:shape>
            </v:group>
            <v:group style="position:absolute;left:7;top:7;width:2;height:2511" coordorigin="7,7" coordsize="2,2511">
              <v:shape style="position:absolute;left:7;top:7;width:2;height:2511" coordorigin="7,7" coordsize="0,2511" path="m7,7l7,2518e" filled="false" stroked="true" strokeweight=".72pt" strokecolor="#000000">
                <v:path arrowok="t"/>
              </v:shape>
            </v:group>
            <v:group style="position:absolute;left:9720;top:7;width:2;height:2511" coordorigin="9720,7" coordsize="2,2511">
              <v:shape style="position:absolute;left:9720;top:7;width:2;height:2511" coordorigin="9720,7" coordsize="0,2511" path="m9720,7l9720,2518e" filled="false" stroked="true" strokeweight=".72pt" strokecolor="#000000">
                <v:path arrowok="t"/>
              </v:shape>
              <v:shape style="position:absolute;left:0;top:0;width:9727;height:2525" type="#_x0000_t202" filled="false" stroked="false">
                <v:textbox inset="0,0,0,0">
                  <w:txbxContent>
                    <w:p>
                      <w:pPr>
                        <w:spacing w:line="268" w:lineRule="auto" w:before="11"/>
                        <w:ind w:left="43" w:right="36" w:firstLine="314"/>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、本公司作为经营租赁承租人时，将经营租赁的租金支出，在租赁期内各个期间按照直线法或根据租</w:t>
                      </w:r>
                      <w:r>
                        <w:rPr>
                          <w:rFonts w:ascii="宋体" w:hAnsi="宋体" w:cs="宋体" w:eastAsia="宋体" w:hint="default"/>
                          <w:w w:val="100"/>
                          <w:sz w:val="21"/>
                          <w:szCs w:val="21"/>
                        </w:rPr>
                        <w:t> </w:t>
                      </w:r>
                      <w:r>
                        <w:rPr>
                          <w:rFonts w:ascii="宋体" w:hAnsi="宋体" w:cs="宋体" w:eastAsia="宋体" w:hint="default"/>
                          <w:spacing w:val="-2"/>
                          <w:sz w:val="21"/>
                          <w:szCs w:val="21"/>
                        </w:rPr>
                        <w:t>赁资产的使用量计入当期损益。作为承租人发生的初始直接费用，计入管理费用，或有租金于发生时确认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为当期费用。出租人提供免租期的，本公司将租金总额在不扣除免租期的整个租赁期内，按直线法或其他</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合理的方法进行分摊，免租期内确认租金费用及相应的负债。出租人承担了承租人某些费用的，本公司按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该费用从租金费用总额中扣除后的租金费用余额在租赁期内进行分摊。</w:t>
                      </w:r>
                    </w:p>
                    <w:p>
                      <w:pPr>
                        <w:spacing w:line="264" w:lineRule="auto" w:before="12"/>
                        <w:ind w:left="43" w:right="17" w:firstLine="314"/>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、本公司作为经营租赁出租人时，采用直线法将收到的租金在租赁期内确认为收益。初始直接费用，</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计入当期损益。金额较大的予以资本化，在整个经营租赁期内按照与确认租金收入相同的基础分期计入当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期损益。如协议约定或有租金的在实际发生时计入当期收益。出租人提供免租期的，出租人将租金总额在</w:t>
                      </w:r>
                    </w:p>
                  </w:txbxContent>
                </v:textbox>
                <w10:wrap type="none"/>
              </v:shape>
            </v:group>
          </v:group>
        </w:pict>
      </w:r>
      <w:r>
        <w:rPr>
          <w:rFonts w:ascii="宋体" w:hAnsi="宋体" w:cs="宋体" w:eastAsia="宋体" w:hint="default"/>
          <w:position w:val="-49"/>
          <w:sz w:val="20"/>
          <w:szCs w:val="20"/>
        </w:rPr>
      </w:r>
    </w:p>
    <w:p>
      <w:pPr>
        <w:spacing w:after="0" w:line="2524" w:lineRule="exact"/>
        <w:rPr>
          <w:rFonts w:ascii="宋体" w:hAnsi="宋体" w:cs="宋体" w:eastAsia="宋体" w:hint="default"/>
          <w:sz w:val="20"/>
          <w:szCs w:val="20"/>
        </w:rPr>
        <w:sectPr>
          <w:pgSz w:w="11910" w:h="16840"/>
          <w:pgMar w:header="877" w:footer="1330" w:top="1060" w:bottom="1540" w:left="980" w:right="0"/>
        </w:sectPr>
      </w:pPr>
    </w:p>
    <w:p>
      <w:pPr>
        <w:spacing w:line="240" w:lineRule="auto" w:before="12"/>
        <w:rPr>
          <w:rFonts w:ascii="宋体" w:hAnsi="宋体" w:cs="宋体" w:eastAsia="宋体" w:hint="default"/>
          <w:b/>
          <w:bCs/>
          <w:sz w:val="27"/>
          <w:szCs w:val="27"/>
        </w:rPr>
      </w:pPr>
    </w:p>
    <w:p>
      <w:pPr>
        <w:spacing w:line="1046" w:lineRule="exact"/>
        <w:ind w:left="109"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86.35pt;height:52.35pt;mso-position-horizontal-relative:char;mso-position-vertical-relative:line" coordorigin="0,0" coordsize="9727,1047">
            <v:group style="position:absolute;left:7;top:7;width:2;height:312" coordorigin="7,7" coordsize="2,312">
              <v:shape style="position:absolute;left:7;top:7;width:2;height:312" coordorigin="7,7" coordsize="0,312" path="m7,7l7,319e" filled="false" stroked="true" strokeweight=".72pt" strokecolor="#000000">
                <v:path arrowok="t"/>
              </v:shape>
            </v:group>
            <v:group style="position:absolute;left:7;top:319;width:2;height:313" coordorigin="7,319" coordsize="2,313">
              <v:shape style="position:absolute;left:7;top:319;width:2;height:313" coordorigin="7,319" coordsize="0,313" path="m7,319l7,632e" filled="false" stroked="true" strokeweight=".72pt" strokecolor="#000000">
                <v:path arrowok="t"/>
              </v:shape>
            </v:group>
            <v:group style="position:absolute;left:14;top:1032;width:9698;height:2" coordorigin="14,1032" coordsize="9698,2">
              <v:shape style="position:absolute;left:14;top:1032;width:9698;height:2" coordorigin="14,1032" coordsize="9698,0" path="m14,1032l9712,1032e" filled="false" stroked="true" strokeweight=".72pt" strokecolor="#000000">
                <v:path arrowok="t"/>
              </v:shape>
            </v:group>
            <v:group style="position:absolute;left:7;top:632;width:2;height:408" coordorigin="7,632" coordsize="2,408">
              <v:shape style="position:absolute;left:7;top:632;width:2;height:408" coordorigin="7,632" coordsize="0,408" path="m7,632l7,1040e" filled="false" stroked="true" strokeweight=".72pt" strokecolor="#000000">
                <v:path arrowok="t"/>
              </v:shape>
            </v:group>
            <v:group style="position:absolute;left:9720;top:7;width:2;height:312" coordorigin="9720,7" coordsize="2,312">
              <v:shape style="position:absolute;left:9720;top:7;width:2;height:312" coordorigin="9720,7" coordsize="0,312" path="m9720,7l9720,319e" filled="false" stroked="true" strokeweight=".72pt" strokecolor="#000000">
                <v:path arrowok="t"/>
              </v:shape>
            </v:group>
            <v:group style="position:absolute;left:9720;top:319;width:2;height:313" coordorigin="9720,319" coordsize="2,313">
              <v:shape style="position:absolute;left:9720;top:319;width:2;height:313" coordorigin="9720,319" coordsize="0,313" path="m9720,319l9720,632e" filled="false" stroked="true" strokeweight=".72pt" strokecolor="#000000">
                <v:path arrowok="t"/>
              </v:shape>
            </v:group>
            <v:group style="position:absolute;left:9720;top:632;width:2;height:408" coordorigin="9720,632" coordsize="2,408">
              <v:shape style="position:absolute;left:9720;top:632;width:2;height:408" coordorigin="9720,632" coordsize="0,408" path="m9720,632l9720,1040e" filled="false" stroked="true" strokeweight=".72pt" strokecolor="#000000">
                <v:path arrowok="t"/>
              </v:shape>
              <v:shape style="position:absolute;left:0;top:0;width:9727;height:1047" type="#_x0000_t202" filled="false" stroked="false">
                <v:textbox inset="0,0,0,0">
                  <w:txbxContent>
                    <w:p>
                      <w:pPr>
                        <w:spacing w:line="273" w:lineRule="auto" w:before="0"/>
                        <w:ind w:left="43" w:right="15" w:firstLine="0"/>
                        <w:jc w:val="left"/>
                        <w:rPr>
                          <w:rFonts w:ascii="宋体" w:hAnsi="宋体" w:cs="宋体" w:eastAsia="宋体" w:hint="default"/>
                          <w:sz w:val="21"/>
                          <w:szCs w:val="21"/>
                        </w:rPr>
                      </w:pPr>
                      <w:r>
                        <w:rPr>
                          <w:rFonts w:ascii="宋体" w:hAnsi="宋体" w:cs="宋体" w:eastAsia="宋体" w:hint="default"/>
                          <w:spacing w:val="-2"/>
                          <w:sz w:val="21"/>
                          <w:szCs w:val="21"/>
                        </w:rPr>
                        <w:t>不扣除免租期的整个租赁期内，按直线法或其他合理的方法进行分配，免租期内出租人也确认租金收入。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承担了承租人某些费用的，本公司按该费用自租金收入总额中扣除后的租金收入余额在租赁期内进行分</w:t>
                      </w:r>
                      <w:r>
                        <w:rPr>
                          <w:rFonts w:ascii="宋体" w:hAnsi="宋体" w:cs="宋体" w:eastAsia="宋体" w:hint="default"/>
                          <w:w w:val="100"/>
                          <w:sz w:val="21"/>
                          <w:szCs w:val="21"/>
                        </w:rPr>
                        <w:t> </w:t>
                      </w:r>
                      <w:r>
                        <w:rPr>
                          <w:rFonts w:ascii="宋体" w:hAnsi="宋体" w:cs="宋体" w:eastAsia="宋体" w:hint="default"/>
                          <w:sz w:val="21"/>
                          <w:szCs w:val="21"/>
                        </w:rPr>
                        <w:t>配。</w:t>
                      </w:r>
                    </w:p>
                  </w:txbxContent>
                </v:textbox>
                <w10:wrap type="none"/>
              </v:shape>
            </v:group>
          </v:group>
        </w:pict>
      </w:r>
      <w:r>
        <w:rPr>
          <w:rFonts w:ascii="宋体" w:hAnsi="宋体" w:cs="宋体" w:eastAsia="宋体" w:hint="default"/>
          <w:position w:val="-20"/>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本报告期主要会计政策、会计估计是否变更</w:t>
      </w:r>
    </w:p>
    <w:p>
      <w:pPr>
        <w:pStyle w:val="BodyText"/>
        <w:spacing w:line="240" w:lineRule="auto" w:before="117"/>
        <w:ind w:right="1123"/>
        <w:jc w:val="left"/>
      </w:pPr>
      <w:r>
        <w:rPr/>
        <w:t>□ 是 √</w:t>
      </w:r>
      <w:r>
        <w:rPr>
          <w:spacing w:val="3"/>
        </w:rPr>
        <w:t> </w:t>
      </w:r>
      <w:r>
        <w:rPr/>
        <w:t>否</w:t>
      </w:r>
    </w:p>
    <w:p>
      <w:pPr>
        <w:spacing w:line="240" w:lineRule="auto" w:before="9"/>
        <w:rPr>
          <w:rFonts w:ascii="宋体" w:hAnsi="宋体" w:cs="宋体" w:eastAsia="宋体" w:hint="default"/>
          <w:sz w:val="8"/>
          <w:szCs w:val="8"/>
        </w:rPr>
      </w:pPr>
    </w:p>
    <w:p>
      <w:pPr>
        <w:spacing w:line="408"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5.65pt;height:20.45pt;mso-position-horizontal-relative:char;mso-position-vertical-relative:line" type="#_x0000_t202" filled="false" stroked="true" strokeweight=".72pt" strokecolor="#000000">
            <w10:anchorlock/>
            <v:textbox inset="0,0,0,0">
              <w:txbxContent>
                <w:p>
                  <w:pPr>
                    <w:spacing w:line="265" w:lineRule="exact" w:before="0"/>
                    <w:ind w:left="449" w:right="0" w:firstLine="0"/>
                    <w:jc w:val="left"/>
                    <w:rPr>
                      <w:rFonts w:ascii="宋体" w:hAnsi="宋体" w:cs="宋体" w:eastAsia="宋体" w:hint="default"/>
                      <w:sz w:val="21"/>
                      <w:szCs w:val="21"/>
                    </w:rPr>
                  </w:pPr>
                  <w:r>
                    <w:rPr>
                      <w:rFonts w:ascii="宋体" w:hAnsi="宋体" w:cs="宋体" w:eastAsia="宋体" w:hint="default"/>
                      <w:sz w:val="21"/>
                      <w:szCs w:val="21"/>
                    </w:rPr>
                    <w:t>公司本期无会计政策、会计估计变更及会计差错更正。</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本报告期主要会计政策是否变更</w:t>
      </w:r>
    </w:p>
    <w:p>
      <w:pPr>
        <w:pStyle w:val="BodyText"/>
        <w:spacing w:line="240" w:lineRule="auto" w:before="115"/>
        <w:ind w:right="1123"/>
        <w:jc w:val="left"/>
      </w:pPr>
      <w:r>
        <w:rPr/>
        <w:t>□ 是 √</w:t>
      </w:r>
      <w:r>
        <w:rPr>
          <w:spacing w:val="3"/>
        </w:rPr>
        <w:t> </w:t>
      </w:r>
      <w:r>
        <w:rPr/>
        <w:t>否</w:t>
      </w:r>
    </w:p>
    <w:p>
      <w:pPr>
        <w:spacing w:line="240" w:lineRule="auto" w:before="12"/>
        <w:rPr>
          <w:rFonts w:ascii="宋体" w:hAnsi="宋体" w:cs="宋体" w:eastAsia="宋体" w:hint="default"/>
          <w:sz w:val="8"/>
          <w:szCs w:val="8"/>
        </w:rPr>
      </w:pPr>
    </w:p>
    <w:p>
      <w:pPr>
        <w:spacing w:line="408"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5.65pt;height:20.4pt;mso-position-horizontal-relative:char;mso-position-vertical-relative:line" type="#_x0000_t202" filled="false" stroked="true" strokeweight=".72pt" strokecolor="#000000">
            <w10:anchorlock/>
            <v:textbox inset="0,0,0,0">
              <w:txbxContent>
                <w:p>
                  <w:pPr>
                    <w:spacing w:line="265" w:lineRule="exact" w:before="0"/>
                    <w:ind w:left="449" w:right="0" w:firstLine="0"/>
                    <w:jc w:val="left"/>
                    <w:rPr>
                      <w:rFonts w:ascii="宋体" w:hAnsi="宋体" w:cs="宋体" w:eastAsia="宋体" w:hint="default"/>
                      <w:sz w:val="21"/>
                      <w:szCs w:val="21"/>
                    </w:rPr>
                  </w:pPr>
                  <w:r>
                    <w:rPr>
                      <w:rFonts w:ascii="宋体" w:hAnsi="宋体" w:cs="宋体" w:eastAsia="宋体" w:hint="default"/>
                      <w:sz w:val="21"/>
                      <w:szCs w:val="21"/>
                    </w:rPr>
                    <w:t>公司本期无会计政策、会计估计变更及会计差错更正。</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本报告期主要会计估计是否变更</w:t>
      </w:r>
    </w:p>
    <w:p>
      <w:pPr>
        <w:pStyle w:val="BodyText"/>
        <w:spacing w:line="240" w:lineRule="auto" w:before="117"/>
        <w:ind w:right="1123"/>
        <w:jc w:val="left"/>
      </w:pPr>
      <w:r>
        <w:rPr/>
        <w:t>□ 是 √</w:t>
      </w:r>
      <w:r>
        <w:rPr>
          <w:spacing w:val="3"/>
        </w:rPr>
        <w:t> </w:t>
      </w:r>
      <w:r>
        <w:rPr/>
        <w:t>否</w:t>
      </w:r>
    </w:p>
    <w:p>
      <w:pPr>
        <w:spacing w:line="240" w:lineRule="auto" w:before="12"/>
        <w:rPr>
          <w:rFonts w:ascii="宋体" w:hAnsi="宋体" w:cs="宋体" w:eastAsia="宋体" w:hint="default"/>
          <w:sz w:val="8"/>
          <w:szCs w:val="8"/>
        </w:rPr>
      </w:pPr>
    </w:p>
    <w:p>
      <w:pPr>
        <w:spacing w:line="405"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5.65pt;height:20.3pt;mso-position-horizontal-relative:char;mso-position-vertical-relative:line" type="#_x0000_t202" filled="false" stroked="true" strokeweight=".72pt" strokecolor="#000000">
            <w10:anchorlock/>
            <v:textbox inset="0,0,0,0">
              <w:txbxContent>
                <w:p>
                  <w:pPr>
                    <w:spacing w:line="265" w:lineRule="exact" w:before="0"/>
                    <w:ind w:left="449" w:right="0" w:firstLine="0"/>
                    <w:jc w:val="left"/>
                    <w:rPr>
                      <w:rFonts w:ascii="宋体" w:hAnsi="宋体" w:cs="宋体" w:eastAsia="宋体" w:hint="default"/>
                      <w:sz w:val="21"/>
                      <w:szCs w:val="21"/>
                    </w:rPr>
                  </w:pPr>
                  <w:r>
                    <w:rPr>
                      <w:rFonts w:ascii="宋体" w:hAnsi="宋体" w:cs="宋体" w:eastAsia="宋体" w:hint="default"/>
                      <w:sz w:val="21"/>
                      <w:szCs w:val="21"/>
                    </w:rPr>
                    <w:t>公司本期无会计政策、会计估计变更及会计差错更正。</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本报告期是否发现前期会计差错</w:t>
      </w:r>
    </w:p>
    <w:p>
      <w:pPr>
        <w:spacing w:after="0" w:line="240" w:lineRule="auto"/>
        <w:jc w:val="left"/>
        <w:sectPr>
          <w:pgSz w:w="11910" w:h="16840"/>
          <w:pgMar w:header="877" w:footer="1330" w:top="1060" w:bottom="1520" w:left="980" w:right="0"/>
        </w:sectPr>
      </w:pPr>
    </w:p>
    <w:p>
      <w:pPr>
        <w:spacing w:line="240" w:lineRule="auto" w:before="9"/>
        <w:rPr>
          <w:rFonts w:ascii="宋体" w:hAnsi="宋体" w:cs="宋体" w:eastAsia="宋体" w:hint="default"/>
          <w:sz w:val="25"/>
          <w:szCs w:val="25"/>
        </w:rPr>
      </w:pPr>
    </w:p>
    <w:p>
      <w:pPr>
        <w:pStyle w:val="BodyText"/>
        <w:spacing w:line="360" w:lineRule="auto"/>
        <w:ind w:right="9761"/>
        <w:jc w:val="left"/>
      </w:pPr>
      <w:r>
        <w:rPr/>
        <w:t>□ 是 √</w:t>
      </w:r>
      <w:r>
        <w:rPr>
          <w:spacing w:val="3"/>
        </w:rPr>
        <w:t> </w:t>
      </w:r>
      <w:r>
        <w:rPr/>
        <w:t>否</w:t>
      </w:r>
      <w:r>
        <w:rPr/>
        <w:t>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本报告期是否发现采用追溯重述法的前期会计差错</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本报告期是否发现采用未来适用法的前期会计差错</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3"/>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6"/>
        <w:gridCol w:w="3024"/>
        <w:gridCol w:w="3016"/>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1460"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3" w:right="1548"/>
              <w:jc w:val="left"/>
              <w:rPr>
                <w:rFonts w:ascii="宋体" w:hAnsi="宋体" w:cs="宋体" w:eastAsia="宋体" w:hint="default"/>
                <w:sz w:val="18"/>
                <w:szCs w:val="18"/>
              </w:rPr>
            </w:pPr>
            <w:r>
              <w:rPr>
                <w:rFonts w:ascii="宋体" w:hAnsi="宋体" w:cs="宋体" w:eastAsia="宋体" w:hint="default"/>
                <w:sz w:val="18"/>
                <w:szCs w:val="18"/>
              </w:rPr>
              <w:t>软件产品销售收入 系统集成收入 软件服务收入 定制软件收入</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46"/>
              <w:ind w:left="26"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1"/>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月开始</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月以前营业税</w:t>
            </w:r>
          </w:p>
          <w:p>
            <w:pPr>
              <w:pStyle w:val="TableParagraph"/>
              <w:spacing w:line="240" w:lineRule="auto" w:before="104"/>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月开始免税、</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月以前营业税</w:t>
            </w:r>
          </w:p>
        </w:tc>
      </w:tr>
      <w:tr>
        <w:trPr>
          <w:trHeight w:val="754"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3" w:right="1908"/>
              <w:jc w:val="left"/>
              <w:rPr>
                <w:rFonts w:ascii="宋体" w:hAnsi="宋体" w:cs="宋体" w:eastAsia="宋体" w:hint="default"/>
                <w:sz w:val="18"/>
                <w:szCs w:val="18"/>
              </w:rPr>
            </w:pPr>
            <w:r>
              <w:rPr>
                <w:rFonts w:ascii="宋体" w:hAnsi="宋体" w:cs="宋体" w:eastAsia="宋体" w:hint="default"/>
                <w:sz w:val="18"/>
                <w:szCs w:val="18"/>
              </w:rPr>
              <w:t>软件服务收入 定制软件收入</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月以前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月开始增值税</w:t>
            </w:r>
          </w:p>
          <w:p>
            <w:pPr>
              <w:pStyle w:val="TableParagraph"/>
              <w:spacing w:line="240" w:lineRule="auto" w:before="101"/>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月以前免税、</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月开始增值税</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23"/>
        <w:jc w:val="left"/>
      </w:pPr>
      <w:r>
        <w:rPr/>
        <w:t>各分公司、分厂执行的所得税税率</w:t>
      </w:r>
    </w:p>
    <w:p>
      <w:pPr>
        <w:pStyle w:val="Heading5"/>
        <w:spacing w:line="240" w:lineRule="auto" w:before="94"/>
        <w:ind w:right="1123"/>
        <w:jc w:val="left"/>
      </w:pPr>
      <w:r>
        <w:rPr/>
        <w:t>子公司珠海横琴新区集睿思信息技术有限公司所得税税率为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0" w:right="8822"/>
        <w:jc w:val="center"/>
        <w:rPr>
          <w:b w:val="0"/>
          <w:bCs w:val="0"/>
        </w:rPr>
      </w:pPr>
      <w:r>
        <w:rPr>
          <w:rFonts w:ascii="Times New Roman" w:hAnsi="Times New Roman" w:cs="Times New Roman" w:eastAsia="Times New Roman" w:hint="default"/>
        </w:rPr>
        <w:t>1</w:t>
      </w:r>
      <w:r>
        <w:rPr/>
        <w:t>、增值税</w:t>
      </w:r>
      <w:r>
        <w:rPr>
          <w:b w:val="0"/>
          <w:bCs w:val="0"/>
        </w:rPr>
      </w:r>
    </w:p>
    <w:p>
      <w:pPr>
        <w:pStyle w:val="Heading5"/>
        <w:spacing w:line="256" w:lineRule="auto" w:before="21"/>
        <w:ind w:left="224" w:right="1306" w:firstLine="420"/>
        <w:jc w:val="both"/>
      </w:pPr>
      <w:r>
        <w:rPr>
          <w:spacing w:val="-4"/>
        </w:rPr>
        <w:t>①根据财政部、国家税务总局下发财税</w:t>
      </w:r>
      <w:r>
        <w:rPr>
          <w:rFonts w:ascii="Times New Roman" w:hAnsi="Times New Roman" w:cs="Times New Roman" w:eastAsia="Times New Roman" w:hint="default"/>
          <w:spacing w:val="-4"/>
        </w:rPr>
        <w:t>[2011]100</w:t>
      </w:r>
      <w:r>
        <w:rPr>
          <w:spacing w:val="-4"/>
        </w:rPr>
        <w:t>号文《财政部、国家税务总局关于软件产品增值税</w:t>
      </w:r>
      <w:r>
        <w:rPr>
          <w:w w:val="100"/>
        </w:rPr>
        <w:t> </w:t>
      </w:r>
      <w:r>
        <w:rPr>
          <w:spacing w:val="-4"/>
        </w:rPr>
        <w:t>政策的通知》，公司自行开发研制软件产品销售按</w:t>
      </w:r>
      <w:r>
        <w:rPr>
          <w:rFonts w:ascii="Times New Roman" w:hAnsi="Times New Roman" w:cs="Times New Roman" w:eastAsia="Times New Roman" w:hint="default"/>
          <w:spacing w:val="-4"/>
        </w:rPr>
        <w:t>17%</w:t>
      </w:r>
      <w:r>
        <w:rPr>
          <w:spacing w:val="-4"/>
        </w:rPr>
        <w:t>的法定税率计缴增值税，实际税负超过</w:t>
      </w:r>
      <w:r>
        <w:rPr>
          <w:rFonts w:ascii="Times New Roman" w:hAnsi="Times New Roman" w:cs="Times New Roman" w:eastAsia="Times New Roman" w:hint="default"/>
          <w:spacing w:val="-4"/>
        </w:rPr>
        <w:t>3%</w:t>
      </w:r>
      <w:r>
        <w:rPr>
          <w:spacing w:val="-4"/>
        </w:rPr>
        <w:t>部分经</w:t>
      </w:r>
      <w:r>
        <w:rPr>
          <w:spacing w:val="-23"/>
        </w:rPr>
        <w:t> </w:t>
      </w:r>
      <w:r>
        <w:rPr>
          <w:spacing w:val="-23"/>
        </w:rPr>
      </w:r>
      <w:r>
        <w:rPr/>
        <w:t>主管国家税务局审核后实行即征即退政策。</w:t>
      </w:r>
    </w:p>
    <w:p>
      <w:pPr>
        <w:pStyle w:val="Heading5"/>
        <w:spacing w:line="240" w:lineRule="auto" w:before="22"/>
        <w:ind w:left="678" w:right="0"/>
        <w:jc w:val="left"/>
      </w:pPr>
      <w:r>
        <w:rPr/>
        <w:t>②根据《财政部国家税务总局关于在北京等</w:t>
      </w:r>
      <w:r>
        <w:rPr>
          <w:rFonts w:ascii="Times New Roman" w:hAnsi="Times New Roman" w:cs="Times New Roman" w:eastAsia="Times New Roman" w:hint="default"/>
        </w:rPr>
        <w:t>8</w:t>
      </w:r>
      <w:r>
        <w:rPr/>
        <w:t>省市开展交通运输业和部分现代服务业营业税改征增值</w:t>
      </w:r>
    </w:p>
    <w:p>
      <w:pPr>
        <w:spacing w:after="0" w:line="240" w:lineRule="auto"/>
        <w:jc w:val="left"/>
        <w:sectPr>
          <w:pgSz w:w="11910" w:h="16840"/>
          <w:pgMar w:header="877" w:footer="1330" w:top="1060" w:bottom="152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89425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98</w:t>
                    </w:r>
                  </w:p>
                </w:txbxContent>
              </v:textbox>
              <w10:wrap type="none"/>
            </v:shape>
            <w10:wrap type="none"/>
          </v:group>
        </w:pict>
      </w:r>
    </w:p>
    <w:p>
      <w:pPr>
        <w:pStyle w:val="Heading5"/>
        <w:spacing w:line="261" w:lineRule="auto" w:before="36"/>
        <w:ind w:right="1126"/>
        <w:jc w:val="both"/>
      </w:pPr>
      <w:r>
        <w:rPr>
          <w:spacing w:val="-1"/>
        </w:rPr>
        <w:t>税试点的通知》，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日起，公司的软件服务收入及软件定制收入按照</w:t>
      </w:r>
      <w:r>
        <w:rPr>
          <w:rFonts w:ascii="Times New Roman" w:hAnsi="Times New Roman" w:cs="Times New Roman" w:eastAsia="Times New Roman" w:hint="default"/>
          <w:spacing w:val="-1"/>
        </w:rPr>
        <w:t>6%</w:t>
      </w:r>
      <w:r>
        <w:rPr>
          <w:spacing w:val="-1"/>
        </w:rPr>
        <w:t>的税率计缴增值税。根</w:t>
      </w:r>
      <w:r>
        <w:rPr>
          <w:spacing w:val="-51"/>
        </w:rPr>
        <w:t> </w:t>
      </w:r>
      <w:r>
        <w:rPr>
          <w:spacing w:val="-51"/>
        </w:rPr>
      </w:r>
      <w:r>
        <w:rPr/>
        <w:t>据广东省国家税务局广东省地方税务局通告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3</w:t>
      </w:r>
      <w:r>
        <w:rPr/>
        <w:t>号《广东省关于营业税改征增值税试点税收征管衔</w:t>
      </w:r>
      <w:r>
        <w:rPr>
          <w:spacing w:val="-26"/>
        </w:rPr>
        <w:t> </w:t>
      </w:r>
      <w:r>
        <w:rPr>
          <w:spacing w:val="-26"/>
        </w:rPr>
      </w:r>
      <w:r>
        <w:rPr>
          <w:spacing w:val="-2"/>
        </w:rPr>
        <w:t>接工作有关问题的通告》，公司技术转让、技术开发、技术咨询、技术服务收入的定制软件收入，经广东</w:t>
      </w:r>
      <w:r>
        <w:rPr>
          <w:spacing w:val="-41"/>
        </w:rPr>
        <w:t> </w:t>
      </w:r>
      <w:r>
        <w:rPr>
          <w:spacing w:val="-41"/>
        </w:rPr>
      </w:r>
      <w:r>
        <w:rPr/>
        <w:t>省科学技术厅审核认定、珠海市地方税务局备案后免征增值税。</w:t>
      </w:r>
    </w:p>
    <w:p>
      <w:pPr>
        <w:pStyle w:val="Heading5"/>
        <w:spacing w:line="256" w:lineRule="auto" w:before="138"/>
        <w:ind w:left="573" w:right="1123" w:firstLine="2"/>
        <w:jc w:val="left"/>
      </w:pPr>
      <w:r>
        <w:rPr>
          <w:rFonts w:ascii="Times New Roman" w:hAnsi="Times New Roman" w:cs="Times New Roman" w:eastAsia="Times New Roman" w:hint="default"/>
          <w:b/>
          <w:bCs/>
        </w:rPr>
        <w:t>2</w:t>
      </w:r>
      <w:r>
        <w:rPr>
          <w:rFonts w:ascii="宋体" w:hAnsi="宋体" w:cs="宋体" w:eastAsia="宋体" w:hint="default"/>
          <w:b/>
          <w:bCs/>
        </w:rPr>
        <w:t>、营业税</w:t>
      </w:r>
      <w:r>
        <w:rPr>
          <w:rFonts w:ascii="宋体" w:hAnsi="宋体" w:cs="宋体" w:eastAsia="宋体" w:hint="default"/>
          <w:b/>
          <w:bCs/>
          <w:w w:val="100"/>
        </w:rPr>
        <w:t> </w:t>
      </w:r>
      <w:r>
        <w:rPr>
          <w:spacing w:val="-3"/>
        </w:rPr>
        <w:t>根据财政部、国家税务总局下发的财税字</w:t>
      </w:r>
      <w:r>
        <w:rPr>
          <w:rFonts w:ascii="Times New Roman" w:hAnsi="Times New Roman" w:cs="Times New Roman" w:eastAsia="Times New Roman" w:hint="default"/>
          <w:spacing w:val="-3"/>
        </w:rPr>
        <w:t>[1999]273</w:t>
      </w:r>
      <w:r>
        <w:rPr>
          <w:spacing w:val="-3"/>
        </w:rPr>
        <w:t>号文《关于贯彻落实〈中共中央、国务院关于加强</w:t>
      </w:r>
    </w:p>
    <w:p>
      <w:pPr>
        <w:pStyle w:val="Heading5"/>
        <w:spacing w:line="256" w:lineRule="auto" w:before="5"/>
        <w:ind w:right="0"/>
        <w:jc w:val="left"/>
      </w:pPr>
      <w:r>
        <w:rPr>
          <w:spacing w:val="-7"/>
        </w:rPr>
        <w:t>技术创新，发展高科技，实现产业化的决定〉有关税收问题的通知》、国家税务总局下发的国税函</w:t>
      </w:r>
      <w:r>
        <w:rPr>
          <w:rFonts w:ascii="Times New Roman" w:hAnsi="Times New Roman" w:cs="Times New Roman" w:eastAsia="Times New Roman" w:hint="default"/>
          <w:spacing w:val="-7"/>
        </w:rPr>
        <w:t>[2004]825</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号《国家税务总局关于取消</w:t>
      </w:r>
      <w:r>
        <w:rPr>
          <w:rFonts w:ascii="Times New Roman" w:hAnsi="Times New Roman" w:cs="Times New Roman" w:eastAsia="Times New Roman" w:hint="default"/>
        </w:rPr>
        <w:t>“</w:t>
      </w:r>
      <w:r>
        <w:rPr/>
        <w:t>单位和个人从事技术转让、技术开发业务免征营业税审批</w:t>
      </w:r>
      <w:r>
        <w:rPr>
          <w:rFonts w:ascii="Times New Roman" w:hAnsi="Times New Roman" w:cs="Times New Roman" w:eastAsia="Times New Roman" w:hint="default"/>
        </w:rPr>
        <w:t>”</w:t>
      </w:r>
      <w:r>
        <w:rPr/>
        <w:t>后有关税收管理问</w:t>
      </w:r>
      <w:r>
        <w:rPr>
          <w:w w:val="100"/>
        </w:rPr>
        <w:t> </w:t>
      </w:r>
      <w:r>
        <w:rPr/>
        <w:t>题的通知》</w:t>
      </w:r>
      <w:r>
        <w:rPr>
          <w:rFonts w:ascii="Times New Roman" w:hAnsi="Times New Roman" w:cs="Times New Roman" w:eastAsia="Times New Roman" w:hint="default"/>
        </w:rPr>
        <w:t>,</w:t>
      </w:r>
      <w:r>
        <w:rPr/>
        <w:t>公司收入中属于 </w:t>
      </w:r>
      <w:r>
        <w:rPr>
          <w:rFonts w:ascii="Times New Roman" w:hAnsi="Times New Roman" w:cs="Times New Roman" w:eastAsia="Times New Roman" w:hint="default"/>
          <w:spacing w:val="-3"/>
        </w:rPr>
        <w:t>“</w:t>
      </w:r>
      <w:r>
        <w:rPr>
          <w:spacing w:val="-3"/>
        </w:rPr>
        <w:t>四技</w:t>
      </w:r>
      <w:r>
        <w:rPr>
          <w:rFonts w:ascii="Times New Roman" w:hAnsi="Times New Roman" w:cs="Times New Roman" w:eastAsia="Times New Roman" w:hint="default"/>
          <w:spacing w:val="-3"/>
        </w:rPr>
        <w:t>”</w:t>
      </w:r>
      <w:r>
        <w:rPr>
          <w:spacing w:val="-3"/>
        </w:rPr>
        <w:t>（技术转让、技术开发、技术咨询、技术服务）收入的定制软件收入，</w:t>
      </w:r>
      <w:r>
        <w:rPr>
          <w:spacing w:val="-66"/>
        </w:rPr>
        <w:t> </w:t>
      </w:r>
      <w:r>
        <w:rPr>
          <w:spacing w:val="-66"/>
        </w:rPr>
      </w:r>
      <w:r>
        <w:rPr/>
        <w:t>经广东省科学技术厅审核认定、珠海市地方税务局备案后免征营业税。</w:t>
      </w:r>
    </w:p>
    <w:p>
      <w:pPr>
        <w:pStyle w:val="Heading5"/>
        <w:spacing w:line="256" w:lineRule="auto" w:before="22"/>
        <w:ind w:right="0" w:firstLine="420"/>
        <w:jc w:val="left"/>
      </w:pPr>
      <w:r>
        <w:rPr>
          <w:spacing w:val="-6"/>
        </w:rPr>
        <w:t>根据《营业税暂行条例》及相关规定，本公司按照属营业税征缴范围的软件服务收入的</w:t>
      </w:r>
      <w:r>
        <w:rPr>
          <w:rFonts w:ascii="Times New Roman" w:hAnsi="Times New Roman" w:cs="Times New Roman" w:eastAsia="Times New Roman" w:hint="default"/>
          <w:spacing w:val="-6"/>
        </w:rPr>
        <w:t>5%</w:t>
      </w:r>
      <w:r>
        <w:rPr>
          <w:spacing w:val="-6"/>
        </w:rPr>
        <w:t>计缴营业税。</w:t>
      </w:r>
      <w:r>
        <w:rPr>
          <w:w w:val="100"/>
        </w:rPr>
        <w:t> </w:t>
      </w: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省市开展交通运输业和部分现代服务业营业税改征增值税试点</w:t>
      </w:r>
      <w:r>
        <w:rPr>
          <w:spacing w:val="-23"/>
        </w:rPr>
        <w:t> </w:t>
      </w:r>
      <w:r>
        <w:rPr>
          <w:spacing w:val="-23"/>
        </w:rPr>
      </w:r>
      <w:r>
        <w:rPr/>
        <w:t>的通知》，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日起，公司的软件服务收入及软件定制收入不再征收营业税。</w:t>
      </w:r>
    </w:p>
    <w:p>
      <w:pPr>
        <w:spacing w:line="240" w:lineRule="auto" w:before="3"/>
        <w:rPr>
          <w:rFonts w:ascii="宋体" w:hAnsi="宋体" w:cs="宋体" w:eastAsia="宋体" w:hint="default"/>
          <w:sz w:val="24"/>
          <w:szCs w:val="24"/>
        </w:rPr>
      </w:pPr>
    </w:p>
    <w:p>
      <w:pPr>
        <w:pStyle w:val="Heading5"/>
        <w:spacing w:line="240" w:lineRule="auto"/>
        <w:ind w:left="489" w:right="1123"/>
        <w:jc w:val="left"/>
      </w:pPr>
      <w:r>
        <w:rPr>
          <w:rFonts w:ascii="Times New Roman" w:hAnsi="Times New Roman" w:cs="Times New Roman" w:eastAsia="Times New Roman" w:hint="default"/>
        </w:rPr>
        <w:t>3</w:t>
      </w:r>
      <w:r>
        <w:rPr/>
        <w:t>、企业所得税</w:t>
      </w:r>
    </w:p>
    <w:p>
      <w:pPr>
        <w:pStyle w:val="Heading5"/>
        <w:spacing w:line="256" w:lineRule="auto" w:before="21"/>
        <w:ind w:right="1128" w:firstLine="336"/>
        <w:jc w:val="both"/>
      </w:pPr>
      <w:r>
        <w:rPr/>
        <w:t>截止</w:t>
      </w:r>
      <w:r>
        <w:rPr>
          <w:rFonts w:ascii="Times New Roman" w:hAnsi="Times New Roman" w:cs="Times New Roman" w:eastAsia="Times New Roman" w:hint="default"/>
        </w:rPr>
        <w:t>2012</w:t>
      </w:r>
      <w:r>
        <w:rPr/>
        <w:t>年度，本公司已连续十年被国家发展和改革委员会、工业和信息部、财政部、商务部、国家</w:t>
      </w:r>
      <w:r>
        <w:rPr>
          <w:w w:val="100"/>
        </w:rPr>
        <w:t> </w:t>
      </w:r>
      <w:r>
        <w:rPr>
          <w:spacing w:val="-1"/>
        </w:rPr>
        <w:t>税务总局联合审核认定为国家规划布局内重点软件企业，按</w:t>
      </w:r>
      <w:r>
        <w:rPr>
          <w:rFonts w:ascii="Times New Roman" w:hAnsi="Times New Roman" w:cs="Times New Roman" w:eastAsia="Times New Roman" w:hint="default"/>
          <w:spacing w:val="-1"/>
        </w:rPr>
        <w:t>10%</w:t>
      </w:r>
      <w:r>
        <w:rPr>
          <w:spacing w:val="-1"/>
        </w:rPr>
        <w:t>的税率计缴企业所得税。国家规划布局内</w:t>
      </w:r>
      <w:r>
        <w:rPr>
          <w:spacing w:val="-51"/>
        </w:rPr>
        <w:t> </w:t>
      </w:r>
      <w:r>
        <w:rPr>
          <w:spacing w:val="-51"/>
        </w:rPr>
      </w:r>
      <w:r>
        <w:rPr/>
        <w:t>重点软件企业批文：发改高技</w:t>
      </w:r>
      <w:r>
        <w:rPr>
          <w:rFonts w:ascii="Times New Roman" w:hAnsi="Times New Roman" w:cs="Times New Roman" w:eastAsia="Times New Roman" w:hint="default"/>
        </w:rPr>
        <w:t>[2013]234</w:t>
      </w:r>
      <w:r>
        <w:rPr/>
        <w:t>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spacing w:line="487" w:lineRule="auto" w:before="0"/>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BodyText"/>
        <w:spacing w:line="240" w:lineRule="auto" w:before="105"/>
        <w:ind w:right="0"/>
        <w:jc w:val="left"/>
      </w:pPr>
      <w:r>
        <w:rPr/>
        <w:t>珠海横琴新区集睿思信息技术有限公司：注册资本</w:t>
      </w:r>
      <w:r>
        <w:rPr>
          <w:rFonts w:ascii="Times New Roman" w:hAnsi="Times New Roman" w:cs="Times New Roman" w:eastAsia="Times New Roman" w:hint="default"/>
        </w:rPr>
        <w:t>660</w:t>
      </w:r>
      <w:r>
        <w:rPr/>
        <w:t>万，经营范围：软件开发、销售；其他软件服务及其相关技术咨询。</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379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w:t>
            </w:r>
          </w:p>
        </w:tc>
      </w:tr>
    </w:tbl>
    <w:p>
      <w:pPr>
        <w:spacing w:after="0" w:line="316" w:lineRule="auto"/>
        <w:jc w:val="both"/>
        <w:rPr>
          <w:rFonts w:ascii="宋体" w:hAnsi="宋体" w:cs="宋体" w:eastAsia="宋体" w:hint="default"/>
          <w:sz w:val="18"/>
          <w:szCs w:val="18"/>
        </w:rPr>
        <w:sectPr>
          <w:headerReference w:type="default" r:id="rId44"/>
          <w:footerReference w:type="default" r:id="rId4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91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年初所 有者权 益中所 享有份 额后的 余额</w:t>
            </w:r>
          </w:p>
        </w:tc>
      </w:tr>
      <w:tr>
        <w:trPr>
          <w:trHeight w:val="2590" w:hRule="exact"/>
        </w:trPr>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08"/>
              <w:jc w:val="both"/>
              <w:rPr>
                <w:rFonts w:ascii="宋体" w:hAnsi="宋体" w:cs="宋体" w:eastAsia="宋体" w:hint="default"/>
                <w:sz w:val="18"/>
                <w:szCs w:val="18"/>
              </w:rPr>
            </w:pPr>
            <w:r>
              <w:rPr>
                <w:rFonts w:ascii="宋体" w:hAnsi="宋体" w:cs="宋体" w:eastAsia="宋体" w:hint="default"/>
                <w:sz w:val="18"/>
                <w:szCs w:val="18"/>
              </w:rPr>
              <w:t>珠海横 琴新区 集睿思 信息技 术有限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106"/>
              <w:jc w:val="both"/>
              <w:rPr>
                <w:rFonts w:ascii="宋体" w:hAnsi="宋体" w:cs="宋体" w:eastAsia="宋体" w:hint="default"/>
                <w:sz w:val="18"/>
                <w:szCs w:val="18"/>
              </w:rPr>
            </w:pPr>
            <w:r>
              <w:rPr>
                <w:rFonts w:ascii="宋体" w:hAnsi="宋体" w:cs="宋体" w:eastAsia="宋体" w:hint="default"/>
                <w:sz w:val="18"/>
                <w:szCs w:val="18"/>
              </w:rPr>
              <w:t>软件开 发、销 售</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7"/>
              <w:jc w:val="both"/>
              <w:rPr>
                <w:rFonts w:ascii="宋体" w:hAnsi="宋体" w:cs="宋体" w:eastAsia="宋体" w:hint="default"/>
                <w:sz w:val="18"/>
                <w:szCs w:val="18"/>
              </w:rPr>
            </w:pPr>
            <w:r>
              <w:rPr>
                <w:rFonts w:ascii="宋体" w:hAnsi="宋体" w:cs="宋体" w:eastAsia="宋体" w:hint="default"/>
                <w:sz w:val="18"/>
                <w:szCs w:val="18"/>
              </w:rPr>
              <w:t>软件开 发、销 售；其 他软件 服务及 其相关 技术咨 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3"/>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7"/>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7"/>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49"/>
        <w:ind w:right="1123"/>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38.811718pt;width:135pt;height:77pt;mso-position-horizontal-relative:page;mso-position-vertical-relative:paragraph;z-index:-894208" coordorigin="9206,776" coordsize="2700,1540">
            <v:shape style="position:absolute;left:9206;top:776;width:2700;height:1540" type="#_x0000_t75" stroked="false">
              <v:imagedata r:id="rId15" o:title=""/>
            </v:shape>
            <v:shape style="position:absolute;left:10593;top:113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10:wrap type="none"/>
          </v:group>
        </w:pict>
      </w: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675"/>
        <w:gridCol w:w="683"/>
        <w:gridCol w:w="683"/>
        <w:gridCol w:w="683"/>
        <w:gridCol w:w="684"/>
        <w:gridCol w:w="682"/>
        <w:gridCol w:w="684"/>
        <w:gridCol w:w="683"/>
        <w:gridCol w:w="683"/>
        <w:gridCol w:w="683"/>
        <w:gridCol w:w="682"/>
        <w:gridCol w:w="685"/>
        <w:gridCol w:w="682"/>
        <w:gridCol w:w="673"/>
      </w:tblGrid>
      <w:tr>
        <w:trPr>
          <w:trHeight w:val="394"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业务性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6"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6" w:right="0"/>
              <w:jc w:val="left"/>
              <w:rPr>
                <w:rFonts w:ascii="宋体" w:hAnsi="宋体" w:cs="宋体" w:eastAsia="宋体" w:hint="default"/>
                <w:sz w:val="18"/>
                <w:szCs w:val="18"/>
              </w:rPr>
            </w:pPr>
            <w:r>
              <w:rPr>
                <w:rFonts w:ascii="宋体" w:hAnsi="宋体" w:cs="宋体" w:eastAsia="宋体" w:hint="default"/>
                <w:sz w:val="18"/>
                <w:szCs w:val="18"/>
              </w:rPr>
              <w:t>期末实</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6"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是否合</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从母公</w:t>
            </w:r>
          </w:p>
        </w:tc>
      </w:tr>
    </w:tbl>
    <w:p>
      <w:pPr>
        <w:spacing w:after="0" w:line="240" w:lineRule="auto"/>
        <w:jc w:val="left"/>
        <w:rPr>
          <w:rFonts w:ascii="宋体" w:hAnsi="宋体" w:cs="宋体" w:eastAsia="宋体" w:hint="default"/>
          <w:sz w:val="18"/>
          <w:szCs w:val="18"/>
        </w:rPr>
        <w:sectPr>
          <w:headerReference w:type="default" r:id="rId46"/>
          <w:footerReference w:type="default" r:id="rId4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35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7" w:right="65" w:hanging="180"/>
              <w:jc w:val="left"/>
              <w:rPr>
                <w:rFonts w:ascii="宋体" w:hAnsi="宋体" w:cs="宋体" w:eastAsia="宋体" w:hint="default"/>
                <w:sz w:val="18"/>
                <w:szCs w:val="18"/>
              </w:rPr>
            </w:pPr>
            <w:r>
              <w:rPr>
                <w:rFonts w:ascii="宋体" w:hAnsi="宋体" w:cs="宋体" w:eastAsia="宋体" w:hint="default"/>
                <w:sz w:val="18"/>
                <w:szCs w:val="18"/>
              </w:rPr>
              <w:t>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201"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司所有 者权益 冲减子 公司少 数股东 分担的 本期亏 损超过 少数股 东在该 子公司 年初所 有者权 益中所 享有份 额后的 余额</w:t>
            </w:r>
          </w:p>
        </w:tc>
      </w:tr>
    </w:tbl>
    <w:p>
      <w:pPr>
        <w:pStyle w:val="BodyText"/>
        <w:spacing w:line="240" w:lineRule="auto" w:before="49"/>
        <w:ind w:right="1123"/>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1123"/>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合并报表范围发生变更说明</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4"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1123"/>
        <w:jc w:val="left"/>
      </w:pPr>
      <w:r>
        <w:rPr/>
        <w:t>新纳入合并范围的主体和不再纳入合并范围的主体的其他说明</w:t>
      </w:r>
    </w:p>
    <w:p>
      <w:pPr>
        <w:spacing w:after="0" w:line="240" w:lineRule="auto"/>
        <w:jc w:val="left"/>
        <w:sectPr>
          <w:footerReference w:type="default" r:id="rId48"/>
          <w:pgSz w:w="11910" w:h="16840"/>
          <w:pgMar w:footer="1340" w:header="877" w:top="1060" w:bottom="1540" w:left="980" w:right="0"/>
          <w:pgNumType w:start="10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357" w:lineRule="auto" w:before="49"/>
        <w:ind w:right="8234"/>
        <w:jc w:val="left"/>
      </w:pPr>
      <w:r>
        <w:rPr/>
        <w:t>同一控制下企业合并的其他说明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1123"/>
        <w:jc w:val="left"/>
      </w:pPr>
      <w:r>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1123"/>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1123"/>
        <w:jc w:val="left"/>
      </w:pPr>
      <w:r>
        <w:rPr/>
        <w:t>反向购买的其他说明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吸收合并的其他说明</w:t>
      </w:r>
    </w:p>
    <w:p>
      <w:pPr>
        <w:spacing w:line="240" w:lineRule="auto" w:before="0"/>
        <w:rPr>
          <w:rFonts w:ascii="宋体" w:hAnsi="宋体" w:cs="宋体" w:eastAsia="宋体" w:hint="default"/>
          <w:sz w:val="18"/>
          <w:szCs w:val="18"/>
        </w:rPr>
      </w:pPr>
    </w:p>
    <w:p>
      <w:pPr>
        <w:spacing w:line="487" w:lineRule="auto" w:before="121"/>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719"/>
        <w:gridCol w:w="3841"/>
      </w:tblGrid>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88"/>
        <w:gridCol w:w="1315"/>
        <w:gridCol w:w="931"/>
        <w:gridCol w:w="1485"/>
        <w:gridCol w:w="1304"/>
        <w:gridCol w:w="931"/>
        <w:gridCol w:w="1606"/>
      </w:tblGrid>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94,150.50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68,890.87</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94,150.50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68,890.87</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839,652,988.85</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574,825,027.25</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839,652,988.85</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574,825,027.25</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718,305.40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2,424,426.90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718,305.40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2,424,426.90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840,465,444.75</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577,318,345.02</w:t>
            </w:r>
          </w:p>
        </w:tc>
      </w:tr>
    </w:tbl>
    <w:p>
      <w:pPr>
        <w:pStyle w:val="BodyText"/>
        <w:spacing w:line="240" w:lineRule="auto" w:before="49"/>
        <w:ind w:right="1123"/>
        <w:jc w:val="left"/>
      </w:pPr>
      <w:r>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715"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49,423,550.00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110,621,699.92</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49,423,550.00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110,621,699.92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397"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9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16,411,547.38</w:t>
            </w:r>
          </w:p>
        </w:tc>
      </w:tr>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16,411,547.38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56" w:lineRule="auto" w:before="36"/>
        <w:ind w:right="1123"/>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1123"/>
        <w:jc w:val="left"/>
      </w:pPr>
      <w:r>
        <w:rPr/>
        <w:t>因出票人无力履约而将票据转为应收账款的票据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headerReference w:type="default" r:id="rId49"/>
          <w:footerReference w:type="default" r:id="rId50"/>
          <w:pgSz w:w="11910" w:h="16840"/>
          <w:pgMar w:header="877" w:footer="0" w:top="1060" w:bottom="0" w:left="980" w:right="0"/>
        </w:sectPr>
      </w:pPr>
    </w:p>
    <w:p>
      <w:pPr>
        <w:spacing w:line="331"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2"/>
          <w:sz w:val="21"/>
          <w:szCs w:val="21"/>
        </w:rPr>
        <w:t>期末公司无因出票人无力履约而将票据转为应收账款的票据。</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18"/>
          <w:szCs w:val="18"/>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5830" w:space="299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21" w:lineRule="auto" w:before="49"/>
        <w:ind w:left="152" w:right="4507"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日止，公司无已经背书给他方但尚未到期的票据</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18"/>
          <w:szCs w:val="18"/>
        </w:rPr>
        <w:t>已贴现或质押的商业承兑票据的说明</w:t>
      </w:r>
    </w:p>
    <w:p>
      <w:pPr>
        <w:spacing w:line="240" w:lineRule="auto" w:before="4"/>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1351"/>
        <w:gridCol w:w="1339"/>
        <w:gridCol w:w="1433"/>
        <w:gridCol w:w="1351"/>
        <w:gridCol w:w="1327"/>
        <w:gridCol w:w="1327"/>
      </w:tblGrid>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92" w:right="23"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7" w:type="dxa"/>
            <w:vMerge/>
            <w:tcBorders>
              <w:left w:val="single" w:sz="4" w:space="0" w:color="000000"/>
              <w:right w:val="single" w:sz="4" w:space="0" w:color="000000"/>
            </w:tcBorders>
            <w:shd w:val="clear" w:color="auto" w:fill="D2D2D2"/>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40"/>
        <w:gridCol w:w="1871"/>
        <w:gridCol w:w="1863"/>
        <w:gridCol w:w="1860"/>
        <w:gridCol w:w="2127"/>
      </w:tblGrid>
      <w:tr>
        <w:trPr>
          <w:trHeight w:val="403"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35.811718pt;width:135pt;height:77pt;mso-position-horizontal-relative:page;mso-position-vertical-relative:paragraph;z-index:-894160" coordorigin="9206,716" coordsize="2700,1540">
            <v:shape style="position:absolute;left:9206;top:716;width:2700;height:1540" type="#_x0000_t75" stroked="false">
              <v:imagedata r:id="rId15" o:title=""/>
            </v:shape>
            <v:shape style="position:absolute;left:10502;top:107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103</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3"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9"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188,882,11</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0.26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21,391,856.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11.33%</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173,680,0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54.14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21,476,397.5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12.37%</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188,882,11</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0.26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21,391,856.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173,680,0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54.14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21,476,397.5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12.37%</w:t>
            </w: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188,882,11</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0.26</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21,391,856.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173,680,0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54.14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21,476,397.5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974"/>
        <w:jc w:val="left"/>
      </w:pPr>
      <w:r>
        <w:rPr/>
        <w:t>应收账款种类的说明 应收账款为销售商品提供劳务产生的应收款项。</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51"/>
          <w:footerReference w:type="default" r:id="rId52"/>
          <w:pgSz w:w="11910" w:h="16840"/>
          <w:pgMar w:header="877" w:footer="0" w:top="1060" w:bottom="0" w:left="980" w:right="0"/>
        </w:sectPr>
      </w:pPr>
    </w:p>
    <w:p>
      <w:pPr>
        <w:pStyle w:val="BodyText"/>
        <w:spacing w:line="240" w:lineRule="auto"/>
        <w:ind w:right="-20"/>
        <w:jc w:val="left"/>
      </w:pPr>
      <w:r>
        <w:rPr/>
        <w:t>期末单项金额重大并单项计提坏账准备的应收账款</w:t>
      </w:r>
    </w:p>
    <w:p>
      <w:pPr>
        <w:pStyle w:val="BodyText"/>
        <w:spacing w:line="357" w:lineRule="auto" w:before="117"/>
        <w:ind w:right="160"/>
        <w:jc w:val="left"/>
      </w:pPr>
      <w:r>
        <w:rPr/>
        <w:t>□ 适用 √</w:t>
      </w:r>
      <w:r>
        <w:rPr>
          <w:spacing w:val="3"/>
        </w:rPr>
        <w:t> </w:t>
      </w:r>
      <w:r>
        <w:rPr/>
        <w:t>不适用</w:t>
      </w:r>
      <w:r>
        <w:rPr/>
        <w:t> 组合中，按账龄分析法计提坏账准备的应收账款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3"/>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89411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104</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158,697,913.85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7,934,895.69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139,633,345.69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6,981,667.28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158,697,913.85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7,934,895.69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139,633,345.69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6,981,667.28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10,706,984.36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1,070,698.44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16,710,276.67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9.62%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1,671,027.67</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8,863,687.02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4.69%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1,772,737.40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5,640,911.50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3.25%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1,128,182.30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10,613,525.03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10,613,525.03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11,695,520.28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11,695,520.28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188,882,110.26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21,391,856.56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173,680,054.14</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21,476,397.53</w:t>
            </w:r>
          </w:p>
        </w:tc>
      </w:tr>
    </w:tbl>
    <w:p>
      <w:pPr>
        <w:pStyle w:val="BodyText"/>
        <w:spacing w:line="240" w:lineRule="auto" w:before="49"/>
        <w:ind w:right="1123"/>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57" w:lineRule="auto" w:before="27"/>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75"/>
        <w:gridCol w:w="1907"/>
        <w:gridCol w:w="1871"/>
      </w:tblGrid>
      <w:tr>
        <w:trPr>
          <w:trHeight w:val="162" w:hRule="exact"/>
        </w:trPr>
        <w:tc>
          <w:tcPr>
            <w:tcW w:w="2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2"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7" w:type="dxa"/>
            <w:vMerge/>
            <w:tcBorders>
              <w:left w:val="single" w:sz="4" w:space="0" w:color="000000"/>
              <w:bottom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7"/>
        <w:gridCol w:w="1928"/>
        <w:gridCol w:w="1902"/>
        <w:gridCol w:w="1914"/>
      </w:tblGrid>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4"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2" w:space="0" w:color="D2D2D2"/>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4634"/>
        <w:jc w:val="left"/>
      </w:pPr>
      <w:r>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606"/>
        <w:gridCol w:w="1571"/>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1"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71" w:type="dxa"/>
            <w:vMerge/>
            <w:tcBorders>
              <w:left w:val="single" w:sz="4" w:space="0" w:color="000000"/>
              <w:right w:val="single" w:sz="4" w:space="0" w:color="000000"/>
            </w:tcBorders>
            <w:shd w:val="clear" w:color="auto" w:fill="D2D2D2"/>
          </w:tcPr>
          <w:p>
            <w:pPr/>
          </w:p>
        </w:tc>
      </w:tr>
      <w:tr>
        <w:trPr>
          <w:trHeight w:val="1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314"/>
        <w:jc w:val="left"/>
      </w:pPr>
      <w:r>
        <w:rPr/>
        <w:t>应收账款核销说明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footerReference w:type="default" r:id="rId53"/>
          <w:pgSz w:w="11910" w:h="16840"/>
          <w:pgMar w:footer="1340" w:header="877" w:top="1060" w:bottom="1540" w:left="980" w:right="0"/>
          <w:pgNumType w:start="105"/>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6"/>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2,996,400.00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449,820.00</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国电电力发展股份有限公司及其 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13,542,061.40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677,103.07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14,140,461.40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709,160.57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3,001,500.00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450,075.00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31,905,342.65</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16.89%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7,482,150.00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3,936,140.00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3,638,847.55</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3,108,680.00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50,071,160.20</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2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国电电力发展股份有限公司 及其子公司</w:t>
            </w:r>
          </w:p>
        </w:tc>
        <w:tc>
          <w:tcPr>
            <w:tcW w:w="2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13,542,061.40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14,140,461.40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3004"/>
        <w:gridCol w:w="3589"/>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3"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3846;top:17;width:2;height:392" coordorigin="3846,17" coordsize="2,392">
              <v:shape style="position:absolute;left:3846;top:17;width:2;height:392" coordorigin="3846,17" coordsize="0,392" path="m3846,17l3846,408e" filled="false" stroked="true" strokeweight="1.2pt" strokecolor="#d2d2d2">
                <v:path arrowok="t"/>
              </v:shape>
            </v:group>
            <v:group style="position:absolute;left:34;top:17;width:3801;height:392" coordorigin="34,17" coordsize="3801,392">
              <v:shape style="position:absolute;left:34;top:17;width:3801;height:392" coordorigin="34,17" coordsize="3801,392" path="m34,408l3834,408,3834,17,34,17,34,408xe" filled="true" fillcolor="#d2d2d2" stroked="false">
                <v:path arrowok="t"/>
                <v:fill type="solid"/>
              </v:shape>
            </v:group>
            <v:group style="position:absolute;left:3879;top:17;width:2;height:392" coordorigin="3879,17" coordsize="2,392">
              <v:shape style="position:absolute;left:3879;top:17;width:2;height:392" coordorigin="3879,17" coordsize="0,392" path="m3879,17l3879,408e" filled="false" stroked="true" strokeweight="1.2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3891;top:17;width:5656;height:392" coordorigin="3891,17" coordsize="5656,392">
              <v:shape style="position:absolute;left:3891;top:17;width:5656;height:392" coordorigin="3891,17" coordsize="5656,392" path="m3891,408l9547,408,9547,17,3891,17,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21;width:2;height:392" coordorigin="23,821" coordsize="2,392">
              <v:shape style="position:absolute;left:23;top:821;width:2;height:392" coordorigin="23,821" coordsize="0,392" path="m23,821l23,1212e" filled="false" stroked="true" strokeweight="1.08pt" strokecolor="#d2d2d2">
                <v:path arrowok="t"/>
              </v:shape>
            </v:group>
            <v:group style="position:absolute;left:9559;top:821;width:2;height:392" coordorigin="9559,821" coordsize="2,392">
              <v:shape style="position:absolute;left:9559;top:821;width:2;height:392" coordorigin="9559,821" coordsize="0,392" path="m9559,821l9559,1212e" filled="false" stroked="true" strokeweight="1.2pt" strokecolor="#d2d2d2">
                <v:path arrowok="t"/>
              </v:shape>
            </v:group>
            <v:group style="position:absolute;left:34;top:821;width:9514;height:392" coordorigin="34,821" coordsize="9514,392">
              <v:shape style="position:absolute;left:34;top:821;width:9514;height:392" coordorigin="34,821" coordsize="9514,392" path="m34,1212l9547,1212,9547,821,34,821,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8,827,180.47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2,276,354.22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6,532,294.07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1,226,380.58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18.77%</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8,827,180.47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2,276,354.22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6,532,294.07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1,226,380.58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18.77%</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8,827,180.47</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2,276,354.22</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6,532,294.07</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1,226,380.58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60" w:lineRule="auto" w:before="49"/>
        <w:ind w:right="-20"/>
        <w:jc w:val="left"/>
      </w:pPr>
      <w:r>
        <w:rPr/>
        <w:t>其他应收款种类的说明 其他应收款为履约保证金及备用金。 期末单项金额重大并单项计提坏账准备的其他应收款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4"/>
        <w:gridCol w:w="1859"/>
        <w:gridCol w:w="652"/>
        <w:gridCol w:w="1453"/>
        <w:gridCol w:w="1450"/>
        <w:gridCol w:w="646"/>
        <w:gridCol w:w="1662"/>
      </w:tblGrid>
      <w:tr>
        <w:trPr>
          <w:trHeight w:val="401" w:hRule="exact"/>
        </w:trPr>
        <w:tc>
          <w:tcPr>
            <w:tcW w:w="1824" w:type="dxa"/>
            <w:vMerge w:val="restart"/>
            <w:tcBorders>
              <w:top w:val="single" w:sz="4" w:space="0" w:color="000000"/>
              <w:left w:val="single" w:sz="4" w:space="0" w:color="000000"/>
              <w:right w:val="single" w:sz="4" w:space="0" w:color="000000"/>
            </w:tcBorders>
            <w:shd w:val="clear" w:color="auto" w:fill="D2D2D2"/>
          </w:tcPr>
          <w:p>
            <w:pPr/>
          </w:p>
        </w:tc>
        <w:tc>
          <w:tcPr>
            <w:tcW w:w="39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4" w:type="dxa"/>
            <w:vMerge/>
            <w:tcBorders>
              <w:left w:val="single" w:sz="4" w:space="0" w:color="000000"/>
              <w:bottom w:val="nil" w:sz="6" w:space="0" w:color="auto"/>
              <w:right w:val="single" w:sz="4" w:space="0" w:color="000000"/>
            </w:tcBorders>
            <w:shd w:val="clear" w:color="auto" w:fill="D2D2D2"/>
          </w:tcPr>
          <w:p>
            <w:pPr/>
          </w:p>
        </w:tc>
        <w:tc>
          <w:tcPr>
            <w:tcW w:w="25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12"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24" w:type="dxa"/>
            <w:vMerge/>
            <w:tcBorders>
              <w:left w:val="single" w:sz="4" w:space="0" w:color="000000"/>
              <w:bottom w:val="single" w:sz="4" w:space="0" w:color="FFFFFF"/>
              <w:right w:val="single" w:sz="4" w:space="0" w:color="000000"/>
            </w:tcBorders>
            <w:shd w:val="clear" w:color="auto" w:fill="D2D2D2"/>
          </w:tcPr>
          <w:p>
            <w:pPr/>
          </w:p>
        </w:tc>
        <w:tc>
          <w:tcPr>
            <w:tcW w:w="185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824" w:type="dxa"/>
            <w:vMerge w:val="restart"/>
            <w:tcBorders>
              <w:top w:val="single" w:sz="4" w:space="0" w:color="FFFFFF"/>
              <w:left w:val="single" w:sz="4" w:space="0" w:color="000000"/>
              <w:right w:val="single" w:sz="4" w:space="0" w:color="000000"/>
            </w:tcBorders>
            <w:shd w:val="clear" w:color="auto" w:fill="D2D2D2"/>
          </w:tcPr>
          <w:p>
            <w:pPr/>
          </w:p>
        </w:tc>
        <w:tc>
          <w:tcPr>
            <w:tcW w:w="18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24" w:type="dxa"/>
            <w:vMerge/>
            <w:tcBorders>
              <w:left w:val="single" w:sz="4" w:space="0" w:color="000000"/>
              <w:right w:val="single" w:sz="4" w:space="0" w:color="000000"/>
            </w:tcBorders>
            <w:shd w:val="clear" w:color="auto" w:fill="D2D2D2"/>
          </w:tcPr>
          <w:p>
            <w:pPr/>
          </w:p>
        </w:tc>
        <w:tc>
          <w:tcPr>
            <w:tcW w:w="1859"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6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4" w:type="dxa"/>
            <w:vMerge/>
            <w:tcBorders>
              <w:left w:val="single" w:sz="4" w:space="0" w:color="000000"/>
              <w:bottom w:val="single" w:sz="4" w:space="0" w:color="000000"/>
              <w:right w:val="single" w:sz="4" w:space="0" w:color="000000"/>
            </w:tcBorders>
            <w:shd w:val="clear" w:color="auto" w:fill="D2D2D2"/>
          </w:tcPr>
          <w:p>
            <w:pPr/>
          </w:p>
        </w:tc>
        <w:tc>
          <w:tcPr>
            <w:tcW w:w="1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4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5,542,254.25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62.79%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277,112.71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3,089,198.37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55.84%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154,459.92</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1,026,788.12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102,678.82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1,479,462.13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26.74%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147,946.21</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451,969.26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90,393.85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1,299,573.90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259,914.78</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1,806,168.84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1,806,168.84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664,059.67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664,059.67</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8,827,180.47</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2,276,354.22</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6,532,294.07</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1,226,380.58</w:t>
            </w:r>
          </w:p>
        </w:tc>
      </w:tr>
    </w:tbl>
    <w:p>
      <w:pPr>
        <w:pStyle w:val="BodyText"/>
        <w:spacing w:line="240" w:lineRule="auto" w:before="49"/>
        <w:ind w:right="1123"/>
        <w:jc w:val="left"/>
      </w:pPr>
      <w:r>
        <w:rPr/>
        <w:t>组合中，采用余额百分比法计提坏账准备的其他应收款</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0"/>
        <w:gridCol w:w="1712"/>
        <w:gridCol w:w="1865"/>
        <w:gridCol w:w="1919"/>
        <w:gridCol w:w="1871"/>
      </w:tblGrid>
      <w:tr>
        <w:trPr>
          <w:trHeight w:val="161" w:hRule="exact"/>
        </w:trPr>
        <w:tc>
          <w:tcPr>
            <w:tcW w:w="2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vMerge/>
            <w:tcBorders>
              <w:left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2" w:hRule="exact"/>
        </w:trPr>
        <w:tc>
          <w:tcPr>
            <w:tcW w:w="2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40"/>
        <w:gridCol w:w="1953"/>
        <w:gridCol w:w="1968"/>
        <w:gridCol w:w="1943"/>
        <w:gridCol w:w="1841"/>
      </w:tblGrid>
      <w:tr>
        <w:trPr>
          <w:trHeight w:val="403"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4454"/>
        <w:jc w:val="left"/>
      </w:pPr>
      <w:r>
        <w:rPr/>
        <w:t>单项金额不重大但按信用风险特征组合后该组合的风险较大的其他应收款的说明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6"/>
        <w:gridCol w:w="1595"/>
        <w:gridCol w:w="1580"/>
        <w:gridCol w:w="1487"/>
        <w:gridCol w:w="1508"/>
        <w:gridCol w:w="1789"/>
      </w:tblGrid>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134"/>
        <w:jc w:val="left"/>
      </w:pPr>
      <w:r>
        <w:rPr/>
        <w:t>其他应收款核销说明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4"/>
        <w:gridCol w:w="287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中电技国际招标有限责任公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履约押金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403"/>
        <w:gridCol w:w="1904"/>
        <w:gridCol w:w="287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1,000,000.00</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w:t>
            </w:r>
          </w:p>
        </w:tc>
      </w:tr>
    </w:tbl>
    <w:p>
      <w:pPr>
        <w:pStyle w:val="BodyText"/>
        <w:spacing w:line="357" w:lineRule="auto" w:before="49"/>
        <w:ind w:right="6254"/>
        <w:jc w:val="left"/>
      </w:pPr>
      <w:r>
        <w:rPr/>
        <w:t>说明 应收中电技国标招标有限责任公司的款项为投标保证金。</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8"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中电技国际招标有限责 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国电诚信招标有限公司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招投标客户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797,010.00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中国电能成套设备有限 公司北京分公司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广州易宝信息技术有限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四川长虹佳华信息产品 有限责任公司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2,851,010.00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18"/>
        <w:gridCol w:w="2443"/>
        <w:gridCol w:w="2429"/>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3004"/>
        <w:gridCol w:w="3589"/>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5"/>
              <w:jc w:val="right"/>
              <w:rPr>
                <w:rFonts w:ascii="宋体" w:hAnsi="宋体" w:cs="宋体" w:eastAsia="宋体" w:hint="default"/>
                <w:sz w:val="18"/>
                <w:szCs w:val="18"/>
              </w:rPr>
            </w:pPr>
            <w:r>
              <w:rPr>
                <w:rFonts w:ascii="宋体" w:hAnsi="宋体" w:cs="宋体" w:eastAsia="宋体" w:hint="default"/>
                <w:sz w:val="18"/>
                <w:szCs w:val="18"/>
              </w:rPr>
              <w:t>项目</w:t>
            </w:r>
          </w:p>
        </w:tc>
        <w:tc>
          <w:tcPr>
            <w:tcW w:w="3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3"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5"/>
              <w:jc w:val="right"/>
              <w:rPr>
                <w:rFonts w:ascii="宋体" w:hAnsi="宋体" w:cs="宋体" w:eastAsia="宋体" w:hint="default"/>
                <w:sz w:val="18"/>
                <w:szCs w:val="18"/>
              </w:rPr>
            </w:pPr>
            <w:r>
              <w:rPr>
                <w:rFonts w:ascii="宋体" w:hAnsi="宋体" w:cs="宋体" w:eastAsia="宋体" w:hint="default"/>
                <w:sz w:val="18"/>
                <w:szCs w:val="18"/>
              </w:rPr>
              <w:t>合计</w:t>
            </w:r>
          </w:p>
        </w:tc>
        <w:tc>
          <w:tcPr>
            <w:tcW w:w="3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3"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after="0" w:line="1223"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11,727,806.39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15,947,564.03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90.72%</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121,888.00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1,631,596.50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11,849,694.39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17,579,160.53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预付款项账龄的说明</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14"/>
        <w:gridCol w:w="1914"/>
      </w:tblGrid>
      <w:tr>
        <w:trPr>
          <w:trHeight w:val="39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7,330,000.00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工程未完工</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2,495,130.00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软件未交付</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726,585.30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家具未交付</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360,000.00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软件未交付</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未到合同约定结算时间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10,949,715.30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7334"/>
        <w:jc w:val="left"/>
      </w:pPr>
      <w:r>
        <w:rPr/>
        <w:t>预付款项主要单位的说明 单位一预付款为武汉办公楼装修预付款。 单位二及单位四预付款为采购软件预付款。</w:t>
      </w:r>
    </w:p>
    <w:p>
      <w:pPr>
        <w:pStyle w:val="BodyText"/>
        <w:spacing w:line="316" w:lineRule="auto" w:before="2"/>
        <w:ind w:right="7334"/>
        <w:jc w:val="left"/>
      </w:pPr>
      <w:r>
        <w:rPr/>
        <w:t>单位三预付款为采购办公家具预付款。 单位五预付款为制作产品演示视频预付款。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23"/>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1"/>
        <w:gridCol w:w="1727"/>
        <w:gridCol w:w="1595"/>
        <w:gridCol w:w="1727"/>
        <w:gridCol w:w="1726"/>
      </w:tblGrid>
      <w:tr>
        <w:trPr>
          <w:trHeight w:val="206" w:hRule="exact"/>
        </w:trPr>
        <w:tc>
          <w:tcPr>
            <w:tcW w:w="2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7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vMerge/>
            <w:tcBorders>
              <w:left w:val="single" w:sz="4" w:space="0" w:color="000000"/>
              <w:bottom w:val="single" w:sz="4" w:space="0" w:color="000000"/>
              <w:right w:val="single" w:sz="4" w:space="0" w:color="000000"/>
            </w:tcBorders>
            <w:shd w:val="clear" w:color="auto" w:fill="D2D2D2"/>
          </w:tcPr>
          <w:p>
            <w:pPr/>
          </w:p>
        </w:tc>
        <w:tc>
          <w:tcPr>
            <w:tcW w:w="34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81" w:type="dxa"/>
            <w:vMerge/>
            <w:tcBorders>
              <w:left w:val="single" w:sz="4" w:space="0" w:color="000000"/>
              <w:bottom w:val="nil" w:sz="6" w:space="0" w:color="auto"/>
              <w:right w:val="single" w:sz="4" w:space="0" w:color="000000"/>
            </w:tcBorders>
            <w:shd w:val="clear" w:color="auto" w:fill="D2D2D2"/>
          </w:tcPr>
          <w:p>
            <w:pP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4" w:hRule="exact"/>
        </w:trPr>
        <w:tc>
          <w:tcPr>
            <w:tcW w:w="2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预付款项为武汉办公楼装修预付款和软硬件设备采购预付款。</w:t>
      </w:r>
    </w:p>
    <w:p>
      <w:pPr>
        <w:spacing w:after="0" w:line="240" w:lineRule="auto"/>
        <w:jc w:val="left"/>
        <w:sectPr>
          <w:footerReference w:type="default" r:id="rId54"/>
          <w:pgSz w:w="11910" w:h="16840"/>
          <w:pgMar w:footer="1340" w:header="877" w:top="1060" w:bottom="1540" w:left="980" w:right="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8"/>
        <w:gridCol w:w="1461"/>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6,518,436.00</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6,518,436.00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6,518,436.00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27"/>
        <w:gridCol w:w="1402"/>
        <w:gridCol w:w="1420"/>
        <w:gridCol w:w="1768"/>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8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22" w:type="dxa"/>
            <w:gridSpan w:val="2"/>
            <w:vMerge/>
            <w:tcBorders>
              <w:left w:val="single" w:sz="4" w:space="0" w:color="000000"/>
              <w:bottom w:val="single" w:sz="4" w:space="0" w:color="000000"/>
              <w:right w:val="single" w:sz="4" w:space="0" w:color="000000"/>
            </w:tcBorders>
            <w:shd w:val="clear" w:color="auto" w:fill="D2D2D2"/>
          </w:tcPr>
          <w:p>
            <w:pPr/>
          </w:p>
        </w:tc>
        <w:tc>
          <w:tcPr>
            <w:tcW w:w="17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27" w:type="dxa"/>
            <w:vMerge/>
            <w:tcBorders>
              <w:left w:val="single" w:sz="4" w:space="0" w:color="000000"/>
              <w:bottom w:val="nil" w:sz="6" w:space="0" w:color="auto"/>
              <w:right w:val="single" w:sz="4" w:space="0" w:color="000000"/>
            </w:tcBorders>
            <w:shd w:val="clear" w:color="auto" w:fill="D2D2D2"/>
          </w:tcPr>
          <w:p>
            <w:pPr/>
          </w:p>
        </w:tc>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3"/>
              <w:jc w:val="center"/>
              <w:rPr>
                <w:rFonts w:ascii="宋体" w:hAnsi="宋体" w:cs="宋体" w:eastAsia="宋体" w:hint="default"/>
                <w:sz w:val="18"/>
                <w:szCs w:val="18"/>
              </w:rPr>
            </w:pPr>
            <w:r>
              <w:rPr>
                <w:rFonts w:ascii="宋体" w:hAnsi="宋体" w:cs="宋体" w:eastAsia="宋体" w:hint="default"/>
                <w:sz w:val="18"/>
                <w:szCs w:val="18"/>
              </w:rPr>
              <w:t>转回</w:t>
            </w:r>
          </w:p>
        </w:tc>
        <w:tc>
          <w:tcPr>
            <w:tcW w:w="1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vMerge/>
            <w:tcBorders>
              <w:left w:val="single" w:sz="4" w:space="0" w:color="000000"/>
              <w:bottom w:val="single" w:sz="4" w:space="0" w:color="000000"/>
              <w:right w:val="single" w:sz="4" w:space="0" w:color="000000"/>
            </w:tcBorders>
            <w:shd w:val="clear" w:color="auto" w:fill="D2D2D2"/>
          </w:tcPr>
          <w:p>
            <w:pPr/>
          </w:p>
        </w:tc>
        <w:tc>
          <w:tcPr>
            <w:tcW w:w="1420" w:type="dxa"/>
            <w:vMerge/>
            <w:tcBorders>
              <w:left w:val="single" w:sz="4" w:space="0" w:color="000000"/>
              <w:bottom w:val="single" w:sz="4" w:space="0" w:color="000000"/>
              <w:right w:val="single" w:sz="4" w:space="0" w:color="000000"/>
            </w:tcBorders>
            <w:shd w:val="clear" w:color="auto" w:fill="D2D2D2"/>
          </w:tcPr>
          <w:p>
            <w:pPr/>
          </w:p>
        </w:tc>
        <w:tc>
          <w:tcPr>
            <w:tcW w:w="17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1123"/>
        <w:jc w:val="left"/>
      </w:pPr>
      <w:r>
        <w:rPr/>
        <w:t>存货的说明</w:t>
      </w:r>
    </w:p>
    <w:p>
      <w:pPr>
        <w:spacing w:line="240" w:lineRule="auto" w:before="9"/>
        <w:rPr>
          <w:rFonts w:ascii="宋体" w:hAnsi="宋体" w:cs="宋体" w:eastAsia="宋体" w:hint="default"/>
          <w:sz w:val="8"/>
          <w:szCs w:val="8"/>
        </w:rPr>
      </w:pPr>
    </w:p>
    <w:p>
      <w:pPr>
        <w:spacing w:line="720" w:lineRule="exact"/>
        <w:ind w:left="116"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83.95pt;height:36pt;mso-position-horizontal-relative:char;mso-position-vertical-relative:line" type="#_x0000_t202" filled="false" stroked="true" strokeweight=".72pt" strokecolor="#000000">
            <w10:anchorlock/>
            <v:textbox inset="0,0,0,0">
              <w:txbxContent>
                <w:p>
                  <w:pPr>
                    <w:spacing w:line="273" w:lineRule="auto" w:before="0"/>
                    <w:ind w:left="28" w:right="22" w:firstLine="420"/>
                    <w:jc w:val="left"/>
                    <w:rPr>
                      <w:rFonts w:ascii="宋体" w:hAnsi="宋体" w:cs="宋体" w:eastAsia="宋体" w:hint="default"/>
                      <w:sz w:val="21"/>
                      <w:szCs w:val="21"/>
                    </w:rPr>
                  </w:pPr>
                  <w:r>
                    <w:rPr>
                      <w:rFonts w:ascii="宋体" w:hAnsi="宋体" w:cs="宋体" w:eastAsia="宋体" w:hint="default"/>
                      <w:spacing w:val="-3"/>
                      <w:sz w:val="21"/>
                      <w:szCs w:val="21"/>
                    </w:rPr>
                    <w:t>公司存货主要为制作软件所耗用的光盘、软件保护卡等低值易耗品、定制软件的实施成本、系统集成</w:t>
                  </w:r>
                  <w:r>
                    <w:rPr>
                      <w:rFonts w:ascii="宋体" w:hAnsi="宋体" w:cs="宋体" w:eastAsia="宋体" w:hint="default"/>
                      <w:w w:val="100"/>
                      <w:sz w:val="21"/>
                      <w:szCs w:val="21"/>
                    </w:rPr>
                    <w:t> </w:t>
                  </w:r>
                  <w:r>
                    <w:rPr>
                      <w:rFonts w:ascii="宋体" w:hAnsi="宋体" w:cs="宋体" w:eastAsia="宋体" w:hint="default"/>
                      <w:sz w:val="21"/>
                      <w:szCs w:val="21"/>
                    </w:rPr>
                    <w:t>的硬件采购成本。</w:t>
                  </w:r>
                </w:p>
              </w:txbxContent>
            </v:textbox>
          </v:shape>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4"/>
        <w:gridCol w:w="2934"/>
        <w:gridCol w:w="3190"/>
      </w:tblGrid>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2"/>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2"/>
              <w:jc w:val="righ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9314"/>
        <w:jc w:val="left"/>
      </w:pPr>
      <w:r>
        <w:rPr/>
        <w:t>其他流动资产说明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00" w:lineRule="auto" w:before="49"/>
        <w:ind w:right="1169"/>
        <w:jc w:val="left"/>
      </w:pPr>
      <w:r>
        <w:rPr/>
        <w:t>本期将持有至到期投资重分类为可供出售金融资产的，本期重分类的金额</w:t>
      </w:r>
      <w:r>
        <w:rPr>
          <w:spacing w:val="-45"/>
        </w:rPr>
        <w:t> </w:t>
      </w:r>
      <w:r>
        <w:rPr>
          <w:rFonts w:ascii="Times New Roman" w:hAnsi="Times New Roman" w:cs="Times New Roman" w:eastAsia="Times New Roman" w:hint="default"/>
        </w:rPr>
        <w:t>0.00 </w:t>
      </w:r>
      <w:r>
        <w:rPr/>
        <w:t>元，该金额占重分类前持有至到期投资总额 的比例</w:t>
      </w:r>
      <w:r>
        <w:rPr>
          <w:spacing w:val="-45"/>
        </w:rPr>
        <w:t> </w:t>
      </w:r>
      <w:r>
        <w:rPr>
          <w:rFonts w:ascii="Times New Roman" w:hAnsi="Times New Roman" w:cs="Times New Roman" w:eastAsia="Times New Roman" w:hint="default"/>
        </w:rPr>
        <w:t>0%</w:t>
      </w:r>
      <w:r>
        <w:rPr/>
        <w:t>。</w:t>
      </w:r>
    </w:p>
    <w:p>
      <w:pPr>
        <w:pStyle w:val="BodyText"/>
        <w:spacing w:line="360" w:lineRule="auto" w:before="51"/>
        <w:ind w:right="8774"/>
        <w:jc w:val="left"/>
      </w:pPr>
      <w:r>
        <w:rPr/>
        <w:t>可供出售金融资产的说明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2"/>
        <w:gridCol w:w="1062"/>
        <w:gridCol w:w="1063"/>
        <w:gridCol w:w="1075"/>
        <w:gridCol w:w="1041"/>
        <w:gridCol w:w="1074"/>
      </w:tblGrid>
      <w:tr>
        <w:trPr>
          <w:trHeight w:val="163"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53" w:right="64"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062"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41" w:type="dxa"/>
            <w:vMerge/>
            <w:tcBorders>
              <w:left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7514"/>
        <w:jc w:val="left"/>
      </w:pPr>
      <w:r>
        <w:rPr/>
        <w:t>可供出售金融资产的长期债权投资的说明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4"/>
        <w:gridCol w:w="3190"/>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8954"/>
        <w:jc w:val="left"/>
      </w:pPr>
      <w:r>
        <w:rPr/>
        <w:t>持有至到期投资的说明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57" w:lineRule="auto" w:before="49"/>
        <w:ind w:right="6434"/>
        <w:jc w:val="left"/>
      </w:pPr>
      <w:r>
        <w:rPr/>
        <w:t>本报告期内出售但尚未到期的持有至到期投资情况说明 无</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55.971722pt;width:135pt;height:77pt;mso-position-horizontal-relative:page;mso-position-vertical-relative:paragraph;z-index:-893800" coordorigin="9206,1119" coordsize="2700,1540">
            <v:shape style="position:absolute;left:9206;top:1119;width:2700;height:1540" type="#_x0000_t75" stroked="false">
              <v:imagedata r:id="rId15" o:title=""/>
            </v:shape>
            <v:shape style="position:absolute;left:10509;top:1480;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112</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55"/>
          <w:footerReference w:type="default" r:id="rId56"/>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华凯投资集团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26.32%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26.32%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1,796,313,285.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1,040,212,554.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756,100,731.07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574,225,134.43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137,184,693.66</w:t>
            </w:r>
          </w:p>
        </w:tc>
      </w:tr>
    </w:tbl>
    <w:p>
      <w:pPr>
        <w:pStyle w:val="BodyText"/>
        <w:spacing w:line="360" w:lineRule="auto" w:before="49"/>
        <w:ind w:right="3014"/>
        <w:jc w:val="left"/>
      </w:pPr>
      <w:r>
        <w:rPr/>
        <w:t>合营企业、联营企业的重要会计政策、会计估计与公司的会计政策、会计估计存在重大差异的说明 无</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57"/>
          <w:pgSz w:w="11910" w:h="16840"/>
          <w:pgMar w:footer="1340" w:header="877" w:top="1060" w:bottom="1540" w:left="980" w:right="0"/>
          <w:pgNumType w:start="113"/>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1720"/>
        <w:gridCol w:w="799"/>
        <w:gridCol w:w="797"/>
        <w:gridCol w:w="800"/>
      </w:tblGrid>
      <w:tr>
        <w:trPr>
          <w:trHeight w:val="2177"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2" w:right="82"/>
              <w:jc w:val="left"/>
              <w:rPr>
                <w:rFonts w:ascii="宋体" w:hAnsi="宋体" w:cs="宋体" w:eastAsia="宋体" w:hint="default"/>
                <w:sz w:val="18"/>
                <w:szCs w:val="18"/>
              </w:rPr>
            </w:pPr>
            <w:r>
              <w:rPr>
                <w:rFonts w:ascii="宋体" w:hAnsi="宋体" w:cs="宋体" w:eastAsia="宋体" w:hint="default"/>
                <w:spacing w:val="12"/>
                <w:sz w:val="18"/>
                <w:szCs w:val="18"/>
              </w:rPr>
              <w:t>被投资</w:t>
            </w:r>
            <w:r>
              <w:rPr>
                <w:rFonts w:ascii="宋体" w:hAnsi="宋体" w:cs="宋体" w:eastAsia="宋体" w:hint="default"/>
                <w:spacing w:val="-71"/>
                <w:sz w:val="18"/>
                <w:szCs w:val="18"/>
              </w:rPr>
              <w:t> </w:t>
            </w:r>
            <w:r>
              <w:rPr>
                <w:rFonts w:ascii="宋体" w:hAnsi="宋体" w:cs="宋体" w:eastAsia="宋体" w:hint="default"/>
                <w:sz w:val="18"/>
                <w:szCs w:val="18"/>
              </w:rPr>
              <w:t>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77"/>
              <w:jc w:val="left"/>
              <w:rPr>
                <w:rFonts w:ascii="宋体" w:hAnsi="宋体" w:cs="宋体" w:eastAsia="宋体" w:hint="default"/>
                <w:sz w:val="18"/>
                <w:szCs w:val="18"/>
              </w:rPr>
            </w:pPr>
            <w:r>
              <w:rPr>
                <w:rFonts w:ascii="宋体" w:hAnsi="宋体" w:cs="宋体" w:eastAsia="宋体" w:hint="default"/>
                <w:spacing w:val="14"/>
                <w:sz w:val="18"/>
                <w:szCs w:val="18"/>
              </w:rPr>
              <w:t>核算方</w:t>
            </w:r>
            <w:r>
              <w:rPr>
                <w:rFonts w:ascii="宋体" w:hAnsi="宋体" w:cs="宋体" w:eastAsia="宋体" w:hint="default"/>
                <w:spacing w:val="-69"/>
                <w:sz w:val="18"/>
                <w:szCs w:val="18"/>
              </w:rPr>
              <w:t> </w:t>
            </w:r>
            <w:r>
              <w:rPr>
                <w:rFonts w:ascii="宋体" w:hAnsi="宋体" w:cs="宋体" w:eastAsia="宋体" w:hint="default"/>
                <w:sz w:val="18"/>
                <w:szCs w:val="18"/>
              </w:rPr>
              <w:t>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5" w:right="98"/>
              <w:jc w:val="left"/>
              <w:rPr>
                <w:rFonts w:ascii="宋体" w:hAnsi="宋体" w:cs="宋体" w:eastAsia="宋体" w:hint="default"/>
                <w:sz w:val="18"/>
                <w:szCs w:val="18"/>
              </w:rPr>
            </w:pPr>
            <w:r>
              <w:rPr>
                <w:rFonts w:ascii="宋体" w:hAnsi="宋体" w:cs="宋体" w:eastAsia="宋体" w:hint="default"/>
                <w:spacing w:val="14"/>
                <w:sz w:val="18"/>
                <w:szCs w:val="18"/>
              </w:rPr>
              <w:t>投资成</w:t>
            </w:r>
            <w:r>
              <w:rPr>
                <w:rFonts w:ascii="宋体" w:hAnsi="宋体" w:cs="宋体" w:eastAsia="宋体" w:hint="default"/>
                <w:sz w:val="18"/>
                <w:szCs w:val="18"/>
              </w:rPr>
              <w:t> 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77"/>
              <w:jc w:val="left"/>
              <w:rPr>
                <w:rFonts w:ascii="宋体" w:hAnsi="宋体" w:cs="宋体" w:eastAsia="宋体" w:hint="default"/>
                <w:sz w:val="18"/>
                <w:szCs w:val="18"/>
              </w:rPr>
            </w:pPr>
            <w:r>
              <w:rPr>
                <w:rFonts w:ascii="宋体" w:hAnsi="宋体" w:cs="宋体" w:eastAsia="宋体" w:hint="default"/>
                <w:spacing w:val="14"/>
                <w:sz w:val="18"/>
                <w:szCs w:val="18"/>
              </w:rPr>
              <w:t>期初余</w:t>
            </w:r>
            <w:r>
              <w:rPr>
                <w:rFonts w:ascii="宋体" w:hAnsi="宋体" w:cs="宋体" w:eastAsia="宋体" w:hint="default"/>
                <w:spacing w:val="-69"/>
                <w:sz w:val="18"/>
                <w:szCs w:val="18"/>
              </w:rPr>
              <w:t> </w:t>
            </w:r>
            <w:r>
              <w:rPr>
                <w:rFonts w:ascii="宋体" w:hAnsi="宋体" w:cs="宋体" w:eastAsia="宋体" w:hint="default"/>
                <w:sz w:val="18"/>
                <w:szCs w:val="18"/>
              </w:rPr>
              <w:t>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5" w:right="77"/>
              <w:jc w:val="left"/>
              <w:rPr>
                <w:rFonts w:ascii="宋体" w:hAnsi="宋体" w:cs="宋体" w:eastAsia="宋体" w:hint="default"/>
                <w:sz w:val="18"/>
                <w:szCs w:val="18"/>
              </w:rPr>
            </w:pPr>
            <w:r>
              <w:rPr>
                <w:rFonts w:ascii="宋体" w:hAnsi="宋体" w:cs="宋体" w:eastAsia="宋体" w:hint="default"/>
                <w:spacing w:val="14"/>
                <w:sz w:val="18"/>
                <w:szCs w:val="18"/>
              </w:rPr>
              <w:t>增减变</w:t>
            </w:r>
            <w:r>
              <w:rPr>
                <w:rFonts w:ascii="宋体" w:hAnsi="宋体" w:cs="宋体" w:eastAsia="宋体" w:hint="default"/>
                <w:spacing w:val="-69"/>
                <w:sz w:val="18"/>
                <w:szCs w:val="18"/>
              </w:rPr>
              <w:t> </w:t>
            </w:r>
            <w:r>
              <w:rPr>
                <w:rFonts w:ascii="宋体" w:hAnsi="宋体" w:cs="宋体" w:eastAsia="宋体" w:hint="default"/>
                <w:sz w:val="18"/>
                <w:szCs w:val="18"/>
              </w:rPr>
              <w:t>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77"/>
              <w:jc w:val="left"/>
              <w:rPr>
                <w:rFonts w:ascii="宋体" w:hAnsi="宋体" w:cs="宋体" w:eastAsia="宋体" w:hint="default"/>
                <w:sz w:val="18"/>
                <w:szCs w:val="18"/>
              </w:rPr>
            </w:pPr>
            <w:r>
              <w:rPr>
                <w:rFonts w:ascii="宋体" w:hAnsi="宋体" w:cs="宋体" w:eastAsia="宋体" w:hint="default"/>
                <w:spacing w:val="14"/>
                <w:sz w:val="18"/>
                <w:szCs w:val="18"/>
              </w:rPr>
              <w:t>期末余</w:t>
            </w:r>
            <w:r>
              <w:rPr>
                <w:rFonts w:ascii="宋体" w:hAnsi="宋体" w:cs="宋体" w:eastAsia="宋体" w:hint="default"/>
                <w:spacing w:val="-69"/>
                <w:sz w:val="18"/>
                <w:szCs w:val="18"/>
              </w:rPr>
              <w:t> </w:t>
            </w:r>
            <w:r>
              <w:rPr>
                <w:rFonts w:ascii="宋体" w:hAnsi="宋体" w:cs="宋体" w:eastAsia="宋体" w:hint="default"/>
                <w:sz w:val="18"/>
                <w:szCs w:val="18"/>
              </w:rPr>
              <w:t>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5" w:right="77"/>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在被投</w:t>
            </w:r>
            <w:r>
              <w:rPr>
                <w:rFonts w:ascii="宋体" w:hAnsi="宋体" w:cs="宋体" w:eastAsia="宋体" w:hint="default"/>
                <w:spacing w:val="-69"/>
                <w:sz w:val="18"/>
                <w:szCs w:val="18"/>
              </w:rPr>
              <w:t> </w:t>
            </w:r>
            <w:r>
              <w:rPr>
                <w:rFonts w:ascii="宋体" w:hAnsi="宋体" w:cs="宋体" w:eastAsia="宋体" w:hint="default"/>
                <w:spacing w:val="14"/>
                <w:sz w:val="18"/>
                <w:szCs w:val="18"/>
              </w:rPr>
              <w:t>资单位</w:t>
            </w:r>
            <w:r>
              <w:rPr>
                <w:rFonts w:ascii="宋体" w:hAnsi="宋体" w:cs="宋体" w:eastAsia="宋体" w:hint="default"/>
                <w:spacing w:val="-69"/>
                <w:sz w:val="18"/>
                <w:szCs w:val="18"/>
              </w:rPr>
              <w:t> </w:t>
            </w:r>
            <w:r>
              <w:rPr>
                <w:rFonts w:ascii="宋体" w:hAnsi="宋体" w:cs="宋体" w:eastAsia="宋体" w:hint="default"/>
                <w:spacing w:val="14"/>
                <w:sz w:val="18"/>
                <w:szCs w:val="18"/>
              </w:rPr>
              <w:t>持股比</w:t>
            </w:r>
            <w:r>
              <w:rPr>
                <w:rFonts w:ascii="宋体" w:hAnsi="宋体" w:cs="宋体" w:eastAsia="宋体" w:hint="default"/>
                <w:spacing w:val="-6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78"/>
              <w:jc w:val="both"/>
              <w:rPr>
                <w:rFonts w:ascii="宋体" w:hAnsi="宋体" w:cs="宋体" w:eastAsia="宋体" w:hint="default"/>
                <w:sz w:val="18"/>
                <w:szCs w:val="18"/>
              </w:rPr>
            </w:pPr>
            <w:r>
              <w:rPr>
                <w:rFonts w:ascii="宋体" w:hAnsi="宋体" w:cs="宋体" w:eastAsia="宋体" w:hint="default"/>
                <w:spacing w:val="14"/>
                <w:sz w:val="18"/>
                <w:szCs w:val="18"/>
              </w:rPr>
              <w:t>在被投</w:t>
            </w:r>
            <w:r>
              <w:rPr>
                <w:rFonts w:ascii="宋体" w:hAnsi="宋体" w:cs="宋体" w:eastAsia="宋体" w:hint="default"/>
                <w:spacing w:val="-69"/>
                <w:sz w:val="18"/>
                <w:szCs w:val="18"/>
              </w:rPr>
              <w:t> </w:t>
            </w:r>
            <w:r>
              <w:rPr>
                <w:rFonts w:ascii="宋体" w:hAnsi="宋体" w:cs="宋体" w:eastAsia="宋体" w:hint="default"/>
                <w:spacing w:val="14"/>
                <w:sz w:val="18"/>
                <w:szCs w:val="18"/>
              </w:rPr>
              <w:t>资单位</w:t>
            </w:r>
            <w:r>
              <w:rPr>
                <w:rFonts w:ascii="宋体" w:hAnsi="宋体" w:cs="宋体" w:eastAsia="宋体" w:hint="default"/>
                <w:spacing w:val="-69"/>
                <w:sz w:val="18"/>
                <w:szCs w:val="18"/>
              </w:rPr>
              <w:t> </w:t>
            </w:r>
            <w:r>
              <w:rPr>
                <w:rFonts w:ascii="宋体" w:hAnsi="宋体" w:cs="宋体" w:eastAsia="宋体" w:hint="default"/>
                <w:spacing w:val="14"/>
                <w:sz w:val="18"/>
                <w:szCs w:val="18"/>
              </w:rPr>
              <w:t>表决权</w:t>
            </w:r>
            <w:r>
              <w:rPr>
                <w:rFonts w:ascii="宋体" w:hAnsi="宋体" w:cs="宋体" w:eastAsia="宋体" w:hint="default"/>
                <w:spacing w:val="-69"/>
                <w:sz w:val="18"/>
                <w:szCs w:val="18"/>
              </w:rPr>
              <w:t> </w:t>
            </w:r>
            <w:r>
              <w:rPr>
                <w:rFonts w:ascii="宋体" w:hAnsi="宋体" w:cs="宋体" w:eastAsia="宋体" w:hint="default"/>
                <w:sz w:val="18"/>
                <w:szCs w:val="18"/>
              </w:rPr>
              <w:t>比 </w:t>
            </w:r>
            <w:r>
              <w:rPr>
                <w:rFonts w:ascii="宋体" w:hAnsi="宋体" w:cs="宋体" w:eastAsia="宋体" w:hint="default"/>
                <w:spacing w:val="43"/>
                <w:sz w:val="18"/>
                <w:szCs w:val="18"/>
              </w:rPr>
              <w:t> </w:t>
            </w:r>
            <w:r>
              <w:rPr>
                <w:rFonts w:ascii="宋体" w:hAnsi="宋体" w:cs="宋体" w:eastAsia="宋体" w:hint="default"/>
                <w:sz w:val="18"/>
                <w:szCs w:val="18"/>
              </w:rPr>
              <w:t>例</w:t>
            </w:r>
          </w:p>
          <w:p>
            <w:pPr>
              <w:pStyle w:val="TableParagraph"/>
              <w:spacing w:line="240" w:lineRule="auto" w:before="57"/>
              <w:ind w:left="103" w:right="0"/>
              <w:jc w:val="both"/>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4" w:right="87"/>
              <w:jc w:val="both"/>
              <w:rPr>
                <w:rFonts w:ascii="宋体" w:hAnsi="宋体" w:cs="宋体" w:eastAsia="宋体" w:hint="default"/>
                <w:sz w:val="18"/>
                <w:szCs w:val="18"/>
              </w:rPr>
            </w:pPr>
            <w:r>
              <w:rPr>
                <w:rFonts w:ascii="宋体" w:hAnsi="宋体" w:cs="宋体" w:eastAsia="宋体" w:hint="default"/>
                <w:spacing w:val="9"/>
                <w:sz w:val="18"/>
                <w:szCs w:val="18"/>
              </w:rPr>
              <w:t>在被投资单位持股 比例与表决权比例 </w:t>
            </w:r>
            <w:r>
              <w:rPr>
                <w:rFonts w:ascii="宋体" w:hAnsi="宋体" w:cs="宋体" w:eastAsia="宋体" w:hint="default"/>
                <w:sz w:val="18"/>
                <w:szCs w:val="18"/>
              </w:rPr>
              <w:t>不一致的说明</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79"/>
              <w:jc w:val="left"/>
              <w:rPr>
                <w:rFonts w:ascii="宋体" w:hAnsi="宋体" w:cs="宋体" w:eastAsia="宋体" w:hint="default"/>
                <w:sz w:val="18"/>
                <w:szCs w:val="18"/>
              </w:rPr>
            </w:pPr>
            <w:r>
              <w:rPr>
                <w:rFonts w:ascii="宋体" w:hAnsi="宋体" w:cs="宋体" w:eastAsia="宋体" w:hint="default"/>
                <w:spacing w:val="14"/>
                <w:sz w:val="18"/>
                <w:szCs w:val="18"/>
              </w:rPr>
              <w:t>减值准</w:t>
            </w:r>
            <w:r>
              <w:rPr>
                <w:rFonts w:ascii="宋体" w:hAnsi="宋体" w:cs="宋体" w:eastAsia="宋体" w:hint="default"/>
                <w:spacing w:val="-69"/>
                <w:sz w:val="18"/>
                <w:szCs w:val="18"/>
              </w:rPr>
              <w:t> </w:t>
            </w:r>
            <w:r>
              <w:rPr>
                <w:rFonts w:ascii="宋体" w:hAnsi="宋体" w:cs="宋体" w:eastAsia="宋体" w:hint="default"/>
                <w:sz w:val="18"/>
                <w:szCs w:val="18"/>
              </w:rPr>
              <w:t>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77"/>
              <w:jc w:val="both"/>
              <w:rPr>
                <w:rFonts w:ascii="宋体" w:hAnsi="宋体" w:cs="宋体" w:eastAsia="宋体" w:hint="default"/>
                <w:sz w:val="18"/>
                <w:szCs w:val="18"/>
              </w:rPr>
            </w:pPr>
            <w:r>
              <w:rPr>
                <w:rFonts w:ascii="宋体" w:hAnsi="宋体" w:cs="宋体" w:eastAsia="宋体" w:hint="default"/>
                <w:spacing w:val="14"/>
                <w:sz w:val="18"/>
                <w:szCs w:val="18"/>
              </w:rPr>
              <w:t>本期计</w:t>
            </w:r>
            <w:r>
              <w:rPr>
                <w:rFonts w:ascii="宋体" w:hAnsi="宋体" w:cs="宋体" w:eastAsia="宋体" w:hint="default"/>
                <w:spacing w:val="-69"/>
                <w:sz w:val="18"/>
                <w:szCs w:val="18"/>
              </w:rPr>
              <w:t> </w:t>
            </w:r>
            <w:r>
              <w:rPr>
                <w:rFonts w:ascii="宋体" w:hAnsi="宋体" w:cs="宋体" w:eastAsia="宋体" w:hint="default"/>
                <w:spacing w:val="14"/>
                <w:sz w:val="18"/>
                <w:szCs w:val="18"/>
              </w:rPr>
              <w:t>提减值</w:t>
            </w:r>
            <w:r>
              <w:rPr>
                <w:rFonts w:ascii="宋体" w:hAnsi="宋体" w:cs="宋体" w:eastAsia="宋体" w:hint="default"/>
                <w:spacing w:val="-69"/>
                <w:sz w:val="18"/>
                <w:szCs w:val="18"/>
              </w:rPr>
              <w:t> </w:t>
            </w:r>
            <w:r>
              <w:rPr>
                <w:rFonts w:ascii="宋体" w:hAnsi="宋体" w:cs="宋体" w:eastAsia="宋体" w:hint="default"/>
                <w:sz w:val="18"/>
                <w:szCs w:val="18"/>
              </w:rPr>
              <w:t>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81"/>
              <w:jc w:val="left"/>
              <w:rPr>
                <w:rFonts w:ascii="宋体" w:hAnsi="宋体" w:cs="宋体" w:eastAsia="宋体" w:hint="default"/>
                <w:sz w:val="18"/>
                <w:szCs w:val="18"/>
              </w:rPr>
            </w:pPr>
            <w:r>
              <w:rPr>
                <w:rFonts w:ascii="宋体" w:hAnsi="宋体" w:cs="宋体" w:eastAsia="宋体" w:hint="default"/>
                <w:spacing w:val="14"/>
                <w:sz w:val="18"/>
                <w:szCs w:val="18"/>
              </w:rPr>
              <w:t>本期现</w:t>
            </w:r>
            <w:r>
              <w:rPr>
                <w:rFonts w:ascii="宋体" w:hAnsi="宋体" w:cs="宋体" w:eastAsia="宋体" w:hint="default"/>
                <w:spacing w:val="-69"/>
                <w:sz w:val="18"/>
                <w:szCs w:val="18"/>
              </w:rPr>
              <w:t> </w:t>
            </w:r>
            <w:r>
              <w:rPr>
                <w:rFonts w:ascii="宋体" w:hAnsi="宋体" w:cs="宋体" w:eastAsia="宋体" w:hint="default"/>
                <w:sz w:val="18"/>
                <w:szCs w:val="18"/>
              </w:rPr>
              <w:t>金红利</w:t>
            </w:r>
          </w:p>
        </w:tc>
      </w:tr>
      <w:tr>
        <w:trPr>
          <w:trHeight w:val="3742"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2" w:right="82"/>
              <w:jc w:val="both"/>
              <w:rPr>
                <w:rFonts w:ascii="宋体" w:hAnsi="宋体" w:cs="宋体" w:eastAsia="宋体" w:hint="default"/>
                <w:sz w:val="18"/>
                <w:szCs w:val="18"/>
              </w:rPr>
            </w:pPr>
            <w:r>
              <w:rPr>
                <w:rFonts w:ascii="宋体" w:hAnsi="宋体" w:cs="宋体" w:eastAsia="宋体" w:hint="default"/>
                <w:spacing w:val="12"/>
                <w:sz w:val="18"/>
                <w:szCs w:val="18"/>
              </w:rPr>
              <w:t>北京天</w:t>
            </w:r>
            <w:r>
              <w:rPr>
                <w:rFonts w:ascii="宋体" w:hAnsi="宋体" w:cs="宋体" w:eastAsia="宋体" w:hint="default"/>
                <w:spacing w:val="-71"/>
                <w:sz w:val="18"/>
                <w:szCs w:val="18"/>
              </w:rPr>
              <w:t> </w:t>
            </w:r>
            <w:r>
              <w:rPr>
                <w:rFonts w:ascii="宋体" w:hAnsi="宋体" w:cs="宋体" w:eastAsia="宋体" w:hint="default"/>
                <w:spacing w:val="12"/>
                <w:sz w:val="18"/>
                <w:szCs w:val="18"/>
              </w:rPr>
              <w:t>润坤泽</w:t>
            </w:r>
            <w:r>
              <w:rPr>
                <w:rFonts w:ascii="宋体" w:hAnsi="宋体" w:cs="宋体" w:eastAsia="宋体" w:hint="default"/>
                <w:spacing w:val="-71"/>
                <w:sz w:val="18"/>
                <w:szCs w:val="18"/>
              </w:rPr>
              <w:t> </w:t>
            </w:r>
            <w:r>
              <w:rPr>
                <w:rFonts w:ascii="宋体" w:hAnsi="宋体" w:cs="宋体" w:eastAsia="宋体" w:hint="default"/>
                <w:spacing w:val="12"/>
                <w:sz w:val="18"/>
                <w:szCs w:val="18"/>
              </w:rPr>
              <w:t>财务管</w:t>
            </w:r>
            <w:r>
              <w:rPr>
                <w:rFonts w:ascii="宋体" w:hAnsi="宋体" w:cs="宋体" w:eastAsia="宋体" w:hint="default"/>
                <w:spacing w:val="-71"/>
                <w:sz w:val="18"/>
                <w:szCs w:val="18"/>
              </w:rPr>
              <w:t> </w:t>
            </w:r>
            <w:r>
              <w:rPr>
                <w:rFonts w:ascii="宋体" w:hAnsi="宋体" w:cs="宋体" w:eastAsia="宋体" w:hint="default"/>
                <w:spacing w:val="12"/>
                <w:sz w:val="18"/>
                <w:szCs w:val="18"/>
              </w:rPr>
              <w:t>理咨询</w:t>
            </w:r>
            <w:r>
              <w:rPr>
                <w:rFonts w:ascii="宋体" w:hAnsi="宋体" w:cs="宋体" w:eastAsia="宋体" w:hint="default"/>
                <w:spacing w:val="-71"/>
                <w:sz w:val="18"/>
                <w:szCs w:val="18"/>
              </w:rPr>
              <w:t> </w:t>
            </w:r>
            <w:r>
              <w:rPr>
                <w:rFonts w:ascii="宋体" w:hAnsi="宋体" w:cs="宋体" w:eastAsia="宋体" w:hint="default"/>
                <w:spacing w:val="12"/>
                <w:sz w:val="18"/>
                <w:szCs w:val="18"/>
              </w:rPr>
              <w:t>有限责</w:t>
            </w:r>
            <w:r>
              <w:rPr>
                <w:rFonts w:ascii="宋体" w:hAnsi="宋体" w:cs="宋体" w:eastAsia="宋体" w:hint="default"/>
                <w:spacing w:val="-71"/>
                <w:sz w:val="18"/>
                <w:szCs w:val="18"/>
              </w:rPr>
              <w:t> </w:t>
            </w:r>
            <w:r>
              <w:rPr>
                <w:rFonts w:ascii="宋体" w:hAnsi="宋体" w:cs="宋体" w:eastAsia="宋体" w:hint="default"/>
                <w:sz w:val="18"/>
                <w:szCs w:val="18"/>
              </w:rPr>
              <w:t>任公司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7"/>
              <w:ind w:left="105"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4" w:right="87"/>
              <w:jc w:val="both"/>
              <w:rPr>
                <w:rFonts w:ascii="宋体" w:hAnsi="宋体" w:cs="宋体" w:eastAsia="宋体" w:hint="default"/>
                <w:sz w:val="18"/>
                <w:szCs w:val="18"/>
              </w:rPr>
            </w:pPr>
            <w:r>
              <w:rPr>
                <w:rFonts w:ascii="宋体" w:hAnsi="宋体" w:cs="宋体" w:eastAsia="宋体" w:hint="default"/>
                <w:spacing w:val="9"/>
                <w:sz w:val="18"/>
                <w:szCs w:val="18"/>
              </w:rPr>
              <w:t>根据北京天润的章 程规定，北京天润 设执行董事一人，</w:t>
            </w:r>
            <w:r>
              <w:rPr>
                <w:rFonts w:ascii="宋体" w:hAnsi="宋体" w:cs="宋体" w:eastAsia="宋体" w:hint="default"/>
                <w:sz w:val="18"/>
                <w:szCs w:val="18"/>
              </w:rPr>
            </w:r>
          </w:p>
          <w:p>
            <w:pPr>
              <w:pStyle w:val="TableParagraph"/>
              <w:spacing w:line="319" w:lineRule="auto" w:before="19"/>
              <w:ind w:left="104" w:right="58"/>
              <w:jc w:val="both"/>
              <w:rPr>
                <w:rFonts w:ascii="宋体" w:hAnsi="宋体" w:cs="宋体" w:eastAsia="宋体" w:hint="default"/>
                <w:sz w:val="18"/>
                <w:szCs w:val="18"/>
              </w:rPr>
            </w:pPr>
            <w:r>
              <w:rPr>
                <w:rFonts w:ascii="宋体" w:hAnsi="宋体" w:cs="宋体" w:eastAsia="宋体" w:hint="default"/>
                <w:spacing w:val="34"/>
                <w:sz w:val="18"/>
                <w:szCs w:val="18"/>
              </w:rPr>
              <w:t>由股东会选举产</w:t>
            </w:r>
            <w:r>
              <w:rPr>
                <w:rFonts w:ascii="宋体" w:hAnsi="宋体" w:cs="宋体" w:eastAsia="宋体" w:hint="default"/>
                <w:spacing w:val="-50"/>
                <w:sz w:val="18"/>
                <w:szCs w:val="18"/>
              </w:rPr>
              <w:t> </w:t>
            </w:r>
            <w:r>
              <w:rPr>
                <w:rFonts w:ascii="宋体" w:hAnsi="宋体" w:cs="宋体" w:eastAsia="宋体" w:hint="default"/>
                <w:spacing w:val="9"/>
                <w:sz w:val="18"/>
                <w:szCs w:val="18"/>
              </w:rPr>
              <w:t>生，负责日常经营</w:t>
            </w:r>
            <w:r>
              <w:rPr>
                <w:rFonts w:ascii="宋体" w:hAnsi="宋体" w:cs="宋体" w:eastAsia="宋体" w:hint="default"/>
                <w:sz w:val="18"/>
                <w:szCs w:val="18"/>
              </w:rPr>
            </w:r>
          </w:p>
          <w:p>
            <w:pPr>
              <w:pStyle w:val="TableParagraph"/>
              <w:spacing w:line="319" w:lineRule="auto" w:before="19"/>
              <w:ind w:left="104" w:right="87"/>
              <w:jc w:val="both"/>
              <w:rPr>
                <w:rFonts w:ascii="宋体" w:hAnsi="宋体" w:cs="宋体" w:eastAsia="宋体" w:hint="default"/>
                <w:sz w:val="18"/>
                <w:szCs w:val="18"/>
              </w:rPr>
            </w:pPr>
            <w:r>
              <w:rPr>
                <w:rFonts w:ascii="宋体" w:hAnsi="宋体" w:cs="宋体" w:eastAsia="宋体" w:hint="default"/>
                <w:spacing w:val="9"/>
                <w:sz w:val="18"/>
                <w:szCs w:val="18"/>
              </w:rPr>
              <w:t>管理，本公司按持 股比例享受利润分 红。因本公司不参 与董事会，该项投 </w:t>
            </w:r>
            <w:r>
              <w:rPr>
                <w:rFonts w:ascii="宋体" w:hAnsi="宋体" w:cs="宋体" w:eastAsia="宋体" w:hint="default"/>
                <w:sz w:val="18"/>
                <w:szCs w:val="18"/>
              </w:rPr>
              <w:t>资按成本法核算。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r>
      <w:tr>
        <w:trPr>
          <w:trHeight w:val="1865"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102" w:right="82"/>
              <w:jc w:val="both"/>
              <w:rPr>
                <w:rFonts w:ascii="宋体" w:hAnsi="宋体" w:cs="宋体" w:eastAsia="宋体" w:hint="default"/>
                <w:sz w:val="18"/>
                <w:szCs w:val="18"/>
              </w:rPr>
            </w:pPr>
            <w:r>
              <w:rPr>
                <w:rFonts w:ascii="宋体" w:hAnsi="宋体" w:cs="宋体" w:eastAsia="宋体" w:hint="default"/>
                <w:spacing w:val="12"/>
                <w:sz w:val="18"/>
                <w:szCs w:val="18"/>
              </w:rPr>
              <w:t>福州远</w:t>
            </w:r>
            <w:r>
              <w:rPr>
                <w:rFonts w:ascii="宋体" w:hAnsi="宋体" w:cs="宋体" w:eastAsia="宋体" w:hint="default"/>
                <w:spacing w:val="-71"/>
                <w:sz w:val="18"/>
                <w:szCs w:val="18"/>
              </w:rPr>
              <w:t> </w:t>
            </w:r>
            <w:r>
              <w:rPr>
                <w:rFonts w:ascii="宋体" w:hAnsi="宋体" w:cs="宋体" w:eastAsia="宋体" w:hint="default"/>
                <w:spacing w:val="12"/>
                <w:sz w:val="18"/>
                <w:szCs w:val="18"/>
              </w:rPr>
              <w:t>光软件</w:t>
            </w:r>
            <w:r>
              <w:rPr>
                <w:rFonts w:ascii="宋体" w:hAnsi="宋体" w:cs="宋体" w:eastAsia="宋体" w:hint="default"/>
                <w:spacing w:val="-71"/>
                <w:sz w:val="18"/>
                <w:szCs w:val="18"/>
              </w:rPr>
              <w:t> </w:t>
            </w:r>
            <w:r>
              <w:rPr>
                <w:rFonts w:ascii="宋体" w:hAnsi="宋体" w:cs="宋体" w:eastAsia="宋体" w:hint="default"/>
                <w:spacing w:val="12"/>
                <w:sz w:val="18"/>
                <w:szCs w:val="18"/>
              </w:rPr>
              <w:t>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555,24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555,24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-555,24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72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r>
      <w:tr>
        <w:trPr>
          <w:trHeight w:val="1862"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2" w:right="82"/>
              <w:jc w:val="both"/>
              <w:rPr>
                <w:rFonts w:ascii="宋体" w:hAnsi="宋体" w:cs="宋体" w:eastAsia="宋体" w:hint="default"/>
                <w:sz w:val="18"/>
                <w:szCs w:val="18"/>
              </w:rPr>
            </w:pPr>
            <w:r>
              <w:rPr>
                <w:rFonts w:ascii="宋体" w:hAnsi="宋体" w:cs="宋体" w:eastAsia="宋体" w:hint="default"/>
                <w:spacing w:val="12"/>
                <w:sz w:val="18"/>
                <w:szCs w:val="18"/>
              </w:rPr>
              <w:t>华凯投</w:t>
            </w:r>
            <w:r>
              <w:rPr>
                <w:rFonts w:ascii="宋体" w:hAnsi="宋体" w:cs="宋体" w:eastAsia="宋体" w:hint="default"/>
                <w:spacing w:val="-71"/>
                <w:sz w:val="18"/>
                <w:szCs w:val="18"/>
              </w:rPr>
              <w:t> </w:t>
            </w:r>
            <w:r>
              <w:rPr>
                <w:rFonts w:ascii="宋体" w:hAnsi="宋体" w:cs="宋体" w:eastAsia="宋体" w:hint="default"/>
                <w:spacing w:val="12"/>
                <w:sz w:val="18"/>
                <w:szCs w:val="18"/>
              </w:rPr>
              <w:t>资集团</w:t>
            </w:r>
            <w:r>
              <w:rPr>
                <w:rFonts w:ascii="宋体" w:hAnsi="宋体" w:cs="宋体" w:eastAsia="宋体" w:hint="default"/>
                <w:spacing w:val="-71"/>
                <w:sz w:val="18"/>
                <w:szCs w:val="18"/>
              </w:rPr>
              <w:t> </w:t>
            </w:r>
            <w:r>
              <w:rPr>
                <w:rFonts w:ascii="宋体" w:hAnsi="宋体" w:cs="宋体" w:eastAsia="宋体" w:hint="default"/>
                <w:spacing w:val="12"/>
                <w:sz w:val="18"/>
                <w:szCs w:val="18"/>
              </w:rPr>
              <w:t>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60,825,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8,803.0</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28,497,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507.52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158,29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6,310.5</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26.32%</w:t>
            </w:r>
          </w:p>
        </w:tc>
        <w:tc>
          <w:tcPr>
            <w:tcW w:w="172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w:t>
            </w:r>
          </w:p>
        </w:tc>
      </w:tr>
      <w:tr>
        <w:trPr>
          <w:trHeight w:val="155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62,380,</w:t>
            </w:r>
          </w:p>
          <w:p>
            <w:pPr>
              <w:pStyle w:val="TableParagraph"/>
              <w:spacing w:line="240" w:lineRule="auto" w:before="107"/>
              <w:ind w:left="105" w:right="0"/>
              <w:jc w:val="left"/>
              <w:rPr>
                <w:rFonts w:ascii="Times New Roman" w:hAnsi="Times New Roman" w:cs="Times New Roman" w:eastAsia="Times New Roman" w:hint="default"/>
                <w:sz w:val="18"/>
                <w:szCs w:val="18"/>
              </w:rPr>
            </w:pPr>
            <w:r>
              <w:rPr>
                <w:rFonts w:ascii="Times New Roman"/>
                <w:sz w:val="18"/>
              </w:rPr>
              <w:t>246.23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131,35</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4,049.2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27,942,</w:t>
            </w:r>
          </w:p>
          <w:p>
            <w:pPr>
              <w:pStyle w:val="TableParagraph"/>
              <w:spacing w:line="240" w:lineRule="auto" w:before="107"/>
              <w:ind w:left="105" w:right="0"/>
              <w:jc w:val="left"/>
              <w:rPr>
                <w:rFonts w:ascii="Times New Roman" w:hAnsi="Times New Roman" w:cs="Times New Roman" w:eastAsia="Times New Roman" w:hint="default"/>
                <w:sz w:val="18"/>
                <w:szCs w:val="18"/>
              </w:rPr>
            </w:pPr>
            <w:r>
              <w:rPr>
                <w:rFonts w:ascii="Times New Roman"/>
                <w:sz w:val="18"/>
              </w:rPr>
              <w:t>261.29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159,29</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6,310.5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00.00</w:t>
            </w:r>
          </w:p>
        </w:tc>
      </w:tr>
    </w:tbl>
    <w:p>
      <w:pPr>
        <w:spacing w:line="240" w:lineRule="auto" w:before="3"/>
        <w:rPr>
          <w:rFonts w:ascii="宋体" w:hAnsi="宋体" w:cs="宋体" w:eastAsia="宋体" w:hint="default"/>
          <w:sz w:val="19"/>
          <w:szCs w:val="19"/>
        </w:rPr>
      </w:pPr>
    </w:p>
    <w:p>
      <w:pPr>
        <w:pStyle w:val="Heading4"/>
        <w:spacing w:line="240" w:lineRule="auto" w:before="36"/>
        <w:ind w:left="212"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left="212" w:right="0"/>
        <w:jc w:val="left"/>
      </w:pPr>
      <w:r>
        <w:rPr/>
        <w:t>长期股权投资的说明</w:t>
      </w:r>
    </w:p>
    <w:p>
      <w:pPr>
        <w:spacing w:after="0" w:line="240" w:lineRule="auto"/>
        <w:jc w:val="left"/>
        <w:sectPr>
          <w:pgSz w:w="11910" w:h="16840"/>
          <w:pgMar w:header="877" w:footer="1340" w:top="1060" w:bottom="1540" w:left="92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350;top:14;width:2;height:392" coordorigin="5350,14" coordsize="2,392">
              <v:shape style="position:absolute;left:5350;top:14;width:2;height:392" coordorigin="5350,14" coordsize="0,392" path="m5350,14l5350,406e" filled="false" stroked="true" strokeweight="1.08pt" strokecolor="#d2d2d2">
                <v:path arrowok="t"/>
              </v:shape>
            </v:group>
            <v:group style="position:absolute;left:34;top:14;width:5306;height:392" coordorigin="34,14" coordsize="5306,392">
              <v:shape style="position:absolute;left:34;top:14;width:5306;height:392" coordorigin="34,14" coordsize="5306,392" path="m34,406l5339,406,5339,14,34,14,34,406xe" filled="true" fillcolor="#d2d2d2" stroked="false">
                <v:path arrowok="t"/>
                <v:fill type="solid"/>
              </v:shape>
            </v:group>
            <v:group style="position:absolute;left:5382;top:14;width:2;height:392" coordorigin="5382,14" coordsize="2,392">
              <v:shape style="position:absolute;left:5382;top:14;width:2;height:392" coordorigin="5382,14" coordsize="0,392" path="m5382,14l5382,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5394;top:14;width:4153;height:392" coordorigin="5394,14" coordsize="4153,392">
              <v:shape style="position:absolute;left:5394;top:14;width:4153;height:392" coordorigin="5394,14" coordsize="4153,392" path="m5394,406l9547,406,9547,14,5394,14,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5351;height:2" coordorigin="10,410" coordsize="5351,2">
              <v:shape style="position:absolute;left:10;top:410;width:5351;height:2" coordorigin="10,410" coordsize="5351,0" path="m10,410l5361,410e" filled="false" stroked="true" strokeweight=".48pt" strokecolor="#000000">
                <v:path arrowok="t"/>
              </v:shape>
            </v:group>
            <v:group style="position:absolute;left:5365;top:5;width:2;height:411" coordorigin="5365,5" coordsize="2,411">
              <v:shape style="position:absolute;left:5365;top:5;width:2;height:411" coordorigin="5365,5" coordsize="0,411" path="m5365,5l5365,415e" filled="false" stroked="true" strokeweight=".48pt" strokecolor="#000000">
                <v:path arrowok="t"/>
              </v:shape>
            </v:group>
            <v:group style="position:absolute;left:5370;top:410;width:4201;height:2" coordorigin="5370,410" coordsize="4201,2">
              <v:shape style="position:absolute;left:5370;top:410;width:4201;height:2" coordorigin="5370,410" coordsize="4201,0" path="m5370,410l9571,410e" filled="false" stroked="true" strokeweight=".4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1"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5"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4" w:lineRule="auto" w:before="49"/>
        <w:ind w:right="1123"/>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12"/>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110,527,873.23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45,901,334.58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2,515,088.68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153,914,119.13</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69,133,437.25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37,791,219.00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106,924,656.25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4,498,454.66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40,211.73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34,112.00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4,504,554.39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4,375,439.09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952,786.48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5,328,225.57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32,520,542.23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7,117,117.37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2,480,976.68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37,156,682.92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31,748,385.93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12,043,736.37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2,418,885.72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41,373,236.58</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8,351,336.71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2,233,009.92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10,584,346.63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3,397,613.63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392,235.66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31,024.58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3,758,824.71</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2,646,103.13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484,082.12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3,130,185.25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17,353,332.46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8,934,408.67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2,387,861.14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23,899,879.99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78,779,487.30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112,540,882.55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60,782,100.54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96,340,309.62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1,100,841.03</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745,729.68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1,729,335.96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2,198,040.32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15,167,209.77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13,256,802.93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78,779,487.30</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112,540,882.55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60,782,100.54</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96,340,309.62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1,100,841.03</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745,729.68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1,729,335.96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2,198,040.32</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15,167,209.77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13,256,802.93</w:t>
            </w:r>
          </w:p>
        </w:tc>
      </w:tr>
    </w:tbl>
    <w:p>
      <w:pPr>
        <w:pStyle w:val="BodyText"/>
        <w:spacing w:line="240" w:lineRule="auto" w:before="49"/>
        <w:ind w:right="1123"/>
        <w:jc w:val="left"/>
      </w:pPr>
      <w:r>
        <w:rPr/>
        <w:t>本期折旧额</w:t>
      </w:r>
      <w:r>
        <w:rPr>
          <w:spacing w:val="-46"/>
        </w:rPr>
        <w:t> </w:t>
      </w:r>
      <w:r>
        <w:rPr>
          <w:rFonts w:ascii="Times New Roman" w:hAnsi="Times New Roman" w:cs="Times New Roman" w:eastAsia="Times New Roman" w:hint="default"/>
        </w:rPr>
        <w:t>12,043,736.37</w:t>
      </w:r>
      <w:r>
        <w:rPr>
          <w:rFonts w:ascii="Times New Roman" w:hAnsi="Times New Roman" w:cs="Times New Roman" w:eastAsia="Times New Roman" w:hint="default"/>
          <w:spacing w:val="-1"/>
        </w:rPr>
        <w:t> </w:t>
      </w:r>
      <w:r>
        <w:rPr/>
        <w:t>元；本期由在建工程转入固定资产原价为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武汉光谷金融港研发中心办公楼</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94"/>
              <w:jc w:val="left"/>
              <w:rPr>
                <w:rFonts w:ascii="宋体" w:hAnsi="宋体" w:cs="宋体" w:eastAsia="宋体" w:hint="default"/>
                <w:sz w:val="18"/>
                <w:szCs w:val="18"/>
              </w:rPr>
            </w:pPr>
            <w:r>
              <w:rPr>
                <w:rFonts w:ascii="宋体" w:hAnsi="宋体" w:cs="宋体" w:eastAsia="宋体" w:hint="default"/>
                <w:sz w:val="18"/>
                <w:szCs w:val="18"/>
              </w:rPr>
              <w:t>交付时间尚短，房产证办理所需时间较 长</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pStyle w:val="BodyText"/>
        <w:spacing w:line="240" w:lineRule="auto" w:before="49"/>
        <w:ind w:right="1123"/>
        <w:jc w:val="left"/>
      </w:pPr>
      <w:r>
        <w:rPr/>
        <w:t>固定资产说明</w:t>
      </w:r>
    </w:p>
    <w:p>
      <w:pPr>
        <w:pStyle w:val="Heading5"/>
        <w:spacing w:line="240" w:lineRule="auto" w:before="94"/>
        <w:ind w:right="1123"/>
        <w:jc w:val="left"/>
      </w:pPr>
      <w:r>
        <w:rPr/>
        <w:t>公司固定资产主要为房屋建筑物、运输设备、办公设备及生产经营用电脑设备。</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新机房设计工程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武汉办公楼装修工程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532,976.00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532,976.00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657,976.00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657,976.00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337"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1123"/>
        <w:jc w:val="left"/>
      </w:pPr>
      <w:r>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7"/>
        <w:gridCol w:w="1606"/>
        <w:gridCol w:w="1462"/>
        <w:gridCol w:w="1594"/>
        <w:gridCol w:w="1860"/>
      </w:tblGrid>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工程物资的说明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05"/>
        <w:gridCol w:w="2004"/>
        <w:gridCol w:w="2139"/>
        <w:gridCol w:w="2500"/>
      </w:tblGrid>
      <w:tr>
        <w:trPr>
          <w:trHeight w:val="401"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49"/>
        <w:ind w:right="1123"/>
        <w:jc w:val="left"/>
      </w:pPr>
      <w:r>
        <w:rPr/>
        <w:t>生产性生物资产的说明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7"/>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油气资产的说明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5"/>
        <w:gridCol w:w="1844"/>
        <w:gridCol w:w="1844"/>
        <w:gridCol w:w="1844"/>
        <w:gridCol w:w="1843"/>
      </w:tblGrid>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9,190,619.67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62,307.70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9,252,927.37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2,911,652.93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2,911,652.93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6,278,966.74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62,307.70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6,341,274.44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4,765,683.13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1,437,686.97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6,203,370.10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311,640.88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58,233.00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369,873.88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4,454,042.25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1,379,453.97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5,833,496.22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4,424,936.54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-1,375,379.27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3,049,557.27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2,600,012.05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-58,233.00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2,541,779.05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1,824,924.49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-1,317,146.27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507,778.22</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4,424,936.54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-1,375,379.27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3,049,557.27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2,600,012.05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-58,233.00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2,541,779.05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1,824,924.49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-1,317,146.27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507,778.22</w:t>
            </w:r>
          </w:p>
        </w:tc>
      </w:tr>
    </w:tbl>
    <w:p>
      <w:pPr>
        <w:pStyle w:val="BodyText"/>
        <w:spacing w:line="240" w:lineRule="auto" w:before="49"/>
        <w:ind w:right="1123"/>
        <w:jc w:val="left"/>
      </w:pPr>
      <w:r>
        <w:rPr/>
        <w:t>本期摊销额元。</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83"/>
        <w:gridCol w:w="1604"/>
      </w:tblGrid>
      <w:tr>
        <w:trPr>
          <w:trHeight w:val="204"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0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75" w:type="dxa"/>
            <w:gridSpan w:val="2"/>
            <w:vMerge/>
            <w:tcBorders>
              <w:left w:val="single" w:sz="4" w:space="0" w:color="000000"/>
              <w:bottom w:val="single" w:sz="4" w:space="0" w:color="000000"/>
              <w:right w:val="single" w:sz="4" w:space="0" w:color="000000"/>
            </w:tcBorders>
            <w:shd w:val="clear" w:color="auto" w:fill="D2D2D2"/>
          </w:tcPr>
          <w:p>
            <w:pPr/>
          </w:p>
        </w:tc>
        <w:tc>
          <w:tcPr>
            <w:tcW w:w="1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60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40" w:lineRule="auto" w:before="49"/>
        <w:ind w:right="5068"/>
        <w:jc w:val="left"/>
      </w:pPr>
      <w:r>
        <w:rPr/>
        <w:t>本期开发支出占本期研究开发项目支出总额的比例</w:t>
      </w:r>
      <w:r>
        <w:rPr>
          <w:spacing w:val="-44"/>
        </w:rPr>
        <w:t> </w:t>
      </w:r>
      <w:r>
        <w:rPr>
          <w:rFonts w:ascii="Times New Roman" w:hAnsi="Times New Roman" w:cs="Times New Roman" w:eastAsia="Times New Roman" w:hint="default"/>
        </w:rPr>
        <w:t>0%</w:t>
      </w:r>
      <w:r>
        <w:rPr/>
        <w:t>。 通过公司内部研发形成的无形资产占无形资产期末账面价值的比例</w:t>
      </w:r>
      <w:r>
        <w:rPr>
          <w:spacing w:val="-44"/>
        </w:rPr>
        <w:t> </w:t>
      </w:r>
      <w:r>
        <w:rPr>
          <w:rFonts w:ascii="Times New Roman" w:hAnsi="Times New Roman" w:cs="Times New Roman" w:eastAsia="Times New Roman" w:hint="default"/>
        </w:rPr>
        <w:t>0%</w:t>
      </w:r>
      <w:r>
        <w:rPr/>
        <w:t>。</w:t>
      </w:r>
    </w:p>
    <w:p>
      <w:pPr>
        <w:pStyle w:val="BodyText"/>
        <w:spacing w:line="240" w:lineRule="auto" w:before="17"/>
        <w:ind w:right="0"/>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462"/>
        <w:gridCol w:w="1460"/>
        <w:gridCol w:w="1459"/>
        <w:gridCol w:w="1462"/>
        <w:gridCol w:w="1198"/>
      </w:tblGrid>
      <w:tr>
        <w:trPr>
          <w:trHeight w:val="71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79"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pStyle w:val="BodyText"/>
        <w:spacing w:line="240" w:lineRule="auto" w:before="49"/>
        <w:ind w:right="1123"/>
        <w:jc w:val="left"/>
      </w:pPr>
      <w:r>
        <w:rPr/>
        <w:t>说明商誉的减值测试方法和减值准备计提方法</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35.455723pt;width:135pt;height:77pt;mso-position-horizontal-relative:page;mso-position-vertical-relative:paragraph;z-index:-893704" coordorigin="9206,709" coordsize="2700,1540">
            <v:shape style="position:absolute;left:9206;top:709;width:2700;height:1540" type="#_x0000_t75" stroked="false">
              <v:imagedata r:id="rId15" o:title=""/>
            </v:shape>
            <v:shape style="position:absolute;left:10509;top:106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119</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after="0" w:line="240" w:lineRule="auto"/>
        <w:jc w:val="left"/>
        <w:rPr>
          <w:rFonts w:ascii="宋体" w:hAnsi="宋体" w:cs="宋体" w:eastAsia="宋体" w:hint="default"/>
          <w:sz w:val="18"/>
          <w:szCs w:val="18"/>
        </w:rPr>
        <w:sectPr>
          <w:headerReference w:type="default" r:id="rId58"/>
          <w:footerReference w:type="default" r:id="rId5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78"/>
        <w:gridCol w:w="135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1,402,159.43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932,582.80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1,036,625.28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1,298,116.95</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1,402,159.43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932,582.80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1,036,625.28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1,298,116.95</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794"/>
        <w:jc w:val="left"/>
      </w:pPr>
      <w:r>
        <w:rPr/>
        <w:t>长期待摊费用的说明 长期待摊费用为北京总部办公房屋装修费。</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已确认的递延所得税资产和递延所得税负债</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0"/>
        <w:gridCol w:w="2927"/>
        <w:gridCol w:w="2921"/>
      </w:tblGrid>
      <w:tr>
        <w:trPr>
          <w:trHeight w:val="409"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2,366,821.08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2,405,427.09</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2,366,821.08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2,405,427.09</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长期股权投资权益法核算产生的应纳税暂时性 差异</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9,747,131.05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6,897,380.30</w:t>
            </w: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交易性金融资产公允价值变动产生的应纳税暂 时性差异</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294,458.55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10,041,589.60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6,897,380.30</w:t>
            </w:r>
          </w:p>
        </w:tc>
      </w:tr>
    </w:tbl>
    <w:p>
      <w:pPr>
        <w:pStyle w:val="BodyText"/>
        <w:spacing w:line="240" w:lineRule="auto" w:before="49"/>
        <w:ind w:right="1123"/>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未确认递延所得税资产的可抵扣亏损将于以下年度到期</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23"/>
        <w:jc w:val="left"/>
      </w:pPr>
      <w:r>
        <w:rPr/>
        <w:t>应纳税差异和可抵扣差异项目明细</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after="0" w:line="240" w:lineRule="auto"/>
        <w:jc w:val="right"/>
        <w:sectPr>
          <w:footerReference w:type="default" r:id="rId60"/>
          <w:pgSz w:w="11910" w:h="16840"/>
          <w:pgMar w:footer="1255" w:header="877" w:top="1060" w:bottom="1440" w:left="980" w:right="0"/>
          <w:pgNumType w:start="1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051"/>
        <w:gridCol w:w="1625"/>
        <w:gridCol w:w="1628"/>
        <w:gridCol w:w="1628"/>
        <w:gridCol w:w="1630"/>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2,366,821.08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2,405,427.09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10,041,589.60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6,897,380.30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1123"/>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22,702,778.11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965,432.67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23,668,210.78</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188,192.67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188,192.67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22,890,970.78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965,432.67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188,192.67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23,668,210.78</w:t>
            </w:r>
          </w:p>
        </w:tc>
      </w:tr>
    </w:tbl>
    <w:p>
      <w:pPr>
        <w:pStyle w:val="BodyText"/>
        <w:spacing w:line="240" w:lineRule="auto" w:before="49"/>
        <w:ind w:right="1123"/>
        <w:jc w:val="left"/>
      </w:pPr>
      <w:r>
        <w:rPr/>
        <w:t>资产减值明细情况的说明</w:t>
      </w:r>
    </w:p>
    <w:p>
      <w:pPr>
        <w:pStyle w:val="Heading5"/>
        <w:spacing w:line="240" w:lineRule="auto" w:before="94"/>
        <w:ind w:right="1123"/>
        <w:jc w:val="left"/>
      </w:pPr>
      <w:r>
        <w:rPr/>
        <w:t>本年减少是由于福州远光软件有限公司已完成注销手续，本期核销长期股权投资减值准备。</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其他非流动资产的说明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短期借款分类的说明</w:t>
      </w:r>
    </w:p>
    <w:p>
      <w:pPr>
        <w:spacing w:after="0" w:line="240" w:lineRule="auto"/>
        <w:jc w:val="left"/>
        <w:sectPr>
          <w:pgSz w:w="11910" w:h="16840"/>
          <w:pgMar w:header="877" w:footer="1255"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49"/>
        <w:ind w:right="4634"/>
        <w:jc w:val="left"/>
      </w:pPr>
      <w:r>
        <w:rPr/>
        <w:t>资产负债表日后已偿还金额元。 短期借款的说明，包括已到期短期借款获展期的，说明展期条件、新的到期日</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4"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交易性金融负债的说明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8234"/>
        <w:jc w:val="left"/>
      </w:pPr>
      <w:r>
        <w:rPr/>
        <w:t>下一会计期间将到期的金额元。 应付票据的说明</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15,613,798.48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6,255,177.30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109,568.80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20,595,650.74</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3,623,300.00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590,601.00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1,701,193.46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1,110,592.46</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21,047,860.74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28,552,021.50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5"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5"/>
        <w:gridCol w:w="2802"/>
        <w:gridCol w:w="2921"/>
      </w:tblGrid>
      <w:tr>
        <w:trPr>
          <w:trHeight w:val="398"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32,365,222.90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18,864,491.74</w:t>
            </w:r>
          </w:p>
        </w:tc>
      </w:tr>
      <w:tr>
        <w:trPr>
          <w:trHeight w:val="40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32,365,222.90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18,864,491.74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3"/>
        <w:gridCol w:w="2802"/>
        <w:gridCol w:w="2921"/>
      </w:tblGrid>
      <w:tr>
        <w:trPr>
          <w:trHeight w:val="403" w:hRule="exact"/>
        </w:trPr>
        <w:tc>
          <w:tcPr>
            <w:tcW w:w="3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0"/>
      </w:tblGrid>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24,100,000.00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238,708,615.97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234,308,615.97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28,500,000.00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8,006,310.66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8,006,310.66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29,265.17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30,219,163.67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30,214,299.35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34,129.49</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9,701.41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10,017,402.32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10,015,789.84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11,313.89</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16,169.01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16,695,670.54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16,692,983.07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18,856.48</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1,615.44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1,669,567.06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1,669,298.31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1,884.19</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667,826.82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667,719.32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754.25</w:t>
            </w: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1,132.56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1,168,696.93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1,168,508.81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1,320.68</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8,347,284.78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8,347,284.78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6,169,334.31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8,641,000.62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4,593,829.42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10,216,505.51</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6,169,334.31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8,641,000.62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4,593,829.42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10,216,505.51</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30,298,599.48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293,981,355.70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285,529,320.18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38,750,635.00</w:t>
            </w:r>
          </w:p>
        </w:tc>
      </w:tr>
    </w:tbl>
    <w:p>
      <w:pPr>
        <w:pStyle w:val="BodyText"/>
        <w:spacing w:line="240" w:lineRule="auto" w:before="49"/>
        <w:ind w:right="1123"/>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1255" w:top="1060" w:bottom="1440" w:left="980" w:right="0"/>
        </w:sectPr>
      </w:pPr>
    </w:p>
    <w:p>
      <w:pPr>
        <w:spacing w:line="240" w:lineRule="auto" w:before="9"/>
        <w:rPr>
          <w:rFonts w:ascii="宋体" w:hAnsi="宋体" w:cs="宋体" w:eastAsia="宋体" w:hint="default"/>
          <w:sz w:val="25"/>
          <w:szCs w:val="25"/>
        </w:rPr>
      </w:pPr>
    </w:p>
    <w:p>
      <w:pPr>
        <w:pStyle w:val="BodyText"/>
        <w:spacing w:line="340" w:lineRule="auto"/>
        <w:ind w:right="1580"/>
        <w:jc w:val="left"/>
      </w:pPr>
      <w:r>
        <w:rPr/>
        <w:t>工会经费和职工教育经费金额</w:t>
      </w:r>
      <w:r>
        <w:rPr>
          <w:spacing w:val="-46"/>
        </w:rPr>
        <w:t> </w:t>
      </w:r>
      <w:r>
        <w:rPr>
          <w:rFonts w:ascii="Times New Roman" w:hAnsi="Times New Roman" w:cs="Times New Roman" w:eastAsia="Times New Roman" w:hint="default"/>
        </w:rPr>
        <w:t>10,216,505.51 </w:t>
      </w:r>
      <w:r>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58,980.00</w:t>
      </w:r>
      <w:r>
        <w:rPr>
          <w:rFonts w:ascii="Times New Roman" w:hAnsi="Times New Roman" w:cs="Times New Roman" w:eastAsia="Times New Roman" w:hint="default"/>
          <w:spacing w:val="-1"/>
        </w:rPr>
        <w:t> </w:t>
      </w:r>
      <w:r>
        <w:rPr/>
        <w:t>元。 应付职工薪酬预计发放时间、金额等安排</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19,301,149.61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1,222,456.15</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190,108.80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4,993,954.83</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-12,464,910.03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10,191,121.58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541,656.73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406,869.85</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1,393,001.16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452,492.93</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275,868.01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113,153.71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984,921.39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313,129.98</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432,136.36</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10,221,795.67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18,125,315.39</w:t>
            </w:r>
          </w:p>
        </w:tc>
      </w:tr>
    </w:tbl>
    <w:p>
      <w:pPr>
        <w:pStyle w:val="BodyText"/>
        <w:spacing w:line="240" w:lineRule="auto" w:before="49"/>
        <w:ind w:right="1123"/>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应付利息说明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2005"/>
        <w:gridCol w:w="2139"/>
        <w:gridCol w:w="2633"/>
      </w:tblGrid>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应付股利的说明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59.57172pt;width:135pt;height:77pt;mso-position-horizontal-relative:page;mso-position-vertical-relative:paragraph;z-index:-893656" coordorigin="9206,1191" coordsize="2700,1540">
            <v:shape style="position:absolute;left:9206;top:1191;width:2700;height:1540" type="#_x0000_t75" stroked="false">
              <v:imagedata r:id="rId15" o:title=""/>
            </v:shape>
            <v:shape style="position:absolute;left:10502;top:155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124</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5,843,980.37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2" w:right="0"/>
              <w:jc w:val="left"/>
              <w:rPr>
                <w:rFonts w:ascii="Times New Roman" w:hAnsi="Times New Roman" w:cs="Times New Roman" w:eastAsia="Times New Roman" w:hint="default"/>
                <w:sz w:val="18"/>
                <w:szCs w:val="18"/>
              </w:rPr>
            </w:pPr>
            <w:r>
              <w:rPr>
                <w:rFonts w:ascii="Times New Roman"/>
                <w:sz w:val="18"/>
              </w:rPr>
              <w:t>1,523,495.61</w:t>
            </w:r>
          </w:p>
        </w:tc>
      </w:tr>
    </w:tbl>
    <w:p>
      <w:pPr>
        <w:spacing w:after="0" w:line="240" w:lineRule="auto"/>
        <w:jc w:val="left"/>
        <w:rPr>
          <w:rFonts w:ascii="Times New Roman" w:hAnsi="Times New Roman" w:cs="Times New Roman" w:eastAsia="Times New Roman" w:hint="default"/>
          <w:sz w:val="18"/>
          <w:szCs w:val="18"/>
        </w:rPr>
        <w:sectPr>
          <w:headerReference w:type="default" r:id="rId61"/>
          <w:footerReference w:type="default" r:id="rId6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1,440,939.25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1,102,026.12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929,859.02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953,664.19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884,115.76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701,636.87</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9,098,894.40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4,280,822.79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账龄超过一年的大额其他应付款为应付股东董事会费，金额</w:t>
      </w:r>
      <w:r>
        <w:rPr>
          <w:rFonts w:ascii="Times New Roman" w:hAnsi="Times New Roman" w:cs="Times New Roman" w:eastAsia="Times New Roman" w:hint="default"/>
        </w:rPr>
        <w:t>1,076,392.70</w:t>
      </w:r>
      <w:r>
        <w:rPr/>
        <w:t>元。</w:t>
      </w:r>
    </w:p>
    <w:p>
      <w:pPr>
        <w:spacing w:line="240" w:lineRule="auto" w:before="2"/>
        <w:rPr>
          <w:rFonts w:ascii="宋体" w:hAnsi="宋体" w:cs="宋体" w:eastAsia="宋体" w:hint="default"/>
          <w:sz w:val="26"/>
          <w:szCs w:val="26"/>
        </w:rPr>
      </w:pPr>
    </w:p>
    <w:p>
      <w:pPr>
        <w:spacing w:line="544" w:lineRule="auto" w:before="0"/>
        <w:ind w:left="152" w:right="11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b/>
          <w:bCs/>
          <w:w w:val="100"/>
          <w:sz w:val="21"/>
          <w:szCs w:val="21"/>
        </w:rPr>
        <w:t> </w:t>
      </w:r>
      <w:r>
        <w:rPr>
          <w:rFonts w:ascii="宋体" w:hAnsi="宋体" w:cs="宋体" w:eastAsia="宋体" w:hint="default"/>
          <w:sz w:val="18"/>
          <w:szCs w:val="18"/>
        </w:rPr>
        <w:t>期末余额主要为已收员工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月期权行权款</w:t>
      </w:r>
      <w:r>
        <w:rPr>
          <w:rFonts w:ascii="Times New Roman" w:hAnsi="Times New Roman" w:cs="Times New Roman" w:eastAsia="Times New Roman" w:hint="default"/>
          <w:sz w:val="18"/>
          <w:szCs w:val="18"/>
        </w:rPr>
        <w:t>4,742,358.96</w:t>
      </w:r>
      <w:r>
        <w:rPr>
          <w:rFonts w:ascii="宋体" w:hAnsi="宋体" w:cs="宋体" w:eastAsia="宋体" w:hint="default"/>
          <w:sz w:val="18"/>
          <w:szCs w:val="18"/>
        </w:rPr>
        <w:t>元，占</w:t>
      </w:r>
      <w:r>
        <w:rPr>
          <w:rFonts w:ascii="Times New Roman" w:hAnsi="Times New Roman" w:cs="Times New Roman" w:eastAsia="Times New Roman" w:hint="default"/>
          <w:sz w:val="18"/>
          <w:szCs w:val="18"/>
        </w:rPr>
        <w:t>52.12%</w:t>
      </w:r>
      <w:r>
        <w:rPr>
          <w:rFonts w:ascii="宋体" w:hAnsi="宋体" w:cs="宋体" w:eastAsia="宋体" w:hint="default"/>
          <w:sz w:val="18"/>
          <w:szCs w:val="18"/>
        </w:rPr>
        <w:t>；应付股东董事会费</w:t>
      </w:r>
      <w:r>
        <w:rPr>
          <w:rFonts w:ascii="Times New Roman" w:hAnsi="Times New Roman" w:cs="Times New Roman" w:eastAsia="Times New Roman" w:hint="default"/>
          <w:sz w:val="18"/>
          <w:szCs w:val="18"/>
        </w:rPr>
        <w:t>1,076,392.70</w:t>
      </w:r>
      <w:r>
        <w:rPr>
          <w:rFonts w:ascii="宋体" w:hAnsi="宋体" w:cs="宋体" w:eastAsia="宋体" w:hint="default"/>
          <w:sz w:val="18"/>
          <w:szCs w:val="18"/>
        </w:rPr>
        <w:t>元，占</w:t>
      </w:r>
      <w:r>
        <w:rPr>
          <w:rFonts w:ascii="Times New Roman" w:hAnsi="Times New Roman" w:cs="Times New Roman" w:eastAsia="Times New Roman" w:hint="default"/>
          <w:sz w:val="18"/>
          <w:szCs w:val="18"/>
        </w:rPr>
        <w:t>11.83%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5"/>
        <w:gridCol w:w="1861"/>
        <w:gridCol w:w="1860"/>
        <w:gridCol w:w="1860"/>
        <w:gridCol w:w="1995"/>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预计负债说明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一年内到期的长期借款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63"/>
          <w:pgSz w:w="11910" w:h="16840"/>
          <w:pgMar w:footer="1289" w:header="877" w:top="1060" w:bottom="1480" w:left="980" w:right="0"/>
          <w:pgNumType w:start="125"/>
        </w:sectPr>
      </w:pPr>
    </w:p>
    <w:p>
      <w:pPr>
        <w:pStyle w:val="BodyText"/>
        <w:spacing w:line="357" w:lineRule="auto" w:before="50"/>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一年内到期的长期借款中的逾期借款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一年内到期的应付债券说明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0"/>
        <w:ind w:right="1123"/>
        <w:jc w:val="left"/>
      </w:pPr>
      <w:r>
        <w:rPr/>
        <w:t>一年内到期的长期应付款的说明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其他流动负债说明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长期借款分类的说明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289" w:top="1060" w:bottom="14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2"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57" w:lineRule="auto" w:before="49"/>
        <w:ind w:right="6794"/>
        <w:jc w:val="left"/>
      </w:pPr>
      <w:r>
        <w:rPr/>
        <w:t>由独立第三方为公司融资租赁提供担保的金额元。 长期应付款的说明</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0"/>
        <w:gridCol w:w="1339"/>
        <w:gridCol w:w="1330"/>
        <w:gridCol w:w="1198"/>
        <w:gridCol w:w="1339"/>
        <w:gridCol w:w="1971"/>
      </w:tblGrid>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专项应付款说明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19,787,763.53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21,752,244.45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19,787,763.53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21,752,244.45</w:t>
            </w:r>
          </w:p>
        </w:tc>
      </w:tr>
    </w:tbl>
    <w:p>
      <w:pPr>
        <w:pStyle w:val="BodyText"/>
        <w:spacing w:line="240" w:lineRule="auto" w:before="49"/>
        <w:ind w:right="1123"/>
        <w:jc w:val="left"/>
      </w:pPr>
      <w:r>
        <w:rPr/>
        <w:t>其他非流动负债说明，包括本报告期取得的各类与资产相关、与收益相关的政府补助及其期末金额</w:t>
      </w:r>
    </w:p>
    <w:p>
      <w:pPr>
        <w:spacing w:after="0" w:line="240" w:lineRule="auto"/>
        <w:jc w:val="left"/>
        <w:sectPr>
          <w:pgSz w:w="11910" w:h="16840"/>
          <w:pgMar w:header="877" w:footer="1289" w:top="1060" w:bottom="148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其他非流动负债为取得的政府补助，期末余额</w:t>
      </w:r>
      <w:r>
        <w:rPr>
          <w:rFonts w:ascii="Times New Roman" w:hAnsi="Times New Roman" w:cs="Times New Roman" w:eastAsia="Times New Roman" w:hint="default"/>
        </w:rPr>
        <w:t>19787763.53</w:t>
      </w:r>
      <w:r>
        <w:rPr/>
        <w:t>。</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339,925,608.00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101,977,682.00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1,279,860.00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103,257,542.00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443,183,150.00</w:t>
            </w:r>
          </w:p>
        </w:tc>
      </w:tr>
    </w:tbl>
    <w:p>
      <w:pPr>
        <w:spacing w:line="319" w:lineRule="auto" w:before="49"/>
        <w:ind w:left="152" w:right="1231" w:firstLine="0"/>
        <w:jc w:val="both"/>
        <w:rPr>
          <w:rFonts w:ascii="宋体" w:hAnsi="宋体" w:cs="宋体" w:eastAsia="宋体" w:hint="default"/>
          <w:sz w:val="21"/>
          <w:szCs w:val="21"/>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年的股份有限公司，设立前的年份只需说明净资产情况；有限责任公司整体变更为股份公司应说明公司设立时的验资情况 </w:t>
      </w:r>
      <w:r>
        <w:rPr>
          <w:rFonts w:ascii="宋体" w:hAnsi="宋体" w:cs="宋体" w:eastAsia="宋体" w:hint="default"/>
          <w:sz w:val="21"/>
          <w:szCs w:val="21"/>
        </w:rPr>
        <w:t>本次增资由利安达会计师事务所有限责任公司利安达验字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Times New Roman" w:hAnsi="Times New Roman" w:cs="Times New Roman" w:eastAsia="Times New Roman" w:hint="default"/>
          <w:sz w:val="21"/>
          <w:szCs w:val="21"/>
        </w:rPr>
        <w:t>1080</w:t>
      </w:r>
      <w:r>
        <w:rPr>
          <w:rFonts w:ascii="宋体" w:hAnsi="宋体" w:cs="宋体" w:eastAsia="宋体" w:hint="default"/>
          <w:sz w:val="21"/>
          <w:szCs w:val="21"/>
        </w:rPr>
        <w:t>号验资报告验证确认。</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库存股情况说明</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专项储备情况说明</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82,558,002.79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30,512,063.85</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113,070,066.64</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28,155,973.45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46,134,340.90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27,837,156.45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46,453,157.90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110,713,976.24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76,646,404.75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27,837,156.45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159,523,224.54</w:t>
            </w:r>
          </w:p>
        </w:tc>
      </w:tr>
    </w:tbl>
    <w:p>
      <w:pPr>
        <w:pStyle w:val="BodyText"/>
        <w:spacing w:line="240" w:lineRule="auto" w:before="49"/>
        <w:ind w:right="1123"/>
        <w:jc w:val="left"/>
      </w:pPr>
      <w:r>
        <w:rPr/>
        <w:t>资本公积说明</w:t>
      </w:r>
    </w:p>
    <w:p>
      <w:pPr>
        <w:pStyle w:val="Heading5"/>
        <w:spacing w:line="240" w:lineRule="auto" w:before="94"/>
        <w:ind w:left="467" w:right="1123"/>
        <w:jc w:val="left"/>
      </w:pPr>
      <w:r>
        <w:rPr>
          <w:rFonts w:ascii="Times New Roman" w:hAnsi="Times New Roman" w:cs="Times New Roman" w:eastAsia="Times New Roman" w:hint="default"/>
        </w:rPr>
        <w:t>1</w:t>
      </w:r>
      <w:r>
        <w:rPr/>
        <w:t>、股本溢价本年增加原因：本公司股权激励行权增加股本溢价</w:t>
      </w:r>
      <w:r>
        <w:rPr>
          <w:rFonts w:ascii="Times New Roman" w:hAnsi="Times New Roman" w:cs="Times New Roman" w:eastAsia="Times New Roman" w:hint="default"/>
        </w:rPr>
        <w:t>30,512,063.85</w:t>
      </w:r>
      <w:r>
        <w:rPr/>
        <w:t>元。</w:t>
      </w:r>
    </w:p>
    <w:p>
      <w:pPr>
        <w:pStyle w:val="Heading5"/>
        <w:spacing w:line="240" w:lineRule="auto" w:before="21"/>
        <w:ind w:left="467" w:right="1123"/>
        <w:jc w:val="left"/>
      </w:pPr>
      <w:r>
        <w:rPr>
          <w:rFonts w:ascii="Times New Roman" w:hAnsi="Times New Roman" w:cs="Times New Roman" w:eastAsia="Times New Roman" w:hint="default"/>
        </w:rPr>
        <w:t>2</w:t>
      </w:r>
      <w:r>
        <w:rPr/>
        <w:t>、其他资本公积本期新增为计提的股权激励费用，本年减少为股权激励行权转入股本溢价。</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84,534,306.27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28,782,808.58</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113,317,114.85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84,534,306.27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28,782,808.58</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113,317,114.85</w:t>
            </w:r>
          </w:p>
        </w:tc>
      </w:tr>
    </w:tbl>
    <w:p>
      <w:pPr>
        <w:pStyle w:val="BodyText"/>
        <w:spacing w:line="240" w:lineRule="auto" w:before="49"/>
        <w:ind w:right="1123"/>
        <w:jc w:val="left"/>
      </w:pPr>
      <w:r>
        <w:rPr/>
        <w:t>盈余公积说明，用盈余公积转增股本、弥补亏损、分派股利的，应说明有关决议</w:t>
      </w:r>
    </w:p>
    <w:p>
      <w:pPr>
        <w:spacing w:after="0" w:line="240" w:lineRule="auto"/>
        <w:jc w:val="left"/>
        <w:sectPr>
          <w:pgSz w:w="11910" w:h="16840"/>
          <w:pgMar w:header="877" w:footer="1289" w:top="1060" w:bottom="14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一般风险准备情况说明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440,191,859.73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288,004,446.86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28,782,808.58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74,783,633.76</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101,977,682.00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522,652,182.25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调整年初未分配利润明细：</w:t>
      </w:r>
    </w:p>
    <w:p>
      <w:pPr>
        <w:pStyle w:val="BodyText"/>
        <w:spacing w:line="240" w:lineRule="auto" w:before="117"/>
        <w:ind w:right="1123"/>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23"/>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23"/>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23"/>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1"/>
        <w:ind w:right="1123"/>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spacing w:line="240" w:lineRule="auto" w:before="3"/>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779,780,492.44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642,410,646.15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179,240,888.87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147,106,266.25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289" w:top="1060" w:bottom="14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768,964,203.88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176,256,982.42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633,759,345.53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144,681,567.23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10,816,288.56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2,983,906.45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8,651,300.62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2,424,699.02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779,780,492.44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179,240,888.87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642,410,646.15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147,106,266.25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自行开发研制的软件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66,844,786.55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50,606,150.68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561,797.07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定制软件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434,807,846.68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98,875,037.88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356,602,793.00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90,293,391.11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225,925,115.68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36,485,566.39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208,917,193.98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34,732,394.32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52,202,743.53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43,297,434.60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26,284,508.49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21,518,683.75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779,780,492.44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179,240,888.87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642,410,646.15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147,106,266.25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135,173,652.65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34,294,955.64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85,210,928.36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18,877,984.04</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230,313,287.35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52,279,231.30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278,672,006.21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63,093,928.02</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116,358,447.19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30,237,484.71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42,333,105.14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8,472,801.03</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115,996,778.47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23,930,741.93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91,038,589.65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22,951,864.17</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82,262,225.56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17,615,001.29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65,082,981.37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15,912,328.26</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99,676,101.22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20,883,474.00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80,073,035.42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17,797,360.73</w:t>
            </w:r>
          </w:p>
        </w:tc>
      </w:tr>
      <w:tr>
        <w:trPr>
          <w:trHeight w:val="4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779,780,492.44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179,240,888.87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642,410,646.15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147,106,266.25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38,757,500.00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12,781,626.35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9" w:top="1060" w:bottom="14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11,543,818.49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10,963,773.58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10,162,547.17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84,209,265.59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w:t>
            </w:r>
          </w:p>
        </w:tc>
      </w:tr>
    </w:tbl>
    <w:p>
      <w:pPr>
        <w:pStyle w:val="BodyText"/>
        <w:spacing w:line="240" w:lineRule="auto" w:before="49"/>
        <w:ind w:right="1123"/>
        <w:jc w:val="left"/>
      </w:pPr>
      <w:r>
        <w:rPr/>
        <w:t>营业收入的说明</w:t>
      </w:r>
    </w:p>
    <w:p>
      <w:pPr>
        <w:pStyle w:val="Heading5"/>
        <w:spacing w:line="240" w:lineRule="auto" w:before="94"/>
        <w:ind w:right="1123"/>
        <w:jc w:val="left"/>
      </w:pPr>
      <w:r>
        <w:rPr/>
        <w:t>本年营业收入较上年增长</w:t>
      </w:r>
      <w:r>
        <w:rPr>
          <w:rFonts w:ascii="Times New Roman" w:hAnsi="Times New Roman" w:cs="Times New Roman" w:eastAsia="Times New Roman" w:hint="default"/>
        </w:rPr>
        <w:t>21.38%</w:t>
      </w:r>
      <w:r>
        <w:rPr/>
        <w:t>的主要原因是软件服务收入及定制软件收入大幅增加。</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1123"/>
        <w:jc w:val="left"/>
      </w:pPr>
      <w:r>
        <w:rPr/>
        <w:t>合同项目的说明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3"/>
        <w:gridCol w:w="1992"/>
        <w:gridCol w:w="1863"/>
        <w:gridCol w:w="2909"/>
      </w:tblGrid>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1" w:hRule="exact"/>
        </w:trPr>
        <w:tc>
          <w:tcPr>
            <w:tcW w:w="2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16,080,663.82</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10,720,528.83</w:t>
            </w:r>
          </w:p>
        </w:tc>
        <w:tc>
          <w:tcPr>
            <w:tcW w:w="2909"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按照属营业税征缴范围的软件服务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r>
      <w:tr>
        <w:trPr>
          <w:trHeight w:val="391" w:hRule="exact"/>
        </w:trPr>
        <w:tc>
          <w:tcPr>
            <w:tcW w:w="2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vMerge/>
            <w:tcBorders>
              <w:left w:val="single" w:sz="9" w:space="0" w:color="D2D2D2"/>
              <w:right w:val="single" w:sz="4" w:space="0" w:color="000000"/>
            </w:tcBorders>
          </w:tcPr>
          <w:p>
            <w:pPr/>
          </w:p>
        </w:tc>
        <w:tc>
          <w:tcPr>
            <w:tcW w:w="1863" w:type="dxa"/>
            <w:vMerge/>
            <w:tcBorders>
              <w:left w:val="single" w:sz="4" w:space="0" w:color="000000"/>
              <w:right w:val="single" w:sz="4" w:space="0" w:color="000000"/>
            </w:tcBorders>
          </w:tcPr>
          <w:p>
            <w:pPr/>
          </w:p>
        </w:tc>
        <w:tc>
          <w:tcPr>
            <w:tcW w:w="2909" w:type="dxa"/>
            <w:vMerge/>
            <w:tcBorders>
              <w:left w:val="single" w:sz="4" w:space="0" w:color="000000"/>
              <w:right w:val="single" w:sz="4" w:space="0" w:color="000000"/>
            </w:tcBorders>
            <w:shd w:val="clear" w:color="auto" w:fill="C6ECCC"/>
          </w:tcPr>
          <w:p>
            <w:pPr/>
          </w:p>
        </w:tc>
      </w:tr>
      <w:tr>
        <w:trPr>
          <w:trHeight w:val="161" w:hRule="exact"/>
        </w:trPr>
        <w:tc>
          <w:tcPr>
            <w:tcW w:w="2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2" w:type="dxa"/>
            <w:vMerge/>
            <w:tcBorders>
              <w:left w:val="single" w:sz="9" w:space="0" w:color="D2D2D2"/>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2909"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2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9" w:right="0"/>
              <w:jc w:val="left"/>
              <w:rPr>
                <w:rFonts w:ascii="Times New Roman" w:hAnsi="Times New Roman" w:cs="Times New Roman" w:eastAsia="Times New Roman" w:hint="default"/>
                <w:sz w:val="18"/>
                <w:szCs w:val="18"/>
              </w:rPr>
            </w:pPr>
            <w:r>
              <w:rPr>
                <w:rFonts w:ascii="Times New Roman"/>
                <w:sz w:val="18"/>
              </w:rPr>
              <w:t>3,457,796.47</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1,641,672.93</w:t>
            </w:r>
          </w:p>
        </w:tc>
        <w:tc>
          <w:tcPr>
            <w:tcW w:w="2909"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本公司按应缴纳增值税净额和营业 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计缴城市维护建设税</w:t>
            </w:r>
          </w:p>
        </w:tc>
      </w:tr>
      <w:tr>
        <w:trPr>
          <w:trHeight w:val="394" w:hRule="exact"/>
        </w:trPr>
        <w:tc>
          <w:tcPr>
            <w:tcW w:w="2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vMerge/>
            <w:tcBorders>
              <w:left w:val="single" w:sz="9" w:space="0" w:color="D2D2D2"/>
              <w:right w:val="single" w:sz="4" w:space="0" w:color="000000"/>
            </w:tcBorders>
          </w:tcPr>
          <w:p>
            <w:pPr/>
          </w:p>
        </w:tc>
        <w:tc>
          <w:tcPr>
            <w:tcW w:w="1863" w:type="dxa"/>
            <w:vMerge/>
            <w:tcBorders>
              <w:left w:val="single" w:sz="4" w:space="0" w:color="000000"/>
              <w:right w:val="single" w:sz="4" w:space="0" w:color="000000"/>
            </w:tcBorders>
          </w:tcPr>
          <w:p>
            <w:pPr/>
          </w:p>
        </w:tc>
        <w:tc>
          <w:tcPr>
            <w:tcW w:w="2909" w:type="dxa"/>
            <w:vMerge/>
            <w:tcBorders>
              <w:left w:val="single" w:sz="4" w:space="0" w:color="000000"/>
              <w:right w:val="single" w:sz="4" w:space="0" w:color="000000"/>
            </w:tcBorders>
            <w:shd w:val="clear" w:color="auto" w:fill="C6ECCC"/>
          </w:tcPr>
          <w:p>
            <w:pPr/>
          </w:p>
        </w:tc>
      </w:tr>
      <w:tr>
        <w:trPr>
          <w:trHeight w:val="161" w:hRule="exact"/>
        </w:trPr>
        <w:tc>
          <w:tcPr>
            <w:tcW w:w="2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2" w:type="dxa"/>
            <w:vMerge/>
            <w:tcBorders>
              <w:left w:val="single" w:sz="9" w:space="0" w:color="D2D2D2"/>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2909" w:type="dxa"/>
            <w:vMerge/>
            <w:tcBorders>
              <w:left w:val="single" w:sz="4" w:space="0" w:color="000000"/>
              <w:bottom w:val="single" w:sz="4" w:space="0" w:color="000000"/>
              <w:right w:val="single" w:sz="4" w:space="0" w:color="000000"/>
            </w:tcBorders>
            <w:shd w:val="clear" w:color="auto" w:fill="C6ECCC"/>
          </w:tcPr>
          <w:p>
            <w:pPr/>
          </w:p>
        </w:tc>
      </w:tr>
      <w:tr>
        <w:trPr>
          <w:trHeight w:val="317" w:hRule="exact"/>
        </w:trPr>
        <w:tc>
          <w:tcPr>
            <w:tcW w:w="2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9" w:right="0"/>
              <w:jc w:val="left"/>
              <w:rPr>
                <w:rFonts w:ascii="Times New Roman" w:hAnsi="Times New Roman" w:cs="Times New Roman" w:eastAsia="Times New Roman" w:hint="default"/>
                <w:sz w:val="18"/>
                <w:szCs w:val="18"/>
              </w:rPr>
            </w:pPr>
            <w:r>
              <w:rPr>
                <w:rFonts w:ascii="Times New Roman"/>
                <w:sz w:val="18"/>
              </w:rPr>
              <w:t>2,469,853.84</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1,174,254.70</w:t>
            </w:r>
          </w:p>
        </w:tc>
        <w:tc>
          <w:tcPr>
            <w:tcW w:w="2909"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本公司按应缴纳增值税净额和营业 税额的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计缴教育费附加及地方教 育附加</w:t>
            </w:r>
          </w:p>
        </w:tc>
      </w:tr>
      <w:tr>
        <w:trPr>
          <w:trHeight w:val="391" w:hRule="exact"/>
        </w:trPr>
        <w:tc>
          <w:tcPr>
            <w:tcW w:w="2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vMerge/>
            <w:tcBorders>
              <w:left w:val="single" w:sz="9" w:space="0" w:color="D2D2D2"/>
              <w:right w:val="single" w:sz="4" w:space="0" w:color="000000"/>
            </w:tcBorders>
          </w:tcPr>
          <w:p>
            <w:pPr/>
          </w:p>
        </w:tc>
        <w:tc>
          <w:tcPr>
            <w:tcW w:w="1863" w:type="dxa"/>
            <w:vMerge/>
            <w:tcBorders>
              <w:left w:val="single" w:sz="4" w:space="0" w:color="000000"/>
              <w:right w:val="single" w:sz="4" w:space="0" w:color="000000"/>
            </w:tcBorders>
          </w:tcPr>
          <w:p>
            <w:pPr/>
          </w:p>
        </w:tc>
        <w:tc>
          <w:tcPr>
            <w:tcW w:w="2909" w:type="dxa"/>
            <w:vMerge/>
            <w:tcBorders>
              <w:left w:val="single" w:sz="4" w:space="0" w:color="000000"/>
              <w:right w:val="single" w:sz="4" w:space="0" w:color="000000"/>
            </w:tcBorders>
            <w:shd w:val="clear" w:color="auto" w:fill="C6ECCC"/>
          </w:tcPr>
          <w:p>
            <w:pPr/>
          </w:p>
        </w:tc>
      </w:tr>
      <w:tr>
        <w:trPr>
          <w:trHeight w:val="317" w:hRule="exact"/>
        </w:trPr>
        <w:tc>
          <w:tcPr>
            <w:tcW w:w="2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2" w:type="dxa"/>
            <w:vMerge/>
            <w:tcBorders>
              <w:left w:val="single" w:sz="9" w:space="0" w:color="D2D2D2"/>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2909" w:type="dxa"/>
            <w:vMerge/>
            <w:tcBorders>
              <w:left w:val="single" w:sz="4" w:space="0" w:color="000000"/>
              <w:bottom w:val="single" w:sz="4" w:space="0" w:color="000000"/>
              <w:right w:val="single" w:sz="4" w:space="0" w:color="000000"/>
            </w:tcBorders>
            <w:shd w:val="clear" w:color="auto" w:fill="C6ECCC"/>
          </w:tcPr>
          <w:p>
            <w:pPr/>
          </w:p>
        </w:tc>
      </w:tr>
      <w:tr>
        <w:trPr>
          <w:trHeight w:val="403"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781,948.46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255,692.60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堤围防护费按照收入的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计征</w:t>
            </w:r>
          </w:p>
        </w:tc>
      </w:tr>
      <w:tr>
        <w:trPr>
          <w:trHeight w:val="404"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22,790,262.59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13,792,149.06</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75.531723pt;width:135pt;height:77pt;mso-position-horizontal-relative:page;mso-position-vertical-relative:paragraph;z-index:-893608" coordorigin="9206,1511" coordsize="2700,1540">
            <v:shape style="position:absolute;left:9206;top:1511;width:2700;height:1540" type="#_x0000_t75" stroked="false">
              <v:imagedata r:id="rId15" o:title=""/>
            </v:shape>
            <v:shape style="position:absolute;left:10502;top:1871;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131</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43,684,375.95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31,802,945.40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4,305,423.43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3,892,654.31</w:t>
            </w:r>
          </w:p>
        </w:tc>
      </w:tr>
    </w:tbl>
    <w:p>
      <w:pPr>
        <w:spacing w:after="0" w:line="240" w:lineRule="auto"/>
        <w:jc w:val="right"/>
        <w:rPr>
          <w:rFonts w:ascii="Times New Roman" w:hAnsi="Times New Roman" w:cs="Times New Roman" w:eastAsia="Times New Roman" w:hint="default"/>
          <w:sz w:val="18"/>
          <w:szCs w:val="18"/>
        </w:rPr>
        <w:sectPr>
          <w:headerReference w:type="default" r:id="rId64"/>
          <w:footerReference w:type="default" r:id="rId6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5,002,826.07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12,944,536.90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6,574,303.33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5,555,298.01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5,733,581.44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4,929,983.08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16,324,225.70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12,988,686.20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2,241,442.25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2,099,381.00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10,258,830.12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11,694,055.48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94,125,008.29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85,907,540.38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36,104,105.39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41,763,450.10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46,134,340.90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41,114,299.79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134,028,411.82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91,242,797.39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2,870,869.58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4,049,577.11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4,452,108.39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3,058,310.96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2,389,632.93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2,879,479.70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12,566,044.81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8,110,009.83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238,545,513.82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192,217,924.88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-7,677,549.18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-5,446,615.57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127,228.92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-7,577,735.63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-5,319,386.65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3,949,613.08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-43,224.08</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3,949,613.08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-43,224.08</w:t>
            </w:r>
          </w:p>
        </w:tc>
      </w:tr>
    </w:tbl>
    <w:p>
      <w:pPr>
        <w:pStyle w:val="BodyText"/>
        <w:spacing w:line="240" w:lineRule="auto" w:before="49"/>
        <w:ind w:right="1123"/>
        <w:jc w:val="left"/>
      </w:pPr>
      <w:r>
        <w:rPr/>
        <w:t>公允价值变动收益的说明</w:t>
      </w:r>
    </w:p>
    <w:p>
      <w:pPr>
        <w:spacing w:after="0" w:line="240" w:lineRule="auto"/>
        <w:jc w:val="left"/>
        <w:sectPr>
          <w:footerReference w:type="default" r:id="rId66"/>
          <w:pgSz w:w="11910" w:h="16840"/>
          <w:pgMar w:footer="1340" w:header="877" w:top="1060" w:bottom="1540" w:left="980" w:right="0"/>
          <w:pgNumType w:start="132"/>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公司公允价值变动收益为交易性金融资产公允价值变动收益。</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35,997,507.52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13,216,371.03</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-399,573.97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5,350,964.86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2,876,476.09</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40,948,898.41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16,092,847.12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05"/>
        <w:gridCol w:w="2004"/>
        <w:gridCol w:w="1740"/>
        <w:gridCol w:w="2897"/>
      </w:tblGrid>
      <w:tr>
        <w:trPr>
          <w:trHeight w:val="401"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4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17"/>
        <w:gridCol w:w="2004"/>
        <w:gridCol w:w="1728"/>
        <w:gridCol w:w="2909"/>
      </w:tblGrid>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20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35,997,507.52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13,216,371.03</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华凯收入增长，费用控制良好</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35,997,507.52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13,216,371.03</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2654"/>
        <w:jc w:val="left"/>
      </w:pPr>
      <w:r>
        <w:rPr/>
        <w:t>投资收益的说明，若投资收益汇回有重大限制的，应予以说明。若不存在此类重大限制，也应做出说明 投资收益汇回不存在重大限制。</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4"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965,432.67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5,392,243.26</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188,192.67</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965,432.67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5,580,435.93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748,464.56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583,658.21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748,464.56</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748,464.56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583,658.21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748,464.56</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18,385,508.77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13,858,952.27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10,197,873.23</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340,084.83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303,282.34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340,084.83</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142,934.66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42,270.19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142,934.66</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19,616,992.82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14,788,163.01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11,429,357.28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8,183,247.45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7,011,477.68</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财务管控系统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产业化项目配 套经费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4,666,688.89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3,042,736.00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架构的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CRM </w:t>
            </w:r>
            <w:r>
              <w:rPr>
                <w:rFonts w:ascii="宋体" w:hAnsi="宋体" w:cs="宋体" w:eastAsia="宋体" w:hint="default"/>
                <w:sz w:val="18"/>
                <w:szCs w:val="18"/>
              </w:rPr>
              <w:t>智能决策 系统科研经费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面向服务的电力行业财务信息集 成中间件平台项目经费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面向移动设备的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架构软件开 发框架及运行平台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引进和建设国家重点实验室拨款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885,555.56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114,444.44</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集团企业资源集约化管理系统</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1,942,236.47</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年度珠海市科学技术奖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6"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珠海市社会保险基金管理中心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年度工伤先进奖励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2010-2011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年度市十强民营企业奖 励资金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珠海高新技术产业开发区生产监 督管理局公司先进企业奖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信息技术服务管理认证证书奖励 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695,780.40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408,717.00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面向中小企业和个人用户的在线 分析报告系列服务</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广东省科技进步奖励金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国家和广东省科技奖励配套奖金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财政贡献十强企业</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101,577.15</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18,385,508.77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13,858,952.27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212" w:right="7694"/>
        <w:jc w:val="left"/>
      </w:pPr>
      <w:r>
        <w:rPr/>
        <w:t>营业外收入说明 营业外收入为增值税返还及政府补助。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0"/>
        <w:ind w:left="212"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212,267.61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177,227.02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212,267.61</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212,267.61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177,227.02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212,267.61</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153,200.00</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36,807.56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36,807.56</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402,275.17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356,700.71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402,275.17</w:t>
            </w:r>
          </w:p>
        </w:tc>
      </w:tr>
    </w:tbl>
    <w:p>
      <w:pPr>
        <w:pStyle w:val="BodyText"/>
        <w:spacing w:line="357" w:lineRule="auto" w:before="49"/>
        <w:ind w:left="212" w:right="6614"/>
        <w:jc w:val="left"/>
      </w:pPr>
      <w:r>
        <w:rPr/>
        <w:t>营业外支出说明 营业外支出主要为非流动资产处置损失、对外捐赠。</w:t>
      </w:r>
    </w:p>
    <w:p>
      <w:pPr>
        <w:spacing w:line="240" w:lineRule="auto" w:before="6"/>
        <w:rPr>
          <w:rFonts w:ascii="宋体" w:hAnsi="宋体" w:cs="宋体" w:eastAsia="宋体" w:hint="default"/>
          <w:sz w:val="20"/>
          <w:szCs w:val="20"/>
        </w:rPr>
      </w:pPr>
    </w:p>
    <w:p>
      <w:pPr>
        <w:pStyle w:val="Heading4"/>
        <w:spacing w:line="240" w:lineRule="auto"/>
        <w:ind w:left="212"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24,617,088.80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22,031,162.64</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3,182,815.31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15,636.64</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27,799,904.11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22,046,799.28</w:t>
            </w:r>
          </w:p>
        </w:tc>
      </w:tr>
    </w:tbl>
    <w:p>
      <w:pPr>
        <w:spacing w:line="240" w:lineRule="auto" w:before="3"/>
        <w:rPr>
          <w:rFonts w:ascii="宋体" w:hAnsi="宋体" w:cs="宋体" w:eastAsia="宋体" w:hint="default"/>
          <w:sz w:val="19"/>
          <w:szCs w:val="19"/>
        </w:rPr>
      </w:pPr>
    </w:p>
    <w:p>
      <w:pPr>
        <w:pStyle w:val="Heading4"/>
        <w:spacing w:line="240" w:lineRule="auto" w:before="36"/>
        <w:ind w:left="212"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693" w:right="0"/>
        <w:jc w:val="left"/>
      </w:pPr>
      <w:r>
        <w:rPr/>
        <w:t>计算过程：</w:t>
      </w:r>
    </w:p>
    <w:p>
      <w:pPr>
        <w:pStyle w:val="Heading5"/>
        <w:spacing w:line="240" w:lineRule="auto" w:before="37"/>
        <w:ind w:left="693" w:right="0"/>
        <w:jc w:val="left"/>
      </w:pPr>
      <w:r>
        <w:rPr/>
        <w:pict>
          <v:group style="position:absolute;margin-left:51pt;margin-top:18.073669pt;width:493.3pt;height:.5pt;mso-position-horizontal-relative:page;mso-position-vertical-relative:paragraph;z-index:-893584" coordorigin="1020,361" coordsize="9866,10">
            <v:group style="position:absolute;left:1025;top:366;width:2713;height:2" coordorigin="1025,366" coordsize="2713,2">
              <v:shape style="position:absolute;left:1025;top:366;width:2713;height:2" coordorigin="1025,366" coordsize="2713,0" path="m1025,366l3737,366e" filled="false" stroked="true" strokeweight=".48pt" strokecolor="#000000">
                <v:path arrowok="t"/>
              </v:shape>
            </v:group>
            <v:group style="position:absolute;left:3737;top:366;width:10;height:2" coordorigin="3737,366" coordsize="10,2">
              <v:shape style="position:absolute;left:3737;top:366;width:10;height:2" coordorigin="3737,366" coordsize="10,0" path="m3737,366l3747,366e" filled="false" stroked="true" strokeweight=".48pt" strokecolor="#000000">
                <v:path arrowok="t"/>
              </v:shape>
            </v:group>
            <v:group style="position:absolute;left:3747;top:366;width:1388;height:2" coordorigin="3747,366" coordsize="1388,2">
              <v:shape style="position:absolute;left:3747;top:366;width:1388;height:2" coordorigin="3747,366" coordsize="1388,0" path="m3747,366l5134,366e" filled="false" stroked="true" strokeweight=".48pt" strokecolor="#000000">
                <v:path arrowok="t"/>
              </v:shape>
            </v:group>
            <v:group style="position:absolute;left:5135;top:366;width:10;height:2" coordorigin="5135,366" coordsize="10,2">
              <v:shape style="position:absolute;left:5135;top:366;width:10;height:2" coordorigin="5135,366" coordsize="10,0" path="m5135,366l5144,366e" filled="false" stroked="true" strokeweight=".48pt" strokecolor="#000000">
                <v:path arrowok="t"/>
              </v:shape>
            </v:group>
            <v:group style="position:absolute;left:5144;top:366;width:2850;height:2" coordorigin="5144,366" coordsize="2850,2">
              <v:shape style="position:absolute;left:5144;top:366;width:2850;height:2" coordorigin="5144,366" coordsize="2850,0" path="m5144,366l7993,366e" filled="false" stroked="true" strokeweight=".48pt" strokecolor="#000000">
                <v:path arrowok="t"/>
              </v:shape>
            </v:group>
            <v:group style="position:absolute;left:7993;top:366;width:10;height:2" coordorigin="7993,366" coordsize="10,2">
              <v:shape style="position:absolute;left:7993;top:366;width:10;height:2" coordorigin="7993,366" coordsize="10,0" path="m7993,366l8003,366e" filled="false" stroked="true" strokeweight=".48pt" strokecolor="#000000">
                <v:path arrowok="t"/>
              </v:shape>
            </v:group>
            <v:group style="position:absolute;left:8003;top:366;width:2878;height:2" coordorigin="8003,366" coordsize="2878,2">
              <v:shape style="position:absolute;left:8003;top:366;width:2878;height:2" coordorigin="8003,366" coordsize="2878,0" path="m8003,366l10881,366e" filled="false" stroked="true" strokeweight=".48pt" strokecolor="#000000">
                <v:path arrowok="t"/>
              </v:shape>
            </v:group>
            <w10:wrap type="none"/>
          </v:group>
        </w:pict>
      </w:r>
      <w:r>
        <w:rPr/>
        <w:pict>
          <v:group style="position:absolute;margin-left:51pt;margin-top:42.66967pt;width:493.3pt;height:.5pt;mso-position-horizontal-relative:page;mso-position-vertical-relative:paragraph;z-index:-893560" coordorigin="1020,853" coordsize="9866,10">
            <v:group style="position:absolute;left:1025;top:858;width:2713;height:2" coordorigin="1025,858" coordsize="2713,2">
              <v:shape style="position:absolute;left:1025;top:858;width:2713;height:2" coordorigin="1025,858" coordsize="2713,0" path="m1025,858l3737,858e" filled="false" stroked="true" strokeweight=".48pt" strokecolor="#000000">
                <v:path arrowok="t"/>
              </v:shape>
            </v:group>
            <v:group style="position:absolute;left:3737;top:858;width:10;height:2" coordorigin="3737,858" coordsize="10,2">
              <v:shape style="position:absolute;left:3737;top:858;width:10;height:2" coordorigin="3737,858" coordsize="10,0" path="m3737,858l3747,858e" filled="false" stroked="true" strokeweight=".48pt" strokecolor="#000000">
                <v:path arrowok="t"/>
              </v:shape>
            </v:group>
            <v:group style="position:absolute;left:3747;top:858;width:1388;height:2" coordorigin="3747,858" coordsize="1388,2">
              <v:shape style="position:absolute;left:3747;top:858;width:1388;height:2" coordorigin="3747,858" coordsize="1388,0" path="m3747,858l5134,858e" filled="false" stroked="true" strokeweight=".48pt" strokecolor="#000000">
                <v:path arrowok="t"/>
              </v:shape>
            </v:group>
            <v:group style="position:absolute;left:5135;top:858;width:10;height:2" coordorigin="5135,858" coordsize="10,2">
              <v:shape style="position:absolute;left:5135;top:858;width:10;height:2" coordorigin="5135,858" coordsize="10,0" path="m5135,858l5144,858e" filled="false" stroked="true" strokeweight=".48pt" strokecolor="#000000">
                <v:path arrowok="t"/>
              </v:shape>
            </v:group>
            <v:group style="position:absolute;left:5144;top:858;width:2850;height:2" coordorigin="5144,858" coordsize="2850,2">
              <v:shape style="position:absolute;left:5144;top:858;width:2850;height:2" coordorigin="5144,858" coordsize="2850,0" path="m5144,858l7993,858e" filled="false" stroked="true" strokeweight=".48pt" strokecolor="#000000">
                <v:path arrowok="t"/>
              </v:shape>
            </v:group>
            <v:group style="position:absolute;left:7993;top:858;width:10;height:2" coordorigin="7993,858" coordsize="10,2">
              <v:shape style="position:absolute;left:7993;top:858;width:10;height:2" coordorigin="7993,858" coordsize="10,0" path="m7993,858l8003,858e" filled="false" stroked="true" strokeweight=".48pt" strokecolor="#000000">
                <v:path arrowok="t"/>
              </v:shape>
            </v:group>
            <v:group style="position:absolute;left:8003;top:858;width:2878;height:2" coordorigin="8003,858" coordsize="2878,2">
              <v:shape style="position:absolute;left:8003;top:858;width:2878;height:2" coordorigin="8003,858" coordsize="2878,0" path="m8003,858l10881,858e" filled="false" stroked="true" strokeweight=".48pt" strokecolor="#000000">
                <v:path arrowok="t"/>
              </v:shape>
            </v:group>
            <w10:wrap type="none"/>
          </v:group>
        </w:pict>
      </w:r>
      <w:r>
        <w:rPr>
          <w:rFonts w:ascii="Times New Roman" w:hAnsi="Times New Roman" w:cs="Times New Roman" w:eastAsia="Times New Roman" w:hint="default"/>
        </w:rPr>
        <w:t>1</w:t>
      </w:r>
      <w:r>
        <w:rPr/>
        <w:t>、基本每股收益：</w:t>
      </w:r>
    </w:p>
    <w:p>
      <w:pPr>
        <w:spacing w:line="240" w:lineRule="auto" w:before="12"/>
        <w:rPr>
          <w:rFonts w:ascii="宋体" w:hAnsi="宋体" w:cs="宋体" w:eastAsia="宋体" w:hint="default"/>
          <w:sz w:val="2"/>
          <w:szCs w:val="2"/>
        </w:rPr>
      </w:pPr>
    </w:p>
    <w:tbl>
      <w:tblPr>
        <w:tblW w:w="0" w:type="auto"/>
        <w:jc w:val="left"/>
        <w:tblInd w:w="961" w:type="dxa"/>
        <w:tblLayout w:type="fixed"/>
        <w:tblCellMar>
          <w:top w:w="0" w:type="dxa"/>
          <w:left w:w="0" w:type="dxa"/>
          <w:bottom w:w="0" w:type="dxa"/>
          <w:right w:w="0" w:type="dxa"/>
        </w:tblCellMar>
        <w:tblLook w:val="01E0"/>
      </w:tblPr>
      <w:tblGrid>
        <w:gridCol w:w="1530"/>
        <w:gridCol w:w="2092"/>
        <w:gridCol w:w="2499"/>
        <w:gridCol w:w="1937"/>
      </w:tblGrid>
      <w:tr>
        <w:trPr>
          <w:trHeight w:val="492"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651" w:val="left" w:leader="none"/>
              </w:tabs>
              <w:spacing w:line="240" w:lineRule="auto"/>
              <w:ind w:left="200"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2"/>
              <w:jc w:val="center"/>
              <w:rPr>
                <w:rFonts w:ascii="宋体" w:hAnsi="宋体" w:cs="宋体" w:eastAsia="宋体" w:hint="default"/>
                <w:sz w:val="15"/>
                <w:szCs w:val="15"/>
              </w:rPr>
            </w:pPr>
            <w:r>
              <w:rPr>
                <w:rFonts w:ascii="宋体" w:hAnsi="宋体" w:cs="宋体" w:eastAsia="宋体" w:hint="default"/>
                <w:sz w:val="15"/>
                <w:szCs w:val="15"/>
              </w:rPr>
              <w:t>计算过程</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2" w:right="0"/>
              <w:jc w:val="left"/>
              <w:rPr>
                <w:rFonts w:ascii="宋体" w:hAnsi="宋体" w:cs="宋体" w:eastAsia="宋体" w:hint="default"/>
                <w:sz w:val="15"/>
                <w:szCs w:val="15"/>
              </w:rPr>
            </w:pPr>
            <w:r>
              <w:rPr>
                <w:rFonts w:ascii="宋体" w:hAnsi="宋体" w:cs="宋体" w:eastAsia="宋体" w:hint="default"/>
                <w:sz w:val="15"/>
                <w:szCs w:val="15"/>
              </w:rPr>
              <w:t>本年金额</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34" w:right="0"/>
              <w:jc w:val="left"/>
              <w:rPr>
                <w:rFonts w:ascii="宋体" w:hAnsi="宋体" w:cs="宋体" w:eastAsia="宋体" w:hint="default"/>
                <w:sz w:val="15"/>
                <w:szCs w:val="15"/>
              </w:rPr>
            </w:pPr>
            <w:r>
              <w:rPr>
                <w:rFonts w:ascii="宋体" w:hAnsi="宋体" w:cs="宋体" w:eastAsia="宋体" w:hint="default"/>
                <w:sz w:val="15"/>
                <w:szCs w:val="15"/>
              </w:rPr>
              <w:t>上年金额</w:t>
            </w:r>
          </w:p>
        </w:tc>
      </w:tr>
    </w:tbl>
    <w:p>
      <w:pPr>
        <w:spacing w:after="0" w:line="240" w:lineRule="auto"/>
        <w:jc w:val="left"/>
        <w:rPr>
          <w:rFonts w:ascii="宋体" w:hAnsi="宋体" w:cs="宋体" w:eastAsia="宋体" w:hint="default"/>
          <w:sz w:val="15"/>
          <w:szCs w:val="15"/>
        </w:rPr>
        <w:sectPr>
          <w:pgSz w:w="11910" w:h="16840"/>
          <w:pgMar w:header="877" w:footer="1340" w:top="1060" w:bottom="1540" w:left="92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708"/>
        <w:gridCol w:w="1464"/>
        <w:gridCol w:w="1213"/>
        <w:gridCol w:w="1653"/>
        <w:gridCol w:w="1213"/>
        <w:gridCol w:w="1640"/>
        <w:gridCol w:w="101"/>
      </w:tblGrid>
      <w:tr>
        <w:trPr>
          <w:trHeight w:val="490" w:hRule="exact"/>
        </w:trPr>
        <w:tc>
          <w:tcPr>
            <w:tcW w:w="2708" w:type="dxa"/>
            <w:tcBorders>
              <w:top w:val="single" w:sz="4" w:space="0" w:color="000000"/>
              <w:left w:val="nil" w:sz="6" w:space="0" w:color="auto"/>
              <w:bottom w:val="single" w:sz="4" w:space="0" w:color="000000"/>
              <w:right w:val="nil" w:sz="6" w:space="0" w:color="auto"/>
            </w:tcBorders>
          </w:tcPr>
          <w:p>
            <w:pPr/>
          </w:p>
        </w:tc>
        <w:tc>
          <w:tcPr>
            <w:tcW w:w="1464" w:type="dxa"/>
            <w:tcBorders>
              <w:top w:val="single" w:sz="4" w:space="0" w:color="000000"/>
              <w:left w:val="nil" w:sz="6" w:space="0" w:color="auto"/>
              <w:bottom w:val="single" w:sz="4" w:space="0" w:color="000000"/>
              <w:right w:val="nil" w:sz="6" w:space="0" w:color="auto"/>
            </w:tcBorders>
          </w:tcPr>
          <w:p>
            <w:pPr/>
          </w:p>
        </w:tc>
        <w:tc>
          <w:tcPr>
            <w:tcW w:w="121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3"/>
              <w:jc w:val="center"/>
              <w:rPr>
                <w:rFonts w:ascii="宋体" w:hAnsi="宋体" w:cs="宋体" w:eastAsia="宋体" w:hint="default"/>
                <w:sz w:val="15"/>
                <w:szCs w:val="15"/>
              </w:rPr>
            </w:pPr>
            <w:r>
              <w:rPr>
                <w:rFonts w:ascii="宋体" w:hAnsi="宋体" w:cs="宋体" w:eastAsia="宋体" w:hint="default"/>
                <w:sz w:val="15"/>
                <w:szCs w:val="15"/>
              </w:rPr>
              <w:t>金额</w:t>
            </w: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2"/>
              <w:jc w:val="right"/>
              <w:rPr>
                <w:rFonts w:ascii="宋体" w:hAnsi="宋体" w:cs="宋体" w:eastAsia="宋体" w:hint="default"/>
                <w:sz w:val="15"/>
                <w:szCs w:val="15"/>
              </w:rPr>
            </w:pPr>
            <w:r>
              <w:rPr>
                <w:rFonts w:ascii="宋体" w:hAnsi="宋体" w:cs="宋体" w:eastAsia="宋体" w:hint="default"/>
                <w:spacing w:val="-1"/>
                <w:sz w:val="15"/>
                <w:szCs w:val="15"/>
              </w:rPr>
              <w:t>扣除非经常性损益后</w:t>
            </w:r>
          </w:p>
        </w:tc>
        <w:tc>
          <w:tcPr>
            <w:tcW w:w="121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金额</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15"/>
                <w:szCs w:val="15"/>
              </w:rPr>
            </w:pPr>
            <w:r>
              <w:rPr>
                <w:rFonts w:ascii="宋体" w:hAnsi="宋体" w:cs="宋体" w:eastAsia="宋体" w:hint="default"/>
                <w:spacing w:val="-1"/>
                <w:sz w:val="15"/>
                <w:szCs w:val="15"/>
              </w:rPr>
              <w:t>扣除非经常性损益后</w:t>
            </w:r>
          </w:p>
        </w:tc>
        <w:tc>
          <w:tcPr>
            <w:tcW w:w="101" w:type="dxa"/>
            <w:tcBorders>
              <w:top w:val="nil" w:sz="6" w:space="0" w:color="auto"/>
              <w:left w:val="nil" w:sz="6" w:space="0" w:color="auto"/>
              <w:bottom w:val="nil" w:sz="6" w:space="0" w:color="auto"/>
              <w:right w:val="nil" w:sz="6" w:space="0" w:color="auto"/>
            </w:tcBorders>
          </w:tcPr>
          <w:p>
            <w:pPr/>
          </w:p>
        </w:tc>
      </w:tr>
      <w:tr>
        <w:trPr>
          <w:trHeight w:val="555" w:hRule="exact"/>
        </w:trPr>
        <w:tc>
          <w:tcPr>
            <w:tcW w:w="270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15"/>
                <w:szCs w:val="15"/>
              </w:rPr>
            </w:pPr>
            <w:r>
              <w:rPr>
                <w:rFonts w:ascii="宋体" w:hAnsi="宋体" w:cs="宋体" w:eastAsia="宋体" w:hint="default"/>
                <w:sz w:val="15"/>
                <w:szCs w:val="15"/>
              </w:rPr>
              <w:t>归属于普通股股东的当期净利润</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100"/>
                <w:sz w:val="15"/>
              </w:rPr>
              <w:t>P</w:t>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pacing w:val="-1"/>
                <w:sz w:val="15"/>
              </w:rPr>
              <w:t>288,004,446.86</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2"/>
                <w:sz w:val="15"/>
              </w:rPr>
              <w:t>270,097,223.02</w:t>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spacing w:val="-2"/>
                <w:sz w:val="15"/>
              </w:rPr>
              <w:t>211,760,832.75</w:t>
            </w: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202,531,739.56</w:t>
            </w:r>
          </w:p>
        </w:tc>
        <w:tc>
          <w:tcPr>
            <w:tcW w:w="101" w:type="dxa"/>
            <w:tcBorders>
              <w:top w:val="nil" w:sz="6" w:space="0" w:color="auto"/>
              <w:left w:val="nil" w:sz="6" w:space="0" w:color="auto"/>
              <w:bottom w:val="nil" w:sz="6" w:space="0" w:color="auto"/>
              <w:right w:val="nil" w:sz="6" w:space="0" w:color="auto"/>
            </w:tcBorders>
          </w:tcPr>
          <w:p>
            <w:pPr/>
          </w:p>
        </w:tc>
      </w:tr>
      <w:tr>
        <w:trPr>
          <w:trHeight w:val="480"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41" w:right="0"/>
              <w:jc w:val="left"/>
              <w:rPr>
                <w:rFonts w:ascii="宋体" w:hAnsi="宋体" w:cs="宋体" w:eastAsia="宋体" w:hint="default"/>
                <w:sz w:val="15"/>
                <w:szCs w:val="15"/>
              </w:rPr>
            </w:pPr>
            <w:r>
              <w:rPr>
                <w:rFonts w:ascii="宋体" w:hAnsi="宋体" w:cs="宋体" w:eastAsia="宋体" w:hint="default"/>
                <w:sz w:val="15"/>
                <w:szCs w:val="15"/>
              </w:rPr>
              <w:t>期初股份总数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S0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pacing w:val="-1"/>
                <w:sz w:val="15"/>
              </w:rPr>
              <w:t>441,908,995.00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spacing w:val="-1"/>
                <w:sz w:val="15"/>
              </w:rPr>
              <w:t>441,908,995.00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sz w:val="15"/>
              </w:rPr>
              <w:t>436,940,550.00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436,940,550.00</w:t>
            </w:r>
          </w:p>
        </w:tc>
        <w:tc>
          <w:tcPr>
            <w:tcW w:w="101" w:type="dxa"/>
            <w:tcBorders>
              <w:top w:val="nil" w:sz="6" w:space="0" w:color="auto"/>
              <w:left w:val="nil" w:sz="6" w:space="0" w:color="auto"/>
              <w:bottom w:val="nil" w:sz="6" w:space="0" w:color="auto"/>
              <w:right w:val="nil" w:sz="6" w:space="0" w:color="auto"/>
            </w:tcBorders>
          </w:tcPr>
          <w:p>
            <w:pPr/>
          </w:p>
        </w:tc>
      </w:tr>
      <w:tr>
        <w:trPr>
          <w:trHeight w:val="480"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41" w:right="0"/>
              <w:jc w:val="left"/>
              <w:rPr>
                <w:rFonts w:ascii="宋体" w:hAnsi="宋体" w:cs="宋体" w:eastAsia="宋体" w:hint="default"/>
                <w:sz w:val="15"/>
                <w:szCs w:val="15"/>
              </w:rPr>
            </w:pPr>
            <w:r>
              <w:rPr>
                <w:rFonts w:ascii="宋体" w:hAnsi="宋体" w:cs="宋体" w:eastAsia="宋体" w:hint="default"/>
                <w:sz w:val="15"/>
                <w:szCs w:val="15"/>
              </w:rPr>
              <w:t>本年增加股份数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Si</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1,279,860.00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1,279,860.00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sz w:val="15"/>
              </w:rPr>
              <w:t>4,949,754.00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4,949,754.00</w:t>
            </w:r>
          </w:p>
        </w:tc>
        <w:tc>
          <w:tcPr>
            <w:tcW w:w="101" w:type="dxa"/>
            <w:tcBorders>
              <w:top w:val="nil" w:sz="6" w:space="0" w:color="auto"/>
              <w:left w:val="nil" w:sz="6" w:space="0" w:color="auto"/>
              <w:bottom w:val="nil" w:sz="6" w:space="0" w:color="auto"/>
              <w:right w:val="nil" w:sz="6" w:space="0" w:color="auto"/>
            </w:tcBorders>
          </w:tcPr>
          <w:p>
            <w:pPr/>
          </w:p>
        </w:tc>
      </w:tr>
      <w:tr>
        <w:trPr>
          <w:trHeight w:val="545" w:hRule="exact"/>
        </w:trPr>
        <w:tc>
          <w:tcPr>
            <w:tcW w:w="2708" w:type="dxa"/>
            <w:vMerge w:val="restart"/>
            <w:tcBorders>
              <w:top w:val="nil" w:sz="6" w:space="0" w:color="auto"/>
              <w:left w:val="nil" w:sz="6" w:space="0" w:color="auto"/>
              <w:right w:val="nil" w:sz="6" w:space="0" w:color="auto"/>
            </w:tcBorders>
          </w:tcPr>
          <w:p>
            <w:pPr>
              <w:pStyle w:val="TableParagraph"/>
              <w:spacing w:line="489" w:lineRule="auto" w:before="115"/>
              <w:ind w:left="141" w:right="161"/>
              <w:jc w:val="left"/>
              <w:rPr>
                <w:rFonts w:ascii="宋体" w:hAnsi="宋体" w:cs="宋体" w:eastAsia="宋体" w:hint="default"/>
                <w:sz w:val="15"/>
                <w:szCs w:val="15"/>
              </w:rPr>
            </w:pPr>
            <w:r>
              <w:rPr>
                <w:rFonts w:ascii="宋体" w:hAnsi="宋体" w:cs="宋体" w:eastAsia="宋体" w:hint="default"/>
                <w:spacing w:val="-2"/>
                <w:sz w:val="15"/>
                <w:szCs w:val="15"/>
              </w:rPr>
              <w:t>增加股份下一月份起至报告期期末的</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月份数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Mi</w:t>
            </w:r>
          </w:p>
        </w:tc>
        <w:tc>
          <w:tcPr>
            <w:tcW w:w="1213"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335" w:hRule="exact"/>
        </w:trPr>
        <w:tc>
          <w:tcPr>
            <w:tcW w:w="2708" w:type="dxa"/>
            <w:vMerge/>
            <w:tcBorders>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4"/>
              <w:jc w:val="right"/>
              <w:rPr>
                <w:rFonts w:ascii="Times New Roman" w:hAnsi="Times New Roman" w:cs="Times New Roman" w:eastAsia="Times New Roman" w:hint="default"/>
                <w:sz w:val="15"/>
                <w:szCs w:val="15"/>
              </w:rPr>
            </w:pPr>
            <w:r>
              <w:rPr>
                <w:rFonts w:ascii="Times New Roman"/>
                <w:w w:val="100"/>
                <w:sz w:val="15"/>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7"/>
              <w:jc w:val="right"/>
              <w:rPr>
                <w:rFonts w:ascii="Times New Roman" w:hAnsi="Times New Roman" w:cs="Times New Roman" w:eastAsia="Times New Roman" w:hint="default"/>
                <w:sz w:val="15"/>
                <w:szCs w:val="15"/>
              </w:rPr>
            </w:pPr>
            <w:r>
              <w:rPr>
                <w:rFonts w:ascii="Times New Roman"/>
                <w:w w:val="100"/>
                <w:sz w:val="15"/>
              </w:rPr>
              <w:t>1</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15"/>
                <w:szCs w:val="15"/>
              </w:rPr>
            </w:pPr>
            <w:r>
              <w:rPr>
                <w:rFonts w:ascii="Times New Roman"/>
                <w:spacing w:val="-1"/>
                <w:sz w:val="15"/>
              </w:rPr>
              <w:t>3.17</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5"/>
                <w:szCs w:val="15"/>
              </w:rPr>
            </w:pPr>
            <w:r>
              <w:rPr>
                <w:rFonts w:ascii="Times New Roman"/>
                <w:spacing w:val="-1"/>
                <w:sz w:val="15"/>
              </w:rPr>
              <w:t>3.17</w:t>
            </w:r>
          </w:p>
        </w:tc>
        <w:tc>
          <w:tcPr>
            <w:tcW w:w="101" w:type="dxa"/>
            <w:tcBorders>
              <w:top w:val="nil" w:sz="6" w:space="0" w:color="auto"/>
              <w:left w:val="nil" w:sz="6" w:space="0" w:color="auto"/>
              <w:bottom w:val="nil" w:sz="6" w:space="0" w:color="auto"/>
              <w:right w:val="nil" w:sz="6" w:space="0" w:color="auto"/>
            </w:tcBorders>
          </w:tcPr>
          <w:p>
            <w:pPr/>
          </w:p>
        </w:tc>
      </w:tr>
      <w:tr>
        <w:trPr>
          <w:trHeight w:val="480"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41" w:right="0"/>
              <w:jc w:val="left"/>
              <w:rPr>
                <w:rFonts w:ascii="宋体" w:hAnsi="宋体" w:cs="宋体" w:eastAsia="宋体" w:hint="default"/>
                <w:sz w:val="15"/>
                <w:szCs w:val="15"/>
              </w:rPr>
            </w:pPr>
            <w:r>
              <w:rPr>
                <w:rFonts w:ascii="宋体" w:hAnsi="宋体" w:cs="宋体" w:eastAsia="宋体" w:hint="default"/>
                <w:sz w:val="15"/>
                <w:szCs w:val="15"/>
              </w:rPr>
              <w:t>报告期月份数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M0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z w:val="15"/>
              </w:rPr>
              <w:t>12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z w:val="15"/>
              </w:rPr>
              <w:t>12</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12</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12</w:t>
            </w:r>
          </w:p>
        </w:tc>
        <w:tc>
          <w:tcPr>
            <w:tcW w:w="101" w:type="dxa"/>
            <w:tcBorders>
              <w:top w:val="nil" w:sz="6" w:space="0" w:color="auto"/>
              <w:left w:val="nil" w:sz="6" w:space="0" w:color="auto"/>
              <w:bottom w:val="nil" w:sz="6" w:space="0" w:color="auto"/>
              <w:right w:val="nil" w:sz="6" w:space="0" w:color="auto"/>
            </w:tcBorders>
          </w:tcPr>
          <w:p>
            <w:pPr/>
          </w:p>
        </w:tc>
      </w:tr>
      <w:tr>
        <w:trPr>
          <w:trHeight w:val="480"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41" w:right="0"/>
              <w:jc w:val="left"/>
              <w:rPr>
                <w:rFonts w:ascii="宋体" w:hAnsi="宋体" w:cs="宋体" w:eastAsia="宋体" w:hint="default"/>
                <w:sz w:val="15"/>
                <w:szCs w:val="15"/>
              </w:rPr>
            </w:pPr>
            <w:r>
              <w:rPr>
                <w:rFonts w:ascii="宋体" w:hAnsi="宋体" w:cs="宋体" w:eastAsia="宋体" w:hint="default"/>
                <w:sz w:val="15"/>
                <w:szCs w:val="15"/>
              </w:rPr>
              <w:t>发行在外的普通股加权平均数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S=S0</w:t>
            </w:r>
            <w:r>
              <w:rPr>
                <w:rFonts w:ascii="宋体" w:hAnsi="宋体" w:cs="宋体" w:eastAsia="宋体" w:hint="default"/>
                <w:sz w:val="15"/>
                <w:szCs w:val="15"/>
              </w:rPr>
              <w:t>＋</w:t>
            </w:r>
            <w:r>
              <w:rPr>
                <w:rFonts w:ascii="Times New Roman" w:hAnsi="Times New Roman" w:cs="Times New Roman" w:eastAsia="Times New Roman" w:hint="default"/>
                <w:sz w:val="15"/>
                <w:szCs w:val="15"/>
              </w:rPr>
              <w:t>Si×Mi÷M0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442,010,612.00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spacing w:val="-1"/>
                <w:sz w:val="15"/>
              </w:rPr>
              <w:t>442,010,612.00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sz w:val="15"/>
              </w:rPr>
              <w:t>438,247,492.00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438,247,492.00</w:t>
            </w:r>
          </w:p>
        </w:tc>
        <w:tc>
          <w:tcPr>
            <w:tcW w:w="101" w:type="dxa"/>
            <w:tcBorders>
              <w:top w:val="nil" w:sz="6" w:space="0" w:color="auto"/>
              <w:left w:val="nil" w:sz="6" w:space="0" w:color="auto"/>
              <w:bottom w:val="nil" w:sz="6" w:space="0" w:color="auto"/>
              <w:right w:val="nil" w:sz="6" w:space="0" w:color="auto"/>
            </w:tcBorders>
          </w:tcPr>
          <w:p>
            <w:pPr/>
          </w:p>
        </w:tc>
      </w:tr>
      <w:tr>
        <w:trPr>
          <w:trHeight w:val="727" w:hRule="exact"/>
        </w:trPr>
        <w:tc>
          <w:tcPr>
            <w:tcW w:w="270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141" w:right="0"/>
              <w:jc w:val="left"/>
              <w:rPr>
                <w:rFonts w:ascii="宋体" w:hAnsi="宋体" w:cs="宋体" w:eastAsia="宋体" w:hint="default"/>
                <w:sz w:val="15"/>
                <w:szCs w:val="15"/>
              </w:rPr>
            </w:pPr>
            <w:r>
              <w:rPr>
                <w:rFonts w:ascii="宋体" w:hAnsi="宋体" w:cs="宋体" w:eastAsia="宋体" w:hint="default"/>
                <w:sz w:val="15"/>
                <w:szCs w:val="15"/>
              </w:rPr>
              <w:t>基本每股收益</w:t>
            </w:r>
          </w:p>
          <w:p>
            <w:pPr>
              <w:pStyle w:val="TableParagraph"/>
              <w:spacing w:line="240" w:lineRule="auto" w:before="86"/>
              <w:ind w:left="6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P÷S</w:t>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0.6516</w:t>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3"/>
                <w:sz w:val="15"/>
              </w:rPr>
              <w:t>0.6111</w:t>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sz w:val="15"/>
              </w:rPr>
              <w:t>0.4832</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0.4621</w:t>
            </w:r>
          </w:p>
        </w:tc>
        <w:tc>
          <w:tcPr>
            <w:tcW w:w="101" w:type="dxa"/>
            <w:tcBorders>
              <w:top w:val="nil" w:sz="6" w:space="0" w:color="auto"/>
              <w:left w:val="nil" w:sz="6" w:space="0" w:color="auto"/>
              <w:bottom w:val="single" w:sz="4" w:space="0" w:color="000000"/>
              <w:right w:val="nil" w:sz="6" w:space="0" w:color="auto"/>
            </w:tcBorders>
          </w:tcPr>
          <w:p>
            <w:pPr/>
          </w:p>
        </w:tc>
      </w:tr>
    </w:tbl>
    <w:p>
      <w:pPr>
        <w:spacing w:line="240" w:lineRule="auto" w:before="8"/>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758"/>
        <w:gridCol w:w="1537"/>
        <w:gridCol w:w="1306"/>
        <w:gridCol w:w="1633"/>
        <w:gridCol w:w="1215"/>
        <w:gridCol w:w="1542"/>
      </w:tblGrid>
      <w:tr>
        <w:trPr>
          <w:trHeight w:val="245" w:hRule="exact"/>
        </w:trPr>
        <w:tc>
          <w:tcPr>
            <w:tcW w:w="7234" w:type="dxa"/>
            <w:gridSpan w:val="4"/>
            <w:tcBorders>
              <w:top w:val="nil" w:sz="6" w:space="0" w:color="auto"/>
              <w:left w:val="nil" w:sz="6" w:space="0" w:color="auto"/>
              <w:bottom w:val="nil" w:sz="6" w:space="0" w:color="auto"/>
              <w:right w:val="nil" w:sz="6" w:space="0" w:color="auto"/>
            </w:tcBorders>
          </w:tcPr>
          <w:p>
            <w:pPr>
              <w:pStyle w:val="TableParagraph"/>
              <w:spacing w:line="151" w:lineRule="exact"/>
              <w:ind w:right="1201"/>
              <w:jc w:val="right"/>
              <w:rPr>
                <w:rFonts w:ascii="宋体" w:hAnsi="宋体" w:cs="宋体" w:eastAsia="宋体" w:hint="default"/>
                <w:sz w:val="15"/>
                <w:szCs w:val="15"/>
              </w:rPr>
            </w:pPr>
            <w:r>
              <w:rPr>
                <w:rFonts w:ascii="宋体" w:hAnsi="宋体" w:cs="宋体" w:eastAsia="宋体" w:hint="default"/>
                <w:spacing w:val="-1"/>
                <w:sz w:val="15"/>
                <w:szCs w:val="15"/>
              </w:rPr>
              <w:t>本年金额</w:t>
            </w:r>
          </w:p>
        </w:tc>
        <w:tc>
          <w:tcPr>
            <w:tcW w:w="2757"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right="65"/>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198" w:hRule="exact"/>
        </w:trPr>
        <w:tc>
          <w:tcPr>
            <w:tcW w:w="2758"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151" w:lineRule="exact"/>
              <w:ind w:right="26"/>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537" w:type="dxa"/>
            <w:tcBorders>
              <w:top w:val="nil" w:sz="6" w:space="0" w:color="auto"/>
              <w:left w:val="nil" w:sz="6" w:space="0" w:color="auto"/>
              <w:bottom w:val="nil" w:sz="6" w:space="0" w:color="auto"/>
              <w:right w:val="nil" w:sz="6" w:space="0" w:color="auto"/>
            </w:tcBorders>
          </w:tcPr>
          <w:p>
            <w:pPr>
              <w:pStyle w:val="TableParagraph"/>
              <w:spacing w:line="151" w:lineRule="exact"/>
              <w:ind w:right="28"/>
              <w:jc w:val="center"/>
              <w:rPr>
                <w:rFonts w:ascii="宋体" w:hAnsi="宋体" w:cs="宋体" w:eastAsia="宋体" w:hint="default"/>
                <w:sz w:val="15"/>
                <w:szCs w:val="15"/>
              </w:rPr>
            </w:pPr>
            <w:r>
              <w:rPr>
                <w:rFonts w:ascii="宋体" w:hAnsi="宋体" w:cs="宋体" w:eastAsia="宋体" w:hint="default"/>
                <w:sz w:val="15"/>
                <w:szCs w:val="15"/>
              </w:rPr>
              <w:t>计算过程</w:t>
            </w:r>
          </w:p>
        </w:tc>
        <w:tc>
          <w:tcPr>
            <w:tcW w:w="1306" w:type="dxa"/>
            <w:tcBorders>
              <w:top w:val="single" w:sz="4" w:space="0" w:color="000000"/>
              <w:left w:val="nil" w:sz="6" w:space="0" w:color="auto"/>
              <w:bottom w:val="nil" w:sz="6" w:space="0" w:color="auto"/>
              <w:right w:val="nil" w:sz="6" w:space="0" w:color="auto"/>
            </w:tcBorders>
          </w:tcPr>
          <w:p>
            <w:pPr/>
          </w:p>
        </w:tc>
        <w:tc>
          <w:tcPr>
            <w:tcW w:w="1633" w:type="dxa"/>
            <w:tcBorders>
              <w:top w:val="single" w:sz="4" w:space="0" w:color="000000"/>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
        </w:tc>
      </w:tr>
      <w:tr>
        <w:trPr>
          <w:trHeight w:val="302" w:hRule="exact"/>
        </w:trPr>
        <w:tc>
          <w:tcPr>
            <w:tcW w:w="2758" w:type="dxa"/>
            <w:tcBorders>
              <w:top w:val="nil" w:sz="6" w:space="0" w:color="auto"/>
              <w:left w:val="nil" w:sz="6" w:space="0" w:color="auto"/>
              <w:bottom w:val="single" w:sz="4" w:space="0" w:color="000000"/>
              <w:right w:val="nil" w:sz="6" w:space="0" w:color="auto"/>
            </w:tcBorders>
          </w:tcPr>
          <w:p>
            <w:pPr/>
          </w:p>
        </w:tc>
        <w:tc>
          <w:tcPr>
            <w:tcW w:w="1537" w:type="dxa"/>
            <w:tcBorders>
              <w:top w:val="nil" w:sz="6" w:space="0" w:color="auto"/>
              <w:left w:val="nil" w:sz="6" w:space="0" w:color="auto"/>
              <w:bottom w:val="single" w:sz="4" w:space="0" w:color="000000"/>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2"/>
              <w:jc w:val="center"/>
              <w:rPr>
                <w:rFonts w:ascii="宋体" w:hAnsi="宋体" w:cs="宋体" w:eastAsia="宋体" w:hint="default"/>
                <w:sz w:val="15"/>
                <w:szCs w:val="15"/>
              </w:rPr>
            </w:pPr>
            <w:r>
              <w:rPr>
                <w:rFonts w:ascii="宋体" w:hAnsi="宋体" w:cs="宋体" w:eastAsia="宋体" w:hint="default"/>
                <w:sz w:val="15"/>
                <w:szCs w:val="15"/>
              </w:rPr>
              <w:t>金额</w:t>
            </w: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57"/>
              <w:jc w:val="right"/>
              <w:rPr>
                <w:rFonts w:ascii="宋体" w:hAnsi="宋体" w:cs="宋体" w:eastAsia="宋体" w:hint="default"/>
                <w:sz w:val="15"/>
                <w:szCs w:val="15"/>
              </w:rPr>
            </w:pPr>
            <w:r>
              <w:rPr>
                <w:rFonts w:ascii="宋体" w:hAnsi="宋体" w:cs="宋体" w:eastAsia="宋体" w:hint="default"/>
                <w:spacing w:val="-1"/>
                <w:sz w:val="15"/>
                <w:szCs w:val="15"/>
              </w:rPr>
              <w:t>扣除非经常性损益后</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77"/>
              <w:jc w:val="center"/>
              <w:rPr>
                <w:rFonts w:ascii="宋体" w:hAnsi="宋体" w:cs="宋体" w:eastAsia="宋体" w:hint="default"/>
                <w:sz w:val="15"/>
                <w:szCs w:val="15"/>
              </w:rPr>
            </w:pPr>
            <w:r>
              <w:rPr>
                <w:rFonts w:ascii="宋体" w:hAnsi="宋体" w:cs="宋体" w:eastAsia="宋体" w:hint="default"/>
                <w:sz w:val="15"/>
                <w:szCs w:val="15"/>
              </w:rPr>
              <w:t>金额</w:t>
            </w: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72"/>
              <w:jc w:val="right"/>
              <w:rPr>
                <w:rFonts w:ascii="宋体" w:hAnsi="宋体" w:cs="宋体" w:eastAsia="宋体" w:hint="default"/>
                <w:sz w:val="15"/>
                <w:szCs w:val="15"/>
              </w:rPr>
            </w:pPr>
            <w:r>
              <w:rPr>
                <w:rFonts w:ascii="宋体" w:hAnsi="宋体" w:cs="宋体" w:eastAsia="宋体" w:hint="default"/>
                <w:spacing w:val="-1"/>
                <w:sz w:val="15"/>
                <w:szCs w:val="15"/>
              </w:rPr>
              <w:t>扣除非经常性损益后</w:t>
            </w:r>
          </w:p>
        </w:tc>
      </w:tr>
      <w:tr>
        <w:trPr>
          <w:trHeight w:val="555" w:hRule="exact"/>
        </w:trPr>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归属于普通股股东的当期净利润</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P</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288,004,446.86</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2"/>
                <w:sz w:val="15"/>
              </w:rPr>
              <w:t>270,097,223.02</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2"/>
                <w:sz w:val="15"/>
              </w:rPr>
              <w:t>211,760,832.75</w:t>
            </w: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202,531,739.56</w:t>
            </w:r>
          </w:p>
        </w:tc>
      </w:tr>
      <w:tr>
        <w:trPr>
          <w:trHeight w:val="48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sz w:val="15"/>
                <w:szCs w:val="15"/>
              </w:rPr>
              <w:t>与稀释性潜在普通股相关的股利和利息</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2"/>
              <w:jc w:val="center"/>
              <w:rPr>
                <w:rFonts w:ascii="Times New Roman" w:hAnsi="Times New Roman" w:cs="Times New Roman" w:eastAsia="Times New Roman" w:hint="default"/>
                <w:sz w:val="15"/>
                <w:szCs w:val="15"/>
              </w:rPr>
            </w:pPr>
            <w:r>
              <w:rPr>
                <w:rFonts w:ascii="Times New Roman"/>
                <w:sz w:val="15"/>
              </w:rPr>
              <w:t>A1</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1"/>
                <w:sz w:val="15"/>
              </w:rPr>
              <w:t>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pacing w:val="-1"/>
                <w:sz w:val="15"/>
              </w:rPr>
              <w:t>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0.00</w:t>
            </w:r>
          </w:p>
        </w:tc>
      </w:tr>
      <w:tr>
        <w:trPr>
          <w:trHeight w:val="545" w:hRule="exact"/>
        </w:trPr>
        <w:tc>
          <w:tcPr>
            <w:tcW w:w="2758" w:type="dxa"/>
            <w:vMerge w:val="restart"/>
            <w:tcBorders>
              <w:top w:val="nil" w:sz="6" w:space="0" w:color="auto"/>
              <w:left w:val="nil" w:sz="6" w:space="0" w:color="auto"/>
              <w:right w:val="nil" w:sz="6" w:space="0" w:color="auto"/>
            </w:tcBorders>
          </w:tcPr>
          <w:p>
            <w:pPr>
              <w:pStyle w:val="TableParagraph"/>
              <w:spacing w:line="489" w:lineRule="auto" w:before="115"/>
              <w:ind w:left="107" w:right="245"/>
              <w:jc w:val="left"/>
              <w:rPr>
                <w:rFonts w:ascii="宋体" w:hAnsi="宋体" w:cs="宋体" w:eastAsia="宋体" w:hint="default"/>
                <w:sz w:val="15"/>
                <w:szCs w:val="15"/>
              </w:rPr>
            </w:pPr>
            <w:r>
              <w:rPr>
                <w:rFonts w:ascii="宋体" w:hAnsi="宋体" w:cs="宋体" w:eastAsia="宋体" w:hint="default"/>
                <w:spacing w:val="-2"/>
                <w:sz w:val="15"/>
                <w:szCs w:val="15"/>
              </w:rPr>
              <w:t>因稀释性潜在普通股转换引起的收益</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或费用</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
              <w:jc w:val="center"/>
              <w:rPr>
                <w:rFonts w:ascii="Times New Roman" w:hAnsi="Times New Roman" w:cs="Times New Roman" w:eastAsia="Times New Roman" w:hint="default"/>
                <w:sz w:val="15"/>
                <w:szCs w:val="15"/>
              </w:rPr>
            </w:pPr>
            <w:r>
              <w:rPr>
                <w:rFonts w:ascii="Times New Roman"/>
                <w:sz w:val="15"/>
              </w:rPr>
              <w:t>A2</w:t>
            </w:r>
          </w:p>
        </w:tc>
        <w:tc>
          <w:tcPr>
            <w:tcW w:w="1306"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336" w:hRule="exact"/>
        </w:trPr>
        <w:tc>
          <w:tcPr>
            <w:tcW w:w="2758" w:type="dxa"/>
            <w:vMerge/>
            <w:tcBorders>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9"/>
              <w:jc w:val="right"/>
              <w:rPr>
                <w:rFonts w:ascii="Times New Roman" w:hAnsi="Times New Roman" w:cs="Times New Roman" w:eastAsia="Times New Roman" w:hint="default"/>
                <w:sz w:val="15"/>
                <w:szCs w:val="15"/>
              </w:rPr>
            </w:pPr>
            <w:r>
              <w:rPr>
                <w:rFonts w:ascii="Times New Roman"/>
                <w:spacing w:val="-1"/>
                <w:sz w:val="15"/>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8"/>
              <w:jc w:val="right"/>
              <w:rPr>
                <w:rFonts w:ascii="Times New Roman" w:hAnsi="Times New Roman" w:cs="Times New Roman" w:eastAsia="Times New Roman" w:hint="default"/>
                <w:sz w:val="15"/>
                <w:szCs w:val="15"/>
              </w:rPr>
            </w:pPr>
            <w:r>
              <w:rPr>
                <w:rFonts w:ascii="Times New Roman"/>
                <w:spacing w:val="-1"/>
                <w:sz w:val="15"/>
              </w:rPr>
              <w:t>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3"/>
              <w:jc w:val="right"/>
              <w:rPr>
                <w:rFonts w:ascii="Times New Roman" w:hAnsi="Times New Roman" w:cs="Times New Roman" w:eastAsia="Times New Roman" w:hint="default"/>
                <w:sz w:val="15"/>
                <w:szCs w:val="15"/>
              </w:rPr>
            </w:pPr>
            <w:r>
              <w:rPr>
                <w:rFonts w:ascii="Times New Roman"/>
                <w:spacing w:val="-1"/>
                <w:sz w:val="15"/>
              </w:rPr>
              <w:t>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5"/>
                <w:szCs w:val="15"/>
              </w:rPr>
            </w:pPr>
            <w:r>
              <w:rPr>
                <w:rFonts w:ascii="Times New Roman"/>
                <w:spacing w:val="-1"/>
                <w:sz w:val="15"/>
              </w:rPr>
              <w:t>0.00</w:t>
            </w:r>
          </w:p>
        </w:tc>
      </w:tr>
      <w:tr>
        <w:trPr>
          <w:trHeight w:val="48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sz w:val="15"/>
                <w:szCs w:val="15"/>
              </w:rPr>
              <w:t>期初股份总数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Times New Roman" w:hAnsi="Times New Roman" w:cs="Times New Roman" w:eastAsia="Times New Roman" w:hint="default"/>
                <w:sz w:val="15"/>
                <w:szCs w:val="15"/>
              </w:rPr>
            </w:pPr>
            <w:r>
              <w:rPr>
                <w:rFonts w:ascii="Times New Roman"/>
                <w:sz w:val="15"/>
              </w:rPr>
              <w:t>S0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441,908,995.00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1"/>
                <w:sz w:val="15"/>
              </w:rPr>
              <w:t>441,908,995.00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pacing w:val="-1"/>
                <w:sz w:val="15"/>
              </w:rPr>
              <w:t>436,940,550.00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436,940,550.00</w:t>
            </w:r>
          </w:p>
        </w:tc>
      </w:tr>
      <w:tr>
        <w:trPr>
          <w:trHeight w:val="48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sz w:val="15"/>
                <w:szCs w:val="15"/>
              </w:rPr>
              <w:t>本年增加股份数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
              <w:jc w:val="center"/>
              <w:rPr>
                <w:rFonts w:ascii="Times New Roman" w:hAnsi="Times New Roman" w:cs="Times New Roman" w:eastAsia="Times New Roman" w:hint="default"/>
                <w:sz w:val="15"/>
                <w:szCs w:val="15"/>
              </w:rPr>
            </w:pPr>
            <w:r>
              <w:rPr>
                <w:rFonts w:ascii="Times New Roman"/>
                <w:sz w:val="15"/>
              </w:rPr>
              <w:t>Si</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1,279,860.00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1"/>
                <w:sz w:val="15"/>
              </w:rPr>
              <w:t>1,279,860.00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pacing w:val="-1"/>
                <w:sz w:val="15"/>
              </w:rPr>
              <w:t>4,949,754.00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4,949,754.00</w:t>
            </w:r>
          </w:p>
        </w:tc>
      </w:tr>
      <w:tr>
        <w:trPr>
          <w:trHeight w:val="544" w:hRule="exact"/>
        </w:trPr>
        <w:tc>
          <w:tcPr>
            <w:tcW w:w="2758" w:type="dxa"/>
            <w:vMerge w:val="restart"/>
            <w:tcBorders>
              <w:top w:val="nil" w:sz="6" w:space="0" w:color="auto"/>
              <w:left w:val="nil" w:sz="6" w:space="0" w:color="auto"/>
              <w:right w:val="nil" w:sz="6" w:space="0" w:color="auto"/>
            </w:tcBorders>
          </w:tcPr>
          <w:p>
            <w:pPr>
              <w:pStyle w:val="TableParagraph"/>
              <w:spacing w:line="487" w:lineRule="auto" w:before="115"/>
              <w:ind w:left="107" w:right="245"/>
              <w:jc w:val="left"/>
              <w:rPr>
                <w:rFonts w:ascii="宋体" w:hAnsi="宋体" w:cs="宋体" w:eastAsia="宋体" w:hint="default"/>
                <w:sz w:val="15"/>
                <w:szCs w:val="15"/>
              </w:rPr>
            </w:pPr>
            <w:r>
              <w:rPr>
                <w:rFonts w:ascii="宋体" w:hAnsi="宋体" w:cs="宋体" w:eastAsia="宋体" w:hint="default"/>
                <w:spacing w:val="-2"/>
                <w:sz w:val="15"/>
                <w:szCs w:val="15"/>
              </w:rPr>
              <w:t>增加股份下一月份起至报告期期末的</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月份数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
              <w:jc w:val="center"/>
              <w:rPr>
                <w:rFonts w:ascii="Times New Roman" w:hAnsi="Times New Roman" w:cs="Times New Roman" w:eastAsia="Times New Roman" w:hint="default"/>
                <w:sz w:val="15"/>
                <w:szCs w:val="15"/>
              </w:rPr>
            </w:pPr>
            <w:r>
              <w:rPr>
                <w:rFonts w:ascii="Times New Roman"/>
                <w:sz w:val="15"/>
              </w:rPr>
              <w:t>Mi</w:t>
            </w:r>
          </w:p>
        </w:tc>
        <w:tc>
          <w:tcPr>
            <w:tcW w:w="1306"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337" w:hRule="exact"/>
        </w:trPr>
        <w:tc>
          <w:tcPr>
            <w:tcW w:w="2758" w:type="dxa"/>
            <w:vMerge/>
            <w:tcBorders>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Times New Roman" w:hAnsi="Times New Roman" w:cs="Times New Roman" w:eastAsia="Times New Roman" w:hint="default"/>
                <w:sz w:val="15"/>
                <w:szCs w:val="15"/>
              </w:rPr>
            </w:pPr>
            <w:r>
              <w:rPr>
                <w:rFonts w:ascii="Times New Roman"/>
                <w:w w:val="100"/>
                <w:sz w:val="15"/>
              </w:rPr>
              <w:t>1</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7"/>
              <w:jc w:val="right"/>
              <w:rPr>
                <w:rFonts w:ascii="Times New Roman" w:hAnsi="Times New Roman" w:cs="Times New Roman" w:eastAsia="Times New Roman" w:hint="default"/>
                <w:sz w:val="15"/>
                <w:szCs w:val="15"/>
              </w:rPr>
            </w:pPr>
            <w:r>
              <w:rPr>
                <w:rFonts w:ascii="Times New Roman"/>
                <w:w w:val="100"/>
                <w:sz w:val="15"/>
              </w:rPr>
              <w:t>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3"/>
              <w:jc w:val="right"/>
              <w:rPr>
                <w:rFonts w:ascii="Times New Roman" w:hAnsi="Times New Roman" w:cs="Times New Roman" w:eastAsia="Times New Roman" w:hint="default"/>
                <w:sz w:val="15"/>
                <w:szCs w:val="15"/>
              </w:rPr>
            </w:pPr>
            <w:r>
              <w:rPr>
                <w:rFonts w:ascii="Times New Roman"/>
                <w:spacing w:val="-1"/>
                <w:sz w:val="15"/>
              </w:rPr>
              <w:t>3.17</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15"/>
                <w:szCs w:val="15"/>
              </w:rPr>
            </w:pPr>
            <w:r>
              <w:rPr>
                <w:rFonts w:ascii="Times New Roman"/>
                <w:spacing w:val="-1"/>
                <w:sz w:val="15"/>
              </w:rPr>
              <w:t>3.17</w:t>
            </w:r>
          </w:p>
        </w:tc>
      </w:tr>
      <w:tr>
        <w:trPr>
          <w:trHeight w:val="48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sz w:val="15"/>
                <w:szCs w:val="15"/>
              </w:rPr>
              <w:t>报告期月份数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7"/>
              <w:jc w:val="center"/>
              <w:rPr>
                <w:rFonts w:ascii="Times New Roman" w:hAnsi="Times New Roman" w:cs="Times New Roman" w:eastAsia="Times New Roman" w:hint="default"/>
                <w:sz w:val="15"/>
                <w:szCs w:val="15"/>
              </w:rPr>
            </w:pPr>
            <w:r>
              <w:rPr>
                <w:rFonts w:ascii="Times New Roman"/>
                <w:sz w:val="15"/>
              </w:rPr>
              <w:t>M0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z w:val="15"/>
              </w:rPr>
              <w:t>12</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6"/>
              <w:jc w:val="right"/>
              <w:rPr>
                <w:rFonts w:ascii="Times New Roman" w:hAnsi="Times New Roman" w:cs="Times New Roman" w:eastAsia="Times New Roman" w:hint="default"/>
                <w:sz w:val="15"/>
                <w:szCs w:val="15"/>
              </w:rPr>
            </w:pPr>
            <w:r>
              <w:rPr>
                <w:rFonts w:ascii="Times New Roman"/>
                <w:sz w:val="15"/>
              </w:rPr>
              <w:t>12</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z w:val="15"/>
              </w:rPr>
              <w:t>12</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12</w:t>
            </w:r>
          </w:p>
        </w:tc>
      </w:tr>
      <w:tr>
        <w:trPr>
          <w:trHeight w:val="48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sz w:val="15"/>
                <w:szCs w:val="15"/>
              </w:rPr>
              <w:t>发行在外的普通股加权平均数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S=S0</w:t>
            </w:r>
            <w:r>
              <w:rPr>
                <w:rFonts w:ascii="宋体" w:hAnsi="宋体" w:cs="宋体" w:eastAsia="宋体" w:hint="default"/>
                <w:sz w:val="15"/>
                <w:szCs w:val="15"/>
              </w:rPr>
              <w:t>＋</w:t>
            </w:r>
            <w:r>
              <w:rPr>
                <w:rFonts w:ascii="Times New Roman" w:hAnsi="Times New Roman" w:cs="Times New Roman" w:eastAsia="Times New Roman" w:hint="default"/>
                <w:sz w:val="15"/>
                <w:szCs w:val="15"/>
              </w:rPr>
              <w:t>Si×Mi÷M0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442,010,612.00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1"/>
                <w:sz w:val="15"/>
              </w:rPr>
              <w:t>442,010,612.00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pacing w:val="-1"/>
                <w:sz w:val="15"/>
              </w:rPr>
              <w:t>438,247,492.00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438,247,492.00</w:t>
            </w:r>
          </w:p>
        </w:tc>
      </w:tr>
      <w:tr>
        <w:trPr>
          <w:trHeight w:val="875"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487" w:lineRule="auto" w:before="115"/>
              <w:ind w:left="107" w:right="245"/>
              <w:jc w:val="left"/>
              <w:rPr>
                <w:rFonts w:ascii="宋体" w:hAnsi="宋体" w:cs="宋体" w:eastAsia="宋体" w:hint="default"/>
                <w:sz w:val="15"/>
                <w:szCs w:val="15"/>
              </w:rPr>
            </w:pPr>
            <w:r>
              <w:rPr>
                <w:rFonts w:ascii="宋体" w:hAnsi="宋体" w:cs="宋体" w:eastAsia="宋体" w:hint="default"/>
                <w:spacing w:val="-2"/>
                <w:sz w:val="15"/>
                <w:szCs w:val="15"/>
              </w:rPr>
              <w:t>所有稀释性潜在普通股转换成普通股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时的加权平均数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
              <w:jc w:val="center"/>
              <w:rPr>
                <w:rFonts w:ascii="Times New Roman" w:hAnsi="Times New Roman" w:cs="Times New Roman" w:eastAsia="Times New Roman" w:hint="default"/>
                <w:sz w:val="15"/>
                <w:szCs w:val="15"/>
              </w:rPr>
            </w:pPr>
            <w:r>
              <w:rPr>
                <w:rFonts w:ascii="Times New Roman"/>
                <w:w w:val="100"/>
                <w:sz w:val="15"/>
              </w:rPr>
              <w:t>X</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1"/>
                <w:sz w:val="15"/>
              </w:rPr>
              <w:t>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pacing w:val="-1"/>
                <w:sz w:val="15"/>
              </w:rPr>
              <w:t>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4"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7" w:right="0"/>
              <w:jc w:val="left"/>
              <w:rPr>
                <w:rFonts w:ascii="宋体" w:hAnsi="宋体" w:cs="宋体" w:eastAsia="宋体" w:hint="default"/>
                <w:sz w:val="15"/>
                <w:szCs w:val="15"/>
              </w:rPr>
            </w:pPr>
            <w:r>
              <w:rPr>
                <w:rFonts w:ascii="宋体" w:hAnsi="宋体" w:cs="宋体" w:eastAsia="宋体" w:hint="default"/>
                <w:sz w:val="15"/>
                <w:szCs w:val="15"/>
              </w:rPr>
              <w:t>稀释每股收益</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(P</w:t>
            </w:r>
            <w:r>
              <w:rPr>
                <w:rFonts w:ascii="宋体" w:hAnsi="宋体" w:cs="宋体" w:eastAsia="宋体" w:hint="default"/>
                <w:sz w:val="15"/>
                <w:szCs w:val="15"/>
              </w:rPr>
              <w:t>＋</w:t>
            </w:r>
            <w:r>
              <w:rPr>
                <w:rFonts w:ascii="Times New Roman" w:hAnsi="Times New Roman" w:cs="Times New Roman" w:eastAsia="Times New Roman" w:hint="default"/>
                <w:sz w:val="15"/>
                <w:szCs w:val="15"/>
              </w:rPr>
              <w:t>A1±A2)÷(S</w:t>
            </w:r>
            <w:r>
              <w:rPr>
                <w:rFonts w:ascii="宋体" w:hAnsi="宋体" w:cs="宋体" w:eastAsia="宋体" w:hint="default"/>
                <w:sz w:val="15"/>
                <w:szCs w:val="15"/>
              </w:rPr>
              <w:t>＋</w:t>
            </w:r>
            <w:r>
              <w:rPr>
                <w:rFonts w:ascii="Times New Roman" w:hAnsi="Times New Roman" w:cs="Times New Roman" w:eastAsia="Times New Roman" w:hint="default"/>
                <w:sz w:val="15"/>
                <w:szCs w:val="15"/>
              </w:rPr>
              <w:t>X)</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0.6516</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3"/>
                <w:sz w:val="15"/>
              </w:rPr>
              <w:t>0.6111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pacing w:val="-1"/>
                <w:sz w:val="15"/>
              </w:rPr>
              <w:t>0.4832</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0.4621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4"/>
        <w:spacing w:line="240" w:lineRule="auto" w:before="36"/>
        <w:ind w:left="252"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4651"/>
        <w:gridCol w:w="2526"/>
        <w:gridCol w:w="2380"/>
      </w:tblGrid>
      <w:tr>
        <w:trPr>
          <w:trHeight w:val="401"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left="252" w:right="0"/>
        <w:jc w:val="left"/>
      </w:pPr>
      <w:r>
        <w:rPr/>
        <w:t>其他综合收益说明</w:t>
      </w:r>
    </w:p>
    <w:p>
      <w:pPr>
        <w:spacing w:after="0" w:line="240" w:lineRule="auto"/>
        <w:jc w:val="left"/>
        <w:sectPr>
          <w:pgSz w:w="11910" w:h="16840"/>
          <w:pgMar w:header="877" w:footer="1340" w:top="1060" w:bottom="1540" w:left="8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6"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7,677,549.18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340,084.83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8,233,392.31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16,251,026.32</w:t>
            </w:r>
          </w:p>
        </w:tc>
      </w:tr>
    </w:tbl>
    <w:p>
      <w:pPr>
        <w:pStyle w:val="BodyText"/>
        <w:spacing w:line="360" w:lineRule="auto" w:before="49"/>
        <w:ind w:right="5094"/>
        <w:jc w:val="left"/>
        <w:rPr>
          <w:rFonts w:ascii="MS UI Gothic" w:hAnsi="MS UI Gothic" w:cs="MS UI Gothic" w:eastAsia="MS UI Gothic" w:hint="default"/>
        </w:rPr>
      </w:pPr>
      <w:r>
        <w:rPr/>
        <w:t>收到的其他与经营活动有关的现金说明 收到的其他与经营活动有关的现金主要是银行存款利息收入以及补贴款</w:t>
      </w:r>
      <w:r>
        <w:rPr>
          <w:rFonts w:ascii="MS UI Gothic" w:hAnsi="MS UI Gothic" w:cs="MS UI Gothic" w:eastAsia="MS UI Gothic" w:hint="default"/>
        </w:rPr>
        <w:t>｡</w:t>
      </w:r>
    </w:p>
    <w:p>
      <w:pPr>
        <w:spacing w:line="240" w:lineRule="auto" w:before="4"/>
        <w:rPr>
          <w:rFonts w:ascii="MS UI Gothic" w:hAnsi="MS UI Gothic" w:cs="MS UI Gothic" w:eastAsia="MS UI Gothic"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财务费用支付的现金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99,813.55</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销售及管理费用支付的现金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89,030,392.91</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153,200.00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89,283,406.46</w:t>
            </w:r>
          </w:p>
        </w:tc>
      </w:tr>
    </w:tbl>
    <w:p>
      <w:pPr>
        <w:pStyle w:val="BodyText"/>
        <w:spacing w:line="357" w:lineRule="auto" w:before="49"/>
        <w:ind w:right="1574"/>
        <w:jc w:val="left"/>
      </w:pPr>
      <w:r>
        <w:rPr/>
        <w:t>支付的其他与经营活动有关的现金说明 支付的其他与经营活动相关的现金主要为财务费用支付的现金、销售管理费用支付的现金和营业外支出支付的现金。</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334" w:hRule="exact"/>
        </w:trPr>
        <w:tc>
          <w:tcPr>
            <w:tcW w:w="5585" w:type="dxa"/>
            <w:tcBorders>
              <w:top w:val="nil" w:sz="6" w:space="0" w:color="auto"/>
              <w:left w:val="nil" w:sz="6" w:space="0" w:color="auto"/>
              <w:bottom w:val="single" w:sz="4" w:space="0" w:color="000000"/>
              <w:right w:val="nil" w:sz="6" w:space="0" w:color="auto"/>
            </w:tcBorders>
          </w:tcPr>
          <w:p>
            <w:pPr/>
          </w:p>
        </w:tc>
        <w:tc>
          <w:tcPr>
            <w:tcW w:w="3973" w:type="dxa"/>
            <w:tcBorders>
              <w:top w:val="nil" w:sz="6" w:space="0" w:color="auto"/>
              <w:left w:val="nil" w:sz="6" w:space="0" w:color="auto"/>
              <w:bottom w:val="single" w:sz="4" w:space="0" w:color="000000"/>
              <w:right w:val="nil" w:sz="6" w:space="0" w:color="auto"/>
            </w:tcBorders>
          </w:tcPr>
          <w:p>
            <w:pP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23"/>
        <w:jc w:val="left"/>
      </w:pPr>
      <w:r>
        <w:rPr/>
        <w:pict>
          <v:group style="position:absolute;margin-left:55.200001pt;margin-top:-37.048294pt;width:484.9pt;height:.1pt;mso-position-horizontal-relative:page;mso-position-vertical-relative:paragraph;z-index:-893536" coordorigin="1104,-741" coordsize="9698,2">
            <v:shape style="position:absolute;left:1104;top:-741;width:9698;height:2" coordorigin="1104,-741" coordsize="9698,0" path="m1104,-741l10802,-741e" filled="false" stroked="true" strokeweight=".72pt" strokecolor="#000000">
              <v:path arrowok="t"/>
            </v:shape>
            <w10:wrap type="none"/>
          </v:group>
        </w:pict>
      </w: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288,004,446.86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211,560,002.36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965,432.67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5,580,435.93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12,043,736.37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10,094,795.15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1,437,686.97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1,414,865.45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1,036,625.28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725,764.32</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-536,196.95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-406,431.19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-3,949,613.08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43,224.08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-40,948,898.41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-16,092,847.12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38,606.01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-556,000.46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3,144,209.30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571,637.10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6,518,436.00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705,011.00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-25,357,782.40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-85,088,656.31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45,118,770.02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-15,608,181.70</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287,515,458.64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112,943,618.61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840,465,444.75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577,318,345.02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577,318,345.02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564,800,313.22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263,147,099.73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12,518,031.80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840,465,444.75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577,318,345.02</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94,150.50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68,890.87</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839,652,988.85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574,825,027.25</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718,305.40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2,424,426.90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840,465,444.75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577,318,345.02</w:t>
            </w:r>
          </w:p>
        </w:tc>
      </w:tr>
    </w:tbl>
    <w:p>
      <w:pPr>
        <w:pStyle w:val="BodyText"/>
        <w:spacing w:line="240" w:lineRule="auto" w:before="49"/>
        <w:ind w:right="1123"/>
        <w:jc w:val="left"/>
      </w:pPr>
      <w:r>
        <w:rPr/>
        <w:t>现金流量表补充资料的说明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2314"/>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 无</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83.211716pt;width:135pt;height:77pt;mso-position-horizontal-relative:page;mso-position-vertical-relative:paragraph;z-index:-893464" coordorigin="9206,1664" coordsize="2700,1540">
            <v:shape style="position:absolute;left:9206;top:1664;width:2700;height:1540" type="#_x0000_t75" stroked="false">
              <v:imagedata r:id="rId15" o:title=""/>
            </v:shape>
            <v:shape style="position:absolute;left:10502;top:202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139</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337"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after="0" w:line="316" w:lineRule="auto"/>
        <w:jc w:val="left"/>
        <w:rPr>
          <w:rFonts w:ascii="宋体" w:hAnsi="宋体" w:cs="宋体" w:eastAsia="宋体" w:hint="default"/>
          <w:sz w:val="18"/>
          <w:szCs w:val="18"/>
        </w:rPr>
        <w:sectPr>
          <w:headerReference w:type="default" r:id="rId67"/>
          <w:footerReference w:type="default" r:id="rId68"/>
          <w:pgSz w:w="11910" w:h="16840"/>
          <w:pgMar w:header="867" w:footer="0" w:top="1060" w:bottom="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42"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22"/>
              <w:jc w:val="both"/>
              <w:rPr>
                <w:rFonts w:ascii="宋体" w:hAnsi="宋体" w:cs="宋体" w:eastAsia="宋体" w:hint="default"/>
                <w:sz w:val="18"/>
                <w:szCs w:val="18"/>
              </w:rPr>
            </w:pPr>
            <w:r>
              <w:rPr>
                <w:rFonts w:ascii="宋体" w:hAnsi="宋体" w:cs="宋体" w:eastAsia="宋体" w:hint="default"/>
                <w:sz w:val="18"/>
                <w:szCs w:val="18"/>
              </w:rPr>
              <w:t>珠海横琴新 区集睿思信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1"/>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581430489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7"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201"/>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9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蒋晓华</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26.32%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26.32%</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10118146-1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北京天润坤泽财务管理咨询有限责任公 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本公司不对其具有重大影响的联营企业</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69500488-3</w:t>
            </w:r>
          </w:p>
        </w:tc>
      </w:tr>
    </w:tbl>
    <w:p>
      <w:pPr>
        <w:pStyle w:val="BodyText"/>
        <w:spacing w:line="240" w:lineRule="auto" w:before="49"/>
        <w:ind w:right="0"/>
        <w:jc w:val="both"/>
      </w:pPr>
      <w:r>
        <w:rPr/>
        <w:t>本企业的其他关联方情况的说明</w:t>
      </w:r>
    </w:p>
    <w:p>
      <w:pPr>
        <w:pStyle w:val="BodyText"/>
        <w:spacing w:line="309" w:lineRule="auto" w:before="117"/>
        <w:ind w:right="1131"/>
        <w:jc w:val="both"/>
      </w:pPr>
      <w:r>
        <w:rPr/>
        <w:t>本公司持有北京天润坤泽财务管理咨询有限责任公司出资比例</w:t>
      </w:r>
      <w:r>
        <w:rPr>
          <w:rFonts w:ascii="Times New Roman" w:hAnsi="Times New Roman" w:cs="Times New Roman" w:eastAsia="Times New Roman" w:hint="default"/>
        </w:rPr>
        <w:t>25%</w:t>
      </w:r>
      <w:r>
        <w:rPr/>
        <w:t>，投资成本人民币</w:t>
      </w:r>
      <w:r>
        <w:rPr>
          <w:rFonts w:ascii="Times New Roman" w:hAnsi="Times New Roman" w:cs="Times New Roman" w:eastAsia="Times New Roman" w:hint="default"/>
        </w:rPr>
        <w:t>100</w:t>
      </w:r>
      <w:r>
        <w:rPr/>
        <w:t>万元。根据天润咨询的章程规定， </w:t>
      </w:r>
      <w:r>
        <w:rPr>
          <w:spacing w:val="-2"/>
        </w:rPr>
        <w:t>天润咨询设执行董事一人，由股东会选举产生，负责日常经营管理，本公司按出资比例享受利润分红。因本公司不参与董事</w:t>
      </w:r>
      <w:r>
        <w:rPr>
          <w:spacing w:val="-65"/>
        </w:rPr>
        <w:t> </w:t>
      </w:r>
      <w:r>
        <w:rPr>
          <w:spacing w:val="-65"/>
        </w:rPr>
      </w:r>
      <w:r>
        <w:rPr/>
        <w:t>会，该项投资按成本法核算。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right="0"/>
        <w:jc w:val="both"/>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footerReference w:type="default" r:id="rId69"/>
          <w:pgSz w:w="11910" w:h="16840"/>
          <w:pgMar w:footer="1450" w:header="867" w:top="1060" w:bottom="1640" w:left="980" w:right="0"/>
          <w:pgNumType w:start="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left="0" w:right="1140"/>
        <w:jc w:val="right"/>
      </w:pPr>
      <w:r>
        <w:rPr/>
        <w:pict>
          <v:shape style="position:absolute;margin-left:409.630005pt;margin-top:3.831689pt;width:85.5pt;height:15.6pt;mso-position-horizontal-relative:page;mso-position-vertical-relative:paragraph;z-index:-893440"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88312pt;width:479.1pt;height:71.9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ind w:right="1123"/>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40"/>
        <w:jc w:val="right"/>
      </w:pPr>
      <w:r>
        <w:rPr/>
        <w:pict>
          <v:shape style="position:absolute;margin-left:409.630005pt;margin-top:3.831733pt;width:85.5pt;height:15.6pt;mso-position-horizontal-relative:page;mso-position-vertical-relative:paragraph;z-index:-893416"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68266pt;width:479.1pt;height:214.75pt;mso-position-horizontal-relative:page;mso-position-vertical-relative:paragraph;z-index:5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0"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3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3"/>
                          <w:ind w:left="22" w:right="120"/>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44"/>
                          <w:jc w:val="center"/>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4" w:right="167"/>
                          <w:jc w:val="left"/>
                          <w:rPr>
                            <w:rFonts w:ascii="宋体" w:hAnsi="宋体" w:cs="宋体" w:eastAsia="宋体" w:hint="default"/>
                            <w:sz w:val="18"/>
                            <w:szCs w:val="18"/>
                          </w:rPr>
                        </w:pPr>
                        <w:r>
                          <w:rPr>
                            <w:rFonts w:ascii="宋体" w:hAnsi="宋体" w:cs="宋体" w:eastAsia="宋体" w:hint="default"/>
                            <w:sz w:val="18"/>
                            <w:szCs w:val="18"/>
                          </w:rPr>
                          <w:t>独立核算及公允 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100,212,560.00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12.85%</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135,000.00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吉林省电力有限公 司及其子公司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独立核算及公允 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18,742,860.00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9,472,619.22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福建省电力有限公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独立核算及公允 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8,038,650.00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3,150,000.00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126,994,070.00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12,757,619.22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7"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1123"/>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1123"/>
        <w:jc w:val="left"/>
      </w:pPr>
      <w:r>
        <w:rPr/>
        <w:t>关联托管</w:t>
      </w:r>
      <w:r>
        <w:rPr>
          <w:rFonts w:ascii="Times New Roman" w:hAnsi="Times New Roman" w:cs="Times New Roman" w:eastAsia="Times New Roman" w:hint="default"/>
        </w:rPr>
        <w:t>/</w:t>
      </w:r>
      <w:r>
        <w:rPr/>
        <w:t>承包情况说明</w:t>
      </w:r>
    </w:p>
    <w:p>
      <w:pPr>
        <w:spacing w:line="240" w:lineRule="auto" w:before="0"/>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1123"/>
        <w:jc w:val="left"/>
      </w:pPr>
      <w:r>
        <w:rPr/>
        <w:t>公司承租情况表</w:t>
      </w:r>
    </w:p>
    <w:p>
      <w:pPr>
        <w:pStyle w:val="BodyText"/>
        <w:spacing w:line="240" w:lineRule="auto" w:before="115"/>
        <w:ind w:left="0" w:right="1131"/>
        <w:jc w:val="right"/>
      </w:pPr>
      <w:r>
        <w:rPr/>
        <w:t>单位：</w:t>
      </w:r>
      <w:r>
        <w:rPr>
          <w:spacing w:val="1"/>
        </w:rPr>
        <w:t> </w:t>
      </w:r>
      <w:r>
        <w:rPr/>
        <w:t>元</w:t>
      </w:r>
    </w:p>
    <w:p>
      <w:pPr>
        <w:spacing w:after="0" w:line="240" w:lineRule="auto"/>
        <w:jc w:val="right"/>
        <w:sectPr>
          <w:footerReference w:type="default" r:id="rId70"/>
          <w:pgSz w:w="11910" w:h="16840"/>
          <w:pgMar w:footer="1250" w:header="867" w:top="1060" w:bottom="1440" w:left="980" w:right="0"/>
          <w:pgNumType w:start="14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0"/>
        <w:ind w:right="1123"/>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pStyle w:val="BodyText"/>
        <w:spacing w:line="240" w:lineRule="auto" w:before="49"/>
        <w:ind w:right="1123"/>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38"/>
        <w:jc w:val="right"/>
      </w:pPr>
      <w:r>
        <w:rPr/>
        <w:pict>
          <v:shape style="position:absolute;margin-left:416.350006pt;margin-top:3.83172pt;width:78.75pt;height:15.6pt;mso-position-horizontal-relative:page;mso-position-vertical-relative:paragraph;z-index:-893344"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88281pt;width:479.2pt;height:71.9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55"/>
        <w:gridCol w:w="1473"/>
        <w:gridCol w:w="1462"/>
        <w:gridCol w:w="1460"/>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9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55"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79"/>
              <w:jc w:val="left"/>
              <w:rPr>
                <w:rFonts w:ascii="宋体" w:hAnsi="宋体" w:cs="宋体" w:eastAsia="宋体" w:hint="default"/>
                <w:sz w:val="18"/>
                <w:szCs w:val="18"/>
              </w:rPr>
            </w:pPr>
            <w:r>
              <w:rPr>
                <w:rFonts w:ascii="宋体" w:hAnsi="宋体" w:cs="宋体" w:eastAsia="宋体" w:hint="default"/>
                <w:sz w:val="18"/>
                <w:szCs w:val="18"/>
              </w:rPr>
              <w:t>福建省电力有限公 司</w:t>
            </w:r>
          </w:p>
        </w:tc>
        <w:tc>
          <w:tcPr>
            <w:tcW w:w="1473"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598,400.00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32,057.50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2,996,400.00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449,820.00</w:t>
            </w:r>
          </w:p>
        </w:tc>
      </w:tr>
      <w:tr>
        <w:trPr>
          <w:trHeight w:val="1027" w:hRule="exact"/>
        </w:trPr>
        <w:tc>
          <w:tcPr>
            <w:tcW w:w="20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79"/>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473"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13,542,061.40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677,103.07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w:t>
            </w:r>
          </w:p>
        </w:tc>
      </w:tr>
      <w:tr>
        <w:trPr>
          <w:trHeight w:val="401" w:hRule="exact"/>
        </w:trPr>
        <w:tc>
          <w:tcPr>
            <w:tcW w:w="20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73"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14,140,461.40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709,160.57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3,001,500.00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450,075.00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1250"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上市公司应付关联方款项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59"/>
      </w:tblGrid>
      <w:tr>
        <w:trPr>
          <w:trHeight w:val="398"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718" w:hRule="exact"/>
        </w:trPr>
        <w:tc>
          <w:tcPr>
            <w:tcW w:w="27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62"/>
              <w:jc w:val="left"/>
              <w:rPr>
                <w:rFonts w:ascii="宋体" w:hAnsi="宋体" w:cs="宋体" w:eastAsia="宋体" w:hint="default"/>
                <w:sz w:val="18"/>
                <w:szCs w:val="18"/>
              </w:rPr>
            </w:pPr>
            <w:r>
              <w:rPr>
                <w:rFonts w:ascii="宋体" w:hAnsi="宋体" w:cs="宋体" w:eastAsia="宋体" w:hint="default"/>
                <w:sz w:val="18"/>
                <w:szCs w:val="18"/>
              </w:rPr>
              <w:t>吉林省电力有限公司及其子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6,585,000.00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3,077,770.00</w:t>
            </w:r>
          </w:p>
        </w:tc>
      </w:tr>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6,585,000.00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3,077,770.00</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1250" w:top="1060" w:bottom="1440" w:left="980" w:right="0"/>
        </w:sectPr>
      </w:pPr>
    </w:p>
    <w:p>
      <w:pPr>
        <w:spacing w:line="240" w:lineRule="auto" w:before="0"/>
        <w:rPr>
          <w:rFonts w:ascii="宋体" w:hAnsi="宋体" w:cs="宋体" w:eastAsia="宋体" w:hint="default"/>
          <w:b/>
          <w:bCs/>
          <w:sz w:val="18"/>
          <w:szCs w:val="18"/>
        </w:rPr>
      </w:pPr>
    </w:p>
    <w:p>
      <w:pPr>
        <w:pStyle w:val="BodyText"/>
        <w:spacing w:line="240" w:lineRule="auto" w:before="161"/>
        <w:ind w:right="-5"/>
        <w:jc w:val="left"/>
      </w:pPr>
      <w:r>
        <w:rPr/>
        <w:t>股份支付情况的说明</w:t>
      </w:r>
    </w:p>
    <w:p>
      <w:pPr>
        <w:spacing w:line="240" w:lineRule="auto" w:before="0"/>
        <w:rPr>
          <w:rFonts w:ascii="宋体" w:hAnsi="宋体" w:cs="宋体" w:eastAsia="宋体" w:hint="default"/>
          <w:sz w:val="18"/>
          <w:szCs w:val="18"/>
        </w:rPr>
      </w:pPr>
    </w:p>
    <w:p>
      <w:pPr>
        <w:pStyle w:val="Heading4"/>
        <w:spacing w:line="240" w:lineRule="auto" w:before="118"/>
        <w:ind w:right="-5"/>
        <w:jc w:val="left"/>
        <w:rPr>
          <w:b w:val="0"/>
          <w:bCs w:val="0"/>
        </w:rPr>
      </w:pP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5"/>
        <w:gridCol w:w="4775"/>
      </w:tblGrid>
      <w:tr>
        <w:trPr>
          <w:trHeight w:val="714" w:hRule="exact"/>
        </w:trPr>
        <w:tc>
          <w:tcPr>
            <w:tcW w:w="4795"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1" w:right="72"/>
              <w:jc w:val="left"/>
              <w:rPr>
                <w:rFonts w:ascii="宋体" w:hAnsi="宋体" w:cs="宋体" w:eastAsia="宋体" w:hint="default"/>
                <w:sz w:val="18"/>
                <w:szCs w:val="18"/>
              </w:rPr>
            </w:pPr>
            <w:r>
              <w:rPr>
                <w:rFonts w:ascii="宋体" w:hAnsi="宋体" w:cs="宋体" w:eastAsia="宋体" w:hint="default"/>
                <w:sz w:val="18"/>
                <w:szCs w:val="18"/>
              </w:rPr>
              <w:t>股票期权采用布莱克期权定价模型，限制性股票采用授予日 股票价格－授予价格</w:t>
            </w:r>
          </w:p>
        </w:tc>
      </w:tr>
      <w:tr>
        <w:trPr>
          <w:trHeight w:val="402" w:hRule="exact"/>
        </w:trPr>
        <w:tc>
          <w:tcPr>
            <w:tcW w:w="4795"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预计可行权权益工具的最可能发生额</w:t>
            </w:r>
          </w:p>
        </w:tc>
      </w:tr>
      <w:tr>
        <w:trPr>
          <w:trHeight w:val="402" w:hRule="exact"/>
        </w:trPr>
        <w:tc>
          <w:tcPr>
            <w:tcW w:w="4795"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原公司总裁金卓君辞职</w:t>
            </w:r>
          </w:p>
        </w:tc>
      </w:tr>
      <w:tr>
        <w:trPr>
          <w:trHeight w:val="402" w:hRule="exact"/>
        </w:trPr>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66,185,982.84</w:t>
            </w:r>
          </w:p>
        </w:tc>
      </w:tr>
      <w:tr>
        <w:trPr>
          <w:trHeight w:val="403" w:hRule="exact"/>
        </w:trPr>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124,287,861.34</w:t>
            </w:r>
          </w:p>
        </w:tc>
      </w:tr>
    </w:tbl>
    <w:p>
      <w:pPr>
        <w:pStyle w:val="BodyText"/>
        <w:spacing w:line="240" w:lineRule="auto" w:before="49"/>
        <w:ind w:right="1123"/>
        <w:jc w:val="left"/>
      </w:pPr>
      <w:r>
        <w:rPr/>
        <w:t>以权益结算的股份支付的说明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b/>
          <w:bCs/>
          <w:sz w:val="18"/>
          <w:szCs w:val="18"/>
        </w:rPr>
      </w:pPr>
    </w:p>
    <w:p>
      <w:pPr>
        <w:pStyle w:val="BodyText"/>
        <w:spacing w:line="240" w:lineRule="auto" w:before="159"/>
        <w:ind w:right="-20"/>
        <w:jc w:val="left"/>
      </w:pPr>
      <w:r>
        <w:rPr/>
        <w:t>以现金结算的股份支付的说明</w:t>
      </w:r>
    </w:p>
    <w:p>
      <w:pPr>
        <w:spacing w:line="240" w:lineRule="auto" w:before="0"/>
        <w:rPr>
          <w:rFonts w:ascii="宋体" w:hAnsi="宋体" w:cs="宋体" w:eastAsia="宋体" w:hint="default"/>
          <w:sz w:val="18"/>
          <w:szCs w:val="18"/>
        </w:rPr>
      </w:pPr>
    </w:p>
    <w:p>
      <w:pPr>
        <w:pStyle w:val="Heading4"/>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2493" w:space="6336"/>
            <w:col w:w="2101"/>
          </w:cols>
        </w:sectPr>
      </w:pPr>
    </w:p>
    <w:p>
      <w:pPr>
        <w:spacing w:line="240" w:lineRule="auto" w:before="13"/>
        <w:rPr>
          <w:rFonts w:ascii="宋体" w:hAnsi="宋体" w:cs="宋体" w:eastAsia="宋体" w:hint="default"/>
          <w:sz w:val="22"/>
          <w:szCs w:val="22"/>
        </w:rPr>
      </w:pPr>
    </w:p>
    <w:p>
      <w:pPr>
        <w:pStyle w:val="BodyText"/>
        <w:spacing w:line="240" w:lineRule="auto"/>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3"/>
        <w:jc w:val="left"/>
        <w:rPr>
          <w:b w:val="0"/>
          <w:bCs w:val="0"/>
        </w:rPr>
      </w:pPr>
      <w:r>
        <w:rPr/>
        <w:t>十一、或有事项</w:t>
      </w:r>
      <w:r>
        <w:rPr>
          <w:b w:val="0"/>
          <w:bCs w:val="0"/>
        </w:rPr>
      </w:r>
    </w:p>
    <w:p>
      <w:pPr>
        <w:spacing w:line="600" w:lineRule="atLeast" w:before="14"/>
        <w:ind w:left="549" w:right="1123" w:hanging="39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100"/>
          <w:sz w:val="21"/>
          <w:szCs w:val="21"/>
        </w:rPr>
        <w:t> </w:t>
      </w:r>
      <w:r>
        <w:rPr>
          <w:rFonts w:ascii="宋体" w:hAnsi="宋体" w:cs="宋体" w:eastAsia="宋体" w:hint="default"/>
          <w:spacing w:val="-2"/>
          <w:sz w:val="21"/>
          <w:szCs w:val="21"/>
        </w:rPr>
        <w:t>截止资产负债表日，本公司无需披露的商业承兑汇票贴现、对外担保、未决诉讼或仲裁、税务纠纷等</w:t>
      </w:r>
    </w:p>
    <w:p>
      <w:pPr>
        <w:pStyle w:val="Heading5"/>
        <w:spacing w:line="240" w:lineRule="auto" w:before="37"/>
        <w:ind w:right="1123"/>
        <w:jc w:val="left"/>
      </w:pPr>
      <w:r>
        <w:rPr/>
        <w:t>重大或有事项。</w:t>
      </w:r>
    </w:p>
    <w:p>
      <w:pPr>
        <w:spacing w:after="0" w:line="240" w:lineRule="auto"/>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1123"/>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其他或有负债及其财务影响</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spacing w:line="506" w:lineRule="auto" w:before="0"/>
        <w:ind w:left="510" w:right="4507" w:hanging="35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截止报告日，本公司无需要特别说明的重大承诺事项。</w:t>
      </w:r>
    </w:p>
    <w:p>
      <w:pPr>
        <w:spacing w:line="240" w:lineRule="auto" w:before="0"/>
        <w:rPr>
          <w:rFonts w:ascii="宋体" w:hAnsi="宋体" w:cs="宋体" w:eastAsia="宋体" w:hint="default"/>
          <w:sz w:val="20"/>
          <w:szCs w:val="20"/>
        </w:rPr>
      </w:pPr>
    </w:p>
    <w:p>
      <w:pPr>
        <w:spacing w:line="487" w:lineRule="auto" w:before="155"/>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92,350,960.20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506" w:lineRule="auto" w:before="36"/>
        <w:ind w:left="152" w:right="31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截止报告日，本公司无需要特别说明的重大承诺事项。</w:t>
      </w:r>
    </w:p>
    <w:p>
      <w:pPr>
        <w:spacing w:after="0" w:line="506" w:lineRule="auto"/>
        <w:jc w:val="left"/>
        <w:rPr>
          <w:rFonts w:ascii="宋体" w:hAnsi="宋体" w:cs="宋体" w:eastAsia="宋体" w:hint="default"/>
          <w:sz w:val="21"/>
          <w:szCs w:val="21"/>
        </w:rPr>
        <w:sectPr>
          <w:pgSz w:w="11910" w:h="16840"/>
          <w:pgMar w:header="867" w:footer="1250"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61"/>
        <w:gridCol w:w="1526"/>
        <w:gridCol w:w="1517"/>
        <w:gridCol w:w="1517"/>
        <w:gridCol w:w="1528"/>
        <w:gridCol w:w="1522"/>
      </w:tblGrid>
      <w:tr>
        <w:trPr>
          <w:trHeight w:val="163" w:hRule="exact"/>
        </w:trPr>
        <w:tc>
          <w:tcPr>
            <w:tcW w:w="1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46,637,237.00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2,786,313.00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49,423,550.00</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46,637,237.00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2,786,313.00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49,423,550.00</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7"/>
        <w:gridCol w:w="1517"/>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根据公司</w:t>
      </w:r>
      <w:r>
        <w:rPr>
          <w:spacing w:val="-4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年第三次临时</w:t>
      </w:r>
      <w:r>
        <w:rPr>
          <w:spacing w:val="-3"/>
        </w:rPr>
        <w:t>股</w:t>
      </w:r>
      <w:r>
        <w:rPr/>
        <w:t>东大会审议通过了《远光软件股份有限公司限制性股票激励计划（修订稿</w:t>
      </w:r>
      <w:r>
        <w:rPr>
          <w:spacing w:val="-92"/>
        </w:rPr>
        <w:t>）》</w:t>
      </w:r>
      <w:r>
        <w:rPr/>
        <w:t>（以下简称</w:t>
      </w:r>
      <w:r>
        <w:rPr>
          <w:spacing w:val="2"/>
        </w:rPr>
        <w:t>“</w:t>
      </w:r>
      <w:r>
        <w:rPr/>
        <w:t>激</w:t>
      </w:r>
    </w:p>
    <w:p>
      <w:pPr>
        <w:pStyle w:val="BodyText"/>
        <w:spacing w:line="240" w:lineRule="auto" w:before="62"/>
        <w:ind w:right="0"/>
        <w:jc w:val="left"/>
        <w:rPr>
          <w:rFonts w:ascii="Times New Roman" w:hAnsi="Times New Roman" w:cs="Times New Roman" w:eastAsia="Times New Roman" w:hint="default"/>
        </w:rPr>
      </w:pPr>
      <w:r>
        <w:rPr/>
        <w:t>励计划</w:t>
      </w:r>
      <w:r>
        <w:rPr>
          <w:spacing w:val="-92"/>
        </w:rPr>
        <w:t>”</w:t>
      </w:r>
      <w:r>
        <w:rPr>
          <w:spacing w:val="-58"/>
        </w:rPr>
        <w:t>）</w:t>
      </w:r>
      <w:r>
        <w:rPr/>
        <w:t>的规定</w:t>
      </w:r>
      <w:r>
        <w:rPr>
          <w:spacing w:val="-58"/>
        </w:rPr>
        <w:t>，</w:t>
      </w:r>
      <w:r>
        <w:rPr/>
        <w:t>公司部分</w:t>
      </w:r>
      <w:r>
        <w:rPr>
          <w:spacing w:val="2"/>
        </w:rPr>
        <w:t>董</w:t>
      </w:r>
      <w:r>
        <w:rPr>
          <w:spacing w:val="-58"/>
        </w:rPr>
        <w:t>事</w:t>
      </w:r>
      <w:r>
        <w:rPr/>
        <w:t>（不含独立董事</w:t>
      </w:r>
      <w:r>
        <w:rPr>
          <w:spacing w:val="-92"/>
        </w:rPr>
        <w:t>）</w:t>
      </w:r>
      <w:r>
        <w:rPr>
          <w:spacing w:val="-58"/>
        </w:rPr>
        <w:t>、</w:t>
      </w:r>
      <w:r>
        <w:rPr/>
        <w:t>高级管</w:t>
      </w:r>
      <w:r>
        <w:rPr>
          <w:spacing w:val="2"/>
        </w:rPr>
        <w:t>理</w:t>
      </w:r>
      <w:r>
        <w:rPr/>
        <w:t>人员</w:t>
      </w:r>
      <w:r>
        <w:rPr>
          <w:spacing w:val="-58"/>
        </w:rPr>
        <w:t>、</w:t>
      </w:r>
      <w:r>
        <w:rPr/>
        <w:t>核心技</w:t>
      </w:r>
      <w:r>
        <w:rPr>
          <w:spacing w:val="-58"/>
        </w:rPr>
        <w:t>术</w:t>
      </w:r>
      <w:r>
        <w:rPr/>
        <w:t>（业务</w:t>
      </w:r>
      <w:r>
        <w:rPr>
          <w:spacing w:val="-58"/>
        </w:rPr>
        <w:t>）</w:t>
      </w:r>
      <w:r>
        <w:rPr/>
        <w:t>人员</w:t>
      </w:r>
      <w:r>
        <w:rPr>
          <w:spacing w:val="2"/>
        </w:rPr>
        <w:t>共</w:t>
      </w:r>
      <w:r>
        <w:rPr/>
        <w:t>计</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人申购限制性股票</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p>
    <w:p>
      <w:pPr>
        <w:pStyle w:val="BodyText"/>
        <w:spacing w:line="240" w:lineRule="auto" w:before="63"/>
        <w:ind w:right="0"/>
        <w:jc w:val="left"/>
      </w:pPr>
      <w:r>
        <w:rPr/>
        <w:t>万股，募集资金额</w:t>
      </w:r>
      <w:r>
        <w:rPr>
          <w:spacing w:val="-45"/>
        </w:rPr>
        <w:t> </w:t>
      </w:r>
      <w:r>
        <w:rPr>
          <w:rFonts w:ascii="Times New Roman" w:hAnsi="Times New Roman" w:cs="Times New Roman" w:eastAsia="Times New Roman" w:hint="default"/>
        </w:rPr>
        <w:t>98,582,788.50  </w:t>
      </w:r>
      <w:r>
        <w:rPr/>
        <w:t>元，于</w:t>
      </w:r>
      <w:r>
        <w:rPr>
          <w:spacing w:val="-45"/>
        </w:rPr>
        <w:t> </w:t>
      </w:r>
      <w:r>
        <w:rPr>
          <w:rFonts w:ascii="Times New Roman" w:hAnsi="Times New Roman" w:cs="Times New Roman" w:eastAsia="Times New Roman" w:hint="default"/>
        </w:rPr>
        <w:t>2013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25 </w:t>
      </w:r>
      <w:r>
        <w:rPr/>
        <w:t>日缴存完毕。本公司所发行的限制性股票公允价值按照相关估值工</w:t>
      </w:r>
    </w:p>
    <w:p>
      <w:pPr>
        <w:spacing w:after="0" w:line="240" w:lineRule="auto"/>
        <w:jc w:val="left"/>
        <w:sectPr>
          <w:pgSz w:w="11910" w:h="16840"/>
          <w:pgMar w:header="86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ind w:right="1119"/>
        <w:jc w:val="left"/>
      </w:pPr>
      <w:r>
        <w:rPr>
          <w:spacing w:val="-2"/>
        </w:rPr>
        <w:t>具确定授予日限制性股票的公允价值，限制性股票公允价值总额与募集金额之差额为分期记入期间费用的总额，费用摊销起</w:t>
      </w:r>
      <w:r>
        <w:rPr>
          <w:spacing w:val="-64"/>
        </w:rPr>
        <w:t> </w:t>
      </w:r>
      <w:r>
        <w:rPr>
          <w:spacing w:val="-64"/>
        </w:rPr>
      </w:r>
      <w:r>
        <w:rPr>
          <w:spacing w:val="-4"/>
        </w:rPr>
        <w:t>始日为限制性股票的授予日。《激励计划》中规定：限制性股票激励计划的有效期为</w:t>
      </w:r>
      <w:r>
        <w:rPr>
          <w:spacing w:val="-41"/>
        </w:rPr>
        <w:t> </w:t>
      </w:r>
      <w:r>
        <w:rPr>
          <w:rFonts w:ascii="Times New Roman" w:hAnsi="Times New Roman" w:cs="Times New Roman" w:eastAsia="Times New Roman" w:hint="default"/>
        </w:rPr>
        <w:t>48 </w:t>
      </w:r>
      <w:r>
        <w:rPr>
          <w:rFonts w:ascii="Times New Roman" w:hAnsi="Times New Roman" w:cs="Times New Roman" w:eastAsia="Times New Roman" w:hint="default"/>
          <w:spacing w:val="4"/>
        </w:rPr>
        <w:t> </w:t>
      </w:r>
      <w:r>
        <w:rPr>
          <w:spacing w:val="-3"/>
        </w:rPr>
        <w:t>个月，其中禁售期</w:t>
      </w:r>
      <w:r>
        <w:rPr>
          <w:spacing w:val="-42"/>
        </w:rPr>
        <w:t> </w:t>
      </w:r>
      <w:r>
        <w:rPr>
          <w:rFonts w:ascii="Times New Roman" w:hAnsi="Times New Roman" w:cs="Times New Roman" w:eastAsia="Times New Roman" w:hint="default"/>
        </w:rPr>
        <w:t>12 </w:t>
      </w:r>
      <w:r>
        <w:rPr>
          <w:rFonts w:ascii="Times New Roman" w:hAnsi="Times New Roman" w:cs="Times New Roman" w:eastAsia="Times New Roman" w:hint="default"/>
          <w:spacing w:val="4"/>
        </w:rPr>
        <w:t> </w:t>
      </w:r>
      <w:r>
        <w:rPr>
          <w:spacing w:val="-3"/>
        </w:rPr>
        <w:t>个月，解锁期</w:t>
      </w:r>
    </w:p>
    <w:p>
      <w:pPr>
        <w:pStyle w:val="BodyText"/>
        <w:spacing w:line="300" w:lineRule="auto" w:before="0"/>
        <w:ind w:right="1131"/>
        <w:jc w:val="both"/>
      </w:pP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个月。解锁期内，若达到本计划规定的限制性股票的解锁条件，激励对象在三个解锁日依次可申请解锁股票上限为该期 计划获授股票数量的</w:t>
      </w:r>
      <w:r>
        <w:rPr>
          <w:spacing w:val="-51"/>
        </w:rPr>
        <w:t> </w:t>
      </w:r>
      <w:r>
        <w:rPr>
          <w:rFonts w:ascii="Times New Roman" w:hAnsi="Times New Roman" w:cs="Times New Roman" w:eastAsia="Times New Roman" w:hint="default"/>
          <w:spacing w:val="-3"/>
        </w:rPr>
        <w:t>40%</w:t>
      </w:r>
      <w:r>
        <w:rPr>
          <w:spacing w:val="-3"/>
        </w:rPr>
        <w:t>、</w:t>
      </w:r>
      <w:r>
        <w:rPr>
          <w:rFonts w:ascii="Times New Roman" w:hAnsi="Times New Roman" w:cs="Times New Roman" w:eastAsia="Times New Roman" w:hint="default"/>
          <w:spacing w:val="-3"/>
        </w:rPr>
        <w:t>30%</w:t>
      </w:r>
      <w:r>
        <w:rPr>
          <w:spacing w:val="-3"/>
        </w:rPr>
        <w:t>与</w:t>
      </w:r>
      <w:r>
        <w:rPr>
          <w:spacing w:val="-13"/>
        </w:rPr>
        <w:t> </w:t>
      </w:r>
      <w:r>
        <w:rPr>
          <w:rFonts w:ascii="Times New Roman" w:hAnsi="Times New Roman" w:cs="Times New Roman" w:eastAsia="Times New Roman" w:hint="default"/>
        </w:rPr>
        <w:t>30%</w:t>
      </w:r>
      <w:r>
        <w:rPr/>
        <w:t>，由于第一个解锁日是在禁售期结束的下一工作日，因此摊销期间为</w:t>
      </w:r>
      <w:r>
        <w:rPr>
          <w:spacing w:val="-51"/>
        </w:rPr>
        <w:t> </w:t>
      </w:r>
      <w:r>
        <w:rPr>
          <w:rFonts w:ascii="Times New Roman" w:hAnsi="Times New Roman" w:cs="Times New Roman" w:eastAsia="Times New Roman" w:hint="default"/>
        </w:rPr>
        <w:t>36</w:t>
      </w:r>
      <w:r>
        <w:rPr>
          <w:rFonts w:ascii="Times New Roman" w:hAnsi="Times New Roman" w:cs="Times New Roman" w:eastAsia="Times New Roman" w:hint="default"/>
          <w:spacing w:val="33"/>
        </w:rPr>
        <w:t> </w:t>
      </w:r>
      <w:r>
        <w:rPr>
          <w:spacing w:val="-5"/>
        </w:rPr>
        <w:t>个月。其中</w:t>
      </w:r>
      <w:r>
        <w:rPr/>
        <w:t> 第一次解锁的限制性股票相关费用的摊销期间为</w:t>
      </w:r>
      <w:r>
        <w:rPr>
          <w:spacing w:val="-42"/>
        </w:rPr>
        <w:t> </w:t>
      </w:r>
      <w:r>
        <w:rPr>
          <w:rFonts w:ascii="Times New Roman" w:hAnsi="Times New Roman" w:cs="Times New Roman" w:eastAsia="Times New Roman" w:hint="default"/>
        </w:rPr>
        <w:t>12  </w:t>
      </w:r>
      <w:r>
        <w:rPr/>
        <w:t>个月，第二次解锁的限制性股票相关费用的摊销期间为</w:t>
      </w:r>
      <w:r>
        <w:rPr>
          <w:spacing w:val="-43"/>
        </w:rPr>
        <w:t> </w:t>
      </w:r>
      <w:r>
        <w:rPr>
          <w:rFonts w:ascii="Times New Roman" w:hAnsi="Times New Roman" w:cs="Times New Roman" w:eastAsia="Times New Roman" w:hint="default"/>
        </w:rPr>
        <w:t>24  </w:t>
      </w:r>
      <w:r>
        <w:rPr/>
        <w:t>个月，第三</w:t>
      </w:r>
    </w:p>
    <w:p>
      <w:pPr>
        <w:pStyle w:val="BodyText"/>
        <w:spacing w:line="340" w:lineRule="auto" w:before="13"/>
        <w:ind w:right="4994"/>
        <w:jc w:val="left"/>
      </w:pPr>
      <w:r>
        <w:rPr/>
        <w:t>次解锁的限制性股票相关费用的摊销期间为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 截至资产负债表日止，除上述事项外，本公司无需披露其他的重要事项。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0"/>
        <w:gridCol w:w="1201"/>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7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6" w:type="dxa"/>
            <w:gridSpan w:val="2"/>
            <w:vMerge/>
            <w:tcBorders>
              <w:left w:val="single" w:sz="4" w:space="0" w:color="000000"/>
              <w:bottom w:val="single" w:sz="4" w:space="0" w:color="000000"/>
              <w:right w:val="single" w:sz="4" w:space="0" w:color="000000"/>
            </w:tcBorders>
            <w:shd w:val="clear" w:color="auto" w:fill="D2D2D2"/>
          </w:tcPr>
          <w:p>
            <w:pPr/>
          </w:p>
        </w:tc>
        <w:tc>
          <w:tcPr>
            <w:tcW w:w="1987" w:type="dxa"/>
            <w:gridSpan w:val="2"/>
            <w:vMerge/>
            <w:tcBorders>
              <w:left w:val="single" w:sz="4" w:space="0" w:color="000000"/>
              <w:bottom w:val="single" w:sz="4" w:space="0" w:color="000000"/>
              <w:right w:val="single" w:sz="4" w:space="0" w:color="000000"/>
            </w:tcBorders>
            <w:shd w:val="clear" w:color="auto" w:fill="D2D2D2"/>
          </w:tcPr>
          <w:p>
            <w:pPr/>
          </w:p>
        </w:tc>
        <w:tc>
          <w:tcPr>
            <w:tcW w:w="1865"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188,882,110.26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21,391,856.56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11.33%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173,680,054.14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3"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21,476,397.53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12.37%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188,882,110.26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21,391,856.56</w:t>
            </w:r>
          </w:p>
        </w:tc>
        <w:tc>
          <w:tcPr>
            <w:tcW w:w="66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173,680,054.14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21,476,397.53</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188,882,110.26</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21,391,856.56</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173,680,054.14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21,476,397.53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794"/>
        <w:jc w:val="left"/>
      </w:pPr>
      <w:r>
        <w:rPr/>
        <w:t>应收账款种类的说明 应收账款为销售商品、提供劳务产生的应收款项。</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67" w:footer="1250" w:top="1060" w:bottom="1440" w:left="980" w:right="0"/>
        </w:sectPr>
      </w:pPr>
    </w:p>
    <w:p>
      <w:pPr>
        <w:pStyle w:val="BodyText"/>
        <w:spacing w:line="240" w:lineRule="auto"/>
        <w:ind w:right="-20"/>
        <w:jc w:val="left"/>
      </w:pPr>
      <w:r>
        <w:rPr/>
        <w:t>期末单项金额重大并单项计提坏账准备的应收账款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158,697,913.85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84.02%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7,934,895.69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139,633,345.69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6,981,667.28</w:t>
            </w:r>
          </w:p>
        </w:tc>
      </w:tr>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158,697,913.85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84.02%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7,934,895.69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139,633,345.69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6,981,667.28</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10,706,984.36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5.67%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1,070,698.44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16,710,276.67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1,671,027.67</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8,863,687.02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4.69%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1,772,737.40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5,640,911.50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1,128,182.30</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10,613,525.03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5.62%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10,613,525.03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11,695,520.28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11,695,520.28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188,882,110.26</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21,391,856.56</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173,680,054.14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21,476,397.53</w:t>
            </w:r>
          </w:p>
        </w:tc>
      </w:tr>
    </w:tbl>
    <w:p>
      <w:pPr>
        <w:pStyle w:val="BodyText"/>
        <w:spacing w:line="240" w:lineRule="auto" w:before="49"/>
        <w:ind w:right="1123"/>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2"/>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75"/>
        <w:gridCol w:w="1907"/>
        <w:gridCol w:w="1871"/>
      </w:tblGrid>
      <w:tr>
        <w:trPr>
          <w:trHeight w:val="162" w:hRule="exact"/>
        </w:trPr>
        <w:tc>
          <w:tcPr>
            <w:tcW w:w="2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2"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7" w:type="dxa"/>
            <w:vMerge/>
            <w:tcBorders>
              <w:left w:val="single" w:sz="4" w:space="0" w:color="000000"/>
              <w:bottom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0"/>
        <w:gridCol w:w="1946"/>
        <w:gridCol w:w="1947"/>
        <w:gridCol w:w="1922"/>
        <w:gridCol w:w="1832"/>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606"/>
        <w:gridCol w:w="1571"/>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91"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71" w:type="dxa"/>
            <w:vMerge/>
            <w:tcBorders>
              <w:left w:val="single" w:sz="4" w:space="0" w:color="000000"/>
              <w:right w:val="single" w:sz="4" w:space="0" w:color="000000"/>
            </w:tcBorders>
            <w:shd w:val="clear" w:color="auto" w:fill="D2D2D2"/>
          </w:tcPr>
          <w:p>
            <w:pPr/>
          </w:p>
        </w:tc>
      </w:tr>
      <w:tr>
        <w:trPr>
          <w:trHeight w:val="1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3320"/>
        <w:gridCol w:w="3711"/>
      </w:tblGrid>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67" w:footer="1250" w:top="1060" w:bottom="14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594"/>
        <w:gridCol w:w="1863"/>
        <w:gridCol w:w="1860"/>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32,057.50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2,996,400.00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449,820.00</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国电电力发展股份有限公司及 其子公司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13,542,061.40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677,103.07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14,140,461.40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709,160.57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3,001,500.00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450,075.00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31,905,342.65</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16.89%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7,482,150.00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3,936,140.00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3,638,847.55</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3,108,680.00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50,071,160.20</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2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以上的非控股股东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国电电力发展股份有限公司 及其子公司</w:t>
            </w:r>
          </w:p>
        </w:tc>
        <w:tc>
          <w:tcPr>
            <w:tcW w:w="2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以上的非控股股东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13,542,061.40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14,140,461.40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67" w:footer="1250" w:top="1060" w:bottom="14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8,827,180.47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2,276,354.22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6,532,294.07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1,226,380.58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8,827,180.47</w:t>
            </w: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2,276,354.22</w:t>
            </w: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6,532,294.07</w:t>
            </w:r>
          </w:p>
        </w:tc>
        <w:tc>
          <w:tcPr>
            <w:tcW w:w="52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1,226,380.58</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8,827,180.47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2,276,354.22</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6,532,294.07</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1,226,380.58</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1250" w:top="1060" w:bottom="1440" w:left="980" w:right="0"/>
        </w:sectPr>
      </w:pPr>
    </w:p>
    <w:p>
      <w:pPr>
        <w:pStyle w:val="BodyText"/>
        <w:spacing w:line="357" w:lineRule="auto" w:before="49"/>
        <w:ind w:right="-20"/>
        <w:jc w:val="left"/>
      </w:pPr>
      <w:r>
        <w:rPr/>
        <w:t>其他应收款种类的说明 其他应收款为履约保证金及备用金。 期末单项金额重大并单项计提坏账准备的其他应收款</w:t>
      </w:r>
    </w:p>
    <w:p>
      <w:pPr>
        <w:pStyle w:val="BodyText"/>
        <w:spacing w:line="360" w:lineRule="auto" w:before="26"/>
        <w:ind w:right="-20"/>
        <w:jc w:val="left"/>
      </w:pPr>
      <w:r>
        <w:rPr/>
        <w:t>□ 适用 √</w:t>
      </w:r>
      <w:r>
        <w:rPr>
          <w:spacing w:val="3"/>
        </w:rPr>
        <w:t> </w:t>
      </w:r>
      <w:r>
        <w:rPr/>
        <w:t>不适用</w:t>
      </w:r>
      <w:r>
        <w:rPr/>
        <w:t> 组合中，采用账龄分析法计提坏账准备的其他应收款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2"/>
        <w:gridCol w:w="1805"/>
        <w:gridCol w:w="657"/>
        <w:gridCol w:w="1595"/>
        <w:gridCol w:w="1867"/>
        <w:gridCol w:w="654"/>
        <w:gridCol w:w="1731"/>
      </w:tblGrid>
      <w:tr>
        <w:trPr>
          <w:trHeight w:val="402" w:hRule="exact"/>
        </w:trPr>
        <w:tc>
          <w:tcPr>
            <w:tcW w:w="1262"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62"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
        </w:tc>
        <w:tc>
          <w:tcPr>
            <w:tcW w:w="25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2521" w:type="dxa"/>
            <w:gridSpan w:val="2"/>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62"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62"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62"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731"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62"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5,542,254.25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62.79%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277,112.71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3,089,198.37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55.84%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154,459.92</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1,026,788.12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102,678.81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1,479,462.13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26.74%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147,946.21</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451,969.26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9" w:right="0"/>
              <w:jc w:val="left"/>
              <w:rPr>
                <w:rFonts w:ascii="Times New Roman" w:hAnsi="Times New Roman" w:cs="Times New Roman" w:eastAsia="Times New Roman" w:hint="default"/>
                <w:sz w:val="18"/>
                <w:szCs w:val="18"/>
              </w:rPr>
            </w:pPr>
            <w:r>
              <w:rPr>
                <w:rFonts w:ascii="Times New Roman"/>
                <w:sz w:val="18"/>
              </w:rPr>
              <w:t>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90,393.85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1,299,573.90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5.42%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259,914.78</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1,806,168.84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1,806,168.84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664,059.67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664,059.67</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8,827,180.47</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2,276,354.22</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6,532,294.07</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1,226,380.58</w:t>
            </w:r>
          </w:p>
        </w:tc>
      </w:tr>
    </w:tbl>
    <w:p>
      <w:pPr>
        <w:pStyle w:val="BodyText"/>
        <w:spacing w:line="240" w:lineRule="auto" w:before="49"/>
        <w:ind w:right="1123"/>
        <w:jc w:val="left"/>
      </w:pPr>
      <w:r>
        <w:rPr/>
        <w:t>组合中，采用余额百分比法计提坏账准备的其他应收款</w:t>
      </w:r>
    </w:p>
    <w:p>
      <w:pPr>
        <w:pStyle w:val="BodyText"/>
        <w:spacing w:line="360" w:lineRule="auto" w:before="115"/>
        <w:ind w:right="6794"/>
        <w:jc w:val="left"/>
      </w:pPr>
      <w:r>
        <w:rPr/>
        <w:t>□ 适用 √</w:t>
      </w:r>
      <w:r>
        <w:rPr>
          <w:spacing w:val="3"/>
        </w:rPr>
        <w:t> </w:t>
      </w:r>
      <w:r>
        <w:rPr/>
        <w:t>不适用</w:t>
      </w:r>
      <w:r>
        <w:rPr/>
        <w:t> 组合中，采用其他方法计提坏账准备的其他应收款</w:t>
      </w:r>
    </w:p>
    <w:p>
      <w:pPr>
        <w:pStyle w:val="BodyText"/>
        <w:spacing w:line="357" w:lineRule="auto" w:before="27"/>
        <w:ind w:right="6254"/>
        <w:jc w:val="left"/>
      </w:pPr>
      <w:r>
        <w:rPr/>
        <w:t>□ 适用 √</w:t>
      </w:r>
      <w:r>
        <w:rPr>
          <w:spacing w:val="3"/>
        </w:rPr>
        <w:t> </w:t>
      </w:r>
      <w:r>
        <w:rPr/>
        <w:t>不适用</w:t>
      </w:r>
      <w:r>
        <w:rPr/>
        <w:t> 期末单项金额虽不重大但单项计提坏账准备的其他应收款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2"/>
        <w:gridCol w:w="1712"/>
        <w:gridCol w:w="1863"/>
        <w:gridCol w:w="1919"/>
        <w:gridCol w:w="1871"/>
      </w:tblGrid>
      <w:tr>
        <w:trPr>
          <w:trHeight w:val="161" w:hRule="exact"/>
        </w:trPr>
        <w:tc>
          <w:tcPr>
            <w:tcW w:w="2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3" w:right="52"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vMerge/>
            <w:tcBorders>
              <w:left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2" w:hRule="exact"/>
        </w:trPr>
        <w:tc>
          <w:tcPr>
            <w:tcW w:w="2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40"/>
        <w:gridCol w:w="1953"/>
        <w:gridCol w:w="1968"/>
        <w:gridCol w:w="1943"/>
        <w:gridCol w:w="1841"/>
      </w:tblGrid>
      <w:tr>
        <w:trPr>
          <w:trHeight w:val="403"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6"/>
        <w:gridCol w:w="1595"/>
        <w:gridCol w:w="1580"/>
        <w:gridCol w:w="1487"/>
        <w:gridCol w:w="1508"/>
        <w:gridCol w:w="1789"/>
      </w:tblGrid>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60"/>
        <w:gridCol w:w="1716"/>
        <w:gridCol w:w="1727"/>
        <w:gridCol w:w="1859"/>
        <w:gridCol w:w="1594"/>
      </w:tblGrid>
      <w:tr>
        <w:trPr>
          <w:trHeight w:val="206" w:hRule="exact"/>
        </w:trPr>
        <w:tc>
          <w:tcPr>
            <w:tcW w:w="26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6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43" w:type="dxa"/>
            <w:gridSpan w:val="2"/>
            <w:vMerge/>
            <w:tcBorders>
              <w:left w:val="single" w:sz="4" w:space="0" w:color="000000"/>
              <w:bottom w:val="single" w:sz="4" w:space="0" w:color="000000"/>
              <w:right w:val="single" w:sz="4" w:space="0" w:color="000000"/>
            </w:tcBorders>
            <w:shd w:val="clear" w:color="auto" w:fill="D2D2D2"/>
          </w:tcPr>
          <w:p>
            <w:pPr/>
          </w:p>
        </w:tc>
        <w:tc>
          <w:tcPr>
            <w:tcW w:w="34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60" w:type="dxa"/>
            <w:vMerge/>
            <w:tcBorders>
              <w:left w:val="single" w:sz="4" w:space="0" w:color="000000"/>
              <w:bottom w:val="nil" w:sz="6" w:space="0" w:color="auto"/>
              <w:right w:val="single" w:sz="4" w:space="0" w:color="000000"/>
            </w:tcBorders>
            <w:shd w:val="clear" w:color="auto" w:fill="D2D2D2"/>
          </w:tcPr>
          <w:p>
            <w:pPr/>
          </w:p>
        </w:tc>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7" w:hRule="exact"/>
        </w:trPr>
        <w:tc>
          <w:tcPr>
            <w:tcW w:w="26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6" w:type="dxa"/>
            <w:vMerge/>
            <w:tcBorders>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85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金额较大的其他应收款为应收中电技国标招标有限责任公司投标保证金。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20"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中电技国际招标有限责 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国电诚信招标有限公司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797,010.00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w:t>
            </w:r>
          </w:p>
        </w:tc>
      </w:tr>
      <w:tr>
        <w:trPr>
          <w:trHeight w:val="7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中国电能成套设备有限 公司北京分公司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r>
      <w:tr>
        <w:trPr>
          <w:trHeight w:val="39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8"/>
              <w:ind w:right="57"/>
              <w:jc w:val="center"/>
              <w:rPr>
                <w:rFonts w:ascii="宋体" w:hAnsi="宋体" w:cs="宋体" w:eastAsia="宋体" w:hint="default"/>
                <w:sz w:val="18"/>
                <w:szCs w:val="18"/>
              </w:rPr>
            </w:pPr>
            <w:r>
              <w:rPr>
                <w:rFonts w:ascii="宋体" w:hAnsi="宋体" w:cs="宋体" w:eastAsia="宋体" w:hint="default"/>
                <w:sz w:val="18"/>
                <w:szCs w:val="18"/>
              </w:rPr>
              <w:t>广州易宝信息技术有限</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392,000.00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4.44%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1250"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四川长虹佳华信息产品 有限责任公司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2,851,010.00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18"/>
        <w:gridCol w:w="2443"/>
        <w:gridCol w:w="2429"/>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2" w:right="3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1"/>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43"/>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65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珠海横琴 新区集睿 思信息技 术有限公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3482"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39"/>
              <w:jc w:val="both"/>
              <w:rPr>
                <w:rFonts w:ascii="宋体" w:hAnsi="宋体" w:cs="宋体" w:eastAsia="宋体" w:hint="default"/>
                <w:sz w:val="18"/>
                <w:szCs w:val="18"/>
              </w:rPr>
            </w:pPr>
            <w:r>
              <w:rPr>
                <w:rFonts w:ascii="宋体" w:hAnsi="宋体" w:cs="宋体" w:eastAsia="宋体" w:hint="default"/>
                <w:sz w:val="18"/>
                <w:szCs w:val="18"/>
              </w:rPr>
              <w:t>北京天润 坤泽财务 管理咨询 有限责任 公司</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根据北京 天润的章 程规定， 北京天润 设执行董 事一人， 由股东会 选举产 生，负责 日常经营 管理，本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1250"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2859"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43"/>
              <w:jc w:val="left"/>
              <w:rPr>
                <w:rFonts w:ascii="宋体" w:hAnsi="宋体" w:cs="宋体" w:eastAsia="宋体" w:hint="default"/>
                <w:sz w:val="18"/>
                <w:szCs w:val="18"/>
              </w:rPr>
            </w:pPr>
            <w:r>
              <w:rPr>
                <w:rFonts w:ascii="宋体" w:hAnsi="宋体" w:cs="宋体" w:eastAsia="宋体" w:hint="default"/>
                <w:sz w:val="18"/>
                <w:szCs w:val="18"/>
              </w:rPr>
              <w:t>公司按持 股比例享 受利润分 红。因本 公司不参 与董事 会，该项 投资按成 本法核算</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福州远光 软件有限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634,497.9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634,497.9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-634,497.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60,825,00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129,798,8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03.02</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28,497,50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158,296,3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10.54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26.32%</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26.32%</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69,059,49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7.91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138,033,3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00.93</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27,863,00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165,896,3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10.54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1123"/>
        <w:jc w:val="left"/>
      </w:pPr>
      <w:r>
        <w:rPr/>
        <w:t>长期股权投资的说明</w:t>
      </w:r>
    </w:p>
    <w:p>
      <w:pPr>
        <w:pStyle w:val="Heading5"/>
        <w:spacing w:line="256" w:lineRule="auto" w:before="96"/>
        <w:ind w:right="1123" w:firstLine="314"/>
        <w:jc w:val="left"/>
      </w:pPr>
      <w:r>
        <w:rPr>
          <w:rFonts w:ascii="Times New Roman" w:hAnsi="Times New Roman" w:cs="Times New Roman" w:eastAsia="Times New Roman" w:hint="default"/>
        </w:rPr>
        <w:t>1</w:t>
      </w:r>
      <w:r>
        <w:rPr/>
        <w:t>、福州远光软件有限公司根据股东会决议于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月进行清算，</w:t>
      </w:r>
      <w:r>
        <w:rPr>
          <w:spacing w:val="6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日完成所有注销相关</w:t>
      </w:r>
      <w:r>
        <w:rPr>
          <w:w w:val="100"/>
        </w:rPr>
        <w:t> </w:t>
      </w:r>
      <w:r>
        <w:rPr/>
        <w:t>手续。</w:t>
      </w:r>
    </w:p>
    <w:p>
      <w:pPr>
        <w:pStyle w:val="Heading5"/>
        <w:spacing w:line="256" w:lineRule="auto" w:before="22"/>
        <w:ind w:right="1123" w:firstLine="314"/>
        <w:jc w:val="left"/>
      </w:pPr>
      <w:r>
        <w:rPr>
          <w:rFonts w:ascii="Times New Roman" w:hAnsi="Times New Roman" w:cs="Times New Roman" w:eastAsia="Times New Roman" w:hint="default"/>
          <w:spacing w:val="-2"/>
        </w:rPr>
        <w:t>2</w:t>
      </w:r>
      <w:r>
        <w:rPr>
          <w:spacing w:val="-2"/>
        </w:rPr>
        <w:t>、根据北京天润的章程规定，北京天润设执行董事一人，由股东会选举产生，负责日常经营管理，本</w:t>
      </w:r>
      <w:r>
        <w:rPr>
          <w:w w:val="100"/>
        </w:rPr>
        <w:t> </w:t>
      </w:r>
      <w:r>
        <w:rPr/>
        <w:t>公司按持股比例享受利润分红。因本公司不参与董事会，该项投资按成本法核算。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1"/>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779,780,492.44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642,283,002.45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779,780,492.44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642,283,002.45</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179,240,888.87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147,085,316.25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79.251709pt;width:135pt;height:77pt;mso-position-horizontal-relative:page;mso-position-vertical-relative:paragraph;z-index:-893272" coordorigin="9206,1585" coordsize="2700,1540">
            <v:shape style="position:absolute;left:9206;top:1585;width:2700;height:1540" type="#_x0000_t75" stroked="false">
              <v:imagedata r:id="rId15" o:title=""/>
            </v:shape>
            <v:shape style="position:absolute;left:10502;top:194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152</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768,964,203.88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176,256,982.42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633,631,701.83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144,660,617.23</w:t>
            </w:r>
          </w:p>
        </w:tc>
      </w:tr>
    </w:tbl>
    <w:p>
      <w:pPr>
        <w:spacing w:after="0" w:line="240" w:lineRule="auto"/>
        <w:jc w:val="left"/>
        <w:rPr>
          <w:rFonts w:ascii="Times New Roman" w:hAnsi="Times New Roman" w:cs="Times New Roman" w:eastAsia="Times New Roman" w:hint="default"/>
          <w:sz w:val="18"/>
          <w:szCs w:val="18"/>
        </w:rPr>
        <w:sectPr>
          <w:headerReference w:type="default" r:id="rId71"/>
          <w:footerReference w:type="default" r:id="rId7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10,816,288.56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2,983,906.45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8,651,300.62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2,424,699.02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779,780,492.44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179,240,888.87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642,283,002.45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147,085,316.25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自行开发研制的软件产品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66,844,786.55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50,606,150.68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561,797.07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434,807,846.68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98,875,037.88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356,602,793.00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90,293,391.11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225,925,115.68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36,485,566.39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208,789,550.28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34,711,444.32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52,202,743.53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43,297,434.60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26,284,508.49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21,518,683.75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779,780,492.44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179,240,888.87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642,283,002.45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147,085,316.25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135,173,652.65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34,294,955.64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85,210,928.36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18,912,762.32</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230,313,287.35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52,279,231.30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279,467,217.21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66,354,848.00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116,358,447.19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30,237,484.71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42,333,105.14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8,825,351.40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115,996,778.47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23,930,741.93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91,038,589.65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21,676,238.54</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82,262,225.56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17,615,001.29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64,160,126.67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14,224,986.81</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99,676,101.22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20,883,474.00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80,073,035.42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17,091,129.18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779,780,492.44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179,240,888.87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642,283,002.45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147,085,316.25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7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38,757,500.00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12,781,626.35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11,543,818.49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bl>
    <w:p>
      <w:pPr>
        <w:spacing w:after="0" w:line="240" w:lineRule="auto"/>
        <w:jc w:val="right"/>
        <w:rPr>
          <w:rFonts w:ascii="Times New Roman" w:hAnsi="Times New Roman" w:cs="Times New Roman" w:eastAsia="Times New Roman" w:hint="default"/>
          <w:sz w:val="18"/>
          <w:szCs w:val="18"/>
        </w:rPr>
        <w:sectPr>
          <w:footerReference w:type="default" r:id="rId73"/>
          <w:pgSz w:w="11910" w:h="16840"/>
          <w:pgMar w:footer="1340" w:header="877" w:top="1060" w:bottom="1540" w:left="980" w:right="0"/>
          <w:pgNumType w:start="153"/>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10,963,773.58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10,162,547.17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84,209,265.59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w:t>
            </w:r>
          </w:p>
        </w:tc>
      </w:tr>
    </w:tbl>
    <w:p>
      <w:pPr>
        <w:pStyle w:val="BodyText"/>
        <w:spacing w:line="240" w:lineRule="auto" w:before="49"/>
        <w:ind w:right="1123"/>
        <w:jc w:val="left"/>
      </w:pPr>
      <w:r>
        <w:rPr/>
        <w:t>营业收入的说明</w:t>
      </w:r>
    </w:p>
    <w:p>
      <w:pPr>
        <w:pStyle w:val="Heading5"/>
        <w:spacing w:line="240" w:lineRule="auto" w:before="94"/>
        <w:ind w:right="1123"/>
        <w:jc w:val="left"/>
      </w:pPr>
      <w:r>
        <w:rPr/>
        <w:t>本年营业收入较上年增长</w:t>
      </w:r>
      <w:r>
        <w:rPr>
          <w:rFonts w:ascii="Times New Roman" w:hAnsi="Times New Roman" w:cs="Times New Roman" w:eastAsia="Times New Roman" w:hint="default"/>
        </w:rPr>
        <w:t>21.38%</w:t>
      </w:r>
      <w:r>
        <w:rPr/>
        <w:t>的主要原因是软件服务收入及定制软件收入大幅增加。</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487,477.81</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35,997,507.52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13,216,371.03</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-399,573.97</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5,243,127.14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2,876,476.09</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40,841,060.69</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16,580,324.93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1739"/>
        <w:gridCol w:w="1606"/>
        <w:gridCol w:w="2899"/>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39"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9"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06" w:type="dxa"/>
            <w:tcBorders>
              <w:top w:val="single" w:sz="4" w:space="0" w:color="000000"/>
              <w:left w:val="single" w:sz="4" w:space="0" w:color="FFFFFF"/>
              <w:bottom w:val="single" w:sz="4" w:space="0" w:color="000000"/>
              <w:right w:val="single" w:sz="13"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606"/>
        <w:gridCol w:w="2899"/>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35,997,507.52</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13,216,371.03</w:t>
            </w:r>
          </w:p>
        </w:tc>
        <w:tc>
          <w:tcPr>
            <w:tcW w:w="28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华凯收入增长，费用控制良好</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35,997,507.52</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13,216,371.03</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投资收益的说明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3"/>
        <w:gridCol w:w="2258"/>
        <w:gridCol w:w="2247"/>
      </w:tblGrid>
      <w:tr>
        <w:trPr>
          <w:trHeight w:val="401" w:hRule="exact"/>
        </w:trPr>
        <w:tc>
          <w:tcPr>
            <w:tcW w:w="5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287,828,085.78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212,661,726.45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965,432.67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5,596,032.13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12,043,736.37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10,081,517.80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1,437,686.97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1,414,865.45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1,036,625.28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725,764.32</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-536,196.95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-406,431.19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-3,844,098.08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43,224.08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-40,841,060.69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-16,580,324.93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46,531.18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-563,925.63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3,117,830.55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571,637.10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6,518,436.00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705,011.00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-25,357,782.40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-87,690,025.75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45,090,307.40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-13,088,043.94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287,505,534.08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113,471,026.89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840,446,658.43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570,709,083.98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570,709,083.98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563,439,974.57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269,737,574.45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7,269,109.41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反向购买下以公允价值入账的资产、负债情况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1123"/>
        <w:jc w:val="left"/>
      </w:pPr>
      <w:r>
        <w:rPr/>
        <w:t>反向购买形成长期股权投资的情况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2177"/>
        <w:gridCol w:w="3842"/>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8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17"/>
        <w:gridCol w:w="2189"/>
        <w:gridCol w:w="1915"/>
        <w:gridCol w:w="1937"/>
      </w:tblGrid>
      <w:tr>
        <w:trPr>
          <w:trHeight w:val="38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2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89" w:type="dxa"/>
            <w:tcBorders>
              <w:top w:val="single" w:sz="15" w:space="0" w:color="D2D2D2"/>
              <w:left w:val="single" w:sz="13" w:space="0" w:color="D2D2D2"/>
              <w:bottom w:val="single" w:sz="4" w:space="0" w:color="000000"/>
              <w:right w:val="single" w:sz="4" w:space="0" w:color="000000"/>
            </w:tcBorders>
          </w:tcPr>
          <w:p>
            <w:pPr>
              <w:pStyle w:val="TableParagraph"/>
              <w:spacing w:line="240" w:lineRule="auto" w:before="97"/>
              <w:ind w:right="16"/>
              <w:jc w:val="right"/>
              <w:rPr>
                <w:rFonts w:ascii="Times New Roman" w:hAnsi="Times New Roman" w:cs="Times New Roman" w:eastAsia="Times New Roman" w:hint="default"/>
                <w:sz w:val="18"/>
                <w:szCs w:val="18"/>
              </w:rPr>
            </w:pPr>
            <w:r>
              <w:rPr>
                <w:rFonts w:ascii="Times New Roman"/>
                <w:sz w:val="18"/>
              </w:rPr>
              <w:t>26.35%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0.6516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pacing w:val="-1"/>
                <w:sz w:val="18"/>
              </w:rPr>
              <w:t>0.6516</w:t>
            </w:r>
            <w:r>
              <w:rPr>
                <w:rFonts w:ascii="Times New Roman"/>
                <w:sz w:val="18"/>
              </w:rPr>
            </w:r>
          </w:p>
        </w:tc>
      </w:tr>
      <w:tr>
        <w:trPr>
          <w:trHeight w:val="715"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0.6111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0.6111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无</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12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60" w:lineRule="auto" w:before="0"/>
        <w:ind w:left="513" w:right="3373"/>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7328" type="#_x0000_t75" stroked="false">
          <v:imagedata r:id="rId1" o:title=""/>
        </v:shape>
      </w:pict>
    </w:r>
    <w:r>
      <w:rPr/>
      <w:pict>
        <v:shape style="position:absolute;margin-left:533.099976pt;margin-top:795.637939pt;width:6.5pt;height:11pt;mso-position-horizontal-relative:page;mso-position-vertical-relative:page;z-index:-89730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896" type="#_x0000_t75" stroked="false">
          <v:imagedata r:id="rId1" o:title=""/>
        </v:shape>
      </w:pict>
    </w:r>
    <w:r>
      <w:rPr/>
      <w:pict>
        <v:shape style="position:absolute;margin-left:527.659973pt;margin-top:781.933899pt;width:13.15pt;height:11pt;mso-position-horizontal-relative:page;mso-position-vertical-relative:page;z-index:-8968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800" type="#_x0000_t75" stroked="false">
          <v:imagedata r:id="rId1" o:title=""/>
        </v:shape>
      </w:pict>
    </w:r>
    <w:r>
      <w:rPr/>
      <w:pict>
        <v:shape style="position:absolute;margin-left:527.659973pt;margin-top:781.933899pt;width:13.15pt;height:11pt;mso-position-horizontal-relative:page;mso-position-vertical-relative:page;z-index:-8967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704" type="#_x0000_t75" stroked="false">
          <v:imagedata r:id="rId1" o:title=""/>
        </v:shape>
      </w:pict>
    </w:r>
    <w:r>
      <w:rPr/>
      <w:pict>
        <v:shape style="position:absolute;margin-left:527.659973pt;margin-top:781.933899pt;width:13.15pt;height:11pt;mso-position-horizontal-relative:page;mso-position-vertical-relative:page;z-index:-8966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608" type="#_x0000_t75" stroked="false">
          <v:imagedata r:id="rId1" o:title=""/>
        </v:shape>
      </w:pict>
    </w:r>
    <w:r>
      <w:rPr/>
      <w:pict>
        <v:shape style="position:absolute;margin-left:527.659973pt;margin-top:781.933899pt;width:13.15pt;height:11pt;mso-position-horizontal-relative:page;mso-position-vertical-relative:page;z-index:-8965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7280" type="#_x0000_t75" stroked="false">
          <v:imagedata r:id="rId1" o:title=""/>
        </v:shape>
      </w:pict>
    </w:r>
    <w:r>
      <w:rPr/>
      <w:pict>
        <v:shape style="position:absolute;margin-left:527.659973pt;margin-top:781.933899pt;width:13.15pt;height:11pt;mso-position-horizontal-relative:page;mso-position-vertical-relative:page;z-index:-8972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416" type="#_x0000_t75" stroked="false">
          <v:imagedata r:id="rId1" o:title=""/>
        </v:shape>
      </w:pict>
    </w:r>
    <w:r>
      <w:rPr/>
      <w:pict>
        <v:shape style="position:absolute;margin-left:527.659973pt;margin-top:781.933899pt;width:13.15pt;height:11pt;mso-position-horizontal-relative:page;mso-position-vertical-relative:page;z-index:-8963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320" type="#_x0000_t75" stroked="false">
          <v:imagedata r:id="rId1" o:title=""/>
        </v:shape>
      </w:pict>
    </w:r>
    <w:r>
      <w:rPr/>
      <w:pict>
        <v:shape style="position:absolute;margin-left:527.659973pt;margin-top:781.933899pt;width:13.15pt;height:11pt;mso-position-horizontal-relative:page;mso-position-vertical-relative:page;z-index:-8962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176" type="#_x0000_t75" stroked="false">
          <v:imagedata r:id="rId1" o:title=""/>
        </v:shape>
      </w:pict>
    </w:r>
    <w:r>
      <w:rPr/>
      <w:pict>
        <v:shape style="position:absolute;margin-left:523.099976pt;margin-top:781.933899pt;width:17.7pt;height:11pt;mso-position-horizontal-relative:page;mso-position-vertical-relative:page;z-index:-8961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032" type="#_x0000_t75" stroked="false">
          <v:imagedata r:id="rId1" o:title=""/>
        </v:shape>
      </w:pict>
    </w:r>
    <w:r>
      <w:rPr/>
      <w:pict>
        <v:shape style="position:absolute;margin-left:523.099976pt;margin-top:781.933899pt;width:17.7pt;height:11pt;mso-position-horizontal-relative:page;mso-position-vertical-relative:page;z-index:-8960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984" type="#_x0000_t75" stroked="false">
          <v:imagedata r:id="rId1" o:title=""/>
        </v:shape>
      </w:pict>
    </w:r>
    <w:r>
      <w:rPr/>
      <w:pict>
        <v:shape style="position:absolute;margin-left:523.460022pt;margin-top:781.933899pt;width:17.3pt;height:11pt;mso-position-horizontal-relative:page;mso-position-vertical-relative:page;z-index:-895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7232" type="#_x0000_t75" stroked="false">
          <v:imagedata r:id="rId1" o:title=""/>
        </v:shape>
      </w:pict>
    </w:r>
    <w:r>
      <w:rPr/>
      <w:pict>
        <v:shape style="position:absolute;margin-left:528.020020pt;margin-top:781.933899pt;width:12.4pt;height:11pt;mso-position-horizontal-relative:page;mso-position-vertical-relative:page;z-index:-8972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w:t>
                </w:r>
                <w:r>
                  <w:rPr/>
                  <w:fldChar w:fldCharType="end"/>
                </w:r>
                <w:r>
                  <w:rPr>
                    <w:rFonts w:ascii="Times New Roman"/>
                    <w:spacing w:val="-6"/>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888" type="#_x0000_t75" stroked="false">
          <v:imagedata r:id="rId1" o:title=""/>
        </v:shape>
      </w:pict>
    </w:r>
    <w:r>
      <w:rPr/>
      <w:pict>
        <v:shape style="position:absolute;margin-left:523.460022pt;margin-top:781.933899pt;width:17.3pt;height:11pt;mso-position-horizontal-relative:page;mso-position-vertical-relative:page;z-index:-895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792" type="#_x0000_t75" stroked="false">
          <v:imagedata r:id="rId1" o:title=""/>
        </v:shape>
      </w:pict>
    </w:r>
    <w:r>
      <w:rPr/>
      <w:pict>
        <v:shape style="position:absolute;margin-left:523.099976pt;margin-top:781.933899pt;width:17.7pt;height:11pt;mso-position-horizontal-relative:page;mso-position-vertical-relative:page;z-index:-8957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r>
                  <w:rPr>
                    <w:rFonts w:ascii="Times New Roman"/>
                    <w:spacing w:val="1"/>
                  </w:rPr>
                </w:r>
                <w:r>
                  <w:rPr>
                    <w:rFonts w:ascii="Times New Roman"/>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696" type="#_x0000_t75" stroked="false">
          <v:imagedata r:id="rId1" o:title=""/>
        </v:shape>
      </w:pict>
    </w:r>
    <w:r>
      <w:rPr/>
      <w:pict>
        <v:shape style="position:absolute;margin-left:523.099976pt;margin-top:781.933899pt;width:17.7pt;height:11pt;mso-position-horizontal-relative:page;mso-position-vertical-relative:page;z-index:-8956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125</w:t>
                </w:r>
                <w:r>
                  <w:rPr/>
                  <w:fldChar w:fldCharType="end"/>
                </w:r>
                <w:r>
                  <w:rPr>
                    <w:rFonts w:ascii="Times New Roman"/>
                    <w:spacing w:val="1"/>
                  </w:rPr>
                </w:r>
                <w:r>
                  <w:rPr>
                    <w:rFonts w:ascii="Times New Roman"/>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600" type="#_x0000_t75" stroked="false">
          <v:imagedata r:id="rId1" o:title=""/>
        </v:shape>
      </w:pict>
    </w:r>
    <w:r>
      <w:rPr/>
      <w:pict>
        <v:shape style="position:absolute;margin-left:523.099976pt;margin-top:781.933899pt;width:17.7pt;height:11pt;mso-position-horizontal-relative:page;mso-position-vertical-relative:page;z-index:-8955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528" type="#_x0000_t75" stroked="false">
          <v:imagedata r:id="rId1" o:title=""/>
        </v:shape>
      </w:pict>
    </w:r>
    <w:r>
      <w:rPr/>
      <w:pict>
        <v:shape style="position:absolute;margin-left:523.099976pt;margin-top:781.933899pt;width:17.7pt;height:11pt;mso-position-horizontal-relative:page;mso-position-vertical-relative:page;z-index:-8955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7184" type="#_x0000_t75" stroked="false">
          <v:imagedata r:id="rId1" o:title=""/>
        </v:shape>
      </w:pict>
    </w:r>
    <w:r>
      <w:rPr/>
      <w:pict>
        <v:shape style="position:absolute;margin-left:527.659973pt;margin-top:781.933899pt;width:13.15pt;height:11pt;mso-position-horizontal-relative:page;mso-position-vertical-relative:page;z-index:-8971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w:t>
                </w:r>
                <w:r>
                  <w:rPr/>
                  <w:fldChar w:fldCharType="end"/>
                </w:r>
                <w:r>
                  <w:rPr>
                    <w:rFonts w:ascii="Times New Roman"/>
                    <w:spacing w:val="1"/>
                  </w:rPr>
                </w:r>
                <w:r>
                  <w:rPr>
                    <w:rFonts w:ascii="Times New Roman"/>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480" type="#_x0000_t75" stroked="false">
          <v:imagedata r:id="rId1" o:title=""/>
        </v:shape>
      </w:pict>
    </w:r>
    <w:r>
      <w:rPr/>
      <w:pict>
        <v:shape style="position:absolute;margin-left:523.099976pt;margin-top:781.933899pt;width:17.7pt;height:11pt;mso-position-horizontal-relative:page;mso-position-vertical-relative:page;z-index:-8954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r>
                  <w:rPr>
                    <w:rFonts w:ascii="Times New Roman"/>
                    <w:spacing w:val="1"/>
                  </w:rPr>
                </w:r>
                <w:r>
                  <w:rPr>
                    <w:rFonts w:ascii="Times New Roman"/>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384" type="#_x0000_t75" stroked="false">
          <v:imagedata r:id="rId1" o:title=""/>
        </v:shape>
      </w:pict>
    </w:r>
    <w:r>
      <w:rPr/>
      <w:pict>
        <v:shape style="position:absolute;margin-left:523.099976pt;margin-top:781.933899pt;width:17.7pt;height:11pt;mso-position-horizontal-relative:page;mso-position-vertical-relative:page;z-index:-8953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7088" type="#_x0000_t75" stroked="false">
          <v:imagedata r:id="rId1" o:title=""/>
        </v:shape>
      </w:pict>
    </w:r>
    <w:r>
      <w:rPr/>
      <w:pict>
        <v:shape style="position:absolute;margin-left:527.659973pt;margin-top:781.933899pt;width:13.15pt;height:11pt;mso-position-horizontal-relative:page;mso-position-vertical-relative:page;z-index:-8970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7040" type="#_x0000_t75" stroked="false">
          <v:imagedata r:id="rId1" o:title=""/>
        </v:shape>
      </w:pict>
    </w:r>
    <w:r>
      <w:rPr/>
      <w:pict>
        <v:shape style="position:absolute;margin-left:527.659973pt;margin-top:781.933899pt;width:13.15pt;height:11pt;mso-position-horizontal-relative:page;mso-position-vertical-relative:page;z-index:-8970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992" type="#_x0000_t75" stroked="false">
          <v:imagedata r:id="rId1" o:title=""/>
        </v:shape>
      </w:pict>
    </w:r>
    <w:r>
      <w:rPr/>
      <w:pict>
        <v:shape style="position:absolute;margin-left:527.659973pt;margin-top:781.933899pt;width:13.15pt;height:11pt;mso-position-horizontal-relative:page;mso-position-vertical-relative:page;z-index:-8969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71.070007pt;margin-top:36.265610pt;width:168.6pt;height:11.5pt;mso-position-horizontal-relative:page;mso-position-vertical-relative:page;z-index:-897352"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3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344"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2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248"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200"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1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104"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0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056"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5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5912"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58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5816"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57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5720"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56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5624"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1.070007pt;margin-top:42.865608pt;width:168.6pt;height:11.5pt;mso-position-horizontal-relative:page;mso-position-vertical-relative:page;z-index:-895552"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71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7112"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5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5408"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920"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8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824"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7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728"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632"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5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536"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5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488"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96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896440"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spacing w:before="18"/>
      <w:ind w:left="152" w:firstLine="360"/>
      <w:outlineLvl w:val="6"/>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ygsoft.com/" TargetMode="External"/><Relationship Id="rId9" Type="http://schemas.openxmlformats.org/officeDocument/2006/relationships/hyperlink" Target="mailto:ygstock@ygsoft.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image" Target="media/image1.png"/><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3.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4.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jpe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header" Target="header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7.xml"/><Relationship Id="rId35" Type="http://schemas.openxmlformats.org/officeDocument/2006/relationships/footer" Target="footer17.xml"/><Relationship Id="rId36" Type="http://schemas.openxmlformats.org/officeDocument/2006/relationships/header" Target="header8.xml"/><Relationship Id="rId37" Type="http://schemas.openxmlformats.org/officeDocument/2006/relationships/footer" Target="footer18.xml"/><Relationship Id="rId38" Type="http://schemas.openxmlformats.org/officeDocument/2006/relationships/header" Target="header9.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header" Target="header1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header" Target="header11.xml"/><Relationship Id="rId45" Type="http://schemas.openxmlformats.org/officeDocument/2006/relationships/footer" Target="footer23.xml"/><Relationship Id="rId46" Type="http://schemas.openxmlformats.org/officeDocument/2006/relationships/header" Target="header12.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header" Target="header13.xml"/><Relationship Id="rId50" Type="http://schemas.openxmlformats.org/officeDocument/2006/relationships/footer" Target="footer26.xml"/><Relationship Id="rId51" Type="http://schemas.openxmlformats.org/officeDocument/2006/relationships/header" Target="header14.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footer" Target="footer29.xml"/><Relationship Id="rId55" Type="http://schemas.openxmlformats.org/officeDocument/2006/relationships/header" Target="header15.xml"/><Relationship Id="rId56" Type="http://schemas.openxmlformats.org/officeDocument/2006/relationships/footer" Target="footer30.xml"/><Relationship Id="rId57" Type="http://schemas.openxmlformats.org/officeDocument/2006/relationships/footer" Target="footer31.xml"/><Relationship Id="rId58" Type="http://schemas.openxmlformats.org/officeDocument/2006/relationships/header" Target="header16.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header" Target="header17.xml"/><Relationship Id="rId62" Type="http://schemas.openxmlformats.org/officeDocument/2006/relationships/footer" Target="footer34.xml"/><Relationship Id="rId63" Type="http://schemas.openxmlformats.org/officeDocument/2006/relationships/footer" Target="footer35.xml"/><Relationship Id="rId64" Type="http://schemas.openxmlformats.org/officeDocument/2006/relationships/header" Target="header18.xml"/><Relationship Id="rId65" Type="http://schemas.openxmlformats.org/officeDocument/2006/relationships/footer" Target="footer36.xml"/><Relationship Id="rId66" Type="http://schemas.openxmlformats.org/officeDocument/2006/relationships/footer" Target="footer37.xml"/><Relationship Id="rId67" Type="http://schemas.openxmlformats.org/officeDocument/2006/relationships/header" Target="header19.xml"/><Relationship Id="rId68" Type="http://schemas.openxmlformats.org/officeDocument/2006/relationships/footer" Target="footer38.xml"/><Relationship Id="rId69" Type="http://schemas.openxmlformats.org/officeDocument/2006/relationships/footer" Target="footer39.xml"/><Relationship Id="rId70" Type="http://schemas.openxmlformats.org/officeDocument/2006/relationships/footer" Target="footer40.xml"/><Relationship Id="rId71" Type="http://schemas.openxmlformats.org/officeDocument/2006/relationships/header" Target="header20.xml"/><Relationship Id="rId72" Type="http://schemas.openxmlformats.org/officeDocument/2006/relationships/footer" Target="footer41.xml"/><Relationship Id="rId73" Type="http://schemas.openxmlformats.org/officeDocument/2006/relationships/footer" Target="footer4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2020-05-04T00:04:51Z</dcterms:created>
  <dcterms:modified xsi:type="dcterms:W3CDTF">2020-05-04T00:04:51Z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Microsoft® Office Word 2007</vt:lpwstr>
  </property>
  <property fmtid="{D5CDD505-2E9C-101B-9397-08002B2CF9AE}" pid="4" name="LastSaved">
    <vt:filetime>2020-05-03T00:00:00Z</vt:filetime>
  </property>
</Properties>
</file>