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504" w:right="1481"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远光软件股份有限公司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502" w:right="14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505" w:right="14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461,715,546</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0.75</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不以公积</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金转增股本。</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公司负责人陈利浩、主管会计工作负责人黄笑华及会计机构负责人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毛华夏声明：保证年度报告中财务报告的真实、准确、完整。</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05" w:right="148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505" w:right="148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智和卓源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瑞翔科技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长沙瑞翔科技有限公司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远光广安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北京非凡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北京远光非凡软件有限公司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国家电网、国网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南方电网、南网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504" w:right="148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0"/>
        <w:rPr>
          <w:rFonts w:ascii="宋体" w:hAnsi="宋体" w:cs="宋体" w:eastAsia="宋体" w:hint="default"/>
          <w:b/>
          <w:bCs/>
          <w:sz w:val="25"/>
          <w:szCs w:val="25"/>
        </w:rPr>
      </w:pPr>
    </w:p>
    <w:p>
      <w:pPr>
        <w:spacing w:line="448" w:lineRule="auto" w:before="0"/>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、电力行业外市场经验不足</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目前，公司除继续深耕电力主业外，也在电力行业外市场持续发力。对电</w:t>
      </w:r>
      <w:r>
        <w:rPr>
          <w:rFonts w:ascii="宋体" w:hAnsi="宋体" w:cs="宋体" w:eastAsia="宋体" w:hint="default"/>
          <w:spacing w:val="3"/>
          <w:sz w:val="28"/>
          <w:szCs w:val="28"/>
        </w:rPr>
      </w:r>
    </w:p>
    <w:p>
      <w:pPr>
        <w:spacing w:line="408" w:lineRule="auto" w:before="14"/>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力行业外市场的竞争，公司以往经验相对不足。公司将通过人才引进、资本合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作等多种方式提升公司在行业外市场的竞争力，弥补公司在非电业务领域的短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板。</w:t>
      </w:r>
      <w:r>
        <w:rPr>
          <w:rFonts w:ascii="宋体" w:hAnsi="宋体" w:cs="宋体" w:eastAsia="宋体" w:hint="default"/>
          <w:sz w:val="28"/>
          <w:szCs w:val="28"/>
        </w:rPr>
      </w:r>
    </w:p>
    <w:p>
      <w:pPr>
        <w:spacing w:line="446" w:lineRule="auto" w:before="161"/>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、燃料智能化业务交付能力有待提升</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电力行业的燃料智能化市场规模预计超过百亿元，已进入快速成长期。公</w:t>
      </w:r>
      <w:r>
        <w:rPr>
          <w:rFonts w:ascii="宋体" w:hAnsi="宋体" w:cs="宋体" w:eastAsia="宋体" w:hint="default"/>
          <w:spacing w:val="3"/>
          <w:sz w:val="28"/>
          <w:szCs w:val="28"/>
        </w:rPr>
      </w:r>
    </w:p>
    <w:p>
      <w:pPr>
        <w:spacing w:line="408" w:lineRule="auto" w:before="16"/>
        <w:ind w:left="15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司作为优势企业，在这一蓝海市场，如果业务发展速度超预期，可能会存在无</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法充分满足市场需求的情况，在部分业务环节存在对客户交付能力不足的风险。</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对此，公司将持续引进和吸纳燃料智能化业务领域专业人才，通过岗位培训、</w:t>
      </w:r>
      <w:r>
        <w:rPr>
          <w:rFonts w:ascii="宋体" w:hAnsi="宋体" w:cs="宋体" w:eastAsia="宋体" w:hint="default"/>
          <w:b/>
          <w:bCs/>
          <w:w w:val="99"/>
          <w:sz w:val="28"/>
          <w:szCs w:val="28"/>
        </w:rPr>
        <w:t> </w:t>
      </w:r>
      <w:r>
        <w:rPr>
          <w:rFonts w:ascii="宋体" w:hAnsi="宋体" w:cs="宋体" w:eastAsia="宋体" w:hint="default"/>
          <w:b/>
          <w:bCs/>
          <w:spacing w:val="3"/>
          <w:sz w:val="28"/>
          <w:szCs w:val="28"/>
        </w:rPr>
        <w:t>技术提能等方式提高内部员工综合能力，将各岗位工作流程化、规范化，实现</w:t>
      </w:r>
      <w:r>
        <w:rPr>
          <w:rFonts w:ascii="宋体" w:hAnsi="宋体" w:cs="宋体" w:eastAsia="宋体" w:hint="default"/>
          <w:b/>
          <w:bCs/>
          <w:w w:val="99"/>
          <w:sz w:val="28"/>
          <w:szCs w:val="28"/>
        </w:rPr>
        <w:t> </w:t>
      </w:r>
      <w:r>
        <w:rPr>
          <w:rFonts w:ascii="宋体" w:hAnsi="宋体" w:cs="宋体" w:eastAsia="宋体" w:hint="default"/>
          <w:b/>
          <w:bCs/>
          <w:sz w:val="28"/>
          <w:szCs w:val="28"/>
        </w:rPr>
        <w:t>业务的可复制性，持续挖掘交付潜能。</w:t>
      </w:r>
      <w:r>
        <w:rPr>
          <w:rFonts w:ascii="宋体" w:hAnsi="宋体" w:cs="宋体" w:eastAsia="宋体" w:hint="default"/>
          <w:sz w:val="28"/>
          <w:szCs w:val="28"/>
        </w:rPr>
      </w:r>
    </w:p>
    <w:p>
      <w:pPr>
        <w:spacing w:line="446" w:lineRule="auto" w:before="162"/>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、高端人才不足</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公司新兴业务快速发展，高端人才不足仍然是制约公司业务发展的重要因</w:t>
      </w:r>
      <w:r>
        <w:rPr>
          <w:rFonts w:ascii="宋体" w:hAnsi="宋体" w:cs="宋体" w:eastAsia="宋体" w:hint="default"/>
          <w:spacing w:val="3"/>
          <w:sz w:val="28"/>
          <w:szCs w:val="28"/>
        </w:rPr>
      </w:r>
    </w:p>
    <w:p>
      <w:pPr>
        <w:spacing w:line="408" w:lineRule="auto" w:before="16"/>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素。公司一方面将加大高端研发人才引进的力度，同时也会结合业务发展规划</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强化内部培养的能力。公司会强化在职培训、领导力培训及培训管理创新，提</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高员工的专业化与职业化程度，并在技术骨干、管理骨干等核心人才的育留方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面提供职能支持。</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89.879974pt;width:361.5pt;height:19.6pt;mso-position-horizontal-relative:page;mso-position-vertical-relative:page;z-index:-903784" coordorigin="3447,5798" coordsize="7230,392">
            <v:shape style="position:absolute;left:3447;top:5798;width:7230;height:392" coordorigin="3447,5798" coordsize="7230,392" path="m3447,6189l10676,6189,10676,5798,3447,5798,3447,618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1481"/>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002063</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YGSOFT</w:t>
            </w:r>
            <w:r>
              <w:rPr>
                <w:rFonts w:ascii="Times New Roman"/>
                <w:spacing w:val="-5"/>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YGSOFT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陈利浩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http://www.ygsoft.com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周海霞</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公司证券及法律事务部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4400001009932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440401707956364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70795636-4</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珠海市工商行政管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440000000039294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440401707956364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70795636-4</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日公司上市时，控股股东为珠海市东区荣光科技有限公司；</w:t>
            </w:r>
            <w:r>
              <w:rPr>
                <w:rFonts w:ascii="Times New Roman" w:hAnsi="Times New Roman" w:cs="Times New Roman" w:eastAsia="Times New Roman" w:hint="default"/>
                <w:sz w:val="18"/>
                <w:szCs w:val="18"/>
              </w:rPr>
              <w:t>2011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日，控股股东由珠海市东区荣光科技有限公司变更为陈利浩。</w:t>
            </w:r>
          </w:p>
        </w:tc>
      </w:tr>
      <w:tr>
        <w:trPr>
          <w:trHeight w:val="392"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9" w:space="0" w:color="D2D2D2"/>
              <w:right w:val="single" w:sz="4" w:space="0" w:color="000000"/>
            </w:tcBorders>
          </w:tcPr>
          <w:p>
            <w:pPr/>
          </w:p>
        </w:tc>
      </w:tr>
      <w:tr>
        <w:trPr>
          <w:trHeight w:val="161"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王淑燕、樊文景</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816,945,465.51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929,206,635.61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779,780,492.44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190,570,344.02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340,954,072.86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-44.11%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288,004,446.86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172,089,437.86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328,026,932.61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270,097,223.02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131,851,044.82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261,545,936.55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287,515,458.64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1,915,904,112.98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1,824,946,102.17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1,379,989,433.48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1,597,553,889.11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1,646,826,200.10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1,238,675,671.64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22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837,649.89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664,069.28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136,622.98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5,473,803.15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8,099,913.31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10,202,261.32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13,119,215.34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5,328,527.11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9,300,577.94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1,576,781.51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317,738.80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293,011.93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2,031,172.01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1,483,108.25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2,025,250.33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495,371.72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18,480,906.16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12,927,140.25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17,907,223.84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0" w:firstLine="360"/>
        <w:jc w:val="both"/>
      </w:pPr>
      <w:r>
        <w:rPr>
          <w:rFonts w:ascii="Times New Roman" w:hAnsi="Times New Roman" w:cs="Times New Roman" w:eastAsia="Times New Roman" w:hint="default"/>
          <w:spacing w:val="-2"/>
        </w:rPr>
        <w:t>2014</w:t>
      </w:r>
      <w:r>
        <w:rPr>
          <w:spacing w:val="-2"/>
        </w:rPr>
        <w:t>年以来，我国经济发展进入增速换挡、结构优化、动力转换的</w:t>
      </w:r>
      <w:r>
        <w:rPr>
          <w:rFonts w:ascii="Times New Roman" w:hAnsi="Times New Roman" w:cs="Times New Roman" w:eastAsia="Times New Roman" w:hint="default"/>
          <w:spacing w:val="-2"/>
        </w:rPr>
        <w:t>“</w:t>
      </w:r>
      <w:r>
        <w:rPr>
          <w:spacing w:val="-2"/>
        </w:rPr>
        <w:t>新常态</w:t>
      </w:r>
      <w:r>
        <w:rPr>
          <w:rFonts w:ascii="Times New Roman" w:hAnsi="Times New Roman" w:cs="Times New Roman" w:eastAsia="Times New Roman" w:hint="default"/>
          <w:spacing w:val="-2"/>
        </w:rPr>
        <w:t>”</w:t>
      </w:r>
      <w:r>
        <w:rPr>
          <w:spacing w:val="-2"/>
        </w:rPr>
        <w:t>，将对各行各业的转型升级产生方向性的重</w:t>
      </w:r>
      <w:r>
        <w:rPr/>
        <w:t> </w:t>
      </w:r>
      <w:r>
        <w:rPr>
          <w:spacing w:val="-1"/>
        </w:rPr>
        <w:t>大影响。在电力行业，全社会用电量已呈现出一些新特点，如：电力消费增速放缓，全社会用电量</w:t>
      </w:r>
      <w:r>
        <w:rPr>
          <w:rFonts w:ascii="Times New Roman" w:hAnsi="Times New Roman" w:cs="Times New Roman" w:eastAsia="Times New Roman" w:hint="default"/>
          <w:spacing w:val="-1"/>
        </w:rPr>
        <w:t>55,233</w:t>
      </w:r>
      <w:r>
        <w:rPr>
          <w:spacing w:val="-1"/>
        </w:rPr>
        <w:t>亿千瓦时，同比增</w:t>
      </w:r>
      <w:r>
        <w:rPr>
          <w:spacing w:val="-71"/>
        </w:rPr>
        <w:t> </w:t>
      </w:r>
      <w:r>
        <w:rPr>
          <w:spacing w:val="-71"/>
        </w:rPr>
      </w:r>
      <w:r>
        <w:rPr/>
        <w:t>长</w:t>
      </w:r>
      <w:r>
        <w:rPr>
          <w:rFonts w:ascii="Times New Roman" w:hAnsi="Times New Roman" w:cs="Times New Roman" w:eastAsia="Times New Roman" w:hint="default"/>
        </w:rPr>
        <w:t>3.8%</w:t>
      </w:r>
      <w:r>
        <w:rPr/>
        <w:t>，比上年回落</w:t>
      </w:r>
      <w:r>
        <w:rPr>
          <w:rFonts w:ascii="Times New Roman" w:hAnsi="Times New Roman" w:cs="Times New Roman" w:eastAsia="Times New Roman" w:hint="default"/>
        </w:rPr>
        <w:t>3.8</w:t>
      </w:r>
      <w:r>
        <w:rPr/>
        <w:t>个百分点；全口径发电量</w:t>
      </w:r>
      <w:r>
        <w:rPr>
          <w:rFonts w:ascii="Times New Roman" w:hAnsi="Times New Roman" w:cs="Times New Roman" w:eastAsia="Times New Roman" w:hint="default"/>
        </w:rPr>
        <w:t>55,459</w:t>
      </w:r>
      <w:r>
        <w:rPr/>
        <w:t>亿千瓦时，同比增长</w:t>
      </w:r>
      <w:r>
        <w:rPr>
          <w:rFonts w:ascii="Times New Roman" w:hAnsi="Times New Roman" w:cs="Times New Roman" w:eastAsia="Times New Roman" w:hint="default"/>
        </w:rPr>
        <w:t>3.6%</w:t>
      </w:r>
      <w:r>
        <w:rPr/>
        <w:t>，比上年回落</w:t>
      </w:r>
      <w:r>
        <w:rPr>
          <w:rFonts w:ascii="Times New Roman" w:hAnsi="Times New Roman" w:cs="Times New Roman" w:eastAsia="Times New Roman" w:hint="default"/>
        </w:rPr>
        <w:t>4.1</w:t>
      </w:r>
      <w:r>
        <w:rPr/>
        <w:t>个百分点。</w:t>
      </w:r>
    </w:p>
    <w:p>
      <w:pPr>
        <w:pStyle w:val="BodyText"/>
        <w:spacing w:line="300" w:lineRule="auto" w:before="13"/>
        <w:ind w:right="0" w:firstLine="360"/>
        <w:jc w:val="left"/>
      </w:pPr>
      <w:r>
        <w:rPr>
          <w:rFonts w:ascii="Times New Roman" w:hAnsi="Times New Roman" w:cs="Times New Roman" w:eastAsia="Times New Roman" w:hint="default"/>
          <w:spacing w:val="-2"/>
        </w:rPr>
        <w:t>2014</w:t>
      </w:r>
      <w:r>
        <w:rPr>
          <w:spacing w:val="-2"/>
        </w:rPr>
        <w:t>年，国家加快电力体制改革，新一轮电力体制改革方案备受关注。同时，随着信息化与工业化的深度融合，互联网</w:t>
      </w:r>
      <w:r>
        <w:rPr/>
        <w:t> </w:t>
      </w:r>
      <w:r>
        <w:rPr>
          <w:rFonts w:ascii="Times New Roman" w:hAnsi="Times New Roman" w:cs="Times New Roman" w:eastAsia="Times New Roman" w:hint="default"/>
        </w:rPr>
        <w:t>B2B</w:t>
      </w:r>
      <w:r>
        <w:rPr/>
        <w:t>（企业对企业）的模式也在向大宗能源项目扩张，能源互联网开始发轫。</w:t>
      </w:r>
    </w:p>
    <w:p>
      <w:pPr>
        <w:pStyle w:val="BodyText"/>
        <w:spacing w:line="309" w:lineRule="auto" w:before="13"/>
        <w:ind w:right="1118" w:firstLine="360"/>
        <w:jc w:val="left"/>
      </w:pPr>
      <w:r>
        <w:rPr>
          <w:spacing w:val="-5"/>
        </w:rPr>
        <w:t>报告期内，公司努力克服因商务进度放缓等因素带来的不利影响，聚焦电改、燃料智能化、大数据、云计算、共享服务、</w:t>
      </w:r>
      <w:r>
        <w:rPr/>
        <w:t> 移动互联、社会管理和智慧城市等新机遇，持续加大研发投入，实现营业收入</w:t>
      </w:r>
      <w:r>
        <w:rPr>
          <w:rFonts w:ascii="Times New Roman" w:hAnsi="Times New Roman" w:cs="Times New Roman" w:eastAsia="Times New Roman" w:hint="default"/>
        </w:rPr>
        <w:t>81,694.55</w:t>
      </w:r>
      <w:r>
        <w:rPr/>
        <w:t>万元，同比下降</w:t>
      </w:r>
      <w:r>
        <w:rPr>
          <w:rFonts w:ascii="Times New Roman" w:hAnsi="Times New Roman" w:cs="Times New Roman" w:eastAsia="Times New Roman" w:hint="default"/>
        </w:rPr>
        <w:t>12.08%</w:t>
      </w:r>
      <w:r>
        <w:rPr/>
        <w:t>，归属于上 市公司股东的净利润</w:t>
      </w:r>
      <w:r>
        <w:rPr>
          <w:rFonts w:ascii="Times New Roman" w:hAnsi="Times New Roman" w:cs="Times New Roman" w:eastAsia="Times New Roman" w:hint="default"/>
        </w:rPr>
        <w:t>19,057.03</w:t>
      </w:r>
      <w:r>
        <w:rPr/>
        <w:t>万元，同比下降</w:t>
      </w:r>
      <w:r>
        <w:rPr>
          <w:rFonts w:ascii="Times New Roman" w:hAnsi="Times New Roman" w:cs="Times New Roman" w:eastAsia="Times New Roman" w:hint="default"/>
        </w:rPr>
        <w:t>44.11%</w:t>
      </w:r>
      <w:r>
        <w:rPr/>
        <w:t>。</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411"/>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20"/>
        <w:gridCol w:w="2181"/>
        <w:gridCol w:w="2340"/>
        <w:gridCol w:w="1480"/>
      </w:tblGrid>
      <w:tr>
        <w:trPr>
          <w:trHeight w:val="34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tabs>
                <w:tab w:pos="1938" w:val="left" w:leader="none"/>
              </w:tabs>
              <w:spacing w:line="271" w:lineRule="exact"/>
              <w:ind w:left="10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24"/>
              <w:jc w:val="right"/>
              <w:rPr>
                <w:rFonts w:ascii="Times New Roman" w:hAnsi="Times New Roman" w:cs="Times New Roman" w:eastAsia="Times New Roman" w:hint="default"/>
                <w:sz w:val="21"/>
                <w:szCs w:val="21"/>
              </w:rPr>
            </w:pPr>
            <w:r>
              <w:rPr>
                <w:rFonts w:ascii="Times New Roman"/>
                <w:spacing w:val="-1"/>
                <w:sz w:val="21"/>
              </w:rPr>
              <w:t>816,945,465.51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06" w:right="0"/>
              <w:jc w:val="left"/>
              <w:rPr>
                <w:rFonts w:ascii="Times New Roman" w:hAnsi="Times New Roman" w:cs="Times New Roman" w:eastAsia="Times New Roman" w:hint="default"/>
                <w:sz w:val="21"/>
                <w:szCs w:val="21"/>
              </w:rPr>
            </w:pPr>
            <w:r>
              <w:rPr>
                <w:rFonts w:ascii="Times New Roman"/>
                <w:sz w:val="21"/>
              </w:rPr>
              <w:t>929,206,635.61</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-12.08%</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217,957,794.01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195,511,562.00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11.48%</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31" w:right="0"/>
              <w:jc w:val="left"/>
              <w:rPr>
                <w:rFonts w:ascii="Times New Roman" w:hAnsi="Times New Roman" w:cs="Times New Roman" w:eastAsia="Times New Roman" w:hint="default"/>
                <w:sz w:val="21"/>
                <w:szCs w:val="21"/>
              </w:rPr>
            </w:pPr>
            <w:r>
              <w:rPr>
                <w:rFonts w:ascii="Times New Roman"/>
                <w:sz w:val="21"/>
              </w:rPr>
              <w:t>7,034,516.12</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10" w:right="0"/>
              <w:jc w:val="left"/>
              <w:rPr>
                <w:rFonts w:ascii="Times New Roman" w:hAnsi="Times New Roman" w:cs="Times New Roman" w:eastAsia="Times New Roman" w:hint="default"/>
                <w:sz w:val="21"/>
                <w:szCs w:val="21"/>
              </w:rPr>
            </w:pPr>
            <w:r>
              <w:rPr>
                <w:rFonts w:ascii="Times New Roman"/>
                <w:sz w:val="21"/>
              </w:rPr>
              <w:t>7,808,830.17</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-9.92%</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120,899,834.85</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111,976,661.58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7.97%</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pacing w:val="-21"/>
                <w:sz w:val="21"/>
                <w:szCs w:val="21"/>
              </w:rPr>
              <w:t> </w:t>
            </w:r>
            <w:r>
              <w:rPr>
                <w:rFonts w:ascii="宋体" w:hAnsi="宋体" w:cs="宋体" w:eastAsia="宋体" w:hint="default"/>
                <w:sz w:val="21"/>
                <w:szCs w:val="21"/>
              </w:rPr>
              <w:t>（含研发）</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337,316,538.65</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301,052,339.66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12.05%</w:t>
            </w:r>
          </w:p>
        </w:tc>
      </w:tr>
      <w:tr>
        <w:trPr>
          <w:trHeight w:val="34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205,692,374.36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63" w:right="0"/>
              <w:jc w:val="left"/>
              <w:rPr>
                <w:rFonts w:ascii="Times New Roman" w:hAnsi="Times New Roman" w:cs="Times New Roman" w:eastAsia="Times New Roman" w:hint="default"/>
                <w:sz w:val="21"/>
                <w:szCs w:val="21"/>
              </w:rPr>
            </w:pPr>
            <w:r>
              <w:rPr>
                <w:rFonts w:ascii="Times New Roman"/>
                <w:sz w:val="21"/>
              </w:rPr>
              <w:t>164,175,454.84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25.29%</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41"/>
              <w:jc w:val="right"/>
              <w:rPr>
                <w:rFonts w:ascii="Times New Roman" w:hAnsi="Times New Roman" w:cs="Times New Roman" w:eastAsia="Times New Roman" w:hint="default"/>
                <w:sz w:val="21"/>
                <w:szCs w:val="21"/>
              </w:rPr>
            </w:pPr>
            <w:r>
              <w:rPr>
                <w:rFonts w:ascii="Times New Roman"/>
                <w:w w:val="95"/>
                <w:sz w:val="21"/>
              </w:rPr>
              <w:t>-22,534,135.73</w:t>
            </w:r>
            <w:r>
              <w:rPr>
                <w:rFonts w:ascii="Times New Roman"/>
                <w:sz w:val="21"/>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3" w:right="0"/>
              <w:jc w:val="left"/>
              <w:rPr>
                <w:rFonts w:ascii="Times New Roman" w:hAnsi="Times New Roman" w:cs="Times New Roman" w:eastAsia="Times New Roman" w:hint="default"/>
                <w:sz w:val="21"/>
                <w:szCs w:val="21"/>
              </w:rPr>
            </w:pPr>
            <w:r>
              <w:rPr>
                <w:rFonts w:ascii="Times New Roman"/>
                <w:sz w:val="21"/>
              </w:rPr>
              <w:t>-17,187,586.26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-31.11%</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31" w:right="0"/>
              <w:jc w:val="left"/>
              <w:rPr>
                <w:rFonts w:ascii="Times New Roman" w:hAnsi="Times New Roman" w:cs="Times New Roman" w:eastAsia="Times New Roman" w:hint="default"/>
                <w:sz w:val="21"/>
                <w:szCs w:val="21"/>
              </w:rPr>
            </w:pPr>
            <w:r>
              <w:rPr>
                <w:rFonts w:ascii="Times New Roman"/>
                <w:sz w:val="21"/>
              </w:rPr>
              <w:t>9,540,651.86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7" w:right="0"/>
              <w:jc w:val="left"/>
              <w:rPr>
                <w:rFonts w:ascii="Times New Roman" w:hAnsi="Times New Roman" w:cs="Times New Roman" w:eastAsia="Times New Roman" w:hint="default"/>
                <w:sz w:val="21"/>
                <w:szCs w:val="21"/>
              </w:rPr>
            </w:pPr>
            <w:r>
              <w:rPr>
                <w:rFonts w:ascii="Times New Roman"/>
                <w:sz w:val="21"/>
              </w:rPr>
              <w:t>13,630,091.60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-30.00%</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9" w:right="0"/>
              <w:jc w:val="left"/>
              <w:rPr>
                <w:rFonts w:ascii="Times New Roman" w:hAnsi="Times New Roman" w:cs="Times New Roman" w:eastAsia="Times New Roman" w:hint="default"/>
                <w:sz w:val="21"/>
                <w:szCs w:val="21"/>
              </w:rPr>
            </w:pPr>
            <w:r>
              <w:rPr>
                <w:rFonts w:ascii="Times New Roman"/>
                <w:sz w:val="21"/>
              </w:rPr>
              <w:t>-49,530.31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75" w:right="0"/>
              <w:jc w:val="left"/>
              <w:rPr>
                <w:rFonts w:ascii="Times New Roman" w:hAnsi="Times New Roman" w:cs="Times New Roman" w:eastAsia="Times New Roman" w:hint="default"/>
                <w:sz w:val="21"/>
                <w:szCs w:val="21"/>
              </w:rPr>
            </w:pPr>
            <w:r>
              <w:rPr>
                <w:rFonts w:ascii="Times New Roman"/>
                <w:sz w:val="21"/>
              </w:rPr>
              <w:t>-2,705,491.02</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98.17%</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76"/>
              <w:jc w:val="right"/>
              <w:rPr>
                <w:rFonts w:ascii="Times New Roman" w:hAnsi="Times New Roman" w:cs="Times New Roman" w:eastAsia="Times New Roman" w:hint="default"/>
                <w:sz w:val="21"/>
                <w:szCs w:val="21"/>
              </w:rPr>
            </w:pPr>
            <w:r>
              <w:rPr>
                <w:rFonts w:ascii="Times New Roman"/>
                <w:sz w:val="21"/>
              </w:rPr>
              <w:t>25,998,398.94</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7" w:right="0"/>
              <w:jc w:val="left"/>
              <w:rPr>
                <w:rFonts w:ascii="Times New Roman" w:hAnsi="Times New Roman" w:cs="Times New Roman" w:eastAsia="Times New Roman" w:hint="default"/>
                <w:sz w:val="21"/>
                <w:szCs w:val="21"/>
              </w:rPr>
            </w:pPr>
            <w:r>
              <w:rPr>
                <w:rFonts w:ascii="Times New Roman"/>
                <w:sz w:val="21"/>
              </w:rPr>
              <w:t>41,546,902.84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-37.42%</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172,679,134.38</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355,256,148.68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-51.39%</w:t>
            </w:r>
          </w:p>
        </w:tc>
      </w:tr>
      <w:tr>
        <w:trPr>
          <w:trHeight w:val="34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76"/>
              <w:jc w:val="right"/>
              <w:rPr>
                <w:rFonts w:ascii="Times New Roman" w:hAnsi="Times New Roman" w:cs="Times New Roman" w:eastAsia="Times New Roman" w:hint="default"/>
                <w:sz w:val="21"/>
                <w:szCs w:val="21"/>
              </w:rPr>
            </w:pPr>
            <w:r>
              <w:rPr>
                <w:rFonts w:ascii="Times New Roman"/>
                <w:sz w:val="21"/>
              </w:rPr>
              <w:t>21,201,012.45</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7" w:right="0"/>
              <w:jc w:val="left"/>
              <w:rPr>
                <w:rFonts w:ascii="Times New Roman" w:hAnsi="Times New Roman" w:cs="Times New Roman" w:eastAsia="Times New Roman" w:hint="default"/>
                <w:sz w:val="21"/>
                <w:szCs w:val="21"/>
              </w:rPr>
            </w:pPr>
            <w:r>
              <w:rPr>
                <w:rFonts w:ascii="Times New Roman"/>
                <w:sz w:val="21"/>
              </w:rPr>
              <w:t>18,600,712.22</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13.98%</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24"/>
              <w:jc w:val="right"/>
              <w:rPr>
                <w:rFonts w:ascii="Times New Roman" w:hAnsi="Times New Roman" w:cs="Times New Roman" w:eastAsia="Times New Roman" w:hint="default"/>
                <w:sz w:val="21"/>
                <w:szCs w:val="21"/>
              </w:rPr>
            </w:pPr>
            <w:r>
              <w:rPr>
                <w:rFonts w:ascii="Times New Roman"/>
                <w:spacing w:val="-1"/>
                <w:sz w:val="21"/>
              </w:rPr>
              <w:t>193,582,138.59</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06" w:right="0"/>
              <w:jc w:val="left"/>
              <w:rPr>
                <w:rFonts w:ascii="Times New Roman" w:hAnsi="Times New Roman" w:cs="Times New Roman" w:eastAsia="Times New Roman" w:hint="default"/>
                <w:sz w:val="21"/>
                <w:szCs w:val="21"/>
              </w:rPr>
            </w:pPr>
            <w:r>
              <w:rPr>
                <w:rFonts w:ascii="Times New Roman"/>
                <w:sz w:val="21"/>
              </w:rPr>
              <w:t>373,308,722.87</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-48.14%</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177,830,964.67</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340,123,189.56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-47.72%</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190,570,344.02</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340,954,072.86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-44.11%</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0.4126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0.7396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-44.21%</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0.4126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0.7396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-44.21%</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24"/>
              <w:jc w:val="right"/>
              <w:rPr>
                <w:rFonts w:ascii="Times New Roman" w:hAnsi="Times New Roman" w:cs="Times New Roman" w:eastAsia="Times New Roman" w:hint="default"/>
                <w:sz w:val="21"/>
                <w:szCs w:val="21"/>
              </w:rPr>
            </w:pPr>
            <w:r>
              <w:rPr>
                <w:rFonts w:ascii="Times New Roman"/>
                <w:spacing w:val="-1"/>
                <w:sz w:val="21"/>
              </w:rPr>
              <w:t>131,851,044.82</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261,545,936.55</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-49.59%</w:t>
            </w:r>
          </w:p>
        </w:tc>
      </w:tr>
      <w:tr>
        <w:trPr>
          <w:trHeight w:val="34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76"/>
              <w:jc w:val="right"/>
              <w:rPr>
                <w:rFonts w:ascii="Times New Roman" w:hAnsi="Times New Roman" w:cs="Times New Roman" w:eastAsia="Times New Roman" w:hint="default"/>
                <w:sz w:val="21"/>
                <w:szCs w:val="21"/>
              </w:rPr>
            </w:pPr>
            <w:r>
              <w:rPr>
                <w:rFonts w:ascii="Times New Roman"/>
                <w:sz w:val="21"/>
              </w:rPr>
              <w:t>47,362,596.81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70" w:right="0"/>
              <w:jc w:val="left"/>
              <w:rPr>
                <w:rFonts w:ascii="Times New Roman" w:hAnsi="Times New Roman" w:cs="Times New Roman" w:eastAsia="Times New Roman" w:hint="default"/>
                <w:sz w:val="21"/>
                <w:szCs w:val="21"/>
              </w:rPr>
            </w:pPr>
            <w:r>
              <w:rPr>
                <w:rFonts w:ascii="Times New Roman"/>
                <w:sz w:val="21"/>
              </w:rPr>
              <w:t>-143,453,976.35</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133.02%</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89"/>
              <w:jc w:val="right"/>
              <w:rPr>
                <w:rFonts w:ascii="Times New Roman" w:hAnsi="Times New Roman" w:cs="Times New Roman" w:eastAsia="Times New Roman" w:hint="default"/>
                <w:sz w:val="21"/>
                <w:szCs w:val="21"/>
              </w:rPr>
            </w:pPr>
            <w:r>
              <w:rPr>
                <w:rFonts w:ascii="Times New Roman"/>
                <w:spacing w:val="-1"/>
                <w:sz w:val="21"/>
              </w:rPr>
              <w:t>-113,418,711.32</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57" w:right="0"/>
              <w:jc w:val="left"/>
              <w:rPr>
                <w:rFonts w:ascii="Times New Roman" w:hAnsi="Times New Roman" w:cs="Times New Roman" w:eastAsia="Times New Roman" w:hint="default"/>
                <w:sz w:val="21"/>
                <w:szCs w:val="21"/>
              </w:rPr>
            </w:pPr>
            <w:r>
              <w:rPr>
                <w:rFonts w:ascii="Times New Roman"/>
                <w:sz w:val="21"/>
              </w:rPr>
              <w:t>41,086,736.98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-376.05%</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20"/>
        <w:gridCol w:w="2181"/>
        <w:gridCol w:w="2340"/>
        <w:gridCol w:w="1480"/>
      </w:tblGrid>
      <w:tr>
        <w:trPr>
          <w:trHeight w:val="34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80" w:right="0"/>
              <w:jc w:val="left"/>
              <w:rPr>
                <w:rFonts w:ascii="Times New Roman" w:hAnsi="Times New Roman" w:cs="Times New Roman" w:eastAsia="Times New Roman" w:hint="default"/>
                <w:sz w:val="21"/>
                <w:szCs w:val="21"/>
              </w:rPr>
            </w:pPr>
            <w:r>
              <w:rPr>
                <w:rFonts w:ascii="Times New Roman"/>
                <w:sz w:val="21"/>
              </w:rPr>
              <w:t>65,794,930.31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6" w:right="0"/>
              <w:jc w:val="left"/>
              <w:rPr>
                <w:rFonts w:ascii="Times New Roman" w:hAnsi="Times New Roman" w:cs="Times New Roman" w:eastAsia="Times New Roman" w:hint="default"/>
                <w:sz w:val="21"/>
                <w:szCs w:val="21"/>
              </w:rPr>
            </w:pPr>
            <w:r>
              <w:rPr>
                <w:rFonts w:ascii="Times New Roman"/>
                <w:sz w:val="21"/>
              </w:rPr>
              <w:t>159,178,697.18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3" w:right="0"/>
              <w:jc w:val="left"/>
              <w:rPr>
                <w:rFonts w:ascii="Times New Roman" w:hAnsi="Times New Roman" w:cs="Times New Roman" w:eastAsia="Times New Roman" w:hint="default"/>
                <w:sz w:val="21"/>
                <w:szCs w:val="21"/>
              </w:rPr>
            </w:pPr>
            <w:r>
              <w:rPr>
                <w:rFonts w:ascii="Times New Roman"/>
                <w:sz w:val="21"/>
              </w:rPr>
              <w:t>-58.67%</w:t>
            </w:r>
          </w:p>
        </w:tc>
      </w:tr>
    </w:tbl>
    <w:p>
      <w:pPr>
        <w:pStyle w:val="BodyText"/>
        <w:spacing w:line="300" w:lineRule="auto" w:before="10"/>
        <w:ind w:left="154" w:right="1197" w:firstLine="360"/>
        <w:jc w:val="left"/>
      </w:pPr>
      <w:r>
        <w:rPr/>
        <w:t>营业收入同比下降</w:t>
      </w:r>
      <w:r>
        <w:rPr>
          <w:rFonts w:ascii="Times New Roman" w:hAnsi="Times New Roman" w:cs="Times New Roman" w:eastAsia="Times New Roman" w:hint="default"/>
        </w:rPr>
        <w:t>12.08%</w:t>
      </w:r>
      <w:r>
        <w:rPr/>
        <w:t>，主要原因为：报告期内，部分投标项目、重大项目推进进度放缓；受商务进度影响，公司 部分已投入研发及实施的项目未能按原与客户约定在报告期内实施商务结算。</w:t>
      </w:r>
    </w:p>
    <w:p>
      <w:pPr>
        <w:pStyle w:val="BodyText"/>
        <w:spacing w:line="300" w:lineRule="auto" w:before="31"/>
        <w:ind w:right="1215" w:firstLine="360"/>
        <w:jc w:val="both"/>
      </w:pPr>
      <w:r>
        <w:rPr/>
        <w:t>研发支出同比增长</w:t>
      </w:r>
      <w:r>
        <w:rPr>
          <w:rFonts w:ascii="Times New Roman" w:hAnsi="Times New Roman" w:cs="Times New Roman" w:eastAsia="Times New Roman" w:hint="default"/>
        </w:rPr>
        <w:t>25.29%</w:t>
      </w:r>
      <w:r>
        <w:rPr/>
        <w:t>，主要原因为：报告期内，公司继续加大研发投入，主要包括移动互联网应用、集团财务共 享服务中心、日利润监控分析系统、矿山智能化综合管控整体解决方案、资产全生命周期管理等新产品的研发投入，</w:t>
      </w:r>
      <w:r>
        <w:rPr>
          <w:rFonts w:ascii="Times New Roman" w:hAnsi="Times New Roman" w:cs="Times New Roman" w:eastAsia="Times New Roman" w:hint="default"/>
        </w:rPr>
        <w:t>2014 </w:t>
      </w:r>
      <w:r>
        <w:rPr/>
        <w:t>年公司研发计划顺利推进，各项研究项目均按原定计划进度推进，这将增强公司的核心竞争力，保持公司的竞争优势。</w:t>
      </w:r>
    </w:p>
    <w:p>
      <w:pPr>
        <w:pStyle w:val="BodyText"/>
        <w:spacing w:line="300" w:lineRule="auto" w:before="31"/>
        <w:ind w:left="513" w:right="1168"/>
        <w:jc w:val="left"/>
      </w:pPr>
      <w:r>
        <w:rPr/>
        <w:t>财务费用同比下降</w:t>
      </w:r>
      <w:r>
        <w:rPr>
          <w:rFonts w:ascii="Times New Roman" w:hAnsi="Times New Roman" w:cs="Times New Roman" w:eastAsia="Times New Roman" w:hint="default"/>
        </w:rPr>
        <w:t>31.11%</w:t>
      </w:r>
      <w:r>
        <w:rPr/>
        <w:t>，主要原因为：报告期强化资金收益管理、银行利息收入增加。 资产减值损失同比下降</w:t>
      </w:r>
      <w:r>
        <w:rPr>
          <w:rFonts w:ascii="Times New Roman" w:hAnsi="Times New Roman" w:cs="Times New Roman" w:eastAsia="Times New Roman" w:hint="default"/>
        </w:rPr>
        <w:t>30.00%</w:t>
      </w:r>
      <w:r>
        <w:rPr/>
        <w:t>，主要原因为：报告期</w:t>
      </w:r>
      <w:r>
        <w:rPr>
          <w:rFonts w:ascii="Times New Roman" w:hAnsi="Times New Roman" w:cs="Times New Roman" w:eastAsia="Times New Roman" w:hint="default"/>
        </w:rPr>
        <w:t>“</w:t>
      </w:r>
      <w:r>
        <w:rPr/>
        <w:t>账龄</w:t>
      </w:r>
      <w:r>
        <w:rPr>
          <w:rFonts w:ascii="Times New Roman" w:hAnsi="Times New Roman" w:cs="Times New Roman" w:eastAsia="Times New Roman" w:hint="default"/>
        </w:rPr>
        <w:t>3</w:t>
      </w:r>
      <w:r>
        <w:rPr/>
        <w:t>年以上应收账款的增加额</w:t>
      </w:r>
      <w:r>
        <w:rPr>
          <w:rFonts w:ascii="Times New Roman" w:hAnsi="Times New Roman" w:cs="Times New Roman" w:eastAsia="Times New Roman" w:hint="default"/>
        </w:rPr>
        <w:t>”</w:t>
      </w:r>
      <w:r>
        <w:rPr/>
        <w:t>同比减少。 公允价值变动收益同比增加</w:t>
      </w:r>
      <w:r>
        <w:rPr>
          <w:rFonts w:ascii="Times New Roman" w:hAnsi="Times New Roman" w:cs="Times New Roman" w:eastAsia="Times New Roman" w:hint="default"/>
        </w:rPr>
        <w:t>98.17%</w:t>
      </w:r>
      <w:r>
        <w:rPr/>
        <w:t>，主要原因为：报告期持仓基金市值波动较小，上年持仓基金市值波动较大。 投资收益同比下降</w:t>
      </w:r>
      <w:r>
        <w:rPr>
          <w:rFonts w:ascii="Times New Roman" w:hAnsi="Times New Roman" w:cs="Times New Roman" w:eastAsia="Times New Roman" w:hint="default"/>
        </w:rPr>
        <w:t>37.42%</w:t>
      </w:r>
      <w:r>
        <w:rPr/>
        <w:t>，主要原因为：报告期对华凯投资收益减少。 营业利润同比下降</w:t>
      </w:r>
      <w:r>
        <w:rPr>
          <w:rFonts w:ascii="Times New Roman" w:hAnsi="Times New Roman" w:cs="Times New Roman" w:eastAsia="Times New Roman" w:hint="default"/>
        </w:rPr>
        <w:t>51.39%</w:t>
      </w:r>
      <w:r>
        <w:rPr/>
        <w:t>、利润总额同比下降</w:t>
      </w:r>
      <w:r>
        <w:rPr>
          <w:rFonts w:ascii="Times New Roman" w:hAnsi="Times New Roman" w:cs="Times New Roman" w:eastAsia="Times New Roman" w:hint="default"/>
        </w:rPr>
        <w:t>48.14%</w:t>
      </w:r>
      <w:r>
        <w:rPr/>
        <w:t>、净利润同比下降</w:t>
      </w:r>
      <w:r>
        <w:rPr>
          <w:rFonts w:ascii="Times New Roman" w:hAnsi="Times New Roman" w:cs="Times New Roman" w:eastAsia="Times New Roman" w:hint="default"/>
        </w:rPr>
        <w:t>47.72%</w:t>
      </w:r>
      <w:r>
        <w:rPr/>
        <w:t>、归属于母公司股东的净利润同比下降</w:t>
      </w:r>
    </w:p>
    <w:p>
      <w:pPr>
        <w:pStyle w:val="BodyText"/>
        <w:spacing w:line="304" w:lineRule="auto" w:before="13"/>
        <w:ind w:left="154" w:right="0"/>
        <w:jc w:val="left"/>
      </w:pPr>
      <w:r>
        <w:rPr>
          <w:rFonts w:ascii="Times New Roman" w:hAnsi="Times New Roman" w:cs="Times New Roman" w:eastAsia="Times New Roman" w:hint="default"/>
        </w:rPr>
        <w:t>44.11%</w:t>
      </w:r>
      <w:r>
        <w:rPr/>
        <w:t>、基本每股收益下降</w:t>
      </w:r>
      <w:r>
        <w:rPr>
          <w:rFonts w:ascii="Times New Roman" w:hAnsi="Times New Roman" w:cs="Times New Roman" w:eastAsia="Times New Roman" w:hint="default"/>
        </w:rPr>
        <w:t>44.21%</w:t>
      </w:r>
      <w:r>
        <w:rPr/>
        <w:t>、稀释每股收益下降</w:t>
      </w:r>
      <w:r>
        <w:rPr>
          <w:rFonts w:ascii="Times New Roman" w:hAnsi="Times New Roman" w:cs="Times New Roman" w:eastAsia="Times New Roman" w:hint="default"/>
        </w:rPr>
        <w:t>44.21%</w:t>
      </w:r>
      <w:r>
        <w:rPr/>
        <w:t>，主要原因为：</w:t>
      </w:r>
      <w:r>
        <w:rPr>
          <w:rFonts w:ascii="Times New Roman" w:hAnsi="Times New Roman" w:cs="Times New Roman" w:eastAsia="Times New Roman" w:hint="default"/>
        </w:rPr>
        <w:t>a</w:t>
      </w:r>
      <w:r>
        <w:rPr/>
        <w:t>、收入方面，受经营环境等客观原因影响，</w:t>
      </w:r>
      <w:r>
        <w:rPr>
          <w:spacing w:val="-40"/>
        </w:rPr>
        <w:t> </w:t>
      </w:r>
      <w:r>
        <w:rPr>
          <w:spacing w:val="-2"/>
        </w:rPr>
        <w:t>公司部分已投入研发及实施的项目未能按原与客户约定在报告期内实施商务结算，因此对应收入无法在</w:t>
      </w:r>
      <w:r>
        <w:rPr>
          <w:rFonts w:ascii="Times New Roman" w:hAnsi="Times New Roman" w:cs="Times New Roman" w:eastAsia="Times New Roman" w:hint="default"/>
          <w:spacing w:val="-2"/>
        </w:rPr>
        <w:t>2014</w:t>
      </w:r>
      <w:r>
        <w:rPr>
          <w:spacing w:val="-2"/>
        </w:rPr>
        <w:t>年确认。但由于</w:t>
      </w:r>
      <w:r>
        <w:rPr>
          <w:spacing w:val="-59"/>
        </w:rPr>
        <w:t> </w:t>
      </w:r>
      <w:r>
        <w:rPr>
          <w:spacing w:val="-59"/>
        </w:rPr>
      </w:r>
      <w:r>
        <w:rPr>
          <w:rFonts w:ascii="Times New Roman" w:hAnsi="Times New Roman" w:cs="Times New Roman" w:eastAsia="Times New Roman" w:hint="default"/>
          <w:spacing w:val="-2"/>
        </w:rPr>
        <w:t>2014</w:t>
      </w:r>
      <w:r>
        <w:rPr>
          <w:spacing w:val="-2"/>
        </w:rPr>
        <w:t>年公司根据客户信息化需求，进一步加大研发投入，根据谨慎性和一贯性原则，对前述未确认收入项目所发生的成本费</w:t>
      </w:r>
      <w:r>
        <w:rPr>
          <w:spacing w:val="-62"/>
        </w:rPr>
        <w:t> </w:t>
      </w:r>
      <w:r>
        <w:rPr>
          <w:spacing w:val="-62"/>
        </w:rPr>
      </w:r>
      <w:r>
        <w:rPr/>
        <w:t>用已全部计入当期损益；</w:t>
      </w:r>
      <w:r>
        <w:rPr>
          <w:rFonts w:ascii="Times New Roman" w:hAnsi="Times New Roman" w:cs="Times New Roman" w:eastAsia="Times New Roman" w:hint="default"/>
        </w:rPr>
        <w:t>b</w:t>
      </w:r>
      <w:r>
        <w:rPr/>
        <w:t>、支出方面，公司加大对移动互联网应用、集团财务共享服务中心、日利润监控分析系统、矿山 </w:t>
      </w:r>
      <w:r>
        <w:rPr>
          <w:spacing w:val="-2"/>
        </w:rPr>
        <w:t>智能化综合管控整体解决方案、资产全生命周期管理等新产品的研发投入，成本增长较快，上述产品成果已经形成，有望在</w:t>
      </w:r>
      <w:r>
        <w:rPr>
          <w:spacing w:val="-66"/>
        </w:rPr>
        <w:t> </w:t>
      </w:r>
      <w:r>
        <w:rPr>
          <w:spacing w:val="-66"/>
        </w:rPr>
      </w:r>
      <w:r>
        <w:rPr/>
        <w:t>将来贡献业绩；</w:t>
      </w:r>
      <w:r>
        <w:rPr>
          <w:rFonts w:ascii="Times New Roman" w:hAnsi="Times New Roman" w:cs="Times New Roman" w:eastAsia="Times New Roman" w:hint="default"/>
        </w:rPr>
        <w:t>c</w:t>
      </w:r>
      <w:r>
        <w:rPr/>
        <w:t>、投资收益方面，公司投资企业华凯投资因所在行业受宏观经济环境影响，利润同比下降。</w:t>
      </w:r>
    </w:p>
    <w:p>
      <w:pPr>
        <w:pStyle w:val="BodyText"/>
        <w:spacing w:line="300" w:lineRule="auto" w:before="9"/>
        <w:ind w:left="154" w:right="1197" w:firstLine="360"/>
        <w:jc w:val="left"/>
      </w:pPr>
      <w:r>
        <w:rPr/>
        <w:t>经营活动产生的现金流量净额同比下降</w:t>
      </w:r>
      <w:r>
        <w:rPr>
          <w:rFonts w:ascii="Times New Roman" w:hAnsi="Times New Roman" w:cs="Times New Roman" w:eastAsia="Times New Roman" w:hint="default"/>
        </w:rPr>
        <w:t>49.59%</w:t>
      </w:r>
      <w:r>
        <w:rPr/>
        <w:t>，主要原因为：报告期经营规模扩大，人工、硬件采购等支出增加，经 营活动所产生的现金流出增加。</w:t>
      </w:r>
    </w:p>
    <w:p>
      <w:pPr>
        <w:pStyle w:val="BodyText"/>
        <w:spacing w:line="300" w:lineRule="auto" w:before="31"/>
        <w:ind w:left="514" w:right="1039"/>
        <w:jc w:val="left"/>
      </w:pPr>
      <w:r>
        <w:rPr/>
        <w:t>投资活动产生的现金流量净额同比增加</w:t>
      </w:r>
      <w:r>
        <w:rPr>
          <w:rFonts w:ascii="Times New Roman" w:hAnsi="Times New Roman" w:cs="Times New Roman" w:eastAsia="Times New Roman" w:hint="default"/>
        </w:rPr>
        <w:t>133.02%</w:t>
      </w:r>
      <w:r>
        <w:rPr/>
        <w:t>，主要原因为：报告期短期理财产品到期赎回（上年为申购）。 </w:t>
      </w:r>
      <w:r>
        <w:rPr>
          <w:spacing w:val="-2"/>
        </w:rPr>
        <w:t>筹资活动产生的现金流量净额同比下降</w:t>
      </w:r>
      <w:r>
        <w:rPr>
          <w:rFonts w:ascii="Times New Roman" w:hAnsi="Times New Roman" w:cs="Times New Roman" w:eastAsia="Times New Roman" w:hint="default"/>
          <w:spacing w:val="-2"/>
        </w:rPr>
        <w:t>376.05%</w:t>
      </w:r>
      <w:r>
        <w:rPr>
          <w:spacing w:val="-2"/>
        </w:rPr>
        <w:t>，主要原因为：报告期回购股票用于员工限制性股票激励产生现金流出，</w:t>
      </w:r>
    </w:p>
    <w:p>
      <w:pPr>
        <w:pStyle w:val="BodyText"/>
        <w:spacing w:line="319" w:lineRule="auto" w:before="13"/>
        <w:ind w:left="514" w:right="1197" w:hanging="360"/>
        <w:jc w:val="left"/>
      </w:pPr>
      <w:r>
        <w:rPr/>
        <w:t>上年员工缴交限制性股票认购款为现金流入。 现金及现金等价物净增加额同比下降</w:t>
      </w:r>
      <w:r>
        <w:rPr>
          <w:rFonts w:ascii="Times New Roman" w:hAnsi="Times New Roman" w:cs="Times New Roman" w:eastAsia="Times New Roman" w:hint="default"/>
        </w:rPr>
        <w:t>58.67%</w:t>
      </w:r>
      <w:r>
        <w:rPr/>
        <w:t>，主要原因为：报告期经营规模扩大，人工、硬件采购等支出增加，经营</w:t>
      </w:r>
    </w:p>
    <w:p>
      <w:pPr>
        <w:pStyle w:val="BodyText"/>
        <w:spacing w:line="233" w:lineRule="exact" w:before="0"/>
        <w:ind w:left="154" w:right="0"/>
        <w:jc w:val="left"/>
      </w:pPr>
      <w:r>
        <w:rPr/>
        <w:t>活动所产生的现金流出增加；以及报告期回购股票用于员工限制性股票激励产生现金流出。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before="0"/>
        <w:ind w:left="154" w:right="0"/>
        <w:jc w:val="left"/>
      </w:pPr>
      <w:r>
        <w:rPr/>
        <w:t>公司回顾总结前期披露的发展战略和经营计划在报告期内的进展情况</w:t>
      </w:r>
    </w:p>
    <w:p>
      <w:pPr>
        <w:pStyle w:val="Heading8"/>
        <w:spacing w:line="240" w:lineRule="auto" w:before="115"/>
        <w:ind w:left="514" w:right="0"/>
        <w:jc w:val="left"/>
        <w:rPr>
          <w:b w:val="0"/>
          <w:bCs w:val="0"/>
        </w:rPr>
      </w:pPr>
      <w:r>
        <w:rPr/>
        <w:t>（一）业务推广</w:t>
      </w:r>
      <w:r>
        <w:rPr>
          <w:b w:val="0"/>
          <w:bCs w:val="0"/>
        </w:rPr>
      </w:r>
    </w:p>
    <w:p>
      <w:pPr>
        <w:pStyle w:val="Heading8"/>
        <w:spacing w:line="240" w:lineRule="auto" w:before="76"/>
        <w:ind w:left="514" w:right="0"/>
        <w:jc w:val="left"/>
        <w:rPr>
          <w:b w:val="0"/>
          <w:bCs w:val="0"/>
        </w:rPr>
      </w:pPr>
      <w:r>
        <w:rPr>
          <w:rFonts w:ascii="Times New Roman" w:hAnsi="Times New Roman" w:cs="Times New Roman" w:eastAsia="Times New Roman" w:hint="default"/>
        </w:rPr>
        <w:t>1</w:t>
      </w:r>
      <w:r>
        <w:rPr/>
        <w:t>、企业管理</w:t>
      </w:r>
      <w:r>
        <w:rPr>
          <w:b w:val="0"/>
          <w:bCs w:val="0"/>
        </w:rPr>
      </w:r>
    </w:p>
    <w:p>
      <w:pPr>
        <w:spacing w:line="300" w:lineRule="auto" w:before="63"/>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）电力行业传统业务与市场</w:t>
      </w:r>
      <w:r>
        <w:rPr>
          <w:rFonts w:ascii="宋体" w:hAnsi="宋体" w:cs="宋体" w:eastAsia="宋体" w:hint="default"/>
          <w:b/>
          <w:bCs/>
          <w:w w:val="99"/>
          <w:sz w:val="18"/>
          <w:szCs w:val="18"/>
        </w:rPr>
        <w:t> </w:t>
      </w:r>
      <w:r>
        <w:rPr>
          <w:rFonts w:ascii="宋体" w:hAnsi="宋体" w:cs="宋体" w:eastAsia="宋体" w:hint="default"/>
          <w:spacing w:val="-2"/>
          <w:sz w:val="18"/>
          <w:szCs w:val="18"/>
        </w:rPr>
        <w:t>电网侧，在国家电网，</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年公司完成国网蒙东电力财务管控系统集中部署实施项目并顺利通过现场验收，财务集约化</w:t>
      </w:r>
    </w:p>
    <w:p>
      <w:pPr>
        <w:pStyle w:val="BodyText"/>
        <w:spacing w:line="309" w:lineRule="auto" w:before="13"/>
        <w:ind w:left="154" w:right="0"/>
        <w:jc w:val="left"/>
      </w:pPr>
      <w:r>
        <w:rPr/>
        <w:t>工作、资产全生命周期、主数据、流程管理平台、分布式光伏项目等顺利推进；在南方电网，公司成功中标财务管理系统 </w:t>
      </w:r>
      <w:r>
        <w:rPr>
          <w:rFonts w:ascii="Times New Roman" w:hAnsi="Times New Roman" w:cs="Times New Roman" w:eastAsia="Times New Roman" w:hint="default"/>
          <w:spacing w:val="-2"/>
        </w:rPr>
        <w:t>V1.0</w:t>
      </w:r>
      <w:r>
        <w:rPr>
          <w:spacing w:val="-2"/>
        </w:rPr>
        <w:t>详细设计、开发与实施（主体）项目，这标志着南方电网构建全网集中统一的新财务信息系统正式启动；与此同时，在</w:t>
      </w:r>
      <w:r>
        <w:rPr>
          <w:spacing w:val="-61"/>
        </w:rPr>
        <w:t> </w:t>
      </w:r>
      <w:r>
        <w:rPr>
          <w:spacing w:val="-61"/>
        </w:rPr>
      </w:r>
      <w:r>
        <w:rPr/>
        <w:t>主体项目外，公司又先后中标深圳供电公司和广东电网等配套项目。</w:t>
      </w:r>
    </w:p>
    <w:p>
      <w:pPr>
        <w:pStyle w:val="BodyText"/>
        <w:spacing w:line="316" w:lineRule="auto" w:before="24"/>
        <w:ind w:left="154" w:right="0" w:firstLine="360"/>
        <w:jc w:val="left"/>
      </w:pPr>
      <w:r>
        <w:rPr>
          <w:spacing w:val="-2"/>
        </w:rPr>
        <w:t>发电侧，公司继续推进国电集团财务信息化建设的深化应用，先后完成国电两级数据中心程序优化改造和国电科环凭证</w:t>
      </w:r>
      <w:r>
        <w:rPr/>
        <w:t> 接口主数据集成开发等工作。</w:t>
      </w:r>
    </w:p>
    <w:p>
      <w:pPr>
        <w:spacing w:line="300"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）燃料智能化业务与市场</w:t>
      </w:r>
      <w:r>
        <w:rPr>
          <w:rFonts w:ascii="宋体" w:hAnsi="宋体" w:cs="宋体" w:eastAsia="宋体" w:hint="default"/>
          <w:b/>
          <w:bCs/>
          <w:w w:val="99"/>
          <w:sz w:val="18"/>
          <w:szCs w:val="18"/>
        </w:rPr>
        <w:t> </w:t>
      </w:r>
      <w:r>
        <w:rPr>
          <w:rFonts w:ascii="宋体" w:hAnsi="宋体" w:cs="宋体" w:eastAsia="宋体" w:hint="default"/>
          <w:spacing w:val="-2"/>
          <w:sz w:val="18"/>
          <w:szCs w:val="18"/>
        </w:rPr>
        <w:t>随着大型发电集团和地方电力公司陆续迈出了燃料智能化建设的脚步，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年公司先后中标国电阳宗海电厂、国电民权</w:t>
      </w:r>
    </w:p>
    <w:p>
      <w:pPr>
        <w:pStyle w:val="BodyText"/>
        <w:spacing w:line="316" w:lineRule="auto" w:before="13"/>
        <w:ind w:right="0"/>
        <w:jc w:val="left"/>
      </w:pPr>
      <w:r>
        <w:rPr>
          <w:spacing w:val="-2"/>
        </w:rPr>
        <w:t>电厂、国电范坪电厂、大唐国际大坝电厂、大唐洛阳电厂、华电漳平电厂、中电投中卫电厂、河北建投宣化热电等燃料智能</w:t>
      </w:r>
      <w:r>
        <w:rPr>
          <w:spacing w:val="-68"/>
        </w:rPr>
        <w:t> </w:t>
      </w:r>
      <w:r>
        <w:rPr>
          <w:spacing w:val="-68"/>
        </w:rPr>
      </w:r>
      <w:r>
        <w:rPr/>
        <w:t>管控项目，中标项目除覆盖五大发电集团外，还覆盖了地方电力、中石油等单位。</w:t>
      </w:r>
    </w:p>
    <w:p>
      <w:pPr>
        <w:pStyle w:val="Heading8"/>
        <w:spacing w:line="240" w:lineRule="auto" w:before="19"/>
        <w:ind w:right="0"/>
        <w:jc w:val="left"/>
        <w:rPr>
          <w:b w:val="0"/>
          <w:bCs w:val="0"/>
        </w:rPr>
      </w:pPr>
      <w:r>
        <w:rPr/>
        <w:t>（</w:t>
      </w:r>
      <w:r>
        <w:rPr>
          <w:rFonts w:ascii="Times New Roman" w:hAnsi="Times New Roman" w:cs="Times New Roman" w:eastAsia="Times New Roman" w:hint="default"/>
        </w:rPr>
        <w:t>3</w:t>
      </w:r>
      <w:r>
        <w:rPr/>
        <w:t>）风险内控业务与市场</w:t>
      </w:r>
      <w:r>
        <w:rPr>
          <w:b w:val="0"/>
          <w:bCs w:val="0"/>
        </w:rPr>
      </w:r>
    </w:p>
    <w:p>
      <w:pPr>
        <w:pStyle w:val="BodyText"/>
        <w:spacing w:line="307" w:lineRule="auto" w:before="63"/>
        <w:ind w:right="0" w:firstLine="360"/>
        <w:jc w:val="left"/>
      </w:pPr>
      <w:r>
        <w:rPr>
          <w:rFonts w:ascii="Times New Roman" w:hAnsi="Times New Roman" w:cs="Times New Roman" w:eastAsia="Times New Roman" w:hint="default"/>
          <w:spacing w:val="-2"/>
        </w:rPr>
        <w:t>2014</w:t>
      </w:r>
      <w:r>
        <w:rPr>
          <w:spacing w:val="-2"/>
        </w:rPr>
        <w:t>年，公司部署在华能集团、中国盐业总公司、中国农业发展集团有限公司、中冶集团财务有限公司等的风险管控项</w:t>
      </w:r>
      <w:r>
        <w:rPr/>
        <w:t> </w:t>
      </w:r>
      <w:r>
        <w:rPr>
          <w:spacing w:val="-3"/>
          <w:w w:val="100"/>
        </w:rPr>
        <w:t>目均按计划顺利推进。</w:t>
      </w:r>
      <w:r>
        <w:rPr>
          <w:rFonts w:ascii="Times New Roman" w:hAnsi="Times New Roman" w:cs="Times New Roman" w:eastAsia="Times New Roman" w:hint="default"/>
          <w:spacing w:val="-3"/>
          <w:w w:val="100"/>
        </w:rPr>
        <w:t>“</w:t>
      </w:r>
      <w:r>
        <w:rPr>
          <w:spacing w:val="-3"/>
          <w:w w:val="100"/>
        </w:rPr>
        <w:t>风险管控</w:t>
      </w:r>
      <w:r>
        <w:rPr>
          <w:rFonts w:ascii="Times New Roman" w:hAnsi="Times New Roman" w:cs="Times New Roman" w:eastAsia="Times New Roman" w:hint="default"/>
          <w:spacing w:val="-3"/>
          <w:w w:val="100"/>
        </w:rPr>
        <w:t>”</w:t>
      </w:r>
      <w:r>
        <w:rPr>
          <w:spacing w:val="-3"/>
          <w:w w:val="100"/>
        </w:rPr>
        <w:t>是适用于大型集团企业的战略级项目，能够帮助企业决策层全面掌握风险管理的整体情况，</w:t>
      </w:r>
      <w:r>
        <w:rPr>
          <w:spacing w:val="-76"/>
          <w:w w:val="100"/>
        </w:rPr>
        <w:t> </w:t>
      </w:r>
      <w:r>
        <w:rPr>
          <w:spacing w:val="-76"/>
          <w:w w:val="100"/>
        </w:rPr>
      </w:r>
      <w:r>
        <w:rPr>
          <w:spacing w:val="-2"/>
        </w:rPr>
        <w:t>提高决策效率，为实现企业经营管理目标保驾护航。公司目前不仅能够提供基于公司自有平台开发的风险管控产品，而且拥</w:t>
      </w:r>
      <w:r>
        <w:rPr>
          <w:spacing w:val="-66"/>
        </w:rPr>
        <w:t> </w:t>
      </w:r>
      <w:r>
        <w:rPr>
          <w:spacing w:val="-66"/>
        </w:rPr>
      </w:r>
      <w:r>
        <w:rPr>
          <w:spacing w:val="-2"/>
        </w:rPr>
        <w:t>有全面、完整的集团企业信息化建设产品线。风险管控产品已成为公司进入行业外市场的利器，未来公司可以凭借风险管理</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0" w:hanging="360"/>
        <w:jc w:val="left"/>
      </w:pPr>
      <w:r>
        <w:rPr/>
        <w:t>的信息化落地业务带动其他产品在电力行业外市场的拓展。 </w:t>
      </w:r>
      <w:r>
        <w:rPr>
          <w:spacing w:val="-2"/>
        </w:rPr>
        <w:t>为有效推动电力行业企业实施和优化内部控制规范体系，公司还协助国家财政部完成《电力行业内部控制操作指南》的</w:t>
      </w:r>
    </w:p>
    <w:p>
      <w:pPr>
        <w:pStyle w:val="BodyText"/>
        <w:spacing w:line="240" w:lineRule="auto" w:before="19"/>
        <w:ind w:right="0"/>
        <w:jc w:val="left"/>
      </w:pPr>
      <w:r>
        <w:rPr/>
        <w:t>撰写工作，将进一步提升电力企业经营管理水平和风险防范能力。</w:t>
      </w:r>
    </w:p>
    <w:p>
      <w:pPr>
        <w:pStyle w:val="Heading8"/>
        <w:spacing w:line="240" w:lineRule="auto" w:before="76"/>
        <w:ind w:right="0"/>
        <w:jc w:val="left"/>
        <w:rPr>
          <w:b w:val="0"/>
          <w:bCs w:val="0"/>
        </w:rPr>
      </w:pPr>
      <w:r>
        <w:rPr/>
        <w:t>（</w:t>
      </w:r>
      <w:r>
        <w:rPr>
          <w:rFonts w:ascii="Times New Roman" w:hAnsi="Times New Roman" w:cs="Times New Roman" w:eastAsia="Times New Roman" w:hint="default"/>
        </w:rPr>
        <w:t>4</w:t>
      </w:r>
      <w:r>
        <w:rPr/>
        <w:t>）新兴业务与市场</w:t>
      </w:r>
      <w:r>
        <w:rPr>
          <w:b w:val="0"/>
          <w:bCs w:val="0"/>
        </w:rPr>
      </w:r>
    </w:p>
    <w:p>
      <w:pPr>
        <w:pStyle w:val="BodyText"/>
        <w:spacing w:line="300" w:lineRule="auto" w:before="63"/>
        <w:ind w:right="0" w:firstLine="360"/>
        <w:jc w:val="left"/>
      </w:pPr>
      <w:r>
        <w:rPr>
          <w:rFonts w:ascii="Times New Roman" w:hAnsi="Times New Roman" w:cs="Times New Roman" w:eastAsia="Times New Roman" w:hint="default"/>
          <w:spacing w:val="-2"/>
        </w:rPr>
        <w:t>2014</w:t>
      </w:r>
      <w:r>
        <w:rPr>
          <w:spacing w:val="-2"/>
        </w:rPr>
        <w:t>年，公司与北京神舟航天软件技术有限公司签订了战略合作协议，双方将在产品研发、技术服务、共建品牌等方面</w:t>
      </w:r>
      <w:r>
        <w:rPr/>
        <w:t> 充分合作，建立多层面的战略联盟，合力开拓电力、航天、军工等国家重大战略领域的信息化建设市场。</w:t>
      </w:r>
    </w:p>
    <w:p>
      <w:pPr>
        <w:pStyle w:val="BodyText"/>
        <w:spacing w:line="240" w:lineRule="auto" w:before="31"/>
        <w:ind w:left="513" w:right="0"/>
        <w:jc w:val="left"/>
      </w:pPr>
      <w:r>
        <w:rPr>
          <w:rFonts w:ascii="Times New Roman" w:hAnsi="Times New Roman" w:cs="Times New Roman" w:eastAsia="Times New Roman" w:hint="default"/>
        </w:rPr>
        <w:t>2014</w:t>
      </w:r>
      <w:r>
        <w:rPr/>
        <w:t>年，公司新成立的控股子公司</w:t>
      </w:r>
      <w:r>
        <w:rPr>
          <w:rFonts w:ascii="Times New Roman" w:hAnsi="Times New Roman" w:cs="Times New Roman" w:eastAsia="Times New Roman" w:hint="default"/>
        </w:rPr>
        <w:t>“</w:t>
      </w:r>
      <w:r>
        <w:rPr/>
        <w:t>远光广安</w:t>
      </w:r>
      <w:r>
        <w:rPr>
          <w:rFonts w:ascii="Times New Roman" w:hAnsi="Times New Roman" w:cs="Times New Roman" w:eastAsia="Times New Roman" w:hint="default"/>
        </w:rPr>
        <w:t>”</w:t>
      </w:r>
      <w:r>
        <w:rPr/>
        <w:t>在石油、航天、冶金、交通等行业的业务推进顺利。</w:t>
      </w:r>
    </w:p>
    <w:p>
      <w:pPr>
        <w:pStyle w:val="BodyText"/>
        <w:spacing w:line="240" w:lineRule="auto" w:before="63"/>
        <w:ind w:left="513" w:right="0"/>
        <w:jc w:val="left"/>
      </w:pPr>
      <w:r>
        <w:rPr>
          <w:rFonts w:ascii="Times New Roman" w:hAnsi="Times New Roman" w:cs="Times New Roman" w:eastAsia="Times New Roman" w:hint="default"/>
        </w:rPr>
        <w:t>2014</w:t>
      </w:r>
      <w:r>
        <w:rPr/>
        <w:t>年四季度，公司引入专业团队成立智慧矿山事业部，开始拓展煤炭等矿山行业的安全生产业务相关解决方案业务。</w:t>
      </w:r>
    </w:p>
    <w:p>
      <w:pPr>
        <w:pStyle w:val="BodyText"/>
        <w:spacing w:line="300" w:lineRule="auto" w:before="63"/>
        <w:ind w:left="514" w:right="1118"/>
        <w:jc w:val="left"/>
      </w:pPr>
      <w:r>
        <w:rPr>
          <w:rFonts w:ascii="Times New Roman" w:hAnsi="Times New Roman" w:cs="Times New Roman" w:eastAsia="Times New Roman" w:hint="default"/>
          <w:b/>
          <w:bCs/>
        </w:rPr>
        <w:t>2</w:t>
      </w:r>
      <w:r>
        <w:rPr>
          <w:rFonts w:ascii="宋体" w:hAnsi="宋体" w:cs="宋体" w:eastAsia="宋体" w:hint="default"/>
          <w:b/>
          <w:bCs/>
        </w:rPr>
        <w:t>、社会管理</w:t>
      </w:r>
      <w:r>
        <w:rPr>
          <w:rFonts w:ascii="宋体" w:hAnsi="宋体" w:cs="宋体" w:eastAsia="宋体" w:hint="default"/>
          <w:b/>
          <w:bCs/>
          <w:w w:val="99"/>
        </w:rPr>
        <w:t> </w:t>
      </w:r>
      <w:r>
        <w:rPr>
          <w:spacing w:val="-1"/>
        </w:rPr>
        <w:t>公司在深耕企业管理信息化领域的同时，还积极布局社会管理领域，通过推广应用</w:t>
      </w:r>
      <w:r>
        <w:rPr>
          <w:rFonts w:ascii="Times New Roman" w:hAnsi="Times New Roman" w:cs="Times New Roman" w:eastAsia="Times New Roman" w:hint="default"/>
          <w:spacing w:val="-1"/>
        </w:rPr>
        <w:t>“</w:t>
      </w:r>
      <w:r>
        <w:rPr>
          <w:spacing w:val="-1"/>
        </w:rPr>
        <w:t>贝课</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证件图像码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政民通</w:t>
      </w:r>
      <w:r>
        <w:rPr>
          <w:rFonts w:ascii="Times New Roman" w:hAnsi="Times New Roman" w:cs="Times New Roman" w:eastAsia="Times New Roman" w:hint="default"/>
          <w:spacing w:val="-1"/>
        </w:rPr>
        <w:t>”</w:t>
      </w:r>
      <w:r>
        <w:rPr>
          <w:spacing w:val="-1"/>
        </w:rPr>
        <w:t>等</w:t>
      </w:r>
    </w:p>
    <w:p>
      <w:pPr>
        <w:pStyle w:val="BodyText"/>
        <w:spacing w:line="240" w:lineRule="auto" w:before="13"/>
        <w:ind w:right="0"/>
        <w:jc w:val="left"/>
      </w:pPr>
      <w:r>
        <w:rPr/>
        <w:t>新产品，致力于推动企业管理和社会管理进步。</w:t>
      </w:r>
    </w:p>
    <w:p>
      <w:pPr>
        <w:pStyle w:val="BodyText"/>
        <w:spacing w:line="300" w:lineRule="auto" w:before="76"/>
        <w:ind w:right="0" w:firstLine="360"/>
        <w:jc w:val="left"/>
      </w:pPr>
      <w:r>
        <w:rPr>
          <w:rFonts w:ascii="Times New Roman" w:hAnsi="Times New Roman" w:cs="Times New Roman" w:eastAsia="Times New Roman" w:hint="default"/>
        </w:rPr>
        <w:t>“</w:t>
      </w:r>
      <w:r>
        <w:rPr/>
        <w:t>贝课</w:t>
      </w:r>
      <w:r>
        <w:rPr>
          <w:rFonts w:ascii="Times New Roman" w:hAnsi="Times New Roman" w:cs="Times New Roman" w:eastAsia="Times New Roman" w:hint="default"/>
        </w:rPr>
        <w:t>”</w:t>
      </w:r>
      <w:r>
        <w:rPr/>
        <w:t>是公司首款针对少儿兴趣探索打造的培训服务移动应用平台。</w:t>
      </w:r>
      <w:r>
        <w:rPr>
          <w:rFonts w:ascii="Times New Roman" w:hAnsi="Times New Roman" w:cs="Times New Roman" w:eastAsia="Times New Roman" w:hint="default"/>
        </w:rPr>
        <w:t>“</w:t>
      </w:r>
      <w:r>
        <w:rPr/>
        <w:t>贝课</w:t>
      </w:r>
      <w:r>
        <w:rPr>
          <w:rFonts w:ascii="Times New Roman" w:hAnsi="Times New Roman" w:cs="Times New Roman" w:eastAsia="Times New Roman" w:hint="default"/>
        </w:rPr>
        <w:t>”</w:t>
      </w:r>
      <w:r>
        <w:rPr/>
        <w:t>可基于地理位置定位培训机构，提供全面、</w:t>
      </w:r>
      <w:r>
        <w:rPr>
          <w:spacing w:val="1"/>
        </w:rPr>
        <w:t> </w:t>
      </w:r>
      <w:r>
        <w:rPr/>
        <w:t>真实、有效的培训课程信息，并通过</w:t>
      </w:r>
      <w:r>
        <w:rPr>
          <w:rFonts w:ascii="Times New Roman" w:hAnsi="Times New Roman" w:cs="Times New Roman" w:eastAsia="Times New Roman" w:hint="default"/>
        </w:rPr>
        <w:t>“</w:t>
      </w:r>
      <w:r>
        <w:rPr/>
        <w:t>发现课程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课程说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兴趣探索</w:t>
      </w:r>
      <w:r>
        <w:rPr>
          <w:rFonts w:ascii="Times New Roman" w:hAnsi="Times New Roman" w:cs="Times New Roman" w:eastAsia="Times New Roman" w:hint="default"/>
        </w:rPr>
        <w:t>”</w:t>
      </w:r>
      <w:r>
        <w:rPr/>
        <w:t>等功能模块帮助家长找到最适合孩子个性化发展的 </w:t>
      </w:r>
      <w:r>
        <w:rPr>
          <w:spacing w:val="-2"/>
        </w:rPr>
        <w:t>培训课程。公司在</w:t>
      </w:r>
      <w:r>
        <w:rPr>
          <w:rFonts w:ascii="Times New Roman" w:hAnsi="Times New Roman" w:cs="Times New Roman" w:eastAsia="Times New Roman" w:hint="default"/>
          <w:spacing w:val="-2"/>
        </w:rPr>
        <w:t>“</w:t>
      </w:r>
      <w:r>
        <w:rPr>
          <w:spacing w:val="-2"/>
        </w:rPr>
        <w:t>贝课</w:t>
      </w:r>
      <w:r>
        <w:rPr>
          <w:rFonts w:ascii="Times New Roman" w:hAnsi="Times New Roman" w:cs="Times New Roman" w:eastAsia="Times New Roman" w:hint="default"/>
          <w:spacing w:val="-2"/>
        </w:rPr>
        <w:t>”1.0</w:t>
      </w:r>
      <w:r>
        <w:rPr>
          <w:spacing w:val="-2"/>
        </w:rPr>
        <w:t>提供专业少儿培训服务的基础上，依据市场需求，快速推出</w:t>
      </w:r>
      <w:r>
        <w:rPr>
          <w:rFonts w:ascii="Times New Roman" w:hAnsi="Times New Roman" w:cs="Times New Roman" w:eastAsia="Times New Roman" w:hint="default"/>
          <w:spacing w:val="-2"/>
        </w:rPr>
        <w:t>“</w:t>
      </w:r>
      <w:r>
        <w:rPr>
          <w:spacing w:val="-2"/>
        </w:rPr>
        <w:t>贝课</w:t>
      </w:r>
      <w:r>
        <w:rPr>
          <w:rFonts w:ascii="Times New Roman" w:hAnsi="Times New Roman" w:cs="Times New Roman" w:eastAsia="Times New Roman" w:hint="default"/>
          <w:spacing w:val="-2"/>
        </w:rPr>
        <w:t>”2.0</w:t>
      </w:r>
      <w:r>
        <w:rPr>
          <w:spacing w:val="-2"/>
        </w:rPr>
        <w:t>，跳出</w:t>
      </w:r>
      <w:r>
        <w:rPr>
          <w:rFonts w:ascii="Times New Roman" w:hAnsi="Times New Roman" w:cs="Times New Roman" w:eastAsia="Times New Roman" w:hint="default"/>
          <w:spacing w:val="-2"/>
        </w:rPr>
        <w:t>“</w:t>
      </w:r>
      <w:r>
        <w:rPr>
          <w:spacing w:val="-2"/>
        </w:rPr>
        <w:t>课程交易</w:t>
      </w:r>
      <w:r>
        <w:rPr>
          <w:rFonts w:ascii="Times New Roman" w:hAnsi="Times New Roman" w:cs="Times New Roman" w:eastAsia="Times New Roman" w:hint="default"/>
          <w:spacing w:val="-2"/>
        </w:rPr>
        <w:t>”</w:t>
      </w:r>
      <w:r>
        <w:rPr>
          <w:spacing w:val="-2"/>
        </w:rPr>
        <w:t>的范畴，</w:t>
      </w:r>
      <w:r>
        <w:rPr>
          <w:spacing w:val="-83"/>
        </w:rPr>
        <w:t> </w:t>
      </w:r>
      <w:r>
        <w:rPr/>
        <w:t>使其成为一个快乐教育理念的普及和培养平台。</w:t>
      </w:r>
    </w:p>
    <w:p>
      <w:pPr>
        <w:pStyle w:val="BodyText"/>
        <w:spacing w:line="300" w:lineRule="auto" w:before="31"/>
        <w:ind w:left="154" w:right="1131" w:firstLine="433"/>
        <w:jc w:val="both"/>
      </w:pPr>
      <w:r>
        <w:rPr>
          <w:rFonts w:ascii="Times New Roman" w:hAnsi="Times New Roman" w:cs="Times New Roman" w:eastAsia="Times New Roman" w:hint="default"/>
        </w:rPr>
        <w:t>“</w:t>
      </w:r>
      <w:r>
        <w:rPr/>
        <w:t>证件图像码</w:t>
      </w:r>
      <w:r>
        <w:rPr>
          <w:rFonts w:ascii="Times New Roman" w:hAnsi="Times New Roman" w:cs="Times New Roman" w:eastAsia="Times New Roman" w:hint="default"/>
        </w:rPr>
        <w:t>”</w:t>
      </w:r>
      <w:r>
        <w:rPr/>
        <w:t>是指通过手机和短信平台完成房地产权证和计划生育证等市民常用证件的发放、查证和验证等功能。公 </w:t>
      </w:r>
      <w:r>
        <w:rPr>
          <w:spacing w:val="-2"/>
        </w:rPr>
        <w:t>司研发</w:t>
      </w:r>
      <w:r>
        <w:rPr>
          <w:rFonts w:ascii="Times New Roman" w:hAnsi="Times New Roman" w:cs="Times New Roman" w:eastAsia="Times New Roman" w:hint="default"/>
          <w:spacing w:val="-2"/>
        </w:rPr>
        <w:t>“</w:t>
      </w:r>
      <w:r>
        <w:rPr>
          <w:spacing w:val="-2"/>
        </w:rPr>
        <w:t>证件图像码</w:t>
      </w:r>
      <w:r>
        <w:rPr>
          <w:rFonts w:ascii="Times New Roman" w:hAnsi="Times New Roman" w:cs="Times New Roman" w:eastAsia="Times New Roman" w:hint="default"/>
          <w:spacing w:val="-2"/>
        </w:rPr>
        <w:t>”</w:t>
      </w:r>
      <w:r>
        <w:rPr>
          <w:spacing w:val="-2"/>
        </w:rPr>
        <w:t>的目的是在现有条件下让市民和企业办事更方便。这项技术不仅有利于政民互动，还能提升政府治理能</w:t>
      </w:r>
      <w:r>
        <w:rPr>
          <w:spacing w:val="-44"/>
        </w:rPr>
        <w:t> </w:t>
      </w:r>
      <w:r>
        <w:rPr>
          <w:spacing w:val="-44"/>
        </w:rPr>
      </w:r>
      <w:r>
        <w:rPr/>
        <w:t>力的现代化水平，更是公司紧跟智慧城市脚步的大胆尝试。</w:t>
      </w:r>
    </w:p>
    <w:p>
      <w:pPr>
        <w:pStyle w:val="BodyText"/>
        <w:spacing w:line="304" w:lineRule="auto" w:before="31"/>
        <w:ind w:right="1033" w:firstLine="360"/>
        <w:jc w:val="left"/>
      </w:pPr>
      <w:r>
        <w:rPr>
          <w:rFonts w:ascii="Times New Roman" w:hAnsi="Times New Roman" w:cs="Times New Roman" w:eastAsia="Times New Roman" w:hint="default"/>
        </w:rPr>
        <w:t>“</w:t>
      </w:r>
      <w:r>
        <w:rPr/>
        <w:t>政民通</w:t>
      </w:r>
      <w:r>
        <w:rPr>
          <w:rFonts w:ascii="Times New Roman" w:hAnsi="Times New Roman" w:cs="Times New Roman" w:eastAsia="Times New Roman" w:hint="default"/>
        </w:rPr>
        <w:t>”</w:t>
      </w:r>
      <w:r>
        <w:rPr/>
        <w:t>是全国首个基于移动互联网自主研发的政务信息及应用平台，该系统集政务服务前置、便民服务分享与互助、 征集民意为一体，可以用手机实现全天候一对一的政民互动。政民通系统充分利用移动互联网的全天候、便捷的技术优势，</w:t>
      </w:r>
      <w:r>
        <w:rPr>
          <w:spacing w:val="-85"/>
        </w:rPr>
        <w:t> </w:t>
      </w:r>
      <w:r>
        <w:rPr>
          <w:spacing w:val="-85"/>
        </w:rPr>
      </w:r>
      <w:r>
        <w:rPr/>
        <w:t>以智能手机等移动终端为载体，以切实实现全体居民参与社区管理、享受社区服务为切入点，创新社会管理机制。</w:t>
      </w:r>
      <w:r>
        <w:rPr>
          <w:rFonts w:ascii="Times New Roman" w:hAnsi="Times New Roman" w:cs="Times New Roman" w:eastAsia="Times New Roman" w:hint="default"/>
        </w:rPr>
        <w:t>“</w:t>
      </w:r>
      <w:r>
        <w:rPr/>
        <w:t>政民通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项目由珠海市政府统一规划，以基层社区为单位开展推广，是珠海推动</w:t>
      </w:r>
      <w:r>
        <w:rPr>
          <w:rFonts w:ascii="Times New Roman" w:hAnsi="Times New Roman" w:cs="Times New Roman" w:eastAsia="Times New Roman" w:hint="default"/>
        </w:rPr>
        <w:t>“</w:t>
      </w:r>
      <w:r>
        <w:rPr/>
        <w:t>智慧政府</w:t>
      </w:r>
      <w:r>
        <w:rPr>
          <w:rFonts w:ascii="Times New Roman" w:hAnsi="Times New Roman" w:cs="Times New Roman" w:eastAsia="Times New Roman" w:hint="default"/>
        </w:rPr>
        <w:t>”</w:t>
      </w:r>
      <w:r>
        <w:rPr/>
        <w:t>建设，创新社会管理、创建智慧城市的独 创项目，是创建平安珠海</w:t>
      </w:r>
      <w:r>
        <w:rPr>
          <w:rFonts w:ascii="Times New Roman" w:hAnsi="Times New Roman" w:cs="Times New Roman" w:eastAsia="Times New Roman" w:hint="default"/>
        </w:rPr>
        <w:t>“</w:t>
      </w:r>
      <w:r>
        <w:rPr/>
        <w:t>信息网络服务保障工程</w:t>
      </w:r>
      <w:r>
        <w:rPr>
          <w:rFonts w:ascii="Times New Roman" w:hAnsi="Times New Roman" w:cs="Times New Roman" w:eastAsia="Times New Roman" w:hint="default"/>
        </w:rPr>
        <w:t>”</w:t>
      </w:r>
      <w:r>
        <w:rPr/>
        <w:t>的重要子项目之一。公司具体承担该项目的建设、推广和运营工作。</w:t>
      </w:r>
    </w:p>
    <w:p>
      <w:pPr>
        <w:pStyle w:val="Heading8"/>
        <w:spacing w:line="240" w:lineRule="auto" w:before="9"/>
        <w:ind w:right="0"/>
        <w:jc w:val="left"/>
        <w:rPr>
          <w:b w:val="0"/>
          <w:bCs w:val="0"/>
        </w:rPr>
      </w:pPr>
      <w:r>
        <w:rPr/>
        <w:t>（二）对外投资</w:t>
      </w:r>
      <w:r>
        <w:rPr>
          <w:b w:val="0"/>
          <w:bCs w:val="0"/>
        </w:rPr>
      </w:r>
    </w:p>
    <w:p>
      <w:pPr>
        <w:pStyle w:val="BodyText"/>
        <w:spacing w:line="307" w:lineRule="auto" w:before="76"/>
        <w:ind w:right="1131" w:firstLine="360"/>
        <w:jc w:val="both"/>
      </w:pPr>
      <w:r>
        <w:rPr>
          <w:rFonts w:ascii="Times New Roman" w:hAnsi="Times New Roman" w:cs="Times New Roman" w:eastAsia="Times New Roman" w:hint="default"/>
          <w:spacing w:val="-2"/>
        </w:rPr>
        <w:t>2014</w:t>
      </w:r>
      <w:r>
        <w:rPr>
          <w:spacing w:val="-2"/>
        </w:rPr>
        <w:t>年，为一步完善公司在燃料智能化领域的产品布局，公司投资控股</w:t>
      </w:r>
      <w:r>
        <w:rPr>
          <w:rFonts w:ascii="Times New Roman" w:hAnsi="Times New Roman" w:cs="Times New Roman" w:eastAsia="Times New Roman" w:hint="default"/>
          <w:spacing w:val="-2"/>
        </w:rPr>
        <w:t>“</w:t>
      </w:r>
      <w:r>
        <w:rPr>
          <w:spacing w:val="-2"/>
        </w:rPr>
        <w:t>瑞翔科技</w:t>
      </w:r>
      <w:r>
        <w:rPr>
          <w:rFonts w:ascii="Times New Roman" w:hAnsi="Times New Roman" w:cs="Times New Roman" w:eastAsia="Times New Roman" w:hint="default"/>
          <w:spacing w:val="-2"/>
        </w:rPr>
        <w:t>”</w:t>
      </w:r>
      <w:r>
        <w:rPr>
          <w:spacing w:val="-2"/>
        </w:rPr>
        <w:t>子公司。瑞翔科技深耕煤质分析仪器</w:t>
      </w:r>
      <w:r>
        <w:rPr/>
        <w:t> </w:t>
      </w:r>
      <w:r>
        <w:rPr>
          <w:spacing w:val="-2"/>
        </w:rPr>
        <w:t>仪表领域十余年，对煤质检测分析相关业务具有深刻的理解，在煤质检测分析仪器设备制作领域拥有完整的设计研发、生产</w:t>
      </w:r>
      <w:r>
        <w:rPr>
          <w:spacing w:val="-66"/>
        </w:rPr>
        <w:t> </w:t>
      </w:r>
      <w:r>
        <w:rPr>
          <w:spacing w:val="-66"/>
        </w:rPr>
      </w:r>
      <w:r>
        <w:rPr/>
        <w:t>能力，用户遍布电力、煤炭、化工、冶金等领域；与公司下属同样从事燃料智能化业务的控股子公司</w:t>
      </w:r>
      <w:r>
        <w:rPr>
          <w:rFonts w:ascii="Times New Roman" w:hAnsi="Times New Roman" w:cs="Times New Roman" w:eastAsia="Times New Roman" w:hint="default"/>
        </w:rPr>
        <w:t>“</w:t>
      </w:r>
      <w:r>
        <w:rPr/>
        <w:t>远光共创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智和卓 源</w:t>
      </w:r>
      <w:r>
        <w:rPr>
          <w:rFonts w:ascii="Times New Roman" w:hAnsi="Times New Roman" w:cs="Times New Roman" w:eastAsia="Times New Roman" w:hint="default"/>
        </w:rPr>
        <w:t>”</w:t>
      </w:r>
      <w:r>
        <w:rPr/>
        <w:t>形成了良性的市场互补和战略协同。至此，公司燃料智能化的</w:t>
      </w:r>
      <w:r>
        <w:rPr>
          <w:rFonts w:ascii="Times New Roman" w:hAnsi="Times New Roman" w:cs="Times New Roman" w:eastAsia="Times New Roman" w:hint="default"/>
        </w:rPr>
        <w:t>“</w:t>
      </w:r>
      <w:r>
        <w:rPr/>
        <w:t>大燃料</w:t>
      </w:r>
      <w:r>
        <w:rPr>
          <w:rFonts w:ascii="Times New Roman" w:hAnsi="Times New Roman" w:cs="Times New Roman" w:eastAsia="Times New Roman" w:hint="default"/>
        </w:rPr>
        <w:t>”</w:t>
      </w:r>
      <w:r>
        <w:rPr/>
        <w:t>产品战略布局基本形成。</w:t>
      </w:r>
    </w:p>
    <w:p>
      <w:pPr>
        <w:pStyle w:val="BodyText"/>
        <w:spacing w:line="309" w:lineRule="auto" w:before="7"/>
        <w:ind w:right="1130" w:firstLine="360"/>
        <w:jc w:val="both"/>
      </w:pPr>
      <w:r>
        <w:rPr>
          <w:rFonts w:ascii="Times New Roman" w:hAnsi="Times New Roman" w:cs="Times New Roman" w:eastAsia="Times New Roman" w:hint="default"/>
          <w:spacing w:val="-2"/>
        </w:rPr>
        <w:t>2014</w:t>
      </w:r>
      <w:r>
        <w:rPr>
          <w:spacing w:val="-2"/>
        </w:rPr>
        <w:t>年，公司新成立控股子公司</w:t>
      </w:r>
      <w:r>
        <w:rPr>
          <w:rFonts w:ascii="Times New Roman" w:hAnsi="Times New Roman" w:cs="Times New Roman" w:eastAsia="Times New Roman" w:hint="default"/>
          <w:spacing w:val="-2"/>
        </w:rPr>
        <w:t>“</w:t>
      </w:r>
      <w:r>
        <w:rPr>
          <w:spacing w:val="-2"/>
        </w:rPr>
        <w:t>南京远光广安信息科技有限公司</w:t>
      </w:r>
      <w:r>
        <w:rPr>
          <w:rFonts w:ascii="Times New Roman" w:hAnsi="Times New Roman" w:cs="Times New Roman" w:eastAsia="Times New Roman" w:hint="default"/>
          <w:spacing w:val="-2"/>
        </w:rPr>
        <w:t>”</w:t>
      </w:r>
      <w:r>
        <w:rPr>
          <w:spacing w:val="-2"/>
        </w:rPr>
        <w:t>，远光广安主营项目管理服务，客户大部分为央企或</w:t>
      </w:r>
      <w:r>
        <w:rPr/>
        <w:t> </w:t>
      </w:r>
      <w:r>
        <w:rPr>
          <w:spacing w:val="-2"/>
        </w:rPr>
        <w:t>国有大型企业集团，除电力及能源行业外，还长期耕耘军工行业、民用高端装备等领域。远光广安的成立，进一步完善了公</w:t>
      </w:r>
      <w:r>
        <w:rPr>
          <w:spacing w:val="-66"/>
        </w:rPr>
        <w:t> </w:t>
      </w:r>
      <w:r>
        <w:rPr>
          <w:spacing w:val="-66"/>
        </w:rPr>
      </w:r>
      <w:r>
        <w:rPr>
          <w:spacing w:val="-2"/>
        </w:rPr>
        <w:t>司在</w:t>
      </w:r>
      <w:r>
        <w:rPr>
          <w:rFonts w:ascii="Times New Roman" w:hAnsi="Times New Roman" w:cs="Times New Roman" w:eastAsia="Times New Roman" w:hint="default"/>
          <w:spacing w:val="-2"/>
        </w:rPr>
        <w:t>“</w:t>
      </w:r>
      <w:r>
        <w:rPr>
          <w:spacing w:val="-2"/>
        </w:rPr>
        <w:t>电力资产全寿命周期管理</w:t>
      </w:r>
      <w:r>
        <w:rPr>
          <w:rFonts w:ascii="Times New Roman" w:hAnsi="Times New Roman" w:cs="Times New Roman" w:eastAsia="Times New Roman" w:hint="default"/>
          <w:spacing w:val="-2"/>
        </w:rPr>
        <w:t>”</w:t>
      </w:r>
      <w:r>
        <w:rPr>
          <w:spacing w:val="-2"/>
        </w:rPr>
        <w:t>解决方案的战略布局。未来，公司将借助远光广安在其领域项目管理的优势，为进入军工行</w:t>
      </w:r>
      <w:r>
        <w:rPr>
          <w:spacing w:val="-43"/>
        </w:rPr>
        <w:t> </w:t>
      </w:r>
      <w:r>
        <w:rPr>
          <w:spacing w:val="-43"/>
        </w:rPr>
      </w:r>
      <w:r>
        <w:rPr>
          <w:spacing w:val="-2"/>
        </w:rPr>
        <w:t>业、民用高端装备等领域的广阔空间打下坚实基础。目前远光广安已先后中标中航工业试飞中心、中石油、横店集团、三鼎</w:t>
      </w:r>
      <w:r>
        <w:rPr>
          <w:spacing w:val="-66"/>
        </w:rPr>
        <w:t> </w:t>
      </w:r>
      <w:r>
        <w:rPr>
          <w:spacing w:val="-66"/>
        </w:rPr>
      </w:r>
      <w:r>
        <w:rPr/>
        <w:t>控股集团、紫金矿业、四川油建等工程项目管理信息系统建设项目。</w:t>
      </w:r>
    </w:p>
    <w:p>
      <w:pPr>
        <w:pStyle w:val="BodyText"/>
        <w:spacing w:line="309" w:lineRule="auto" w:before="24"/>
        <w:ind w:left="154" w:right="1131" w:firstLine="360"/>
        <w:jc w:val="both"/>
      </w:pPr>
      <w:r>
        <w:rPr>
          <w:rFonts w:ascii="Times New Roman" w:hAnsi="Times New Roman" w:cs="Times New Roman" w:eastAsia="Times New Roman" w:hint="default"/>
          <w:spacing w:val="-2"/>
        </w:rPr>
        <w:t>2014</w:t>
      </w:r>
      <w:r>
        <w:rPr>
          <w:spacing w:val="-2"/>
        </w:rPr>
        <w:t>年，公司并购北京神航星云科技有限公司，该公司在电能监测、传感技术研究方面有多年的积累，具有较完善的解</w:t>
      </w:r>
      <w:r>
        <w:rPr/>
        <w:t> </w:t>
      </w:r>
      <w:r>
        <w:rPr>
          <w:spacing w:val="-2"/>
        </w:rPr>
        <w:t>决方案。并购后，神航星云公司业务推进顺利，加快了公司向电力需求侧市场、尤其是节能减排领域的拓展，进一步拓宽了</w:t>
      </w:r>
      <w:r>
        <w:rPr>
          <w:spacing w:val="-66"/>
        </w:rPr>
        <w:t> </w:t>
      </w:r>
      <w:r>
        <w:rPr>
          <w:spacing w:val="-66"/>
        </w:rPr>
      </w:r>
      <w:r>
        <w:rPr/>
        <w:t>公司的业务领域和客户资源，使得公司集团化发展战略布局更趋完善。</w:t>
      </w:r>
    </w:p>
    <w:p>
      <w:pPr>
        <w:pStyle w:val="Heading8"/>
        <w:spacing w:line="240" w:lineRule="auto"/>
        <w:ind w:right="0"/>
        <w:jc w:val="left"/>
        <w:rPr>
          <w:b w:val="0"/>
          <w:bCs w:val="0"/>
        </w:rPr>
      </w:pPr>
      <w:r>
        <w:rPr/>
        <w:t>（三）研发成果</w:t>
      </w:r>
      <w:r>
        <w:rPr>
          <w:b w:val="0"/>
          <w:bCs w:val="0"/>
        </w:rPr>
      </w:r>
    </w:p>
    <w:p>
      <w:pPr>
        <w:pStyle w:val="Heading8"/>
        <w:spacing w:line="240" w:lineRule="auto" w:before="76"/>
        <w:ind w:right="0"/>
        <w:jc w:val="left"/>
        <w:rPr>
          <w:b w:val="0"/>
          <w:bCs w:val="0"/>
        </w:rPr>
      </w:pPr>
      <w:r>
        <w:rPr>
          <w:rFonts w:ascii="Times New Roman" w:hAnsi="Times New Roman" w:cs="Times New Roman" w:eastAsia="Times New Roman" w:hint="default"/>
        </w:rPr>
        <w:t>1</w:t>
      </w:r>
      <w:r>
        <w:rPr/>
        <w:t>、新产品</w:t>
      </w:r>
      <w:r>
        <w:rPr>
          <w:b w:val="0"/>
          <w:bCs w:val="0"/>
        </w:rPr>
      </w:r>
    </w:p>
    <w:p>
      <w:pPr>
        <w:pStyle w:val="BodyText"/>
        <w:spacing w:line="300" w:lineRule="auto" w:before="63"/>
        <w:ind w:right="0" w:firstLine="360"/>
        <w:jc w:val="left"/>
      </w:pPr>
      <w:r>
        <w:rPr>
          <w:rFonts w:ascii="Times New Roman" w:hAnsi="Times New Roman" w:cs="Times New Roman" w:eastAsia="Times New Roman" w:hint="default"/>
          <w:spacing w:val="-2"/>
        </w:rPr>
        <w:t>2014</w:t>
      </w:r>
      <w:r>
        <w:rPr>
          <w:spacing w:val="-2"/>
        </w:rPr>
        <w:t>年，公司加大了对集团财务共享服务中心、企业移动互联、智能运维平台、日利润监控分析系统、矿山智能化综合</w:t>
      </w:r>
      <w:r>
        <w:rPr/>
        <w:t> 管控整体解决方案等新产品的研发投入，研发费用保持增长，系列产品成果相继形成，有望在将来为公司贡献业绩。</w:t>
      </w:r>
    </w:p>
    <w:p>
      <w:pPr>
        <w:pStyle w:val="BodyText"/>
        <w:spacing w:line="309" w:lineRule="auto" w:before="32"/>
        <w:ind w:left="154" w:right="0" w:firstLine="360"/>
        <w:jc w:val="left"/>
      </w:pPr>
      <w:r>
        <w:rPr>
          <w:rFonts w:ascii="Times New Roman" w:hAnsi="Times New Roman" w:cs="Times New Roman" w:eastAsia="Times New Roman" w:hint="default"/>
        </w:rPr>
        <w:t>“</w:t>
      </w:r>
      <w:r>
        <w:rPr/>
        <w:t>集团财务共享服务中心</w:t>
      </w:r>
      <w:r>
        <w:rPr>
          <w:rFonts w:ascii="Times New Roman" w:hAnsi="Times New Roman" w:cs="Times New Roman" w:eastAsia="Times New Roman" w:hint="default"/>
        </w:rPr>
        <w:t>”</w:t>
      </w:r>
      <w:r>
        <w:rPr/>
        <w:t>基于类似</w:t>
      </w:r>
      <w:r>
        <w:rPr>
          <w:spacing w:val="-18"/>
        </w:rPr>
        <w:t> </w:t>
      </w:r>
      <w:r>
        <w:rPr>
          <w:rFonts w:ascii="Times New Roman" w:hAnsi="Times New Roman" w:cs="Times New Roman" w:eastAsia="Times New Roman" w:hint="default"/>
        </w:rPr>
        <w:t>“</w:t>
      </w:r>
      <w:r>
        <w:rPr/>
        <w:t>会计工厂</w:t>
      </w:r>
      <w:r>
        <w:rPr>
          <w:rFonts w:ascii="Times New Roman" w:hAnsi="Times New Roman" w:cs="Times New Roman" w:eastAsia="Times New Roman" w:hint="default"/>
        </w:rPr>
        <w:t>”</w:t>
      </w:r>
      <w:r>
        <w:rPr/>
        <w:t>的先进管理模式，通过充分利用影像处理技术、智能识别技术、信息集 </w:t>
      </w:r>
      <w:r>
        <w:rPr>
          <w:spacing w:val="-2"/>
        </w:rPr>
        <w:t>成技术，突破时空限制，能显著提高记账、审核和查账的效率，合理调配共享服务中心的工作任务。这一产品解决方案能使</w:t>
      </w:r>
      <w:r>
        <w:rPr>
          <w:spacing w:val="-66"/>
        </w:rPr>
        <w:t> </w:t>
      </w:r>
      <w:r>
        <w:rPr>
          <w:spacing w:val="-66"/>
        </w:rPr>
      </w:r>
      <w:r>
        <w:rPr/>
        <w:t>集团业务更规范、管控更有力、处理更简化、成本更节约。</w:t>
      </w:r>
    </w:p>
    <w:p>
      <w:pPr>
        <w:pStyle w:val="BodyText"/>
        <w:spacing w:line="240" w:lineRule="auto" w:before="24"/>
        <w:ind w:left="514" w:right="0"/>
        <w:jc w:val="left"/>
      </w:pPr>
      <w:r>
        <w:rPr>
          <w:rFonts w:ascii="Times New Roman" w:hAnsi="Times New Roman" w:cs="Times New Roman" w:eastAsia="Times New Roman" w:hint="default"/>
        </w:rPr>
        <w:t>“</w:t>
      </w:r>
      <w:r>
        <w:rPr/>
        <w:t>企业移动互联</w:t>
      </w:r>
      <w:r>
        <w:rPr>
          <w:rFonts w:ascii="Times New Roman" w:hAnsi="Times New Roman" w:cs="Times New Roman" w:eastAsia="Times New Roman" w:hint="default"/>
        </w:rPr>
        <w:t>”</w:t>
      </w:r>
      <w:r>
        <w:rPr/>
        <w:t>通过打造企业自组织，建立智能、安全的云通讯录，有效利用碎片化时间，实现企业化的即时通讯，资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讯即时送达；实现透明、实用的任务协同；实现信息个性化聚合。</w:t>
      </w:r>
    </w:p>
    <w:p>
      <w:pPr>
        <w:pStyle w:val="BodyText"/>
        <w:spacing w:line="300" w:lineRule="auto" w:before="76"/>
        <w:ind w:right="1131" w:firstLine="360"/>
        <w:jc w:val="both"/>
      </w:pPr>
      <w:r>
        <w:rPr>
          <w:rFonts w:ascii="Times New Roman" w:hAnsi="Times New Roman" w:cs="Times New Roman" w:eastAsia="Times New Roman" w:hint="default"/>
          <w:spacing w:val="-2"/>
        </w:rPr>
        <w:t>“</w:t>
      </w:r>
      <w:r>
        <w:rPr>
          <w:spacing w:val="-2"/>
        </w:rPr>
        <w:t>智能运维平台</w:t>
      </w:r>
      <w:r>
        <w:rPr>
          <w:rFonts w:ascii="Times New Roman" w:hAnsi="Times New Roman" w:cs="Times New Roman" w:eastAsia="Times New Roman" w:hint="default"/>
          <w:spacing w:val="-2"/>
        </w:rPr>
        <w:t>”</w:t>
      </w:r>
      <w:r>
        <w:rPr>
          <w:spacing w:val="-2"/>
        </w:rPr>
        <w:t>服务于信息管理部门，主要涵盖运维自动化与决策分析支持两大方向。融合云计算、大数据、移动化等</w:t>
      </w:r>
      <w:r>
        <w:rPr/>
        <w:t> 前沿技术，实现运维工作的标准化、自动化、智能化，降低</w:t>
      </w:r>
      <w:r>
        <w:rPr>
          <w:rFonts w:ascii="Times New Roman" w:hAnsi="Times New Roman" w:cs="Times New Roman" w:eastAsia="Times New Roman" w:hint="default"/>
        </w:rPr>
        <w:t>IT</w:t>
      </w:r>
      <w:r>
        <w:rPr/>
        <w:t>成本。</w:t>
      </w:r>
    </w:p>
    <w:p>
      <w:pPr>
        <w:pStyle w:val="BodyText"/>
        <w:spacing w:line="312" w:lineRule="auto" w:before="13"/>
        <w:ind w:right="1131" w:firstLine="360"/>
        <w:jc w:val="both"/>
      </w:pPr>
      <w:r>
        <w:rPr>
          <w:rFonts w:ascii="Times New Roman" w:hAnsi="Times New Roman" w:cs="Times New Roman" w:eastAsia="Times New Roman" w:hint="default"/>
          <w:spacing w:val="-2"/>
        </w:rPr>
        <w:t>“</w:t>
      </w:r>
      <w:r>
        <w:rPr>
          <w:spacing w:val="-2"/>
        </w:rPr>
        <w:t>远光日利润监控分析系统</w:t>
      </w:r>
      <w:r>
        <w:rPr>
          <w:rFonts w:ascii="Times New Roman" w:hAnsi="Times New Roman" w:cs="Times New Roman" w:eastAsia="Times New Roman" w:hint="default"/>
          <w:spacing w:val="-2"/>
        </w:rPr>
        <w:t>”</w:t>
      </w:r>
      <w:r>
        <w:rPr>
          <w:spacing w:val="-2"/>
        </w:rPr>
        <w:t>将先进的日利润管理思想、数据分析模型与信息化工具深度融合，通过全方位的业务数据模</w:t>
      </w:r>
      <w:r>
        <w:rPr/>
        <w:t> </w:t>
      </w:r>
      <w:r>
        <w:rPr>
          <w:spacing w:val="-2"/>
        </w:rPr>
        <w:t>型分析，借助计算机、平板电脑、大屏、触摸屏等多种终端全景监控企业经营成效，帮助企业集团快速准确掌握集团整体运</w:t>
      </w:r>
      <w:r>
        <w:rPr>
          <w:spacing w:val="-66"/>
        </w:rPr>
        <w:t> </w:t>
      </w:r>
      <w:r>
        <w:rPr>
          <w:spacing w:val="-66"/>
        </w:rPr>
      </w:r>
      <w:r>
        <w:rPr>
          <w:spacing w:val="-2"/>
        </w:rPr>
        <w:t>行情况，全方位了解焦点问题，明晰管理变动因素，预测未来利润实现，支撑管理升级，实现对各层级单位总体经营目标的</w:t>
      </w:r>
      <w:r>
        <w:rPr>
          <w:spacing w:val="-66"/>
        </w:rPr>
        <w:t> </w:t>
      </w:r>
      <w:r>
        <w:rPr>
          <w:spacing w:val="-66"/>
        </w:rPr>
      </w:r>
      <w:r>
        <w:rPr/>
        <w:t>有效监控。</w:t>
      </w:r>
    </w:p>
    <w:p>
      <w:pPr>
        <w:pStyle w:val="BodyText"/>
        <w:spacing w:line="309" w:lineRule="auto" w:before="22"/>
        <w:ind w:left="154" w:right="1130" w:firstLine="360"/>
        <w:jc w:val="both"/>
      </w:pPr>
      <w:r>
        <w:rPr>
          <w:rFonts w:ascii="Times New Roman" w:hAnsi="Times New Roman" w:cs="Times New Roman" w:eastAsia="Times New Roman" w:hint="default"/>
          <w:spacing w:val="-2"/>
        </w:rPr>
        <w:t>“</w:t>
      </w:r>
      <w:r>
        <w:rPr>
          <w:spacing w:val="-2"/>
        </w:rPr>
        <w:t>矿山智能化综合管控整体解决方案</w:t>
      </w:r>
      <w:r>
        <w:rPr>
          <w:rFonts w:ascii="Times New Roman" w:hAnsi="Times New Roman" w:cs="Times New Roman" w:eastAsia="Times New Roman" w:hint="default"/>
          <w:spacing w:val="-2"/>
        </w:rPr>
        <w:t>”</w:t>
      </w:r>
      <w:r>
        <w:rPr>
          <w:spacing w:val="-2"/>
        </w:rPr>
        <w:t>是比较研究国内外矿山自动化、信息化理论，深度解析国内相关实践问题，结合中</w:t>
      </w:r>
      <w:r>
        <w:rPr/>
        <w:t> </w:t>
      </w:r>
      <w:r>
        <w:rPr>
          <w:spacing w:val="-2"/>
        </w:rPr>
        <w:t>国企业管理模式，成功研发推出的有针对性的智慧矿山整体安全解决方案。该方案包涵了基于安全生产过程数据联动为基础</w:t>
      </w:r>
      <w:r>
        <w:rPr>
          <w:spacing w:val="-64"/>
        </w:rPr>
        <w:t> </w:t>
      </w:r>
      <w:r>
        <w:rPr>
          <w:spacing w:val="-64"/>
        </w:rPr>
      </w:r>
      <w:r>
        <w:rPr>
          <w:spacing w:val="-2"/>
        </w:rPr>
        <w:t>的管理框架，全面涵盖了矿山企业安全生产过程的各关键要素，通过成熟的</w:t>
      </w:r>
      <w:r>
        <w:rPr>
          <w:rFonts w:ascii="Times New Roman" w:hAnsi="Times New Roman" w:cs="Times New Roman" w:eastAsia="Times New Roman" w:hint="default"/>
          <w:spacing w:val="-2"/>
        </w:rPr>
        <w:t>IT</w:t>
      </w:r>
      <w:r>
        <w:rPr>
          <w:spacing w:val="-2"/>
        </w:rPr>
        <w:t>技术，实现自动化流程管理及内控优化；能够</w:t>
      </w:r>
      <w:r>
        <w:rPr>
          <w:spacing w:val="-52"/>
        </w:rPr>
        <w:t> </w:t>
      </w:r>
      <w:r>
        <w:rPr>
          <w:spacing w:val="-52"/>
        </w:rPr>
      </w:r>
      <w:r>
        <w:rPr>
          <w:spacing w:val="-2"/>
        </w:rPr>
        <w:t>帮助国内矿山（集团）企业构建本质安全型管控体系，积极响应外部监管要求以及多变的市场环境，提高矿山企业安全生产</w:t>
      </w:r>
      <w:r>
        <w:rPr>
          <w:spacing w:val="-66"/>
        </w:rPr>
        <w:t> </w:t>
      </w:r>
      <w:r>
        <w:rPr>
          <w:spacing w:val="-66"/>
        </w:rPr>
      </w:r>
      <w:r>
        <w:rPr/>
        <w:t>能力及内控管理能力，为企业的持续健康发展提供有力保障。</w:t>
      </w:r>
    </w:p>
    <w:p>
      <w:pPr>
        <w:pStyle w:val="Heading8"/>
        <w:spacing w:line="240" w:lineRule="auto"/>
        <w:ind w:left="514" w:right="0"/>
        <w:jc w:val="left"/>
        <w:rPr>
          <w:b w:val="0"/>
          <w:bCs w:val="0"/>
        </w:rPr>
      </w:pPr>
      <w:r>
        <w:rPr>
          <w:rFonts w:ascii="Times New Roman" w:hAnsi="Times New Roman" w:cs="Times New Roman" w:eastAsia="Times New Roman" w:hint="default"/>
        </w:rPr>
        <w:t>2</w:t>
      </w:r>
      <w:r>
        <w:rPr/>
        <w:t>、新技术</w:t>
      </w:r>
      <w:r>
        <w:rPr>
          <w:b w:val="0"/>
          <w:bCs w:val="0"/>
        </w:rPr>
      </w:r>
    </w:p>
    <w:p>
      <w:pPr>
        <w:pStyle w:val="BodyText"/>
        <w:spacing w:line="300" w:lineRule="auto" w:before="63"/>
        <w:ind w:right="1132" w:firstLine="360"/>
        <w:jc w:val="both"/>
      </w:pPr>
      <w:r>
        <w:rPr>
          <w:rFonts w:ascii="Times New Roman" w:hAnsi="Times New Roman" w:cs="Times New Roman" w:eastAsia="Times New Roman" w:hint="default"/>
          <w:spacing w:val="-2"/>
        </w:rPr>
        <w:t>2014</w:t>
      </w:r>
      <w:r>
        <w:rPr>
          <w:spacing w:val="-2"/>
        </w:rPr>
        <w:t>年，公司重点在移动端原始凭证电子化、购售电数据预测与分析、财务报销智能审批、关系型分析平台、证件图像</w:t>
      </w:r>
      <w:r>
        <w:rPr/>
        <w:t> 码、</w:t>
      </w:r>
      <w:r>
        <w:rPr>
          <w:rFonts w:ascii="Times New Roman" w:hAnsi="Times New Roman" w:cs="Times New Roman" w:eastAsia="Times New Roman" w:hint="default"/>
        </w:rPr>
        <w:t>ECP</w:t>
      </w:r>
      <w:r>
        <w:rPr/>
        <w:t>平台、企业云盘、技术官微运营等方面加大了研发力度。</w:t>
      </w:r>
    </w:p>
    <w:p>
      <w:pPr>
        <w:pStyle w:val="Heading8"/>
        <w:spacing w:line="240" w:lineRule="auto" w:before="13"/>
        <w:ind w:left="514" w:right="0"/>
        <w:jc w:val="left"/>
        <w:rPr>
          <w:b w:val="0"/>
          <w:bCs w:val="0"/>
        </w:rPr>
      </w:pPr>
      <w:r>
        <w:rPr>
          <w:rFonts w:ascii="Times New Roman" w:hAnsi="Times New Roman" w:cs="Times New Roman" w:eastAsia="Times New Roman" w:hint="default"/>
        </w:rPr>
        <w:t>3</w:t>
      </w:r>
      <w:r>
        <w:rPr/>
        <w:t>、研发管理</w:t>
      </w:r>
      <w:r>
        <w:rPr>
          <w:b w:val="0"/>
          <w:bCs w:val="0"/>
        </w:rPr>
      </w:r>
    </w:p>
    <w:p>
      <w:pPr>
        <w:pStyle w:val="BodyText"/>
        <w:spacing w:line="240" w:lineRule="auto" w:before="63"/>
        <w:ind w:left="514" w:right="0"/>
        <w:jc w:val="left"/>
      </w:pPr>
      <w:r>
        <w:rPr>
          <w:rFonts w:ascii="Times New Roman" w:hAnsi="Times New Roman" w:cs="Times New Roman" w:eastAsia="Times New Roman" w:hint="default"/>
        </w:rPr>
        <w:t>2014</w:t>
      </w:r>
      <w:r>
        <w:rPr/>
        <w:t>年，公司持续加大研发力度，研发费用占公司收入比例为</w:t>
      </w:r>
      <w:r>
        <w:rPr>
          <w:rFonts w:ascii="Times New Roman" w:hAnsi="Times New Roman" w:cs="Times New Roman" w:eastAsia="Times New Roman" w:hint="default"/>
        </w:rPr>
        <w:t>25.18%</w:t>
      </w:r>
      <w:r>
        <w:rPr/>
        <w:t>。</w:t>
      </w:r>
    </w:p>
    <w:p>
      <w:pPr>
        <w:pStyle w:val="BodyText"/>
        <w:spacing w:line="300" w:lineRule="auto" w:before="63"/>
        <w:ind w:right="1135" w:firstLine="360"/>
        <w:jc w:val="both"/>
      </w:pPr>
      <w:r>
        <w:rPr>
          <w:rFonts w:ascii="Times New Roman" w:hAnsi="Times New Roman" w:cs="Times New Roman" w:eastAsia="Times New Roman" w:hint="default"/>
        </w:rPr>
        <w:t>2014</w:t>
      </w:r>
      <w:r>
        <w:rPr/>
        <w:t>年，公司</w:t>
      </w:r>
      <w:r>
        <w:rPr>
          <w:rFonts w:ascii="Times New Roman" w:hAnsi="Times New Roman" w:cs="Times New Roman" w:eastAsia="Times New Roman" w:hint="default"/>
        </w:rPr>
        <w:t>CMMI</w:t>
      </w:r>
      <w:r>
        <w:rPr>
          <w:rFonts w:ascii="Times New Roman" w:hAnsi="Times New Roman" w:cs="Times New Roman" w:eastAsia="Times New Roman" w:hint="default"/>
          <w:spacing w:val="-1"/>
        </w:rPr>
        <w:t> </w:t>
      </w:r>
      <w:r>
        <w:rPr>
          <w:rFonts w:ascii="Times New Roman" w:hAnsi="Times New Roman" w:cs="Times New Roman" w:eastAsia="Times New Roman" w:hint="default"/>
        </w:rPr>
        <w:t>5</w:t>
      </w:r>
      <w:r>
        <w:rPr/>
        <w:t>级研发体系建设成绩显著，</w:t>
      </w:r>
      <w:r>
        <w:rPr>
          <w:rFonts w:ascii="Times New Roman" w:hAnsi="Times New Roman" w:cs="Times New Roman" w:eastAsia="Times New Roman" w:hint="default"/>
        </w:rPr>
        <w:t>GRIS</w:t>
      </w:r>
      <w:r>
        <w:rPr/>
        <w:t>产品线和</w:t>
      </w:r>
      <w:r>
        <w:rPr>
          <w:rFonts w:ascii="Times New Roman" w:hAnsi="Times New Roman" w:cs="Times New Roman" w:eastAsia="Times New Roman" w:hint="default"/>
        </w:rPr>
        <w:t>SMB</w:t>
      </w:r>
      <w:r>
        <w:rPr/>
        <w:t>产品线顺利通过</w:t>
      </w:r>
      <w:r>
        <w:rPr>
          <w:rFonts w:ascii="Times New Roman" w:hAnsi="Times New Roman" w:cs="Times New Roman" w:eastAsia="Times New Roman" w:hint="default"/>
        </w:rPr>
        <w:t>CMMI5</w:t>
      </w:r>
      <w:r>
        <w:rPr/>
        <w:t>级评估；燃料子公司顺利</w:t>
      </w:r>
      <w:r>
        <w:rPr>
          <w:w w:val="99"/>
        </w:rPr>
        <w:t> </w:t>
      </w:r>
      <w:r>
        <w:rPr/>
        <w:t>通过</w:t>
      </w:r>
      <w:r>
        <w:rPr>
          <w:rFonts w:ascii="Times New Roman" w:hAnsi="Times New Roman" w:cs="Times New Roman" w:eastAsia="Times New Roman" w:hint="default"/>
        </w:rPr>
        <w:t>CMMI</w:t>
      </w:r>
      <w:r>
        <w:rPr>
          <w:rFonts w:ascii="Times New Roman" w:hAnsi="Times New Roman" w:cs="Times New Roman" w:eastAsia="Times New Roman" w:hint="default"/>
          <w:spacing w:val="-2"/>
        </w:rPr>
        <w:t> </w:t>
      </w:r>
      <w:r>
        <w:rPr>
          <w:rFonts w:ascii="Times New Roman" w:hAnsi="Times New Roman" w:cs="Times New Roman" w:eastAsia="Times New Roman" w:hint="default"/>
        </w:rPr>
        <w:t>3</w:t>
      </w:r>
      <w:r>
        <w:rPr/>
        <w:t>级评估，这标志着公司的研发能力达到了业界先进水平。同时，公司各专业测评体系文件维护工作平稳，顺利</w:t>
      </w:r>
      <w:r>
        <w:rPr>
          <w:w w:val="99"/>
        </w:rPr>
        <w:t> </w:t>
      </w:r>
      <w:r>
        <w:rPr/>
        <w:t>通过</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ISO27001</w:t>
      </w:r>
      <w:r>
        <w:rPr/>
        <w:t>、</w:t>
      </w:r>
      <w:r>
        <w:rPr>
          <w:rFonts w:ascii="Times New Roman" w:hAnsi="Times New Roman" w:cs="Times New Roman" w:eastAsia="Times New Roman" w:hint="default"/>
        </w:rPr>
        <w:t>ISO20000</w:t>
      </w:r>
      <w:r>
        <w:rPr/>
        <w:t>和系统集成二级资质的年度监审。</w:t>
      </w:r>
    </w:p>
    <w:p>
      <w:pPr>
        <w:pStyle w:val="BodyText"/>
        <w:spacing w:line="300" w:lineRule="auto" w:before="13"/>
        <w:ind w:right="1130" w:firstLine="360"/>
        <w:jc w:val="both"/>
      </w:pPr>
      <w:r>
        <w:rPr>
          <w:rFonts w:ascii="Times New Roman" w:hAnsi="Times New Roman" w:cs="Times New Roman" w:eastAsia="Times New Roman" w:hint="default"/>
          <w:spacing w:val="-1"/>
        </w:rPr>
        <w:t>2014</w:t>
      </w:r>
      <w:r>
        <w:rPr>
          <w:spacing w:val="-1"/>
        </w:rPr>
        <w:t>年，公司研发质量改进工作不断创新，推广了缺陷预防机制等一系列研发先进实践；全员强化</w:t>
      </w:r>
      <w:r>
        <w:rPr>
          <w:rFonts w:ascii="Times New Roman" w:hAnsi="Times New Roman" w:cs="Times New Roman" w:eastAsia="Times New Roman" w:hint="default"/>
          <w:spacing w:val="-1"/>
        </w:rPr>
        <w:t>PDCA</w:t>
      </w:r>
      <w:r>
        <w:rPr>
          <w:spacing w:val="-1"/>
        </w:rPr>
        <w:t>改进和客户价</w:t>
      </w:r>
      <w:r>
        <w:rPr/>
        <w:t> 值意识；研发质量改进工作富有成效。</w:t>
      </w:r>
    </w:p>
    <w:p>
      <w:pPr>
        <w:pStyle w:val="BodyText"/>
        <w:spacing w:line="240" w:lineRule="auto" w:before="32"/>
        <w:ind w:left="513" w:right="0"/>
        <w:jc w:val="left"/>
      </w:pPr>
      <w:r>
        <w:rPr>
          <w:rFonts w:ascii="Times New Roman" w:hAnsi="Times New Roman" w:cs="Times New Roman" w:eastAsia="Times New Roman" w:hint="default"/>
        </w:rPr>
        <w:t>2014</w:t>
      </w:r>
      <w:r>
        <w:rPr/>
        <w:t>年，公司知识产权保护力度进一步加大，共有</w:t>
      </w:r>
      <w:r>
        <w:rPr>
          <w:rFonts w:ascii="Times New Roman" w:hAnsi="Times New Roman" w:cs="Times New Roman" w:eastAsia="Times New Roman" w:hint="default"/>
        </w:rPr>
        <w:t>46</w:t>
      </w:r>
      <w:r>
        <w:rPr/>
        <w:t>件专利申报获得受理，并获得</w:t>
      </w:r>
      <w:r>
        <w:rPr>
          <w:rFonts w:ascii="Times New Roman" w:hAnsi="Times New Roman" w:cs="Times New Roman" w:eastAsia="Times New Roman" w:hint="default"/>
        </w:rPr>
        <w:t>17</w:t>
      </w:r>
      <w:r>
        <w:rPr/>
        <w:t>项计算机软件著作权。</w:t>
      </w:r>
    </w:p>
    <w:p>
      <w:pPr>
        <w:pStyle w:val="Heading8"/>
        <w:spacing w:line="240" w:lineRule="auto" w:before="63"/>
        <w:ind w:right="0"/>
        <w:jc w:val="left"/>
        <w:rPr>
          <w:b w:val="0"/>
          <w:bCs w:val="0"/>
        </w:rPr>
      </w:pPr>
      <w:r>
        <w:rPr/>
        <w:t>（四）市场推广</w:t>
      </w:r>
      <w:r>
        <w:rPr>
          <w:b w:val="0"/>
          <w:bCs w:val="0"/>
        </w:rPr>
      </w:r>
    </w:p>
    <w:p>
      <w:pPr>
        <w:pStyle w:val="BodyText"/>
        <w:spacing w:line="300" w:lineRule="auto" w:before="76"/>
        <w:ind w:right="1132" w:firstLine="360"/>
        <w:jc w:val="both"/>
      </w:pPr>
      <w:r>
        <w:rPr>
          <w:rFonts w:ascii="Times New Roman" w:hAnsi="Times New Roman" w:cs="Times New Roman" w:eastAsia="Times New Roman" w:hint="default"/>
          <w:spacing w:val="-5"/>
        </w:rPr>
        <w:t>2014</w:t>
      </w:r>
      <w:r>
        <w:rPr>
          <w:spacing w:val="-5"/>
        </w:rPr>
        <w:t>年，公司继续塑造行业领导品牌地位，整合优势资源，扩大传播效应、积极引导市场关注，不断掘金社会推广资源，</w:t>
      </w:r>
      <w:r>
        <w:rPr/>
        <w:t> 提升网络覆盖范围，公司市场影响及品牌效应呈现出新常态新动力。</w:t>
      </w:r>
    </w:p>
    <w:p>
      <w:pPr>
        <w:pStyle w:val="BodyText"/>
        <w:spacing w:line="240" w:lineRule="auto" w:before="31"/>
        <w:ind w:left="514" w:right="0"/>
        <w:jc w:val="left"/>
        <w:rPr>
          <w:rFonts w:ascii="Times New Roman" w:hAnsi="Times New Roman" w:cs="Times New Roman" w:eastAsia="Times New Roman" w:hint="default"/>
        </w:rPr>
      </w:pPr>
      <w:r>
        <w:rPr/>
        <w:t>公司先后荣获</w:t>
      </w:r>
      <w:r>
        <w:rPr>
          <w:spacing w:val="-20"/>
        </w:rPr>
        <w:t> </w:t>
      </w:r>
      <w:r>
        <w:rPr>
          <w:rFonts w:ascii="Times New Roman" w:hAnsi="Times New Roman" w:cs="Times New Roman" w:eastAsia="Times New Roman" w:hint="default"/>
        </w:rPr>
        <w:t>“2014</w:t>
      </w:r>
      <w:r>
        <w:rPr/>
        <w:t>年中国软件行业最佳技术创新</w:t>
      </w:r>
      <w:r>
        <w:rPr>
          <w:rFonts w:ascii="Times New Roman" w:hAnsi="Times New Roman" w:cs="Times New Roman" w:eastAsia="Times New Roman" w:hint="default"/>
        </w:rPr>
        <w:t>”</w:t>
      </w:r>
      <w:r>
        <w:rPr/>
        <w:t>大奖、</w:t>
      </w:r>
      <w:r>
        <w:rPr>
          <w:rFonts w:ascii="Times New Roman" w:hAnsi="Times New Roman" w:cs="Times New Roman" w:eastAsia="Times New Roman" w:hint="default"/>
        </w:rPr>
        <w:t>“2014</w:t>
      </w:r>
      <w:r>
        <w:rPr/>
        <w:t>最佳品牌形象奖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智慧城市优秀服务提供商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p>
    <w:p>
      <w:pPr>
        <w:pStyle w:val="BodyText"/>
        <w:spacing w:line="240" w:lineRule="auto" w:before="63"/>
        <w:ind w:right="0"/>
        <w:jc w:val="left"/>
      </w:pPr>
      <w:r>
        <w:rPr/>
        <w:t>中国信息产业年度标杆企业</w:t>
      </w:r>
      <w:r>
        <w:rPr>
          <w:rFonts w:ascii="Times New Roman" w:hAnsi="Times New Roman" w:cs="Times New Roman" w:eastAsia="Times New Roman" w:hint="default"/>
        </w:rPr>
        <w:t>”</w:t>
      </w:r>
      <w:r>
        <w:rPr/>
        <w:t>。</w:t>
      </w:r>
    </w:p>
    <w:p>
      <w:pPr>
        <w:pStyle w:val="BodyText"/>
        <w:spacing w:line="300" w:lineRule="auto" w:before="63"/>
        <w:ind w:right="1129" w:firstLine="360"/>
        <w:jc w:val="both"/>
      </w:pPr>
      <w:r>
        <w:rPr/>
        <w:t>公司多项产品分别斩获</w:t>
      </w:r>
      <w:r>
        <w:rPr>
          <w:rFonts w:ascii="Times New Roman" w:hAnsi="Times New Roman" w:cs="Times New Roman" w:eastAsia="Times New Roman" w:hint="default"/>
        </w:rPr>
        <w:t>“</w:t>
      </w:r>
      <w:r>
        <w:rPr/>
        <w:t>第十八届中国国际软件博览会</w:t>
      </w:r>
      <w:r>
        <w:rPr>
          <w:rFonts w:ascii="Times New Roman" w:hAnsi="Times New Roman" w:cs="Times New Roman" w:eastAsia="Times New Roman" w:hint="default"/>
        </w:rPr>
        <w:t>-</w:t>
      </w:r>
      <w:r>
        <w:rPr/>
        <w:t>创新奖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中国年度创新软件产品</w:t>
      </w:r>
      <w:r>
        <w:rPr>
          <w:rFonts w:ascii="Times New Roman" w:hAnsi="Times New Roman" w:cs="Times New Roman" w:eastAsia="Times New Roman" w:hint="default"/>
        </w:rPr>
        <w:t>”</w:t>
      </w:r>
      <w:r>
        <w:rPr/>
        <w:t>奖、</w:t>
      </w:r>
      <w:r>
        <w:rPr>
          <w:rFonts w:ascii="Times New Roman" w:hAnsi="Times New Roman" w:cs="Times New Roman" w:eastAsia="Times New Roman" w:hint="default"/>
        </w:rPr>
        <w:t>“2014</w:t>
      </w:r>
      <w:r>
        <w:rPr/>
        <w:t>中国十大创新 软件产品</w:t>
      </w:r>
      <w:r>
        <w:rPr>
          <w:rFonts w:ascii="Times New Roman" w:hAnsi="Times New Roman" w:cs="Times New Roman" w:eastAsia="Times New Roman" w:hint="default"/>
        </w:rPr>
        <w:t>”</w:t>
      </w:r>
      <w:r>
        <w:rPr/>
        <w:t>奖；远光共创产品被授予</w:t>
      </w:r>
      <w:r>
        <w:rPr>
          <w:rFonts w:ascii="Times New Roman" w:hAnsi="Times New Roman" w:cs="Times New Roman" w:eastAsia="Times New Roman" w:hint="default"/>
        </w:rPr>
        <w:t>“</w:t>
      </w:r>
      <w:r>
        <w:rPr/>
        <w:t>第十八届中国国际软件博览会</w:t>
      </w:r>
      <w:r>
        <w:rPr>
          <w:rFonts w:ascii="Times New Roman" w:hAnsi="Times New Roman" w:cs="Times New Roman" w:eastAsia="Times New Roman" w:hint="default"/>
        </w:rPr>
        <w:t>-</w:t>
      </w:r>
      <w:r>
        <w:rPr/>
        <w:t>金奖</w:t>
      </w:r>
      <w:r>
        <w:rPr>
          <w:rFonts w:ascii="Times New Roman" w:hAnsi="Times New Roman" w:cs="Times New Roman" w:eastAsia="Times New Roman" w:hint="default"/>
        </w:rPr>
        <w:t>”</w:t>
      </w:r>
      <w:r>
        <w:rPr/>
        <w:t>。</w:t>
      </w:r>
    </w:p>
    <w:p>
      <w:pPr>
        <w:pStyle w:val="BodyText"/>
        <w:spacing w:line="300" w:lineRule="auto" w:before="13"/>
        <w:ind w:right="1039" w:firstLine="360"/>
        <w:jc w:val="left"/>
      </w:pPr>
      <w:r>
        <w:rPr/>
        <w:t>公司董事长陈利浩荣获第三届中国公益节组委会颁发的</w:t>
      </w:r>
      <w:r>
        <w:rPr>
          <w:rFonts w:ascii="Times New Roman" w:hAnsi="Times New Roman" w:cs="Times New Roman" w:eastAsia="Times New Roman" w:hint="default"/>
        </w:rPr>
        <w:t>“2013</w:t>
      </w:r>
      <w:r>
        <w:rPr/>
        <w:t>中国公益奖人物奖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中国计算机行业发展成就</w:t>
      </w:r>
      <w:r>
        <w:rPr>
          <w:rFonts w:ascii="Times New Roman" w:hAnsi="Times New Roman" w:cs="Times New Roman" w:eastAsia="Times New Roman" w:hint="default"/>
        </w:rPr>
        <w:t>“</w:t>
      </w:r>
      <w:r>
        <w:rPr/>
        <w:t>推动 </w:t>
      </w:r>
      <w:r>
        <w:rPr>
          <w:spacing w:val="-2"/>
        </w:rPr>
        <w:t>社会管理进步人物奖</w:t>
      </w:r>
      <w:r>
        <w:rPr>
          <w:rFonts w:ascii="Times New Roman" w:hAnsi="Times New Roman" w:cs="Times New Roman" w:eastAsia="Times New Roman" w:hint="default"/>
          <w:spacing w:val="-2"/>
        </w:rPr>
        <w:t>”</w:t>
      </w:r>
      <w:r>
        <w:rPr>
          <w:spacing w:val="-2"/>
        </w:rPr>
        <w:t>；公司副董事长黄建元先生获颁第十八届中国国际软件博览会</w:t>
      </w:r>
      <w:r>
        <w:rPr>
          <w:rFonts w:ascii="Times New Roman" w:hAnsi="Times New Roman" w:cs="Times New Roman" w:eastAsia="Times New Roman" w:hint="default"/>
          <w:spacing w:val="-2"/>
        </w:rPr>
        <w:t>“2014</w:t>
      </w:r>
      <w:r>
        <w:rPr>
          <w:spacing w:val="-2"/>
        </w:rPr>
        <w:t>中国软件行业最佳技术创新领导者</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7"/>
        </w:rPr>
        <w:t> </w:t>
      </w:r>
      <w:r>
        <w:rPr/>
        <w:t>称号。</w:t>
      </w:r>
    </w:p>
    <w:p>
      <w:pPr>
        <w:pStyle w:val="Heading8"/>
        <w:spacing w:line="240" w:lineRule="auto" w:before="31"/>
        <w:ind w:right="0"/>
        <w:jc w:val="left"/>
        <w:rPr>
          <w:b w:val="0"/>
          <w:bCs w:val="0"/>
        </w:rPr>
      </w:pPr>
      <w:r>
        <w:rPr/>
        <w:t>（五）内部管理</w:t>
      </w:r>
      <w:r>
        <w:rPr>
          <w:b w:val="0"/>
          <w:bCs w:val="0"/>
        </w:rPr>
      </w:r>
    </w:p>
    <w:p>
      <w:pPr>
        <w:pStyle w:val="BodyText"/>
        <w:spacing w:line="300" w:lineRule="auto" w:before="76"/>
        <w:ind w:right="1129" w:firstLine="360"/>
        <w:jc w:val="both"/>
      </w:pPr>
      <w:r>
        <w:rPr/>
        <w:t>随着公司迈向集团管理，</w:t>
      </w:r>
      <w:r>
        <w:rPr>
          <w:rFonts w:ascii="Times New Roman" w:hAnsi="Times New Roman" w:cs="Times New Roman" w:eastAsia="Times New Roman" w:hint="default"/>
        </w:rPr>
        <w:t>2014</w:t>
      </w:r>
      <w:r>
        <w:rPr/>
        <w:t>年公司启动了战略管理变革。</w:t>
      </w:r>
      <w:r>
        <w:rPr>
          <w:spacing w:val="-19"/>
        </w:rPr>
        <w:t> </w:t>
      </w:r>
      <w:r>
        <w:rPr/>
        <w:t>事业部制逐渐深入人心，有效提高了管理效率、缩短管理</w:t>
      </w:r>
      <w:r>
        <w:rPr/>
        <w:t> </w:t>
      </w:r>
      <w:r>
        <w:rPr>
          <w:spacing w:val="-2"/>
        </w:rPr>
        <w:t>流程、提高市场响应速度，拉近与客户的距离。随着远光广安、瑞翔科技等子公司的加入，集团化的</w:t>
      </w:r>
      <w:r>
        <w:rPr>
          <w:rFonts w:ascii="Times New Roman" w:hAnsi="Times New Roman" w:cs="Times New Roman" w:eastAsia="Times New Roman" w:hint="default"/>
          <w:spacing w:val="-2"/>
        </w:rPr>
        <w:t>“</w:t>
      </w:r>
      <w:r>
        <w:rPr>
          <w:spacing w:val="-2"/>
        </w:rPr>
        <w:t>远光联合舰队</w:t>
      </w:r>
      <w:r>
        <w:rPr>
          <w:rFonts w:ascii="Times New Roman" w:hAnsi="Times New Roman" w:cs="Times New Roman" w:eastAsia="Times New Roman" w:hint="default"/>
          <w:spacing w:val="-2"/>
        </w:rPr>
        <w:t>”</w:t>
      </w:r>
      <w:r>
        <w:rPr>
          <w:spacing w:val="-2"/>
        </w:rPr>
        <w:t>逐步成</w:t>
      </w:r>
      <w:r>
        <w:rPr>
          <w:spacing w:val="-46"/>
        </w:rPr>
        <w:t> </w:t>
      </w:r>
      <w:r>
        <w:rPr>
          <w:spacing w:val="-46"/>
        </w:rPr>
      </w:r>
      <w:r>
        <w:rPr/>
        <w:t>型。</w:t>
      </w:r>
    </w:p>
    <w:p>
      <w:pPr>
        <w:pStyle w:val="BodyText"/>
        <w:spacing w:line="300" w:lineRule="auto" w:before="31"/>
        <w:ind w:right="1139" w:firstLine="360"/>
        <w:jc w:val="both"/>
      </w:pPr>
      <w:r>
        <w:rPr>
          <w:rFonts w:ascii="Times New Roman" w:hAnsi="Times New Roman" w:cs="Times New Roman" w:eastAsia="Times New Roman" w:hint="default"/>
        </w:rPr>
        <w:t>2014</w:t>
      </w:r>
      <w:r>
        <w:rPr/>
        <w:t>年，公司顺利完成远光大学筹建，组织推动公司各级各类提能活动超过</w:t>
      </w:r>
      <w:r>
        <w:rPr>
          <w:rFonts w:ascii="Times New Roman" w:hAnsi="Times New Roman" w:cs="Times New Roman" w:eastAsia="Times New Roman" w:hint="default"/>
        </w:rPr>
        <w:t>1200</w:t>
      </w:r>
      <w:r>
        <w:rPr/>
        <w:t>场，组织企业级大型员工培训</w:t>
      </w:r>
      <w:r>
        <w:rPr>
          <w:rFonts w:ascii="Times New Roman" w:hAnsi="Times New Roman" w:cs="Times New Roman" w:eastAsia="Times New Roman" w:hint="default"/>
        </w:rPr>
        <w:t>7</w:t>
      </w:r>
      <w:r>
        <w:rPr/>
        <w:t>期，客 户培训班</w:t>
      </w:r>
      <w:r>
        <w:rPr>
          <w:rFonts w:ascii="Times New Roman" w:hAnsi="Times New Roman" w:cs="Times New Roman" w:eastAsia="Times New Roman" w:hint="default"/>
        </w:rPr>
        <w:t>11</w:t>
      </w:r>
      <w:r>
        <w:rPr/>
        <w:t>期，完成</w:t>
      </w:r>
      <w:r>
        <w:rPr>
          <w:rFonts w:ascii="Times New Roman" w:hAnsi="Times New Roman" w:cs="Times New Roman" w:eastAsia="Times New Roman" w:hint="default"/>
        </w:rPr>
        <w:t>“</w:t>
      </w:r>
      <w:r>
        <w:rPr/>
        <w:t>远光讲堂</w:t>
      </w:r>
      <w:r>
        <w:rPr>
          <w:rFonts w:ascii="Times New Roman" w:hAnsi="Times New Roman" w:cs="Times New Roman" w:eastAsia="Times New Roman" w:hint="default"/>
        </w:rPr>
        <w:t>”16</w:t>
      </w:r>
      <w:r>
        <w:rPr/>
        <w:t>期，并首次在国网成功举办</w:t>
      </w:r>
      <w:r>
        <w:rPr>
          <w:rFonts w:ascii="Times New Roman" w:hAnsi="Times New Roman" w:cs="Times New Roman" w:eastAsia="Times New Roman" w:hint="default"/>
        </w:rPr>
        <w:t>ITIL</w:t>
      </w:r>
      <w:r>
        <w:rPr/>
        <w:t>培训认证。建立了以</w:t>
      </w:r>
      <w:r>
        <w:rPr>
          <w:rFonts w:ascii="Times New Roman" w:hAnsi="Times New Roman" w:cs="Times New Roman" w:eastAsia="Times New Roman" w:hint="default"/>
        </w:rPr>
        <w:t>“</w:t>
      </w:r>
      <w:r>
        <w:rPr/>
        <w:t>公司专项培养</w:t>
      </w:r>
      <w:r>
        <w:rPr>
          <w:rFonts w:ascii="Times New Roman" w:hAnsi="Times New Roman" w:cs="Times New Roman" w:eastAsia="Times New Roman" w:hint="default"/>
        </w:rPr>
        <w:t>+</w:t>
      </w:r>
      <w:r>
        <w:rPr/>
        <w:t>部门组织提能</w:t>
      </w:r>
      <w:r>
        <w:rPr>
          <w:rFonts w:ascii="Times New Roman" w:hAnsi="Times New Roman" w:cs="Times New Roman" w:eastAsia="Times New Roman" w:hint="default"/>
        </w:rPr>
        <w:t>+</w:t>
      </w:r>
      <w:r>
        <w:rPr/>
        <w:t>个人 自我提升</w:t>
      </w:r>
      <w:r>
        <w:rPr>
          <w:rFonts w:ascii="Times New Roman" w:hAnsi="Times New Roman" w:cs="Times New Roman" w:eastAsia="Times New Roman" w:hint="default"/>
        </w:rPr>
        <w:t>”</w:t>
      </w:r>
      <w:r>
        <w:rPr/>
        <w:t>三位一体的培训机制，上下联动促进员工职业发展提升。</w:t>
      </w:r>
    </w:p>
    <w:p>
      <w:pPr>
        <w:pStyle w:val="BodyText"/>
        <w:spacing w:line="312" w:lineRule="auto" w:before="13"/>
        <w:ind w:right="1132" w:firstLine="360"/>
        <w:jc w:val="both"/>
      </w:pPr>
      <w:r>
        <w:rPr>
          <w:rFonts w:ascii="Times New Roman" w:hAnsi="Times New Roman" w:cs="Times New Roman" w:eastAsia="Times New Roman" w:hint="default"/>
          <w:spacing w:val="-4"/>
        </w:rPr>
        <w:t>2014</w:t>
      </w:r>
      <w:r>
        <w:rPr>
          <w:spacing w:val="-4"/>
        </w:rPr>
        <w:t>年，公司持续加强高端人才引进，全年共招聘博士后科研人员</w:t>
      </w:r>
      <w:r>
        <w:rPr>
          <w:rFonts w:ascii="Times New Roman" w:hAnsi="Times New Roman" w:cs="Times New Roman" w:eastAsia="Times New Roman" w:hint="default"/>
          <w:spacing w:val="-4"/>
        </w:rPr>
        <w:t>6</w:t>
      </w:r>
      <w:r>
        <w:rPr>
          <w:spacing w:val="-4"/>
        </w:rPr>
        <w:t>人，现已累计引入博士后</w:t>
      </w:r>
      <w:r>
        <w:rPr>
          <w:rFonts w:ascii="Times New Roman" w:hAnsi="Times New Roman" w:cs="Times New Roman" w:eastAsia="Times New Roman" w:hint="default"/>
          <w:spacing w:val="-4"/>
        </w:rPr>
        <w:t>12</w:t>
      </w:r>
      <w:r>
        <w:rPr>
          <w:spacing w:val="-4"/>
        </w:rPr>
        <w:t>人，位居珠海全市第一。</w:t>
      </w:r>
      <w:r>
        <w:rPr/>
        <w:t> </w:t>
      </w:r>
      <w:r>
        <w:rPr>
          <w:spacing w:val="-2"/>
        </w:rPr>
        <w:t>公司已成立了远光软件博士后科研工作站从事云计算、大数据、风险管理等前沿信息技术的研究，其中有专注于计算机科学</w:t>
      </w:r>
      <w:r>
        <w:rPr>
          <w:spacing w:val="-66"/>
        </w:rPr>
        <w:t> </w:t>
      </w:r>
      <w:r>
        <w:rPr>
          <w:spacing w:val="-66"/>
        </w:rPr>
      </w:r>
      <w:r>
        <w:rPr>
          <w:spacing w:val="-5"/>
        </w:rPr>
        <w:t>与技术、计算机软件与理论研究的专家，也有专注于概率论与数理统计研究的专家等，博士后工作站对于公司攻克行业瓶颈，</w:t>
      </w:r>
      <w:r>
        <w:rPr>
          <w:spacing w:val="-79"/>
        </w:rPr>
        <w:t> </w:t>
      </w:r>
      <w:r>
        <w:rPr>
          <w:spacing w:val="-79"/>
        </w:rPr>
      </w:r>
      <w:r>
        <w:rPr/>
        <w:t>突破关键技术，推动科研尖端项目产业化发展具有重要意义。</w:t>
      </w:r>
      <w:r>
        <w:rPr>
          <w:rFonts w:ascii="Times New Roman" w:hAnsi="Times New Roman" w:cs="Times New Roman" w:eastAsia="Times New Roman" w:hint="default"/>
        </w:rPr>
        <w:t>2014</w:t>
      </w:r>
      <w:r>
        <w:rPr/>
        <w:t>年，珠海市博士后工作会议在公司成功召开。</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154" w:right="1122"/>
        <w:jc w:val="left"/>
      </w:pPr>
      <w:r>
        <w:rPr>
          <w:rFonts w:ascii="Times New Roman" w:hAnsi="Times New Roman" w:cs="Times New Roman" w:eastAsia="Times New Roman" w:hint="default"/>
        </w:rPr>
        <w:t>2014</w:t>
      </w:r>
      <w:r>
        <w:rPr/>
        <w:t>年，公司持续推动制度流程健全和优化完善，全年共调整优化</w:t>
      </w:r>
      <w:r>
        <w:rPr>
          <w:rFonts w:ascii="Times New Roman" w:hAnsi="Times New Roman" w:cs="Times New Roman" w:eastAsia="Times New Roman" w:hint="default"/>
        </w:rPr>
        <w:t>150</w:t>
      </w:r>
      <w:r>
        <w:rPr/>
        <w:t>多项制度流程；此外，为加强企业文化建设，公司成</w:t>
      </w:r>
      <w:r>
        <w:rPr>
          <w:spacing w:val="-82"/>
        </w:rPr>
        <w:t> </w:t>
      </w:r>
      <w:r>
        <w:rPr>
          <w:spacing w:val="-82"/>
        </w:rPr>
      </w:r>
      <w:r>
        <w:rPr/>
        <w:t>功开通远光文化微信号，获得较高的员工关注度和认可度。</w:t>
      </w:r>
    </w:p>
    <w:p>
      <w:pPr>
        <w:pStyle w:val="BodyText"/>
        <w:spacing w:line="240" w:lineRule="auto" w:before="72"/>
        <w:ind w:left="154"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年业绩大幅下滑的原因分析：</w:t>
      </w:r>
    </w:p>
    <w:p>
      <w:pPr>
        <w:pStyle w:val="BodyText"/>
        <w:spacing w:line="309" w:lineRule="auto" w:before="63"/>
        <w:ind w:right="113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年公司根据客户信息化需求，进一步加大研发投入，根据谨慎性和一贯性原则，与项目相关所发生的成本费 </w:t>
      </w:r>
      <w:r>
        <w:rPr>
          <w:spacing w:val="-2"/>
        </w:rPr>
        <w:t>用已全部计入当期损益，但收入方面，受经营环境等客观原因影响，公司部分已投入研发及实施的项目未能按原与客户约定</w:t>
      </w:r>
      <w:r>
        <w:rPr>
          <w:spacing w:val="-65"/>
        </w:rPr>
        <w:t> </w:t>
      </w:r>
      <w:r>
        <w:rPr>
          <w:spacing w:val="-65"/>
        </w:rPr>
      </w:r>
      <w:r>
        <w:rPr/>
        <w:t>在报告期内实施商务结算，因此对应收入无法在</w:t>
      </w:r>
      <w:r>
        <w:rPr>
          <w:rFonts w:ascii="Times New Roman" w:hAnsi="Times New Roman" w:cs="Times New Roman" w:eastAsia="Times New Roman" w:hint="default"/>
        </w:rPr>
        <w:t>2014</w:t>
      </w:r>
      <w:r>
        <w:rPr/>
        <w:t>年确认。</w:t>
      </w:r>
    </w:p>
    <w:p>
      <w:pPr>
        <w:pStyle w:val="BodyText"/>
        <w:spacing w:line="300" w:lineRule="auto" w:before="5"/>
        <w:ind w:left="154" w:right="1132" w:firstLine="360"/>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2014</w:t>
      </w:r>
      <w:r>
        <w:rPr>
          <w:spacing w:val="-4"/>
        </w:rPr>
        <w:t>年，公司加大对移动互联网应用、财务共享、日利润、矿山智能、资产全生命周期管理等新产品的研发投入，</w:t>
      </w:r>
      <w:r>
        <w:rPr/>
        <w:t> 成本增长较快，上述产品成果已经形成，有望在将来贡献业绩。</w:t>
      </w:r>
    </w:p>
    <w:p>
      <w:pPr>
        <w:pStyle w:val="BodyText"/>
        <w:spacing w:line="240" w:lineRule="auto" w:before="31"/>
        <w:ind w:left="444" w:right="0"/>
        <w:jc w:val="left"/>
      </w:pPr>
      <w:r>
        <w:rPr/>
        <w:t>（</w:t>
      </w:r>
      <w:r>
        <w:rPr>
          <w:rFonts w:ascii="Times New Roman" w:hAnsi="Times New Roman" w:cs="Times New Roman" w:eastAsia="Times New Roman" w:hint="default"/>
        </w:rPr>
        <w:t>3</w:t>
      </w:r>
      <w:r>
        <w:rPr/>
        <w:t>）公司投资企业华凯因所在行业受宏观经济环境影响，利润同比下降。</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说明</w:t>
      </w:r>
    </w:p>
    <w:p>
      <w:pPr>
        <w:pStyle w:val="BodyText"/>
        <w:spacing w:line="300" w:lineRule="auto" w:before="115"/>
        <w:ind w:right="1198"/>
        <w:jc w:val="left"/>
      </w:pPr>
      <w:r>
        <w:rPr/>
        <w:t>报告期内，公司实现主营业务收入</w:t>
      </w:r>
      <w:r>
        <w:rPr>
          <w:rFonts w:ascii="Times New Roman" w:hAnsi="Times New Roman" w:cs="Times New Roman" w:eastAsia="Times New Roman" w:hint="default"/>
        </w:rPr>
        <w:t>81,694.55</w:t>
      </w:r>
      <w:r>
        <w:rPr/>
        <w:t>万元，同比下降</w:t>
      </w:r>
      <w:r>
        <w:rPr>
          <w:rFonts w:ascii="Times New Roman" w:hAnsi="Times New Roman" w:cs="Times New Roman" w:eastAsia="Times New Roman" w:hint="default"/>
        </w:rPr>
        <w:t>12.08%</w:t>
      </w:r>
      <w:r>
        <w:rPr/>
        <w:t>，主要原因在于：报告期内，部分投标项目、重大项目 推进进度放缓；受商务进度影响，公司部分已投入研发及实施的项目未能按原与客户约定在报告期内实施商务结算。</w:t>
      </w:r>
    </w:p>
    <w:p>
      <w:pPr>
        <w:pStyle w:val="BodyText"/>
        <w:spacing w:line="240" w:lineRule="auto" w:before="72"/>
        <w:ind w:right="0"/>
        <w:jc w:val="left"/>
      </w:pPr>
      <w:r>
        <w:rPr/>
        <w:t>公司实物销售收入是否大于劳务收入</w:t>
      </w:r>
    </w:p>
    <w:p>
      <w:pPr>
        <w:pStyle w:val="BodyText"/>
        <w:spacing w:line="338" w:lineRule="auto" w:before="117"/>
        <w:ind w:right="8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144,514,096.18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35,649,933.14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33,547,692.08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25,612,830.25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25,018,867.99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24,684,772.72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144,514,096.18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17.69%</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行业分类</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214,331,528.39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192,087,695.72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3,626,265.62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3,423,866.28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195,511,562.00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集团资源管理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实施服务成本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178,042,449.91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159,564,685.67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能源智能化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硬件与实施成本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17,929,456.16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17,280,365.06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30,926,671.59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3,851,579.46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4,060,984.66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电力生产管理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362,877.68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561,570.15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491,065.74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397,649.93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195,511,562.00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11.48%</w:t>
            </w:r>
          </w:p>
        </w:tc>
      </w:tr>
    </w:tbl>
    <w:p>
      <w:pPr>
        <w:pStyle w:val="BodyText"/>
        <w:spacing w:line="240" w:lineRule="auto" w:before="51"/>
        <w:ind w:left="154" w:right="0"/>
        <w:jc w:val="left"/>
      </w:pPr>
      <w:r>
        <w:rPr/>
        <w:t>说明</w:t>
      </w:r>
    </w:p>
    <w:p>
      <w:pPr>
        <w:pStyle w:val="BodyText"/>
        <w:spacing w:line="309" w:lineRule="auto" w:before="115"/>
        <w:ind w:left="154" w:right="1118"/>
        <w:jc w:val="left"/>
      </w:pPr>
      <w:r>
        <w:rPr/>
        <w:t>报告期内，公司营业成本同比增长</w:t>
      </w:r>
      <w:r>
        <w:rPr>
          <w:rFonts w:ascii="Times New Roman" w:hAnsi="Times New Roman" w:cs="Times New Roman" w:eastAsia="Times New Roman" w:hint="default"/>
        </w:rPr>
        <w:t>11.48%</w:t>
      </w:r>
      <w:r>
        <w:rPr/>
        <w:t>，主要原因在于：集团资源管理实施项目的规模与成本增加、新增能源智能化业 </w:t>
      </w:r>
      <w:r>
        <w:rPr>
          <w:spacing w:val="-2"/>
        </w:rPr>
        <w:t>务的硬件与实施成本，由于部分已投入实施的项目未能按原与客户约定在报告期内实施商务结算，导致收入与成本未同步增</w:t>
      </w:r>
      <w:r>
        <w:rPr>
          <w:spacing w:val="-64"/>
        </w:rPr>
        <w:t> </w:t>
      </w:r>
      <w:r>
        <w:rPr>
          <w:spacing w:val="-64"/>
        </w:rPr>
      </w:r>
      <w:r>
        <w:rPr/>
        <w:t>长。</w:t>
      </w:r>
    </w:p>
    <w:p>
      <w:pPr>
        <w:pStyle w:val="BodyText"/>
        <w:spacing w:line="240" w:lineRule="auto" w:before="65"/>
        <w:ind w:left="15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14,893,810.59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3,678,867.00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3,503,210.00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2,453,954.88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2,257,778.71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14,893,810.59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35.47%</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586" w:right="1100"/>
        <w:jc w:val="center"/>
      </w:pPr>
      <w:r>
        <w:rPr/>
        <w:t>单位：元</w:t>
      </w:r>
    </w:p>
    <w:p>
      <w:pPr>
        <w:spacing w:after="0" w:line="240" w:lineRule="auto"/>
        <w:jc w:val="cente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702"/>
        <w:gridCol w:w="1560"/>
        <w:gridCol w:w="1842"/>
        <w:gridCol w:w="1560"/>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tabs>
                <w:tab w:pos="758"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816,945,465.51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929,206,635.61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-12.08%</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120,899,834.85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111,976,661.58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7.97%</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337,316,538.65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301,052,339.66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12.05%</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-22,534,135.73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-17,187,586.26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-31.11%</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9,540,651.86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13,630,091.60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15,751,173.92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33,185,533.31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-52.54%</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销售费用占比</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14.80%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2.75%</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管理费用占比</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41.29%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8.89%</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财务费用占比</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-0.91%</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三项费用合计占比</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53.33%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42.60%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10.73%</w:t>
            </w:r>
          </w:p>
        </w:tc>
      </w:tr>
    </w:tbl>
    <w:p>
      <w:pPr>
        <w:pStyle w:val="BodyText"/>
        <w:spacing w:line="338" w:lineRule="auto" w:before="51"/>
        <w:ind w:right="3198"/>
        <w:jc w:val="left"/>
      </w:pPr>
      <w:r>
        <w:rPr/>
        <w:t>财务费用同比下降</w:t>
      </w:r>
      <w:r>
        <w:rPr>
          <w:rFonts w:ascii="Times New Roman" w:hAnsi="Times New Roman" w:cs="Times New Roman" w:eastAsia="Times New Roman" w:hint="default"/>
        </w:rPr>
        <w:t>31.11%</w:t>
      </w:r>
      <w:r>
        <w:rPr/>
        <w:t>，主要原因为：报告期强化资金收益管理、银行利息收入增加。 资产减值损失同比下降</w:t>
      </w:r>
      <w:r>
        <w:rPr>
          <w:rFonts w:ascii="Times New Roman" w:hAnsi="Times New Roman" w:cs="Times New Roman" w:eastAsia="Times New Roman" w:hint="default"/>
        </w:rPr>
        <w:t>30.0%</w:t>
      </w:r>
      <w:r>
        <w:rPr/>
        <w:t>，主要原因为：报告期</w:t>
      </w:r>
      <w:r>
        <w:rPr>
          <w:rFonts w:ascii="Times New Roman" w:hAnsi="Times New Roman" w:cs="Times New Roman" w:eastAsia="Times New Roman" w:hint="default"/>
        </w:rPr>
        <w:t>“</w:t>
      </w:r>
      <w:r>
        <w:rPr/>
        <w:t>账龄</w:t>
      </w:r>
      <w:r>
        <w:rPr>
          <w:rFonts w:ascii="Times New Roman" w:hAnsi="Times New Roman" w:cs="Times New Roman" w:eastAsia="Times New Roman" w:hint="default"/>
        </w:rPr>
        <w:t>3</w:t>
      </w:r>
      <w:r>
        <w:rPr/>
        <w:t>年以上应收账款的增加额</w:t>
      </w:r>
      <w:r>
        <w:rPr>
          <w:rFonts w:ascii="Times New Roman" w:hAnsi="Times New Roman" w:cs="Times New Roman" w:eastAsia="Times New Roman" w:hint="default"/>
        </w:rPr>
        <w:t>”</w:t>
      </w:r>
      <w:r>
        <w:rPr/>
        <w:t>同比减少。 所得税费用同比下降</w:t>
      </w:r>
      <w:r>
        <w:rPr>
          <w:rFonts w:ascii="Times New Roman" w:hAnsi="Times New Roman" w:cs="Times New Roman" w:eastAsia="Times New Roman" w:hint="default"/>
        </w:rPr>
        <w:t>52.54%</w:t>
      </w:r>
      <w:r>
        <w:rPr/>
        <w:t>，主要原因为：报告期利润下降、所得税费用相应下降。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7"/>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BodyText"/>
        <w:spacing w:line="240" w:lineRule="auto"/>
        <w:ind w:left="0" w:right="212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740"/>
        <w:gridCol w:w="2181"/>
        <w:gridCol w:w="2340"/>
        <w:gridCol w:w="1480"/>
      </w:tblGrid>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tabs>
                <w:tab w:pos="1652" w:val="left" w:leader="none"/>
              </w:tabs>
              <w:spacing w:line="240" w:lineRule="auto" w:before="21"/>
              <w:ind w:left="89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研发费用合计</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205,692,374.36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164,175,454.84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25.29%</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816,945,465.51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929,206,635.61</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-12.08%</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1,597,553,889.11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1,646,826,200.10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
              <w:jc w:val="right"/>
              <w:rPr>
                <w:rFonts w:ascii="Times New Roman" w:hAnsi="Times New Roman" w:cs="Times New Roman" w:eastAsia="Times New Roman" w:hint="default"/>
                <w:sz w:val="18"/>
                <w:szCs w:val="18"/>
              </w:rPr>
            </w:pPr>
            <w:r>
              <w:rPr>
                <w:rFonts w:ascii="Times New Roman"/>
                <w:spacing w:val="-1"/>
                <w:sz w:val="18"/>
              </w:rPr>
              <w:t>-2.99%</w:t>
            </w:r>
          </w:p>
        </w:tc>
      </w:tr>
      <w:tr>
        <w:trPr>
          <w:trHeight w:val="348"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研发费用占营业收入的比例</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1"/>
              <w:jc w:val="right"/>
              <w:rPr>
                <w:rFonts w:ascii="Times New Roman" w:hAnsi="Times New Roman" w:cs="Times New Roman" w:eastAsia="Times New Roman" w:hint="default"/>
                <w:sz w:val="18"/>
                <w:szCs w:val="18"/>
              </w:rPr>
            </w:pPr>
            <w:r>
              <w:rPr>
                <w:rFonts w:ascii="Times New Roman"/>
                <w:sz w:val="18"/>
              </w:rPr>
              <w:t>25.18%</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17.67%</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7.51%</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5" w:right="0"/>
              <w:jc w:val="left"/>
              <w:rPr>
                <w:rFonts w:ascii="宋体" w:hAnsi="宋体" w:cs="宋体" w:eastAsia="宋体" w:hint="default"/>
                <w:sz w:val="18"/>
                <w:szCs w:val="18"/>
              </w:rPr>
            </w:pPr>
            <w:r>
              <w:rPr>
                <w:rFonts w:ascii="宋体" w:hAnsi="宋体" w:cs="宋体" w:eastAsia="宋体" w:hint="default"/>
                <w:sz w:val="18"/>
                <w:szCs w:val="18"/>
              </w:rPr>
              <w:t>研发费用占净资产的比例</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12.88%</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9.97%</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6"/>
        <w:spacing w:line="240" w:lineRule="auto" w:before="35"/>
        <w:ind w:left="154"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880,609,274.68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869,239,366.53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748,758,229.86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607,693,429.98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131,851,044.82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261,545,936.55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471,132,891.43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369,085,751.06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423,770,294.62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512,539,727.41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47,362,596.81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-143,453,976.35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131,395,913.78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120,860,311.32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90,309,176.80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-113,418,711.32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41,086,736.98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-376.05%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65,794,930.31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159,178,697.18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3589" w:space="5052"/>
            <w:col w:w="2289"/>
          </w:cols>
        </w:sectPr>
      </w:pP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94"/>
        <w:gridCol w:w="1559"/>
        <w:gridCol w:w="1559"/>
        <w:gridCol w:w="1560"/>
        <w:gridCol w:w="2976"/>
      </w:tblGrid>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tabs>
                <w:tab w:pos="1628" w:val="left" w:leader="none"/>
              </w:tabs>
              <w:spacing w:line="240" w:lineRule="auto" w:before="20"/>
              <w:ind w:left="87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8"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8"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971"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3"/>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131,851,044.82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261,545,936.55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-49.59%</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both"/>
              <w:rPr>
                <w:rFonts w:ascii="宋体" w:hAnsi="宋体" w:cs="宋体" w:eastAsia="宋体" w:hint="default"/>
                <w:sz w:val="18"/>
                <w:szCs w:val="18"/>
              </w:rPr>
            </w:pPr>
            <w:r>
              <w:rPr>
                <w:rFonts w:ascii="宋体" w:hAnsi="宋体" w:cs="宋体" w:eastAsia="宋体" w:hint="default"/>
                <w:sz w:val="18"/>
                <w:szCs w:val="18"/>
              </w:rPr>
              <w:t>报告期经营规模扩大，人工、硬件采 购等支出增加，经营活动所产生的现 金流出增加所致。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3"/>
              <w:jc w:val="right"/>
              <w:rPr>
                <w:rFonts w:ascii="宋体" w:hAnsi="宋体" w:cs="宋体" w:eastAsia="宋体" w:hint="default"/>
                <w:sz w:val="18"/>
                <w:szCs w:val="18"/>
              </w:rPr>
            </w:pPr>
            <w:r>
              <w:rPr>
                <w:rFonts w:ascii="宋体" w:hAnsi="宋体" w:cs="宋体" w:eastAsia="宋体" w:hint="default"/>
                <w:spacing w:val="-1"/>
                <w:sz w:val="18"/>
                <w:szCs w:val="18"/>
              </w:rPr>
              <w:t>投资活动产生的现金流量净额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47,362,596.81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-143,453,976.35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133.02%</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报告期短期理财产品到期赎回（上年 为申购）所致。</w:t>
            </w:r>
          </w:p>
        </w:tc>
      </w:tr>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7,441,600.00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131,395,913.78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-94.34%</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5"/>
              <w:jc w:val="center"/>
              <w:rPr>
                <w:rFonts w:ascii="宋体" w:hAnsi="宋体" w:cs="宋体" w:eastAsia="宋体" w:hint="default"/>
                <w:sz w:val="18"/>
                <w:szCs w:val="18"/>
              </w:rPr>
            </w:pPr>
            <w:r>
              <w:rPr>
                <w:rFonts w:ascii="宋体" w:hAnsi="宋体" w:cs="宋体" w:eastAsia="宋体" w:hint="default"/>
                <w:sz w:val="18"/>
                <w:szCs w:val="18"/>
              </w:rPr>
              <w:t>上年员工缴交限制性股票认购款所致</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120,860,311.32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90,309,176.80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33.83%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报告期回购股票用于员工限制性股票 激励所致</w:t>
            </w:r>
          </w:p>
        </w:tc>
      </w:tr>
      <w:tr>
        <w:trPr>
          <w:trHeight w:val="972"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3"/>
              <w:jc w:val="right"/>
              <w:rPr>
                <w:rFonts w:ascii="宋体" w:hAnsi="宋体" w:cs="宋体" w:eastAsia="宋体" w:hint="default"/>
                <w:sz w:val="18"/>
                <w:szCs w:val="18"/>
              </w:rPr>
            </w:pPr>
            <w:r>
              <w:rPr>
                <w:rFonts w:ascii="宋体" w:hAnsi="宋体" w:cs="宋体" w:eastAsia="宋体" w:hint="default"/>
                <w:spacing w:val="-1"/>
                <w:sz w:val="18"/>
                <w:szCs w:val="18"/>
              </w:rPr>
              <w:t>筹资活动产生的现金流量净额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-113,418,711.32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41,086,736.98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-376.05%</w:t>
            </w:r>
            <w:r>
              <w:rPr>
                <w:rFonts w:ascii="Times New Roman"/>
                <w:sz w:val="18"/>
              </w:rPr>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both"/>
              <w:rPr>
                <w:rFonts w:ascii="宋体" w:hAnsi="宋体" w:cs="宋体" w:eastAsia="宋体" w:hint="default"/>
                <w:sz w:val="18"/>
                <w:szCs w:val="18"/>
              </w:rPr>
            </w:pPr>
            <w:r>
              <w:rPr>
                <w:rFonts w:ascii="宋体" w:hAnsi="宋体" w:cs="宋体" w:eastAsia="宋体" w:hint="default"/>
                <w:sz w:val="18"/>
                <w:szCs w:val="18"/>
              </w:rPr>
              <w:t>报告期回购股票用于员工限制性股票 激励产生现金流出，上年员工缴交限 制性股票认购款为现金流入所致</w:t>
            </w:r>
          </w:p>
        </w:tc>
      </w:tr>
      <w:tr>
        <w:trPr>
          <w:trHeight w:val="971"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65,794,930.31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159,178,697.18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-58.67%</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both"/>
              <w:rPr>
                <w:rFonts w:ascii="宋体" w:hAnsi="宋体" w:cs="宋体" w:eastAsia="宋体" w:hint="default"/>
                <w:sz w:val="18"/>
                <w:szCs w:val="18"/>
              </w:rPr>
            </w:pPr>
            <w:r>
              <w:rPr>
                <w:rFonts w:ascii="宋体" w:hAnsi="宋体" w:cs="宋体" w:eastAsia="宋体" w:hint="default"/>
                <w:sz w:val="18"/>
                <w:szCs w:val="18"/>
              </w:rPr>
              <w:t>报告期经营规模扩大，人工、硬件采 购等支出增加，以及回购股票，共同 影响所致。</w:t>
            </w:r>
          </w:p>
        </w:tc>
      </w:tr>
    </w:tbl>
    <w:p>
      <w:pPr>
        <w:pStyle w:val="BodyText"/>
        <w:spacing w:line="240" w:lineRule="auto" w:before="51"/>
        <w:ind w:left="154" w:right="0"/>
        <w:jc w:val="left"/>
      </w:pPr>
      <w:r>
        <w:rPr/>
        <w:t>报告期内公司经营活动的现金流量与本年度净利润存在重大差异的原因说明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802,951,465.51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214,331,528.39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3,626,265.62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816,945,465.51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集团资源管理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410,546,283.92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178,042,449.91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311,323,470.63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3,851,579.46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能源智能化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51,521,425.76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17,929,456.16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20,194,965.82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17,280,365.06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11,948,071.55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491,065.74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电力生产管理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11,411,247.83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362,877.68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816,945,465.51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86,175,759.24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24,340,629.67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232,841,057.09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59,444,528.91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80,217,443.36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20,438,158.09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129,807,710.88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32,736,713.74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180,097,566.51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46,707,981.82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107,805,928.43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34,289,781.78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816,945,465.51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217,957,794.01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w:t>
            </w:r>
          </w:p>
        </w:tc>
      </w:tr>
    </w:tbl>
    <w:p>
      <w:pPr>
        <w:pStyle w:val="Heading8"/>
        <w:spacing w:line="240" w:lineRule="auto" w:before="51"/>
        <w:ind w:left="154" w:right="0"/>
        <w:jc w:val="left"/>
        <w:rPr>
          <w:b w:val="0"/>
          <w:bCs w:val="0"/>
        </w:rPr>
      </w:pPr>
      <w:r>
        <w:rPr>
          <w:rFonts w:ascii="宋体" w:hAnsi="宋体" w:cs="宋体" w:eastAsia="宋体" w:hint="default"/>
        </w:rPr>
        <w:t>1</w:t>
      </w:r>
      <w:r>
        <w:rPr/>
        <w:t>、分行业说明：</w:t>
      </w:r>
      <w:r>
        <w:rPr>
          <w:b w:val="0"/>
          <w:bCs w:val="0"/>
        </w:rPr>
      </w:r>
    </w:p>
    <w:p>
      <w:pPr>
        <w:pStyle w:val="BodyText"/>
        <w:spacing w:line="319" w:lineRule="auto" w:before="116"/>
        <w:ind w:right="1130" w:firstLine="270"/>
        <w:jc w:val="both"/>
      </w:pPr>
      <w:r>
        <w:rPr/>
        <w:t>①</w:t>
      </w:r>
      <w:r>
        <w:rPr>
          <w:spacing w:val="25"/>
        </w:rPr>
        <w:t> </w:t>
      </w:r>
      <w:r>
        <w:rPr>
          <w:spacing w:val="-2"/>
        </w:rPr>
        <w:t>报告期电力行业收入较上年同期减少</w:t>
      </w:r>
      <w:r>
        <w:rPr>
          <w:rFonts w:ascii="宋体" w:hAnsi="宋体" w:cs="宋体" w:eastAsia="宋体" w:hint="default"/>
          <w:spacing w:val="-2"/>
        </w:rPr>
        <w:t>12.34%</w:t>
      </w:r>
      <w:r>
        <w:rPr>
          <w:spacing w:val="-2"/>
        </w:rPr>
        <w:t>，主要是由于部分投标项目、重大项目推进进度放缓，原拟在</w:t>
      </w:r>
      <w:r>
        <w:rPr>
          <w:rFonts w:ascii="宋体" w:hAnsi="宋体" w:cs="宋体" w:eastAsia="宋体" w:hint="default"/>
          <w:spacing w:val="-2"/>
        </w:rPr>
        <w:t>2014</w:t>
      </w:r>
      <w:r>
        <w:rPr>
          <w:spacing w:val="-2"/>
        </w:rPr>
        <w:t>年投标</w:t>
      </w:r>
      <w:r>
        <w:rPr/>
        <w:t> </w:t>
      </w:r>
      <w:r>
        <w:rPr>
          <w:spacing w:val="-2"/>
        </w:rPr>
        <w:t>的项目、实施的项目推迟到</w:t>
      </w:r>
      <w:r>
        <w:rPr>
          <w:rFonts w:ascii="宋体" w:hAnsi="宋体" w:cs="宋体" w:eastAsia="宋体" w:hint="default"/>
          <w:spacing w:val="-2"/>
        </w:rPr>
        <w:t>2015</w:t>
      </w:r>
      <w:r>
        <w:rPr>
          <w:spacing w:val="-2"/>
        </w:rPr>
        <w:t>年进行投标和实施；另，由于客户内部管理新的要求，导致公司已实施项目商务进度较实际</w:t>
      </w:r>
      <w:r>
        <w:rPr>
          <w:spacing w:val="-62"/>
        </w:rPr>
        <w:t> </w:t>
      </w:r>
      <w:r>
        <w:rPr>
          <w:spacing w:val="-62"/>
        </w:rPr>
      </w:r>
      <w:r>
        <w:rPr>
          <w:spacing w:val="-2"/>
        </w:rPr>
        <w:t>进度延迟，收入未能在报告期内完成确认，导致收入下降。随着已实施项目商务进度与实际进度的匹配，预计公司</w:t>
      </w:r>
      <w:r>
        <w:rPr>
          <w:rFonts w:ascii="宋体" w:hAnsi="宋体" w:cs="宋体" w:eastAsia="宋体" w:hint="default"/>
          <w:spacing w:val="-2"/>
        </w:rPr>
        <w:t>2015</w:t>
      </w:r>
      <w:r>
        <w:rPr>
          <w:spacing w:val="-2"/>
        </w:rPr>
        <w:t>年的</w:t>
      </w:r>
      <w:r>
        <w:rPr>
          <w:spacing w:val="-62"/>
        </w:rPr>
        <w:t> </w:t>
      </w:r>
      <w:r>
        <w:rPr/>
        <w:t>利润及收入将保持持续良好增长。</w:t>
      </w:r>
    </w:p>
    <w:p>
      <w:pPr>
        <w:pStyle w:val="BodyText"/>
        <w:spacing w:line="319" w:lineRule="auto" w:before="55"/>
        <w:ind w:left="154" w:right="1139" w:firstLine="270"/>
        <w:jc w:val="both"/>
      </w:pPr>
      <w:r>
        <w:rPr/>
        <w:t>② 报告期其他行业收入较上年同期增长</w:t>
      </w:r>
      <w:r>
        <w:rPr>
          <w:rFonts w:ascii="宋体" w:hAnsi="宋体" w:cs="宋体" w:eastAsia="宋体" w:hint="default"/>
        </w:rPr>
        <w:t>6.06%</w:t>
      </w:r>
      <w:r>
        <w:rPr/>
        <w:t>，主要是因为报告期内公司持续开展新业务的重点部署、新市场的稳步拓 展，如深度推进风险管控、燃料智能化在行业外及地方能源集团等新市场的突破。</w:t>
      </w:r>
    </w:p>
    <w:p>
      <w:pPr>
        <w:pStyle w:val="Heading8"/>
        <w:spacing w:line="240" w:lineRule="auto" w:before="58"/>
        <w:ind w:left="153" w:right="0"/>
        <w:jc w:val="left"/>
        <w:rPr>
          <w:b w:val="0"/>
          <w:bCs w:val="0"/>
        </w:rPr>
      </w:pPr>
      <w:r>
        <w:rPr>
          <w:rFonts w:ascii="宋体" w:hAnsi="宋体" w:cs="宋体" w:eastAsia="宋体" w:hint="default"/>
        </w:rPr>
        <w:t>2</w:t>
      </w:r>
      <w:r>
        <w:rPr/>
        <w:t>、分产品说明：</w:t>
      </w:r>
      <w:r>
        <w:rPr>
          <w:b w:val="0"/>
          <w:bCs w:val="0"/>
        </w:rPr>
      </w:r>
    </w:p>
    <w:p>
      <w:pPr>
        <w:pStyle w:val="BodyText"/>
        <w:spacing w:line="319" w:lineRule="auto" w:before="115"/>
        <w:ind w:left="154" w:right="1132" w:firstLine="360"/>
        <w:jc w:val="both"/>
      </w:pPr>
      <w:r>
        <w:rPr>
          <w:spacing w:val="-2"/>
        </w:rPr>
        <w:t>①集团资源管理，报告期收入较上年同期减少</w:t>
      </w:r>
      <w:r>
        <w:rPr>
          <w:rFonts w:ascii="宋体" w:hAnsi="宋体" w:cs="宋体" w:eastAsia="宋体" w:hint="default"/>
          <w:spacing w:val="-2"/>
        </w:rPr>
        <w:t>32.60%</w:t>
      </w:r>
      <w:r>
        <w:rPr>
          <w:spacing w:val="-2"/>
        </w:rPr>
        <w:t>，主要是报告期内由于客户内部管理新的要求，相关重点专项的商</w:t>
      </w:r>
      <w:r>
        <w:rPr/>
        <w:t> 务工作推进进度与实施项目商务进度相比较为延迟，导致收入确认迟缓。</w:t>
      </w:r>
    </w:p>
    <w:p>
      <w:pPr>
        <w:pStyle w:val="BodyText"/>
        <w:spacing w:line="319" w:lineRule="auto" w:before="55"/>
        <w:ind w:left="154" w:right="1132" w:firstLine="360"/>
        <w:jc w:val="both"/>
      </w:pPr>
      <w:r>
        <w:rPr>
          <w:spacing w:val="-2"/>
        </w:rPr>
        <w:t>②财务管理系列，报告期收入较上年同期增加</w:t>
      </w:r>
      <w:r>
        <w:rPr>
          <w:rFonts w:ascii="宋体" w:hAnsi="宋体" w:cs="宋体" w:eastAsia="宋体" w:hint="default"/>
          <w:spacing w:val="-2"/>
        </w:rPr>
        <w:t>33.17%</w:t>
      </w:r>
      <w:r>
        <w:rPr>
          <w:spacing w:val="-2"/>
        </w:rPr>
        <w:t>，主要是报告期公司基于市场的需求，为中小型企业提供短平快的</w:t>
      </w:r>
      <w:r>
        <w:rPr/>
        <w:t> </w:t>
      </w:r>
      <w:r>
        <w:rPr>
          <w:spacing w:val="-2"/>
        </w:rPr>
        <w:t>财务管理软件，会计档案系列产品持续发力，财务管理一体化解决方案得到更多企业的青睐，个性化的定制及各类专项服务</w:t>
      </w:r>
      <w:r>
        <w:rPr>
          <w:spacing w:val="-66"/>
        </w:rPr>
        <w:t> </w:t>
      </w:r>
      <w:r>
        <w:rPr>
          <w:spacing w:val="-66"/>
        </w:rPr>
      </w:r>
      <w:r>
        <w:rPr/>
        <w:t>业务的推进更加符合市场的需求，因而实现了较为明显的增长。</w:t>
      </w:r>
    </w:p>
    <w:p>
      <w:pPr>
        <w:pStyle w:val="BodyText"/>
        <w:spacing w:line="240" w:lineRule="auto" w:before="58"/>
        <w:ind w:left="514" w:right="0"/>
        <w:jc w:val="left"/>
      </w:pPr>
      <w:r>
        <w:rPr/>
        <w:t>③能源智能化，公司燃料智能化产品在报告期已实现规模销售。</w:t>
      </w:r>
    </w:p>
    <w:p>
      <w:pPr>
        <w:pStyle w:val="BodyText"/>
        <w:spacing w:line="319" w:lineRule="auto" w:before="115"/>
        <w:ind w:left="154" w:right="1132" w:firstLine="360"/>
        <w:jc w:val="both"/>
      </w:pPr>
      <w:r>
        <w:rPr>
          <w:spacing w:val="-2"/>
        </w:rPr>
        <w:t>④系统集成，报告期收入较上年同期减少</w:t>
      </w:r>
      <w:r>
        <w:rPr>
          <w:rFonts w:ascii="宋体" w:hAnsi="宋体" w:cs="宋体" w:eastAsia="宋体" w:hint="default"/>
          <w:spacing w:val="-2"/>
        </w:rPr>
        <w:t>46.20%</w:t>
      </w:r>
      <w:r>
        <w:rPr>
          <w:spacing w:val="-2"/>
        </w:rPr>
        <w:t>，主要是报告期内集团性质的大规模信息化建设减少，主要表现为信息</w:t>
      </w:r>
      <w:r>
        <w:rPr/>
        <w:t> 化系统的深化应用及优化提升，因此导致系统集成硬件收入的减少。</w:t>
      </w:r>
    </w:p>
    <w:p>
      <w:pPr>
        <w:pStyle w:val="BodyText"/>
        <w:spacing w:line="319" w:lineRule="auto" w:before="55"/>
        <w:ind w:left="154" w:right="1043" w:firstLine="360"/>
        <w:jc w:val="both"/>
      </w:pPr>
      <w:r>
        <w:rPr/>
        <w:t>⑤其他产品，报告期收入较上年同期减少</w:t>
      </w:r>
      <w:r>
        <w:rPr>
          <w:rFonts w:ascii="宋体" w:hAnsi="宋体" w:cs="宋体" w:eastAsia="宋体" w:hint="default"/>
        </w:rPr>
        <w:t>30.59%</w:t>
      </w:r>
      <w:r>
        <w:rPr/>
        <w:t>，主要是由于受相关重点专项的商务推进工作延迟导致收入确认迟缓。 报告期内公司加强移动互联产品应用等新产品的研发投入，成果已经形成，有望在将来贡献业绩。</w:t>
      </w:r>
    </w:p>
    <w:p>
      <w:pPr>
        <w:pStyle w:val="BodyText"/>
        <w:spacing w:line="319" w:lineRule="auto" w:before="56"/>
        <w:ind w:right="1132" w:firstLine="360"/>
        <w:jc w:val="both"/>
      </w:pPr>
      <w:r>
        <w:rPr>
          <w:spacing w:val="-2"/>
        </w:rPr>
        <w:t>⑥电力生产管理，报告期收入较上年同期减少</w:t>
      </w:r>
      <w:r>
        <w:rPr>
          <w:rFonts w:ascii="宋体" w:hAnsi="宋体" w:cs="宋体" w:eastAsia="宋体" w:hint="default"/>
          <w:spacing w:val="-2"/>
        </w:rPr>
        <w:t>63.83%</w:t>
      </w:r>
      <w:r>
        <w:rPr>
          <w:spacing w:val="-2"/>
        </w:rPr>
        <w:t>，主要是报告期内由于客户内部管理新的要求，相关重点专项的商</w:t>
      </w:r>
      <w:r>
        <w:rPr/>
        <w:t> </w:t>
      </w:r>
      <w:r>
        <w:rPr>
          <w:spacing w:val="-2"/>
        </w:rPr>
        <w:t>务工作推进进度与实施项目商务进度相比较为延迟，导致收入确认迟缓。基于良好的市场情况，预计</w:t>
      </w:r>
      <w:r>
        <w:rPr>
          <w:rFonts w:ascii="宋体" w:hAnsi="宋体" w:cs="宋体" w:eastAsia="宋体" w:hint="default"/>
          <w:spacing w:val="-2"/>
        </w:rPr>
        <w:t>2015</w:t>
      </w:r>
      <w:r>
        <w:rPr>
          <w:spacing w:val="-2"/>
        </w:rPr>
        <w:t>年重点培育的资产</w:t>
      </w:r>
      <w:r>
        <w:rPr>
          <w:spacing w:val="-61"/>
        </w:rPr>
        <w:t> </w:t>
      </w:r>
      <w:r>
        <w:rPr/>
        <w:t>盘点及安全生产管控将取得了较好市场推进。</w:t>
      </w:r>
    </w:p>
    <w:p>
      <w:pPr>
        <w:pStyle w:val="Heading8"/>
        <w:spacing w:line="240" w:lineRule="auto" w:before="56"/>
        <w:ind w:left="153" w:right="0"/>
        <w:jc w:val="left"/>
        <w:rPr>
          <w:b w:val="0"/>
          <w:bCs w:val="0"/>
        </w:rPr>
      </w:pPr>
      <w:r>
        <w:rPr>
          <w:rFonts w:ascii="宋体" w:hAnsi="宋体" w:cs="宋体" w:eastAsia="宋体" w:hint="default"/>
        </w:rPr>
        <w:t>3</w:t>
      </w:r>
      <w:r>
        <w:rPr/>
        <w:t>、分地区说明：</w:t>
      </w:r>
      <w:r>
        <w:rPr>
          <w:b w:val="0"/>
          <w:bCs w:val="0"/>
        </w:rPr>
      </w:r>
    </w:p>
    <w:p>
      <w:pPr>
        <w:pStyle w:val="BodyText"/>
        <w:spacing w:line="319" w:lineRule="auto" w:before="115"/>
        <w:ind w:left="154" w:right="1132" w:firstLine="360"/>
        <w:jc w:val="both"/>
      </w:pPr>
      <w:r>
        <w:rPr>
          <w:spacing w:val="-2"/>
        </w:rPr>
        <w:t>①东北地区报告期收入较上年同期减少</w:t>
      </w:r>
      <w:r>
        <w:rPr>
          <w:rFonts w:ascii="宋体" w:hAnsi="宋体" w:cs="宋体" w:eastAsia="宋体" w:hint="default"/>
          <w:spacing w:val="-2"/>
        </w:rPr>
        <w:t>45.73%</w:t>
      </w:r>
      <w:r>
        <w:rPr>
          <w:spacing w:val="-2"/>
        </w:rPr>
        <w:t>，主要原因为受商务进度放缓影响，部分投标项目、重大项目推进进度放</w:t>
      </w:r>
      <w:r>
        <w:rPr/>
        <w:t> 缓，因此收入出现大幅下滑。</w:t>
      </w:r>
    </w:p>
    <w:p>
      <w:pPr>
        <w:pStyle w:val="BodyText"/>
        <w:spacing w:line="319" w:lineRule="auto" w:before="56"/>
        <w:ind w:left="154" w:right="1131" w:firstLine="360"/>
        <w:jc w:val="both"/>
      </w:pPr>
      <w:r>
        <w:rPr>
          <w:spacing w:val="-2"/>
        </w:rPr>
        <w:t>②华北地区报告期收入较上年同期减少</w:t>
      </w:r>
      <w:r>
        <w:rPr>
          <w:rFonts w:ascii="宋体" w:hAnsi="宋体" w:cs="宋体" w:eastAsia="宋体" w:hint="default"/>
          <w:spacing w:val="-2"/>
        </w:rPr>
        <w:t>11.42%</w:t>
      </w:r>
      <w:r>
        <w:rPr>
          <w:spacing w:val="-2"/>
        </w:rPr>
        <w:t>，主要原因为报告期内深化应用项目商务确认延迟，延伸定制等业务有一</w:t>
      </w:r>
      <w:r>
        <w:rPr/>
        <w:t> 定的积累基础，将来会逐步体现。</w:t>
      </w:r>
    </w:p>
    <w:p>
      <w:pPr>
        <w:pStyle w:val="BodyText"/>
        <w:spacing w:line="240" w:lineRule="auto" w:before="55"/>
        <w:ind w:left="514" w:right="0"/>
        <w:jc w:val="left"/>
      </w:pPr>
      <w:r>
        <w:rPr/>
        <w:t>③华东地区报告期收入较上年同期减少</w:t>
      </w:r>
      <w:r>
        <w:rPr>
          <w:rFonts w:ascii="宋体" w:hAnsi="宋体" w:cs="宋体" w:eastAsia="宋体" w:hint="default"/>
        </w:rPr>
        <w:t>23.09%</w:t>
      </w:r>
      <w:r>
        <w:rPr/>
        <w:t>，主要原因为报告期内电网侧各试点创新项目在孵化阶段，发电侧基建项</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目由于受客户内部流程管理影响，已经开展的实施工作涉及的商务进度推进缓慢。</w:t>
      </w:r>
    </w:p>
    <w:p>
      <w:pPr>
        <w:pStyle w:val="BodyText"/>
        <w:spacing w:line="319" w:lineRule="auto" w:before="115"/>
        <w:ind w:right="1123" w:firstLine="360"/>
        <w:jc w:val="left"/>
      </w:pPr>
      <w:r>
        <w:rPr/>
        <w:t>④华中地区报告期收入减少</w:t>
      </w:r>
      <w:r>
        <w:rPr>
          <w:rFonts w:ascii="宋体" w:hAnsi="宋体" w:cs="宋体" w:eastAsia="宋体" w:hint="default"/>
        </w:rPr>
        <w:t>8.87%</w:t>
      </w:r>
      <w:r>
        <w:rPr/>
        <w:t>，主要原因为报告期内重点专项已实施项目商务进度较实际进度延迟，收入未能在报 告期内完成确认，随着实际商务工作的稳步推进，预计明年将出现稳步增长趋势。</w:t>
      </w:r>
    </w:p>
    <w:p>
      <w:pPr>
        <w:pStyle w:val="BodyText"/>
        <w:spacing w:line="319" w:lineRule="auto" w:before="56"/>
        <w:ind w:right="0" w:firstLine="360"/>
        <w:jc w:val="left"/>
      </w:pPr>
      <w:r>
        <w:rPr>
          <w:spacing w:val="-2"/>
        </w:rPr>
        <w:t>⑤南方地区报告期收入增长</w:t>
      </w:r>
      <w:r>
        <w:rPr>
          <w:rFonts w:ascii="宋体" w:hAnsi="宋体" w:cs="宋体" w:eastAsia="宋体" w:hint="default"/>
          <w:spacing w:val="-2"/>
        </w:rPr>
        <w:t>39.78%</w:t>
      </w:r>
      <w:r>
        <w:rPr>
          <w:spacing w:val="-2"/>
        </w:rPr>
        <w:t>，主要原因为报告期内各项业务稳步推进，其中财务一体化及配套项目相关工作的有</w:t>
      </w:r>
      <w:r>
        <w:rPr/>
        <w:t> 效推进取得了显著的业绩成果，另外，在定制开发和服务产品层面也出现明显增长，因而形成了良好的增势。</w:t>
      </w:r>
    </w:p>
    <w:p>
      <w:pPr>
        <w:pStyle w:val="BodyText"/>
        <w:spacing w:line="319" w:lineRule="auto" w:before="55"/>
        <w:ind w:right="1169" w:firstLine="360"/>
        <w:jc w:val="left"/>
      </w:pPr>
      <w:r>
        <w:rPr/>
        <w:t>⑥西北地区报告期收入减少</w:t>
      </w:r>
      <w:r>
        <w:rPr>
          <w:spacing w:val="-46"/>
        </w:rPr>
        <w:t> </w:t>
      </w:r>
      <w:r>
        <w:rPr>
          <w:rFonts w:ascii="宋体" w:hAnsi="宋体" w:cs="宋体" w:eastAsia="宋体" w:hint="default"/>
        </w:rPr>
        <w:t>18.31%</w:t>
      </w:r>
      <w:r>
        <w:rPr/>
        <w:t>，主要原因为报告期内受客户内部管理新要求的影响，市场重点专项已经完成实施 工作并得到客户认可，但商务推进进度较为缓慢，收入较去年出现了下滑。</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before="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1,065,439,072.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55.61%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999,644,141.93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54.78%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0.83%</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325,301,737.0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247,061,497.04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13.54%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3.44%</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报告期确认收入的部分款项暂未收 回所致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8,323,590.59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3,059,776.25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0.26%</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尚未确认收入的能源智能化项目的 硬件采购成本与项目实施费用所致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189,638,848.5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184,309,195.25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-0.20%</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202,636,226.2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113,486,675.74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6.22%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4.36%</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北京天骥智谷办公楼交付使用转固 定资产所致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987,553.00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0.05%</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-0.05%</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在建工程完工转入长期待摊费用所 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23,126,260.20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13,897,429.43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北京天骥智谷办公楼装修转长期待 摊费用所致</w:t>
            </w:r>
          </w:p>
        </w:tc>
      </w:tr>
      <w:tr>
        <w:trPr>
          <w:trHeight w:val="1338"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75"/>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期损益的金融资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1,394,529.67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124,780,821.98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报告期短期理财产品到期赎回所致</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17,570,811.90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62,899,116.95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报告期客户采用票据结算方式的规 模减少所致</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15,407,496.72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48,634,870.18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北京天骥智谷办公楼交付使用转固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定资产所致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32,974,789.46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9,864,364.30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报告期支付的投标保证金增加，以 及新增合并单位神航星云、远光广 安、北京非凡，共同影响所致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1,263,535.79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报告期收购子公司神航星云股权所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207,125,506.2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300,199,423.34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股票回购所致</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34,612,972.80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26,113,736.42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北京天骥智谷办公楼交付使用转固 定资产，尾款尚未支付所致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7,528,286.43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5,520,410.24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预收客户款项增加所致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22,327,948.09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36,735,717.78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报告期利润下降，应交企业所得税减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7,648,903.10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5,059,697.83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报告期收取的员工笔记本电脑认购 款增加所致。</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6"/>
        <w:gridCol w:w="1212"/>
        <w:gridCol w:w="1190"/>
        <w:gridCol w:w="1194"/>
        <w:gridCol w:w="1192"/>
        <w:gridCol w:w="1203"/>
        <w:gridCol w:w="1194"/>
        <w:gridCol w:w="1195"/>
      </w:tblGrid>
      <w:tr>
        <w:trPr>
          <w:trHeight w:val="162"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1"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04" w:right="46"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3"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02"/>
              <w:jc w:val="right"/>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6"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7"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3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124,780,821.98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Times New Roman"/>
                <w:sz w:val="18"/>
              </w:rPr>
              <w:t>-49,530.31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232,816,136.00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356,152,898.00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1,394,529.67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9"/>
        <w:gridCol w:w="1195"/>
        <w:gridCol w:w="1196"/>
        <w:gridCol w:w="1194"/>
        <w:gridCol w:w="1198"/>
        <w:gridCol w:w="1197"/>
        <w:gridCol w:w="1194"/>
        <w:gridCol w:w="1195"/>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125,780,821.98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232,816,136.00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356,152,898.00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2,394,529.67</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125,780,821.98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232,816,136.00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356,152,898.00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2,394,529.67</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513" w:right="0"/>
        <w:jc w:val="left"/>
      </w:pPr>
      <w:r>
        <w:rPr>
          <w:rFonts w:ascii="Times New Roman" w:hAnsi="Times New Roman" w:cs="Times New Roman" w:eastAsia="Times New Roman" w:hint="default"/>
          <w:b/>
          <w:bCs/>
        </w:rPr>
        <w:t>1</w:t>
      </w:r>
      <w:r>
        <w:rPr>
          <w:rFonts w:ascii="宋体" w:hAnsi="宋体" w:cs="宋体" w:eastAsia="宋体" w:hint="default"/>
          <w:b/>
          <w:bCs/>
        </w:rPr>
        <w:t>、深刻理解电力行业变革</w:t>
      </w:r>
      <w:r>
        <w:rPr>
          <w:rFonts w:ascii="宋体" w:hAnsi="宋体" w:cs="宋体" w:eastAsia="宋体" w:hint="default"/>
          <w:b/>
          <w:bCs/>
          <w:w w:val="99"/>
        </w:rPr>
        <w:t> </w:t>
      </w:r>
      <w:r>
        <w:rPr>
          <w:spacing w:val="-2"/>
        </w:rPr>
        <w:t>公司核心团队在电力行业专注近</w:t>
      </w:r>
      <w:r>
        <w:rPr>
          <w:rFonts w:ascii="Times New Roman" w:hAnsi="Times New Roman" w:cs="Times New Roman" w:eastAsia="Times New Roman" w:hint="default"/>
          <w:spacing w:val="-2"/>
        </w:rPr>
        <w:t>30</w:t>
      </w:r>
      <w:r>
        <w:rPr>
          <w:spacing w:val="-2"/>
        </w:rPr>
        <w:t>年，对电力行业的产业特性、经营特点、管理模式、业务流程等有着长期、深入、全</w:t>
      </w:r>
    </w:p>
    <w:p>
      <w:pPr>
        <w:pStyle w:val="BodyText"/>
        <w:spacing w:line="316" w:lineRule="auto" w:before="13"/>
        <w:ind w:right="1118"/>
        <w:jc w:val="left"/>
      </w:pPr>
      <w:r>
        <w:rPr>
          <w:spacing w:val="-2"/>
        </w:rPr>
        <w:t>面的理解，有能力全面分析和理解行业政策，及时把握市场动向和客户需求，坚决抓住能源互联网和电力体制改革带来的重</w:t>
      </w:r>
      <w:r>
        <w:rPr>
          <w:spacing w:val="-66"/>
        </w:rPr>
        <w:t> </w:t>
      </w:r>
      <w:r>
        <w:rPr>
          <w:spacing w:val="-66"/>
        </w:rPr>
      </w:r>
      <w:r>
        <w:rPr/>
        <w:t>大发展机遇。</w:t>
      </w:r>
    </w:p>
    <w:p>
      <w:pPr>
        <w:pStyle w:val="BodyText"/>
        <w:spacing w:line="300" w:lineRule="auto" w:before="19"/>
        <w:ind w:left="513" w:right="0"/>
        <w:jc w:val="left"/>
      </w:pPr>
      <w:r>
        <w:rPr>
          <w:rFonts w:ascii="Times New Roman" w:hAnsi="Times New Roman" w:cs="Times New Roman" w:eastAsia="Times New Roman" w:hint="default"/>
          <w:b/>
          <w:bCs/>
        </w:rPr>
        <w:t>2</w:t>
      </w:r>
      <w:r>
        <w:rPr>
          <w:rFonts w:ascii="宋体" w:hAnsi="宋体" w:cs="宋体" w:eastAsia="宋体" w:hint="default"/>
          <w:b/>
          <w:bCs/>
        </w:rPr>
        <w:t>、核心产品市场优势明显</w:t>
      </w:r>
      <w:r>
        <w:rPr>
          <w:rFonts w:ascii="宋体" w:hAnsi="宋体" w:cs="宋体" w:eastAsia="宋体" w:hint="default"/>
          <w:b/>
          <w:bCs/>
          <w:w w:val="99"/>
        </w:rPr>
        <w:t> </w:t>
      </w:r>
      <w:r>
        <w:rPr>
          <w:spacing w:val="-2"/>
        </w:rPr>
        <w:t>公司在财务、集团管控等核心产品上已形成了稳固的市场份额优势，产品与服务被电力行业用户长期认可和接受，已经</w:t>
      </w:r>
    </w:p>
    <w:p>
      <w:pPr>
        <w:pStyle w:val="BodyText"/>
        <w:spacing w:line="309" w:lineRule="auto" w:before="31"/>
        <w:ind w:left="513" w:right="1118" w:hanging="360"/>
        <w:jc w:val="left"/>
      </w:pPr>
      <w:r>
        <w:rPr/>
        <w:t>形成了稳固长期的用户群体。公司具备将这些产品和业务向行业外大型管理集团进行复制的能力。 </w:t>
      </w:r>
      <w:r>
        <w:rPr>
          <w:rFonts w:ascii="Times New Roman" w:hAnsi="Times New Roman" w:cs="Times New Roman" w:eastAsia="Times New Roman" w:hint="default"/>
          <w:b/>
          <w:bCs/>
        </w:rPr>
        <w:t>3</w:t>
      </w:r>
      <w:r>
        <w:rPr>
          <w:rFonts w:ascii="宋体" w:hAnsi="宋体" w:cs="宋体" w:eastAsia="宋体" w:hint="default"/>
          <w:b/>
          <w:bCs/>
        </w:rPr>
        <w:t>、精准把握电力服务需求</w:t>
      </w:r>
      <w:r>
        <w:rPr>
          <w:rFonts w:ascii="宋体" w:hAnsi="宋体" w:cs="宋体" w:eastAsia="宋体" w:hint="default"/>
          <w:b/>
          <w:bCs/>
          <w:w w:val="99"/>
        </w:rPr>
        <w:t> </w:t>
      </w:r>
      <w:r>
        <w:rPr>
          <w:spacing w:val="-2"/>
        </w:rPr>
        <w:t>公司拥有高素质、能为客户提供全面解决方案的专业咨询、实施和服务团队，服务团队规模逾千人，遍布于全国的三十</w:t>
      </w:r>
    </w:p>
    <w:p>
      <w:pPr>
        <w:pStyle w:val="BodyText"/>
        <w:spacing w:line="309" w:lineRule="auto" w:before="24"/>
        <w:ind w:left="444" w:right="1118" w:hanging="291"/>
        <w:jc w:val="left"/>
      </w:pPr>
      <w:r>
        <w:rPr/>
        <w:t>八个省市分支机构，为客户提供专业、多层次、便捷、低成本的本地化服务，全面满足客户需求。 </w:t>
      </w:r>
      <w:r>
        <w:rPr>
          <w:rFonts w:ascii="Times New Roman" w:hAnsi="Times New Roman" w:cs="Times New Roman" w:eastAsia="Times New Roman" w:hint="default"/>
          <w:b/>
          <w:bCs/>
        </w:rPr>
        <w:t>4</w:t>
      </w:r>
      <w:r>
        <w:rPr>
          <w:rFonts w:ascii="宋体" w:hAnsi="宋体" w:cs="宋体" w:eastAsia="宋体" w:hint="default"/>
          <w:b/>
          <w:bCs/>
        </w:rPr>
        <w:t>、领先布局燃料智能化产业链</w:t>
      </w:r>
      <w:r>
        <w:rPr>
          <w:rFonts w:ascii="宋体" w:hAnsi="宋体" w:cs="宋体" w:eastAsia="宋体" w:hint="default"/>
          <w:b/>
          <w:bCs/>
          <w:w w:val="99"/>
        </w:rPr>
        <w:t> </w:t>
      </w:r>
      <w:r>
        <w:rPr>
          <w:spacing w:val="-1"/>
        </w:rPr>
        <w:t>燃料智能化产业链一期涵盖了燃料入厂管理、智能采制样、智能存取样、自动化实验室等众多环节，目前，公司已经具</w:t>
      </w:r>
    </w:p>
    <w:p>
      <w:pPr>
        <w:pStyle w:val="BodyText"/>
        <w:spacing w:line="300" w:lineRule="auto" w:before="24"/>
        <w:ind w:right="1129"/>
        <w:jc w:val="both"/>
      </w:pPr>
      <w:r>
        <w:rPr>
          <w:spacing w:val="-2"/>
        </w:rPr>
        <w:t>备了完整的燃料智能化管控系统产业链的建设能力和</w:t>
      </w:r>
      <w:r>
        <w:rPr>
          <w:rFonts w:ascii="Times New Roman" w:hAnsi="Times New Roman" w:cs="Times New Roman" w:eastAsia="Times New Roman" w:hint="default"/>
          <w:spacing w:val="-2"/>
        </w:rPr>
        <w:t>EPC</w:t>
      </w:r>
      <w:r>
        <w:rPr>
          <w:spacing w:val="-2"/>
        </w:rPr>
        <w:t>总承包能力</w:t>
      </w:r>
      <w:r>
        <w:rPr>
          <w:rFonts w:ascii="Times New Roman" w:hAnsi="Times New Roman" w:cs="Times New Roman" w:eastAsia="Times New Roman" w:hint="default"/>
          <w:spacing w:val="-2"/>
        </w:rPr>
        <w:t>,</w:t>
      </w:r>
      <w:r>
        <w:rPr>
          <w:spacing w:val="-2"/>
        </w:rPr>
        <w:t>在燃料智能化管控业务的完整程度、覆盖面、整体性、</w:t>
      </w:r>
      <w:r>
        <w:rPr>
          <w:spacing w:val="-79"/>
        </w:rPr>
        <w:t> </w:t>
      </w:r>
      <w:r>
        <w:rPr>
          <w:spacing w:val="-79"/>
        </w:rPr>
      </w:r>
      <w:r>
        <w:rPr>
          <w:spacing w:val="-2"/>
        </w:rPr>
        <w:t>系统性以及服务能力、实施能力方面都拥有竞争优势。公司在业界首次提出了燃料智能化</w:t>
      </w:r>
      <w:r>
        <w:rPr>
          <w:rFonts w:ascii="Times New Roman" w:hAnsi="Times New Roman" w:cs="Times New Roman" w:eastAsia="Times New Roman" w:hint="default"/>
          <w:spacing w:val="-2"/>
        </w:rPr>
        <w:t>“</w:t>
      </w:r>
      <w:r>
        <w:rPr>
          <w:spacing w:val="-2"/>
        </w:rPr>
        <w:t>三线一流</w:t>
      </w:r>
      <w:r>
        <w:rPr>
          <w:rFonts w:ascii="Times New Roman" w:hAnsi="Times New Roman" w:cs="Times New Roman" w:eastAsia="Times New Roman" w:hint="default"/>
          <w:spacing w:val="-2"/>
        </w:rPr>
        <w:t>”</w:t>
      </w:r>
      <w:r>
        <w:rPr>
          <w:spacing w:val="-2"/>
        </w:rPr>
        <w:t>的智能化管理理念，获</w:t>
      </w:r>
      <w:r>
        <w:rPr>
          <w:spacing w:val="-44"/>
        </w:rPr>
        <w:t> </w:t>
      </w:r>
      <w:r>
        <w:rPr>
          <w:spacing w:val="-44"/>
        </w:rPr>
      </w:r>
      <w:r>
        <w:rPr/>
        <w:t>得了客户的认可。</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73.39%</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9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信息技术的技术开发；计算机软件、工 业自控设备的技术开发、技术咨询、技 术服务及销售；计算机系统集成；楼宇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66.67%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智能化系统的技术开发；楼宇智能化工 程的设计、施工</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北京远光非凡软件有限公司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软件技术开发、技术咨询、技术服务、 技术转让等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技术开发、技术推广、技术转让、技术 咨询及服务等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计算机技术推广服务、软件开发、应用 软件服务等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计算机软件与控制系统开发、实施、维 护、系统集成等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823"/>
        <w:gridCol w:w="798"/>
        <w:gridCol w:w="796"/>
        <w:gridCol w:w="798"/>
        <w:gridCol w:w="796"/>
        <w:gridCol w:w="798"/>
        <w:gridCol w:w="797"/>
        <w:gridCol w:w="798"/>
        <w:gridCol w:w="796"/>
        <w:gridCol w:w="775"/>
      </w:tblGrid>
      <w:tr>
        <w:trPr>
          <w:trHeight w:val="714"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证券简称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firstLine="10"/>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21"/>
                <w:sz w:val="18"/>
                <w:szCs w:val="18"/>
              </w:rPr>
              <w:t>成本（元）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6" w:firstLine="9"/>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8"/>
                <w:sz w:val="18"/>
                <w:szCs w:val="18"/>
              </w:rPr>
              <w:t>数量（股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比例</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1" w:firstLine="9"/>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18"/>
                <w:sz w:val="18"/>
                <w:szCs w:val="18"/>
              </w:rPr>
              <w:t>数量（股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3"/>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2"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3"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873001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广发现金 增利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30,894,57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365,162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365,162.0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174,422.3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建行</w:t>
            </w:r>
            <w:r>
              <w:rPr>
                <w:rFonts w:ascii="Times New Roman" w:hAnsi="Times New Roman" w:cs="Times New Roman" w:eastAsia="Times New Roman" w:hint="default"/>
                <w:sz w:val="18"/>
                <w:szCs w:val="18"/>
              </w:rPr>
              <w:t>“</w:t>
            </w:r>
            <w:r>
              <w:rPr>
                <w:rFonts w:ascii="宋体" w:hAnsi="宋体" w:cs="宋体" w:eastAsia="宋体" w:hint="default"/>
                <w:sz w:val="18"/>
                <w:szCs w:val="18"/>
              </w:rPr>
              <w:t>乾 元</w:t>
            </w:r>
            <w:r>
              <w:rPr>
                <w:rFonts w:ascii="Times New Roman" w:hAnsi="Times New Roman" w:cs="Times New Roman" w:eastAsia="Times New Roman" w:hint="default"/>
                <w:sz w:val="18"/>
                <w:szCs w:val="18"/>
              </w:rPr>
              <w:t>”</w:t>
            </w:r>
            <w:r>
              <w:rPr>
                <w:rFonts w:ascii="宋体" w:hAnsi="宋体" w:cs="宋体" w:eastAsia="宋体" w:hint="default"/>
                <w:sz w:val="18"/>
                <w:szCs w:val="18"/>
              </w:rPr>
              <w:t>保本 型人民币 理财产品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其他流动 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80"/>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广发货币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998,076.0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998,076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1,029,367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31,291.67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报告期已 出售证券 投资损益</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12,913,50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1.29</w:t>
            </w:r>
          </w:p>
        </w:tc>
        <w:tc>
          <w:tcPr>
            <w:tcW w:w="79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41,892,65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41,892,65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11,394,52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9.67</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11,394,52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13,119,21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5.34</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4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证券投资审批董事会公告披露 日期</w:t>
            </w:r>
          </w:p>
        </w:tc>
        <w:tc>
          <w:tcPr>
            <w:tcW w:w="715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证券投资审批股东会公告披露 日期（如有</w:t>
            </w:r>
            <w:r>
              <w:rPr>
                <w:rFonts w:ascii="Times New Roman" w:hAnsi="Times New Roman" w:cs="Times New Roman" w:eastAsia="Times New Roman" w:hint="default"/>
                <w:sz w:val="18"/>
                <w:szCs w:val="18"/>
              </w:rPr>
              <w:t>)</w:t>
            </w:r>
          </w:p>
        </w:tc>
        <w:tc>
          <w:tcPr>
            <w:tcW w:w="715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3"/>
        <w:rPr>
          <w:rFonts w:ascii="宋体" w:hAnsi="宋体" w:cs="宋体" w:eastAsia="宋体" w:hint="default"/>
          <w:sz w:val="20"/>
          <w:szCs w:val="20"/>
        </w:rPr>
      </w:pPr>
    </w:p>
    <w:p>
      <w:pPr>
        <w:pStyle w:val="Heading6"/>
        <w:spacing w:line="240" w:lineRule="auto"/>
        <w:ind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4、主要子公司、参股公司分析" w:id="44"/>
      <w:bookmarkEnd w:id="44"/>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7"/>
              <w:jc w:val="both"/>
              <w:rPr>
                <w:rFonts w:ascii="宋体" w:hAnsi="宋体" w:cs="宋体" w:eastAsia="宋体" w:hint="default"/>
                <w:sz w:val="18"/>
                <w:szCs w:val="18"/>
              </w:rPr>
            </w:pPr>
            <w:r>
              <w:rPr>
                <w:rFonts w:ascii="宋体" w:hAnsi="宋体" w:cs="宋体" w:eastAsia="宋体" w:hint="default"/>
                <w:sz w:val="18"/>
                <w:szCs w:val="18"/>
              </w:rPr>
              <w:t>珠海横琴新 区集睿思信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44,266,228.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6,665,024.8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-300,732.95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-273,184.98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7"/>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52,709,395.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17,407,828.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32,058,158.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-23,327,758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-22,902,919</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7"/>
              <w:jc w:val="left"/>
              <w:rPr>
                <w:rFonts w:ascii="宋体" w:hAnsi="宋体" w:cs="宋体" w:eastAsia="宋体" w:hint="default"/>
                <w:sz w:val="18"/>
                <w:szCs w:val="18"/>
              </w:rPr>
            </w:pPr>
            <w:r>
              <w:rPr>
                <w:rFonts w:ascii="宋体" w:hAnsi="宋体" w:cs="宋体" w:eastAsia="宋体" w:hint="default"/>
                <w:sz w:val="18"/>
                <w:szCs w:val="18"/>
              </w:rPr>
              <w:t>远光智和卓 源（北京）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计算机应用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计算机技术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pacing w:val="-1"/>
                <w:sz w:val="18"/>
              </w:rPr>
              <w:t>33,000,000.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42,824,528.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19,318,361.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21,310,876.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-4,310,831.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-3,172,188.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推广服务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北京远光非 凡科技有限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87,494,573.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4,482,595.5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-517,404.49</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-517,404.49</w:t>
            </w:r>
            <w:r>
              <w:rPr>
                <w:rFonts w:ascii="Times New Roman"/>
                <w:sz w:val="18"/>
              </w:rPr>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北京神航星 云科技有限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17,065,313.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16,983,010.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-883,660.22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-539,467.89</w:t>
            </w:r>
            <w:r>
              <w:rPr>
                <w:rFonts w:ascii="Times New Roman"/>
                <w:sz w:val="18"/>
              </w:rPr>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22,810,739.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22,605,584.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102,564.11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-779,697.86</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-586,015.88</w:t>
            </w:r>
            <w:r>
              <w:rPr>
                <w:rFonts w:ascii="Times New Roman"/>
                <w:sz w:val="18"/>
              </w:rPr>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华凯投资集 团有限公司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2,157,233,1</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45.81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840,815,070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96,021,416.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26,676,782.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49,160,931.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业务发展与协同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对报告期影响甚微</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南京远光广安信息科技有限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业务发展与协同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对报告期影响甚微</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北京远光非凡科技有限公司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业务发展与协同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对报告期影响甚微</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both"/>
        <w:rPr>
          <w:b w:val="0"/>
          <w:bCs w:val="0"/>
        </w:rPr>
      </w:pPr>
      <w:bookmarkStart w:name="5、非募集资金投资的重大项目情况" w:id="45"/>
      <w:bookmarkEnd w:id="45"/>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七、公司控制的特殊目的主体情况" w:id="46"/>
      <w:bookmarkEnd w:id="46"/>
      <w:r>
        <w:rPr>
          <w:b w:val="0"/>
          <w:bCs w:val="0"/>
        </w:rPr>
      </w: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八、公司未来发展的展望" w:id="47"/>
      <w:bookmarkEnd w:id="47"/>
      <w:r>
        <w:rPr>
          <w:b w:val="0"/>
          <w:bCs w:val="0"/>
        </w:rPr>
      </w:r>
      <w:r>
        <w:rPr/>
        <w:t>八、公司未来发展的展望</w:t>
      </w:r>
      <w:r>
        <w:rPr>
          <w:b w:val="0"/>
          <w:bCs w:val="0"/>
        </w:rPr>
      </w:r>
    </w:p>
    <w:p>
      <w:pPr>
        <w:spacing w:line="240" w:lineRule="auto" w:before="7"/>
        <w:rPr>
          <w:rFonts w:ascii="宋体" w:hAnsi="宋体" w:cs="宋体" w:eastAsia="宋体" w:hint="default"/>
          <w:b/>
          <w:bCs/>
          <w:sz w:val="26"/>
          <w:szCs w:val="26"/>
        </w:rPr>
      </w:pPr>
    </w:p>
    <w:p>
      <w:pPr>
        <w:pStyle w:val="Heading8"/>
        <w:spacing w:line="240" w:lineRule="auto" w:before="0"/>
        <w:ind w:right="0"/>
        <w:jc w:val="left"/>
        <w:rPr>
          <w:b w:val="0"/>
          <w:bCs w:val="0"/>
        </w:rPr>
      </w:pPr>
      <w:r>
        <w:rPr/>
        <w:t>（一）行业发展趋势和竞争格局</w:t>
      </w:r>
      <w:r>
        <w:rPr>
          <w:b w:val="0"/>
          <w:bCs w:val="0"/>
        </w:rPr>
      </w:r>
    </w:p>
    <w:p>
      <w:pPr>
        <w:pStyle w:val="BodyText"/>
        <w:spacing w:line="300" w:lineRule="auto" w:before="76"/>
        <w:ind w:left="514" w:right="0"/>
        <w:jc w:val="left"/>
      </w:pPr>
      <w:r>
        <w:rPr>
          <w:rFonts w:ascii="Times New Roman" w:hAnsi="Times New Roman" w:cs="Times New Roman" w:eastAsia="Times New Roman" w:hint="default"/>
          <w:b/>
          <w:bCs/>
        </w:rPr>
        <w:t>1</w:t>
      </w:r>
      <w:r>
        <w:rPr>
          <w:rFonts w:ascii="宋体" w:hAnsi="宋体" w:cs="宋体" w:eastAsia="宋体" w:hint="default"/>
          <w:b/>
          <w:bCs/>
        </w:rPr>
        <w:t>、行业发展趋势</w:t>
      </w:r>
      <w:r>
        <w:rPr>
          <w:rFonts w:ascii="宋体" w:hAnsi="宋体" w:cs="宋体" w:eastAsia="宋体" w:hint="default"/>
          <w:b/>
          <w:bCs/>
          <w:w w:val="99"/>
        </w:rPr>
        <w:t> </w:t>
      </w:r>
      <w:r>
        <w:rPr>
          <w:spacing w:val="-4"/>
        </w:rPr>
        <w:t>能源互联网逐渐兴起，电力行业信息化发展将迎来一个全新的时代。无论是从电能流的方向还是从企业业务链递进方向，</w:t>
      </w:r>
    </w:p>
    <w:p>
      <w:pPr>
        <w:pStyle w:val="BodyText"/>
        <w:spacing w:line="316" w:lineRule="auto" w:before="31"/>
        <w:ind w:left="154" w:right="1131"/>
        <w:jc w:val="both"/>
      </w:pPr>
      <w:r>
        <w:rPr>
          <w:spacing w:val="-2"/>
        </w:rPr>
        <w:t>每个环节都伴随有大量数据生成、被采集、处理，供分析应用，并最终以不同的形态展示在用户面前。信息化的理念和技术</w:t>
      </w:r>
      <w:r>
        <w:rPr>
          <w:spacing w:val="-66"/>
        </w:rPr>
        <w:t> </w:t>
      </w:r>
      <w:r>
        <w:rPr>
          <w:spacing w:val="-66"/>
        </w:rPr>
      </w:r>
      <w:r>
        <w:rPr>
          <w:spacing w:val="-2"/>
        </w:rPr>
        <w:t>将在这些环节实现智能化目标的过程中充分发挥作用。信息化与电力工业的深度融合也将随着智能电网的建设体现得更加充</w:t>
      </w:r>
      <w:r>
        <w:rPr>
          <w:spacing w:val="-64"/>
        </w:rPr>
        <w:t> </w:t>
      </w:r>
      <w:r>
        <w:rPr>
          <w:spacing w:val="-64"/>
        </w:rPr>
      </w:r>
      <w:r>
        <w:rPr/>
        <w:t>分，给公司带来了广阔的市场前景。</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right="113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日，中共中央和国务院联合发布的《关于进一步深化电力体制改革的若干意见》，秉承</w:t>
      </w:r>
      <w:r>
        <w:rPr>
          <w:rFonts w:ascii="Times New Roman" w:hAnsi="Times New Roman" w:cs="Times New Roman" w:eastAsia="Times New Roman" w:hint="default"/>
          <w:spacing w:val="-2"/>
        </w:rPr>
        <w:t>“</w:t>
      </w:r>
      <w:r>
        <w:rPr>
          <w:spacing w:val="-2"/>
        </w:rPr>
        <w:t>管住中间、放开两</w:t>
      </w:r>
      <w:r>
        <w:rPr/>
        <w:t> 头</w:t>
      </w:r>
      <w:r>
        <w:rPr>
          <w:rFonts w:ascii="Times New Roman" w:hAnsi="Times New Roman" w:cs="Times New Roman" w:eastAsia="Times New Roman" w:hint="default"/>
        </w:rPr>
        <w:t>”</w:t>
      </w:r>
      <w:r>
        <w:rPr/>
        <w:t>的总体思路。一方面将加大对新能源发电的支持力度，国内将涌现大批新能源发电公司；另一方面将售电环节放开，允 </w:t>
      </w:r>
      <w:r>
        <w:rPr>
          <w:spacing w:val="-2"/>
        </w:rPr>
        <w:t>许社会资本进入售电领域，国内将会成立大批售电、配售电一体化的公司，上述电力改革，将导致市场格局发生变化。新能</w:t>
      </w:r>
      <w:r>
        <w:rPr>
          <w:spacing w:val="-66"/>
        </w:rPr>
        <w:t> </w:t>
      </w:r>
      <w:r>
        <w:rPr>
          <w:spacing w:val="-66"/>
        </w:rPr>
      </w:r>
      <w:r>
        <w:rPr>
          <w:spacing w:val="-2"/>
        </w:rPr>
        <w:t>源公司将需要运用大数据技术对海量数据进行分析，例如对风力、水利、潮汐、太阳能发电，利用大数据做出快速而有效的</w:t>
      </w:r>
      <w:r>
        <w:rPr>
          <w:spacing w:val="-66"/>
        </w:rPr>
        <w:t> </w:t>
      </w:r>
      <w:r>
        <w:rPr>
          <w:spacing w:val="-66"/>
        </w:rPr>
      </w:r>
      <w:r>
        <w:rPr/>
        <w:t>决策；电网企业需要更精细化的管理以更好地控制成本、核算收益，这些市场机会将给公司带来新的机遇。</w:t>
      </w:r>
    </w:p>
    <w:p>
      <w:pPr>
        <w:pStyle w:val="BodyText"/>
        <w:spacing w:line="300" w:lineRule="auto" w:before="24"/>
        <w:ind w:left="514" w:right="1118"/>
        <w:jc w:val="left"/>
      </w:pPr>
      <w:r>
        <w:rPr>
          <w:rFonts w:ascii="Times New Roman" w:hAnsi="Times New Roman" w:cs="Times New Roman" w:eastAsia="Times New Roman" w:hint="default"/>
          <w:b/>
          <w:bCs/>
        </w:rPr>
        <w:t>2</w:t>
      </w:r>
      <w:r>
        <w:rPr>
          <w:rFonts w:ascii="宋体" w:hAnsi="宋体" w:cs="宋体" w:eastAsia="宋体" w:hint="default"/>
          <w:b/>
          <w:bCs/>
        </w:rPr>
        <w:t>、竞争格局</w:t>
      </w:r>
      <w:r>
        <w:rPr>
          <w:rFonts w:ascii="宋体" w:hAnsi="宋体" w:cs="宋体" w:eastAsia="宋体" w:hint="default"/>
          <w:b/>
          <w:bCs/>
          <w:w w:val="99"/>
        </w:rPr>
        <w:t> </w:t>
      </w:r>
      <w:r>
        <w:rPr>
          <w:spacing w:val="-2"/>
        </w:rPr>
        <w:t>公司长期跟踪、研究电改政策的变化，在新电改政策发布前，已在输配电成本测算、售电客户关怀、新能源信息化支撑</w:t>
      </w:r>
    </w:p>
    <w:p>
      <w:pPr>
        <w:pStyle w:val="BodyText"/>
        <w:spacing w:line="316" w:lineRule="auto" w:before="31"/>
        <w:ind w:left="154" w:right="0"/>
        <w:jc w:val="left"/>
      </w:pPr>
      <w:r>
        <w:rPr>
          <w:spacing w:val="-2"/>
        </w:rPr>
        <w:t>等方向投入研发资源。上述领域目前属于蓝海市场，需要尽快完成新产品和方案的布局，形成先发优势；长期看也会很快面</w:t>
      </w:r>
      <w:r>
        <w:rPr>
          <w:spacing w:val="-66"/>
        </w:rPr>
        <w:t> </w:t>
      </w:r>
      <w:r>
        <w:rPr>
          <w:spacing w:val="-66"/>
        </w:rPr>
      </w:r>
      <w:r>
        <w:rPr/>
        <w:t>临其他厂商的竞争。</w:t>
      </w:r>
    </w:p>
    <w:p>
      <w:pPr>
        <w:pStyle w:val="BodyText"/>
        <w:spacing w:line="316" w:lineRule="auto" w:before="19"/>
        <w:ind w:right="1133" w:firstLine="360"/>
        <w:jc w:val="both"/>
      </w:pPr>
      <w:r>
        <w:rPr>
          <w:spacing w:val="-2"/>
        </w:rPr>
        <w:t>公司主营的集团管控产品，已较为成熟、特色鲜明，在电力行业内有较强的竞争优势，面临竞争压力相对较小。同时公</w:t>
      </w:r>
      <w:r>
        <w:rPr/>
        <w:t> 司在企业互联网、大数据以及企业金融领域会逐步推出系列新产品。</w:t>
      </w:r>
    </w:p>
    <w:p>
      <w:pPr>
        <w:pStyle w:val="BodyText"/>
        <w:spacing w:line="300" w:lineRule="auto" w:before="19"/>
        <w:ind w:right="1129" w:firstLine="360"/>
        <w:jc w:val="both"/>
      </w:pPr>
      <w:r>
        <w:rPr>
          <w:spacing w:val="-1"/>
        </w:rPr>
        <w:t>公司通过资本运作完成了</w:t>
      </w:r>
      <w:r>
        <w:rPr>
          <w:rFonts w:ascii="Times New Roman" w:hAnsi="Times New Roman" w:cs="Times New Roman" w:eastAsia="Times New Roman" w:hint="default"/>
          <w:spacing w:val="-1"/>
        </w:rPr>
        <w:t>“</w:t>
      </w:r>
      <w:r>
        <w:rPr>
          <w:spacing w:val="-1"/>
        </w:rPr>
        <w:t>大燃料</w:t>
      </w:r>
      <w:r>
        <w:rPr>
          <w:rFonts w:ascii="Times New Roman" w:hAnsi="Times New Roman" w:cs="Times New Roman" w:eastAsia="Times New Roman" w:hint="default"/>
          <w:spacing w:val="-1"/>
        </w:rPr>
        <w:t>”</w:t>
      </w:r>
      <w:r>
        <w:rPr>
          <w:spacing w:val="-1"/>
        </w:rPr>
        <w:t>的框架布局，公司的燃料智能化系统是电力行业信息化与工业化</w:t>
      </w:r>
      <w:r>
        <w:rPr>
          <w:rFonts w:ascii="Times New Roman" w:hAnsi="Times New Roman" w:cs="Times New Roman" w:eastAsia="Times New Roman" w:hint="default"/>
          <w:spacing w:val="-1"/>
        </w:rPr>
        <w:t>“</w:t>
      </w:r>
      <w:r>
        <w:rPr>
          <w:spacing w:val="-1"/>
        </w:rPr>
        <w:t>两化融合</w:t>
      </w:r>
      <w:r>
        <w:rPr>
          <w:rFonts w:ascii="Times New Roman" w:hAnsi="Times New Roman" w:cs="Times New Roman" w:eastAsia="Times New Roman" w:hint="default"/>
          <w:spacing w:val="-1"/>
        </w:rPr>
        <w:t>”</w:t>
      </w:r>
      <w:r>
        <w:rPr>
          <w:spacing w:val="-1"/>
        </w:rPr>
        <w:t>的标杆工</w:t>
      </w:r>
      <w:r>
        <w:rPr/>
        <w:t> 程，也是公司在工业</w:t>
      </w:r>
      <w:r>
        <w:rPr>
          <w:rFonts w:ascii="Times New Roman" w:hAnsi="Times New Roman" w:cs="Times New Roman" w:eastAsia="Times New Roman" w:hint="default"/>
        </w:rPr>
        <w:t>4.0</w:t>
      </w:r>
      <w:r>
        <w:rPr/>
        <w:t>方面的战略支点之一。在该领域，未来几年公司有能力和信心去应对主要来自于燃料采制化环节的 专业化厂商的竞争。</w:t>
      </w:r>
    </w:p>
    <w:p>
      <w:pPr>
        <w:pStyle w:val="BodyText"/>
        <w:spacing w:line="316" w:lineRule="auto" w:before="31"/>
        <w:ind w:right="1133" w:firstLine="360"/>
        <w:jc w:val="both"/>
      </w:pPr>
      <w:r>
        <w:rPr>
          <w:spacing w:val="-2"/>
        </w:rPr>
        <w:t>公司积极布局探索社会管理业务，先后推出政民通、证件图像码、贝课等互联网应用，在智慧城市、教育等行业进一步</w:t>
      </w:r>
      <w:r>
        <w:rPr/>
        <w:t> 布局。</w:t>
      </w:r>
    </w:p>
    <w:p>
      <w:pPr>
        <w:pStyle w:val="BodyText"/>
        <w:spacing w:line="300" w:lineRule="auto" w:before="19"/>
        <w:ind w:right="1131" w:firstLine="360"/>
        <w:jc w:val="both"/>
      </w:pPr>
      <w:r>
        <w:rPr>
          <w:spacing w:val="-2"/>
        </w:rPr>
        <w:t>预计随着国内</w:t>
      </w:r>
      <w:r>
        <w:rPr>
          <w:rFonts w:ascii="Times New Roman" w:hAnsi="Times New Roman" w:cs="Times New Roman" w:eastAsia="Times New Roman" w:hint="default"/>
          <w:spacing w:val="-2"/>
        </w:rPr>
        <w:t>IT</w:t>
      </w:r>
      <w:r>
        <w:rPr>
          <w:spacing w:val="-2"/>
        </w:rPr>
        <w:t>系统建设中自主知识产权需求的进一步强化，以及互联网思维的冲击，大型央企客户更注重实际产品的</w:t>
      </w:r>
      <w:r>
        <w:rPr/>
        <w:t> 有效性以及个性化需求的满足度，和国际软件厂商相比，国内厂商的竞争力开始凸显。</w:t>
      </w:r>
    </w:p>
    <w:p>
      <w:pPr>
        <w:pStyle w:val="BodyText"/>
        <w:spacing w:line="316" w:lineRule="auto" w:before="31"/>
        <w:ind w:left="513" w:right="0"/>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公司将以技术为核心，以创新为动力，在经济不断发展、管理不断变革的新形势下为客户提供全面信息化解决方案，以</w:t>
      </w:r>
    </w:p>
    <w:p>
      <w:pPr>
        <w:pStyle w:val="BodyText"/>
        <w:spacing w:line="316" w:lineRule="auto" w:before="19"/>
        <w:ind w:left="514" w:right="0" w:hanging="360"/>
        <w:jc w:val="left"/>
      </w:pPr>
      <w:r>
        <w:rPr/>
        <w:t>软件和服务双驱动推动企业管理和社会管理不断进步。 </w:t>
      </w:r>
      <w:r>
        <w:rPr>
          <w:spacing w:val="-2"/>
        </w:rPr>
        <w:t>公司将持续加大投资并购力度，从管理软件向其他产品领域拓展，从电力行业向航天、军工、石油、冶金、交通等电力</w:t>
      </w:r>
    </w:p>
    <w:p>
      <w:pPr>
        <w:pStyle w:val="BodyText"/>
        <w:spacing w:line="240" w:lineRule="auto" w:before="19"/>
        <w:ind w:left="154" w:right="0"/>
        <w:jc w:val="left"/>
      </w:pPr>
      <w:r>
        <w:rPr/>
        <w:t>行业外扩张，努力在智慧城市建设中有所作为。</w:t>
      </w:r>
    </w:p>
    <w:p>
      <w:pPr>
        <w:pStyle w:val="Heading8"/>
        <w:spacing w:line="240" w:lineRule="auto" w:before="76"/>
        <w:ind w:left="514" w:right="0"/>
        <w:jc w:val="left"/>
        <w:rPr>
          <w:b w:val="0"/>
          <w:bCs w:val="0"/>
        </w:rPr>
      </w:pPr>
      <w:r>
        <w:rPr/>
        <w:t>（三）经营计划</w:t>
      </w:r>
      <w:r>
        <w:rPr>
          <w:b w:val="0"/>
          <w:bCs w:val="0"/>
        </w:rPr>
      </w:r>
    </w:p>
    <w:p>
      <w:pPr>
        <w:pStyle w:val="BodyText"/>
        <w:spacing w:line="300" w:lineRule="auto" w:before="76"/>
        <w:ind w:left="514" w:right="1118"/>
        <w:jc w:val="left"/>
      </w:pPr>
      <w:r>
        <w:rPr>
          <w:rFonts w:ascii="Times New Roman" w:hAnsi="Times New Roman" w:cs="Times New Roman" w:eastAsia="Times New Roman" w:hint="default"/>
          <w:b/>
          <w:bCs/>
        </w:rPr>
        <w:t>1</w:t>
      </w:r>
      <w:r>
        <w:rPr>
          <w:rFonts w:ascii="宋体" w:hAnsi="宋体" w:cs="宋体" w:eastAsia="宋体" w:hint="default"/>
          <w:b/>
          <w:bCs/>
        </w:rPr>
        <w:t>、业务方面</w:t>
      </w:r>
      <w:r>
        <w:rPr>
          <w:rFonts w:ascii="宋体" w:hAnsi="宋体" w:cs="宋体" w:eastAsia="宋体" w:hint="default"/>
          <w:b/>
          <w:bCs/>
          <w:w w:val="99"/>
        </w:rPr>
        <w:t> </w:t>
      </w:r>
      <w:r>
        <w:rPr>
          <w:spacing w:val="-2"/>
        </w:rPr>
        <w:t>随着电力体制改革的深入，售电市场的有序放开，社会资本等多种主体单位的进入并使原有发电、电网企业业务及盈利</w:t>
      </w:r>
    </w:p>
    <w:p>
      <w:pPr>
        <w:pStyle w:val="BodyText"/>
        <w:spacing w:line="316" w:lineRule="auto" w:before="31"/>
        <w:ind w:left="154" w:right="1132"/>
        <w:jc w:val="both"/>
      </w:pPr>
      <w:r>
        <w:rPr>
          <w:spacing w:val="-2"/>
        </w:rPr>
        <w:t>模式发生转变，将加强电价的市场化竞争，相关主体增多，整体市场规模将放大。公司将凭借在电力行业的多年积淀，为客</w:t>
      </w:r>
      <w:r>
        <w:rPr>
          <w:spacing w:val="-66"/>
        </w:rPr>
        <w:t> </w:t>
      </w:r>
      <w:r>
        <w:rPr>
          <w:spacing w:val="-66"/>
        </w:rPr>
      </w:r>
      <w:r>
        <w:rPr>
          <w:spacing w:val="-5"/>
        </w:rPr>
        <w:t>户提供从财务到业务领域的关键业务和一体化平台技术支撑，涵盖成本核算管理、售电营销管理、投融资等多个平台化服务，</w:t>
      </w:r>
      <w:r>
        <w:rPr>
          <w:spacing w:val="-79"/>
        </w:rPr>
        <w:t> </w:t>
      </w:r>
      <w:r>
        <w:rPr>
          <w:spacing w:val="-79"/>
        </w:rPr>
      </w:r>
      <w:r>
        <w:rPr>
          <w:spacing w:val="-2"/>
        </w:rPr>
        <w:t>帮助发电、电网和售电各环节的主体构建有竞争力的精益化管理系统；并提前布局推出基于移动互联、大数据的企业管理创</w:t>
      </w:r>
      <w:r>
        <w:rPr>
          <w:spacing w:val="-66"/>
        </w:rPr>
        <w:t> </w:t>
      </w:r>
      <w:r>
        <w:rPr>
          <w:spacing w:val="-66"/>
        </w:rPr>
      </w:r>
      <w:r>
        <w:rPr/>
        <w:t>新产品，使一线业务移动化、智能化、便捷化。</w:t>
      </w:r>
    </w:p>
    <w:p>
      <w:pPr>
        <w:pStyle w:val="BodyText"/>
        <w:spacing w:line="300" w:lineRule="auto" w:before="19"/>
        <w:ind w:left="154" w:right="1132" w:firstLine="360"/>
        <w:jc w:val="both"/>
      </w:pPr>
      <w:r>
        <w:rPr>
          <w:rFonts w:ascii="Times New Roman" w:hAnsi="Times New Roman" w:cs="Times New Roman" w:eastAsia="Times New Roman" w:hint="default"/>
          <w:spacing w:val="-2"/>
        </w:rPr>
        <w:t>2015</w:t>
      </w:r>
      <w:r>
        <w:rPr>
          <w:spacing w:val="-2"/>
        </w:rPr>
        <w:t>年，公司将继续深耕电力行业集团资源管理核心业务；积极拓展电力体制改革、燃料智能化、节能减排、清洁能源</w:t>
      </w:r>
      <w:r>
        <w:rPr/>
        <w:t> 等相关领域业务；战略布局能源互联网、智能管理设备、移动互联等创新业务。</w:t>
      </w:r>
    </w:p>
    <w:p>
      <w:pPr>
        <w:pStyle w:val="BodyText"/>
        <w:spacing w:line="316" w:lineRule="auto" w:before="31"/>
        <w:ind w:right="1130" w:firstLine="360"/>
        <w:jc w:val="both"/>
      </w:pPr>
      <w:r>
        <w:rPr>
          <w:spacing w:val="-2"/>
        </w:rPr>
        <w:t>在电力行业外，公司将充分发挥投资并购带来的市场整合机遇，进一步开拓军工、高端制造装备、石化、矿山等行业市</w:t>
      </w:r>
      <w:r>
        <w:rPr/>
        <w:t> </w:t>
      </w:r>
      <w:r>
        <w:rPr>
          <w:spacing w:val="-2"/>
        </w:rPr>
        <w:t>场，积极引入公司集团资源管控等优势成熟产品；公司将按计划推进风险管控项目，完成重点推广项目的产品交付；公司将</w:t>
      </w:r>
      <w:r>
        <w:rPr>
          <w:spacing w:val="-65"/>
        </w:rPr>
        <w:t> </w:t>
      </w:r>
      <w:r>
        <w:rPr>
          <w:spacing w:val="-65"/>
        </w:rPr>
      </w:r>
      <w:r>
        <w:rPr/>
        <w:t>继续布局移动互联网领域，同时探索、拓展社会管理相关产品的商业模式，寻求在移动互联网领域新的业务增长点。</w:t>
      </w:r>
    </w:p>
    <w:p>
      <w:pPr>
        <w:pStyle w:val="Heading8"/>
        <w:spacing w:line="240" w:lineRule="auto" w:before="19"/>
        <w:ind w:right="0"/>
        <w:jc w:val="left"/>
        <w:rPr>
          <w:b w:val="0"/>
          <w:bCs w:val="0"/>
        </w:rPr>
      </w:pPr>
      <w:r>
        <w:rPr>
          <w:rFonts w:ascii="Times New Roman" w:hAnsi="Times New Roman" w:cs="Times New Roman" w:eastAsia="Times New Roman" w:hint="default"/>
        </w:rPr>
        <w:t>2</w:t>
      </w:r>
      <w:r>
        <w:rPr/>
        <w:t>、研发方面</w:t>
      </w:r>
      <w:r>
        <w:rPr>
          <w:b w:val="0"/>
          <w:bCs w:val="0"/>
        </w:rPr>
      </w:r>
    </w:p>
    <w:p>
      <w:pPr>
        <w:pStyle w:val="BodyText"/>
        <w:spacing w:line="309" w:lineRule="auto" w:before="63"/>
        <w:ind w:right="1133" w:firstLine="360"/>
        <w:jc w:val="both"/>
      </w:pPr>
      <w:r>
        <w:rPr>
          <w:rFonts w:ascii="Times New Roman" w:hAnsi="Times New Roman" w:cs="Times New Roman" w:eastAsia="Times New Roman" w:hint="default"/>
        </w:rPr>
        <w:t>2015</w:t>
      </w:r>
      <w:r>
        <w:rPr/>
        <w:t>年，公司将继续坚持技术创新，在</w:t>
      </w:r>
      <w:r>
        <w:rPr>
          <w:rFonts w:ascii="Times New Roman" w:hAnsi="Times New Roman" w:cs="Times New Roman" w:eastAsia="Times New Roman" w:hint="default"/>
        </w:rPr>
        <w:t>GRIS</w:t>
      </w:r>
      <w:r>
        <w:rPr/>
        <w:t>财务领域、移动应用领域、大数据及数据挖掘、数据应用个性化、风控、 </w:t>
      </w:r>
      <w:r>
        <w:rPr>
          <w:spacing w:val="-2"/>
        </w:rPr>
        <w:t>安全生产等方面持续创新。重点强化资金结算平台、可再生能源补助系统、营财一体化、社会化用电量预测模型、煤价预测</w:t>
      </w:r>
      <w:r>
        <w:rPr>
          <w:spacing w:val="-66"/>
        </w:rPr>
        <w:t> </w:t>
      </w:r>
      <w:r>
        <w:rPr>
          <w:spacing w:val="-66"/>
        </w:rPr>
      </w:r>
      <w:r>
        <w:rPr/>
        <w:t>模型、营财一体化后的电力营销数据挖掘、输配电成本历史数据规律分析等方面的技术研发。</w:t>
      </w:r>
    </w:p>
    <w:p>
      <w:pPr>
        <w:pStyle w:val="BodyText"/>
        <w:spacing w:line="300" w:lineRule="auto" w:before="24"/>
        <w:ind w:left="514" w:right="1122"/>
        <w:jc w:val="left"/>
      </w:pPr>
      <w:r>
        <w:rPr>
          <w:rFonts w:ascii="Times New Roman" w:hAnsi="Times New Roman" w:cs="Times New Roman" w:eastAsia="Times New Roman" w:hint="default"/>
          <w:b/>
          <w:bCs/>
        </w:rPr>
        <w:t>3</w:t>
      </w:r>
      <w:r>
        <w:rPr>
          <w:rFonts w:ascii="宋体" w:hAnsi="宋体" w:cs="宋体" w:eastAsia="宋体" w:hint="default"/>
          <w:b/>
          <w:bCs/>
        </w:rPr>
        <w:t>、人力资源方面</w:t>
      </w:r>
      <w:r>
        <w:rPr>
          <w:rFonts w:ascii="宋体" w:hAnsi="宋体" w:cs="宋体" w:eastAsia="宋体" w:hint="default"/>
          <w:b/>
          <w:bCs/>
          <w:w w:val="99"/>
        </w:rPr>
        <w:t> </w:t>
      </w:r>
      <w:r>
        <w:rPr/>
        <w:t>顺应公司组织管理变革，人力资源以</w:t>
      </w:r>
      <w:r>
        <w:rPr>
          <w:rFonts w:ascii="Times New Roman" w:hAnsi="Times New Roman" w:cs="Times New Roman" w:eastAsia="Times New Roman" w:hint="default"/>
        </w:rPr>
        <w:t>“HRBP</w:t>
      </w:r>
      <w:r>
        <w:rPr/>
        <w:t>、共享服务中心、</w:t>
      </w:r>
      <w:r>
        <w:rPr>
          <w:rFonts w:ascii="Times New Roman" w:hAnsi="Times New Roman" w:cs="Times New Roman" w:eastAsia="Times New Roman" w:hint="default"/>
        </w:rPr>
        <w:t>COE”</w:t>
      </w:r>
      <w:r>
        <w:rPr/>
        <w:t>三支柱模型作职能转型，为事业部提供专业高效的</w:t>
      </w:r>
    </w:p>
    <w:p>
      <w:pPr>
        <w:pStyle w:val="BodyText"/>
        <w:spacing w:line="316" w:lineRule="auto" w:before="13"/>
        <w:ind w:right="1033"/>
        <w:jc w:val="left"/>
      </w:pPr>
      <w:r>
        <w:rPr>
          <w:spacing w:val="-2"/>
        </w:rPr>
        <w:t>职能支持，以快速响应事业部内部管理需求，提升客户服务水平。公司加大高端研发人才培养，通过博士后工作站引进多名</w:t>
      </w:r>
      <w:r>
        <w:rPr>
          <w:spacing w:val="-66"/>
        </w:rPr>
        <w:t> </w:t>
      </w:r>
      <w:r>
        <w:rPr>
          <w:spacing w:val="-66"/>
        </w:rPr>
      </w:r>
      <w:r>
        <w:rPr/>
        <w:t>研发、咨询、大数据等领域的博士，为产品创新、研发提供超强智力支持，为人才梯队建设提供保障。公司成立远光大学，</w:t>
      </w:r>
      <w:r>
        <w:rPr>
          <w:spacing w:val="-85"/>
        </w:rPr>
        <w:t> </w:t>
      </w:r>
      <w:r>
        <w:rPr>
          <w:spacing w:val="-85"/>
        </w:rPr>
      </w:r>
      <w:r>
        <w:rPr>
          <w:spacing w:val="-2"/>
        </w:rPr>
        <w:t>强化在职培训、领导力培训及培训管理创新，提高员工的专业化与职业化程度，并在技术骨干、管理骨干等核心人才的育留</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3"/>
        <w:jc w:val="both"/>
      </w:pPr>
      <w:r>
        <w:rPr>
          <w:spacing w:val="-2"/>
        </w:rPr>
        <w:t>方面提供职能支持。创新公司员工激励机制，采取多种形式激励员工，与员工分享发展收益，更好地实现公司发展、员工利</w:t>
      </w:r>
      <w:r>
        <w:rPr>
          <w:spacing w:val="-66"/>
        </w:rPr>
        <w:t> </w:t>
      </w:r>
      <w:r>
        <w:rPr>
          <w:spacing w:val="-66"/>
        </w:rPr>
      </w:r>
      <w:r>
        <w:rPr/>
        <w:t>益、股东利益的统一，进一步释放公司的增长潜力。</w:t>
      </w:r>
    </w:p>
    <w:p>
      <w:pPr>
        <w:pStyle w:val="Heading8"/>
        <w:spacing w:line="240" w:lineRule="auto" w:before="19"/>
        <w:ind w:right="0"/>
        <w:jc w:val="left"/>
        <w:rPr>
          <w:b w:val="0"/>
          <w:bCs w:val="0"/>
        </w:rPr>
      </w:pPr>
      <w:r>
        <w:rPr>
          <w:rFonts w:ascii="Times New Roman" w:hAnsi="Times New Roman" w:cs="Times New Roman" w:eastAsia="Times New Roman" w:hint="default"/>
        </w:rPr>
        <w:t>4</w:t>
      </w:r>
      <w:r>
        <w:rPr/>
        <w:t>、内部管理方面</w:t>
      </w:r>
      <w:r>
        <w:rPr>
          <w:b w:val="0"/>
          <w:bCs w:val="0"/>
        </w:rPr>
      </w:r>
    </w:p>
    <w:p>
      <w:pPr>
        <w:pStyle w:val="BodyText"/>
        <w:spacing w:line="309" w:lineRule="auto" w:before="63"/>
        <w:ind w:right="1132" w:firstLine="360"/>
        <w:jc w:val="both"/>
      </w:pPr>
      <w:r>
        <w:rPr>
          <w:rFonts w:ascii="Times New Roman" w:hAnsi="Times New Roman" w:cs="Times New Roman" w:eastAsia="Times New Roman" w:hint="default"/>
          <w:spacing w:val="-2"/>
        </w:rPr>
        <w:t>2015</w:t>
      </w:r>
      <w:r>
        <w:rPr>
          <w:spacing w:val="-2"/>
        </w:rPr>
        <w:t>年，公司将继续深化集团管理、推进事业部制变革，以技术创新、市场创新和内部管理创新为契机，促进跨事业部</w:t>
      </w:r>
      <w:r>
        <w:rPr/>
        <w:t> </w:t>
      </w:r>
      <w:r>
        <w:rPr>
          <w:spacing w:val="-5"/>
        </w:rPr>
        <w:t>间、跨分子公司之间业务高效协同，优化内部管理流程、持续提升组织效率，加强公司内部信息化建设，增强人才培养力度、</w:t>
      </w:r>
      <w:r>
        <w:rPr>
          <w:spacing w:val="-79"/>
        </w:rPr>
        <w:t> </w:t>
      </w:r>
      <w:r>
        <w:rPr>
          <w:spacing w:val="-79"/>
        </w:rPr>
      </w:r>
      <w:r>
        <w:rPr/>
        <w:t>以专业提升实现价值增加，为公司持续快速发展提供坚实的管理支撑。</w:t>
      </w:r>
    </w:p>
    <w:p>
      <w:pPr>
        <w:pStyle w:val="Heading8"/>
        <w:spacing w:line="240" w:lineRule="auto"/>
        <w:ind w:right="0"/>
        <w:jc w:val="left"/>
        <w:rPr>
          <w:b w:val="0"/>
          <w:bCs w:val="0"/>
        </w:rPr>
      </w:pPr>
      <w:r>
        <w:rPr>
          <w:rFonts w:ascii="Times New Roman" w:hAnsi="Times New Roman" w:cs="Times New Roman" w:eastAsia="Times New Roman" w:hint="default"/>
        </w:rPr>
        <w:t>5</w:t>
      </w:r>
      <w:r>
        <w:rPr/>
        <w:t>、投资并购方面</w:t>
      </w:r>
      <w:r>
        <w:rPr>
          <w:b w:val="0"/>
          <w:bCs w:val="0"/>
        </w:rPr>
      </w:r>
    </w:p>
    <w:p>
      <w:pPr>
        <w:pStyle w:val="BodyText"/>
        <w:spacing w:line="309" w:lineRule="auto" w:before="63"/>
        <w:ind w:left="154" w:right="0" w:firstLine="360"/>
        <w:jc w:val="left"/>
      </w:pPr>
      <w:r>
        <w:rPr>
          <w:rFonts w:ascii="Times New Roman" w:hAnsi="Times New Roman" w:cs="Times New Roman" w:eastAsia="Times New Roman" w:hint="default"/>
        </w:rPr>
        <w:t>2015</w:t>
      </w:r>
      <w:r>
        <w:rPr/>
        <w:t>年，公司将继续坚持</w:t>
      </w:r>
      <w:r>
        <w:rPr>
          <w:rFonts w:ascii="Times New Roman" w:hAnsi="Times New Roman" w:cs="Times New Roman" w:eastAsia="Times New Roman" w:hint="default"/>
        </w:rPr>
        <w:t>“</w:t>
      </w:r>
      <w:r>
        <w:rPr/>
        <w:t>一横一纵</w:t>
      </w:r>
      <w:r>
        <w:rPr>
          <w:rFonts w:ascii="Times New Roman" w:hAnsi="Times New Roman" w:cs="Times New Roman" w:eastAsia="Times New Roman" w:hint="default"/>
        </w:rPr>
        <w:t>”</w:t>
      </w:r>
      <w:r>
        <w:rPr/>
        <w:t>投资并购战略，横向上不断拓展公司产品的应用范围，积极开拓电力行业外市场； </w:t>
      </w:r>
      <w:r>
        <w:rPr>
          <w:spacing w:val="-2"/>
        </w:rPr>
        <w:t>纵向上深入挖掘客户需求，不断完善公司产品线，充分发挥公司在电力行业渠道的作用，加快外延发展的节奏，做到外部创</w:t>
      </w:r>
      <w:r>
        <w:rPr>
          <w:spacing w:val="-66"/>
        </w:rPr>
        <w:t> </w:t>
      </w:r>
      <w:r>
        <w:rPr>
          <w:spacing w:val="-66"/>
        </w:rPr>
      </w:r>
      <w:r>
        <w:rPr>
          <w:spacing w:val="-5"/>
        </w:rPr>
        <w:t>新、内外整合、资源强化、资源互换。重点关注电力体制改革、移动互联、大数据、物联网、新能源等方面的投资并购机会。</w:t>
      </w:r>
    </w:p>
    <w:p>
      <w:pPr>
        <w:pStyle w:val="Heading8"/>
        <w:spacing w:line="240" w:lineRule="auto"/>
        <w:ind w:left="514" w:right="0"/>
        <w:jc w:val="left"/>
        <w:rPr>
          <w:b w:val="0"/>
          <w:bCs w:val="0"/>
        </w:rPr>
      </w:pPr>
      <w:r>
        <w:rPr/>
        <w:t>（四）可能面对的风险及应对措施</w:t>
      </w:r>
      <w:r>
        <w:rPr>
          <w:b w:val="0"/>
          <w:bCs w:val="0"/>
        </w:rPr>
      </w:r>
    </w:p>
    <w:p>
      <w:pPr>
        <w:spacing w:line="300" w:lineRule="auto"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、电力行业外市场经验不足</w:t>
      </w:r>
      <w:r>
        <w:rPr>
          <w:rFonts w:ascii="宋体" w:hAnsi="宋体" w:cs="宋体" w:eastAsia="宋体" w:hint="default"/>
          <w:b/>
          <w:bCs/>
          <w:w w:val="99"/>
          <w:sz w:val="18"/>
          <w:szCs w:val="18"/>
        </w:rPr>
        <w:t> </w:t>
      </w:r>
      <w:r>
        <w:rPr>
          <w:rFonts w:ascii="宋体" w:hAnsi="宋体" w:cs="宋体" w:eastAsia="宋体" w:hint="default"/>
          <w:spacing w:val="-6"/>
          <w:sz w:val="18"/>
          <w:szCs w:val="18"/>
        </w:rPr>
        <w:t>目前，公司除继续深耕电力主业外，也在电力行业外市场持续发力。对电力行业外市场的竞争，公司以往经验相对不足。</w:t>
      </w:r>
    </w:p>
    <w:p>
      <w:pPr>
        <w:pStyle w:val="BodyText"/>
        <w:spacing w:line="309" w:lineRule="auto" w:before="31"/>
        <w:ind w:left="513" w:right="0" w:hanging="360"/>
        <w:jc w:val="left"/>
      </w:pPr>
      <w:r>
        <w:rPr/>
        <w:t>公司将通过人才引进、资本合作等多种方式提升公司在行业外市场的竞争力，弥补公司在非电业务领域的短板。 </w:t>
      </w:r>
      <w:r>
        <w:rPr>
          <w:rFonts w:ascii="Times New Roman" w:hAnsi="Times New Roman" w:cs="Times New Roman" w:eastAsia="Times New Roman" w:hint="default"/>
          <w:b/>
          <w:bCs/>
        </w:rPr>
        <w:t>2</w:t>
      </w:r>
      <w:r>
        <w:rPr>
          <w:rFonts w:ascii="宋体" w:hAnsi="宋体" w:cs="宋体" w:eastAsia="宋体" w:hint="default"/>
          <w:b/>
          <w:bCs/>
        </w:rPr>
        <w:t>、燃料智能化业务交付能力有待提升</w:t>
      </w:r>
      <w:r>
        <w:rPr>
          <w:rFonts w:ascii="宋体" w:hAnsi="宋体" w:cs="宋体" w:eastAsia="宋体" w:hint="default"/>
          <w:b/>
          <w:bCs/>
          <w:w w:val="99"/>
        </w:rPr>
        <w:t> </w:t>
      </w:r>
      <w:r>
        <w:rPr>
          <w:spacing w:val="-2"/>
        </w:rPr>
        <w:t>电力行业的燃料智能化市场规模预计超过百亿元，已进入快速成长期。公司作为优势企业，在这一蓝海市场，如果业务</w:t>
      </w:r>
    </w:p>
    <w:p>
      <w:pPr>
        <w:pStyle w:val="BodyText"/>
        <w:spacing w:line="316" w:lineRule="auto" w:before="24"/>
        <w:ind w:right="1131"/>
        <w:jc w:val="both"/>
      </w:pPr>
      <w:r>
        <w:rPr>
          <w:spacing w:val="-2"/>
        </w:rPr>
        <w:t>发展速度超预期，可能会存在无法充分满足市场需求的情况，在部分业务环节存在对客户交付能力不足的风险。对此，公司</w:t>
      </w:r>
      <w:r>
        <w:rPr>
          <w:spacing w:val="-66"/>
        </w:rPr>
        <w:t> </w:t>
      </w:r>
      <w:r>
        <w:rPr>
          <w:spacing w:val="-66"/>
        </w:rPr>
      </w:r>
      <w:r>
        <w:rPr>
          <w:spacing w:val="-2"/>
        </w:rPr>
        <w:t>将持续引进和吸纳燃料智能化业务领域专业人才，通过岗位培训、技术提能等方式提高内部员工综合能力，将各岗位工作流</w:t>
      </w:r>
      <w:r>
        <w:rPr>
          <w:spacing w:val="-66"/>
        </w:rPr>
        <w:t> </w:t>
      </w:r>
      <w:r>
        <w:rPr>
          <w:spacing w:val="-66"/>
        </w:rPr>
      </w:r>
      <w:r>
        <w:rPr/>
        <w:t>程化、规范化，实现业务的可复制性，持续挖掘交付潜能。</w:t>
      </w:r>
    </w:p>
    <w:p>
      <w:pPr>
        <w:pStyle w:val="BodyText"/>
        <w:spacing w:line="300" w:lineRule="auto" w:before="19"/>
        <w:ind w:left="514" w:right="0"/>
        <w:jc w:val="left"/>
      </w:pPr>
      <w:r>
        <w:rPr>
          <w:rFonts w:ascii="Times New Roman" w:hAnsi="Times New Roman" w:cs="Times New Roman" w:eastAsia="Times New Roman" w:hint="default"/>
          <w:b/>
          <w:bCs/>
        </w:rPr>
        <w:t>3</w:t>
      </w:r>
      <w:r>
        <w:rPr>
          <w:rFonts w:ascii="宋体" w:hAnsi="宋体" w:cs="宋体" w:eastAsia="宋体" w:hint="default"/>
          <w:b/>
          <w:bCs/>
        </w:rPr>
        <w:t>、高端人才不足</w:t>
      </w:r>
      <w:r>
        <w:rPr>
          <w:rFonts w:ascii="宋体" w:hAnsi="宋体" w:cs="宋体" w:eastAsia="宋体" w:hint="default"/>
          <w:b/>
          <w:bCs/>
          <w:w w:val="99"/>
        </w:rPr>
        <w:t> </w:t>
      </w:r>
      <w:r>
        <w:rPr>
          <w:spacing w:val="-2"/>
        </w:rPr>
        <w:t>公司新兴业务快速发展，高端人才不足仍然是制约公司业务发展的重要因素。公司一方面将加大高端研发人才引进的力</w:t>
      </w:r>
    </w:p>
    <w:p>
      <w:pPr>
        <w:pStyle w:val="BodyText"/>
        <w:spacing w:line="319" w:lineRule="auto" w:before="31"/>
        <w:ind w:left="154" w:right="1131"/>
        <w:jc w:val="both"/>
      </w:pPr>
      <w:r>
        <w:rPr>
          <w:spacing w:val="-2"/>
        </w:rPr>
        <w:t>度，同时也会结合业务发展规划强化内部培养的能力。公司会强化在职培训、领导力培训及培训管理创新，提高员工的专业</w:t>
      </w:r>
      <w:r>
        <w:rPr>
          <w:spacing w:val="-66"/>
        </w:rPr>
        <w:t> </w:t>
      </w:r>
      <w:r>
        <w:rPr>
          <w:spacing w:val="-66"/>
        </w:rPr>
      </w:r>
      <w:r>
        <w:rPr/>
        <w:t>化与职业化程度，并在技术骨干、管理骨干等核心人才的育留方面提供职能支持。</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九、董事会、监事会对会计师事务所本报告期“非标准审计报告”的说明" w:id="48"/>
      <w:bookmarkEnd w:id="48"/>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与上年度财务报告相比，会计政策、会计估计和核算方法发生变化的情况说明" w:id="49"/>
      <w:bookmarkEnd w:id="49"/>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56" w:lineRule="auto" w:before="75"/>
        <w:ind w:left="573" w:right="0"/>
        <w:jc w:val="left"/>
      </w:pPr>
      <w:r>
        <w:rPr>
          <w:rFonts w:ascii="Times New Roman" w:hAnsi="Times New Roman" w:cs="Times New Roman" w:eastAsia="Times New Roman" w:hint="default"/>
        </w:rPr>
        <w:t>1</w:t>
      </w:r>
      <w:r>
        <w:rPr/>
        <w:t>、会计政策变更 </w:t>
      </w:r>
      <w:r>
        <w:rPr>
          <w:spacing w:val="-2"/>
        </w:rPr>
        <w:t>根据《关于印发〈企业会计准则第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公允价值计量〉的通知》（财会</w:t>
      </w:r>
      <w:r>
        <w:rPr>
          <w:rFonts w:ascii="Times New Roman" w:hAnsi="Times New Roman" w:cs="Times New Roman" w:eastAsia="Times New Roman" w:hint="default"/>
          <w:spacing w:val="-2"/>
        </w:rPr>
        <w:t>[2014]6</w:t>
      </w:r>
      <w:r>
        <w:rPr>
          <w:spacing w:val="-2"/>
        </w:rPr>
        <w:t>号）、《关于印发</w:t>
      </w:r>
    </w:p>
    <w:p>
      <w:pPr>
        <w:pStyle w:val="Heading7"/>
        <w:spacing w:line="256" w:lineRule="auto" w:before="5"/>
        <w:ind w:right="1130"/>
        <w:jc w:val="both"/>
      </w:pPr>
      <w:r>
        <w:rPr>
          <w:spacing w:val="-2"/>
        </w:rPr>
        <w:t>修订〈企业会计准则第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财务报表列报〉的通知》（财会</w:t>
      </w:r>
      <w:r>
        <w:rPr>
          <w:rFonts w:ascii="Times New Roman" w:hAnsi="Times New Roman" w:cs="Times New Roman" w:eastAsia="Times New Roman" w:hint="default"/>
          <w:spacing w:val="-2"/>
        </w:rPr>
        <w:t>[2014]7</w:t>
      </w:r>
      <w:r>
        <w:rPr>
          <w:spacing w:val="-2"/>
        </w:rPr>
        <w:t>号）、《关于印发修订〈企业会计</w:t>
      </w:r>
      <w:r>
        <w:rPr>
          <w:spacing w:val="-68"/>
        </w:rPr>
        <w:t> </w:t>
      </w:r>
      <w:r>
        <w:rPr>
          <w:spacing w:val="-68"/>
        </w:rPr>
      </w:r>
      <w:r>
        <w:rPr/>
        <w:t>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职工薪酬〉的通知》（财会</w:t>
      </w:r>
      <w:r>
        <w:rPr>
          <w:rFonts w:ascii="Times New Roman" w:hAnsi="Times New Roman" w:cs="Times New Roman" w:eastAsia="Times New Roman" w:hint="default"/>
        </w:rPr>
        <w:t>[2014]8</w:t>
      </w:r>
      <w:r>
        <w:rPr/>
        <w:t>号）、《关于印发修订〈企业会计准则第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 </w:t>
      </w:r>
      <w:r>
        <w:rPr>
          <w:spacing w:val="-4"/>
        </w:rPr>
        <w:t>财务报表〉的通知》（财会</w:t>
      </w:r>
      <w:r>
        <w:rPr>
          <w:rFonts w:ascii="Times New Roman" w:hAnsi="Times New Roman" w:cs="Times New Roman" w:eastAsia="Times New Roman" w:hint="default"/>
          <w:spacing w:val="-4"/>
        </w:rPr>
        <w:t>[2014]10</w:t>
      </w:r>
      <w:r>
        <w:rPr>
          <w:spacing w:val="-4"/>
        </w:rPr>
        <w:t>号）、《关于印发〈企业会计准则第</w:t>
      </w:r>
      <w:r>
        <w:rPr>
          <w:rFonts w:ascii="Times New Roman" w:hAnsi="Times New Roman" w:cs="Times New Roman" w:eastAsia="Times New Roman" w:hint="default"/>
          <w:spacing w:val="-4"/>
        </w:rPr>
        <w:t>40</w:t>
      </w:r>
      <w:r>
        <w:rPr>
          <w:spacing w:val="-4"/>
        </w:rPr>
        <w:t>号</w:t>
      </w:r>
      <w:r>
        <w:rPr>
          <w:rFonts w:ascii="Times New Roman" w:hAnsi="Times New Roman" w:cs="Times New Roman" w:eastAsia="Times New Roman" w:hint="default"/>
          <w:spacing w:val="-4"/>
        </w:rPr>
        <w:t>——</w:t>
      </w:r>
      <w:r>
        <w:rPr>
          <w:spacing w:val="-4"/>
        </w:rPr>
        <w:t>合营安排〉的通知》（财</w:t>
      </w:r>
      <w:r>
        <w:rPr>
          <w:spacing w:val="-69"/>
        </w:rPr>
        <w:t> </w:t>
      </w:r>
      <w:r>
        <w:rPr>
          <w:spacing w:val="-69"/>
        </w:rPr>
      </w:r>
      <w:r>
        <w:rPr>
          <w:spacing w:val="-4"/>
        </w:rPr>
        <w:t>会</w:t>
      </w:r>
      <w:r>
        <w:rPr>
          <w:rFonts w:ascii="Times New Roman" w:hAnsi="Times New Roman" w:cs="Times New Roman" w:eastAsia="Times New Roman" w:hint="default"/>
          <w:spacing w:val="-4"/>
        </w:rPr>
        <w:t>[2014]11</w:t>
      </w:r>
      <w:r>
        <w:rPr>
          <w:spacing w:val="-4"/>
        </w:rPr>
        <w:t>号）、《关于印发修订〈企业会计准则第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spacing w:val="-4"/>
        </w:rPr>
        <w:t>长期股权投资〉的通知》（财会</w:t>
      </w:r>
      <w:r>
        <w:rPr>
          <w:rFonts w:ascii="Times New Roman" w:hAnsi="Times New Roman" w:cs="Times New Roman" w:eastAsia="Times New Roman" w:hint="default"/>
          <w:spacing w:val="-4"/>
        </w:rPr>
        <w:t>[2014]14</w:t>
      </w:r>
      <w:r>
        <w:rPr>
          <w:spacing w:val="-4"/>
        </w:rPr>
        <w:t>号）、</w:t>
      </w:r>
    </w:p>
    <w:p>
      <w:pPr>
        <w:pStyle w:val="Heading7"/>
        <w:spacing w:line="256" w:lineRule="auto" w:before="5"/>
        <w:ind w:right="1178"/>
        <w:jc w:val="both"/>
      </w:pPr>
      <w:r>
        <w:rPr/>
        <w:t>《关于印发〈企业会计准则第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在其他主体中权益的披露〉的通知》（财会</w:t>
      </w:r>
      <w:r>
        <w:rPr>
          <w:rFonts w:ascii="Times New Roman" w:hAnsi="Times New Roman" w:cs="Times New Roman" w:eastAsia="Times New Roman" w:hint="default"/>
        </w:rPr>
        <w:t>[2014]16</w:t>
      </w:r>
      <w:r>
        <w:rPr/>
        <w:t>号）的规定， 经本公司第五届董事会第七次会议决议，本公司自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日起执行上述</w:t>
      </w:r>
      <w:r>
        <w:rPr>
          <w:rFonts w:ascii="Times New Roman" w:hAnsi="Times New Roman" w:cs="Times New Roman" w:eastAsia="Times New Roman" w:hint="default"/>
        </w:rPr>
        <w:t>7</w:t>
      </w:r>
      <w:r>
        <w:rPr/>
        <w:t>项会计准则。同时财政部以 财会</w:t>
      </w:r>
      <w:r>
        <w:rPr>
          <w:rFonts w:ascii="Times New Roman" w:hAnsi="Times New Roman" w:cs="Times New Roman" w:eastAsia="Times New Roman" w:hint="default"/>
        </w:rPr>
        <w:t>[2014]23</w:t>
      </w:r>
      <w:r>
        <w:rPr/>
        <w:t>号发布了《企业会计准则第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2014</w:t>
      </w:r>
      <w:r>
        <w:rPr/>
        <w:t>年修订）》，本公司在</w:t>
      </w:r>
      <w:r>
        <w:rPr>
          <w:rFonts w:ascii="Times New Roman" w:hAnsi="Times New Roman" w:cs="Times New Roman" w:eastAsia="Times New Roman" w:hint="default"/>
        </w:rPr>
        <w:t>2014</w:t>
      </w:r>
      <w:r>
        <w:rPr/>
        <w:t>年度及 以后期间的财务报告中按照该准则的要求对金融工具进行列报。</w:t>
      </w:r>
    </w:p>
    <w:p>
      <w:pPr>
        <w:pStyle w:val="Heading4"/>
        <w:spacing w:line="240" w:lineRule="auto" w:before="7"/>
        <w:ind w:left="613" w:right="0"/>
        <w:jc w:val="left"/>
      </w:pPr>
      <w:r>
        <w:rPr/>
        <w:t>本公司根据各准则衔接要求进行了调整，对当期和列报前期财务报表项目及金额的影响如下：</w:t>
      </w:r>
    </w:p>
    <w:p>
      <w:pPr>
        <w:pStyle w:val="Heading7"/>
        <w:spacing w:line="240" w:lineRule="auto" w:before="26"/>
        <w:ind w:left="574" w:right="0"/>
        <w:jc w:val="left"/>
      </w:pPr>
      <w:r>
        <w:rPr/>
        <w:t>（</w:t>
      </w:r>
      <w:r>
        <w:rPr>
          <w:rFonts w:ascii="Times New Roman" w:hAnsi="Times New Roman" w:cs="Times New Roman" w:eastAsia="Times New Roman" w:hint="default"/>
        </w:rPr>
        <w:t>1</w:t>
      </w:r>
      <w:r>
        <w:rPr/>
        <w:t>）合并报表</w:t>
      </w:r>
    </w:p>
    <w:p>
      <w:pPr>
        <w:pStyle w:val="Heading7"/>
        <w:spacing w:line="240" w:lineRule="auto" w:before="21"/>
        <w:ind w:left="0" w:right="1131"/>
        <w:jc w:val="right"/>
      </w:pPr>
      <w:r>
        <w:rPr>
          <w:spacing w:val="-5"/>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797"/>
        <w:gridCol w:w="1556"/>
        <w:gridCol w:w="3135"/>
        <w:gridCol w:w="3402"/>
      </w:tblGrid>
      <w:tr>
        <w:trPr>
          <w:trHeight w:val="667" w:hRule="exact"/>
        </w:trPr>
        <w:tc>
          <w:tcPr>
            <w:tcW w:w="1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3135"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929" w:right="43" w:hanging="885"/>
              <w:jc w:val="left"/>
              <w:rPr>
                <w:rFonts w:ascii="宋体" w:hAnsi="宋体" w:cs="宋体" w:eastAsia="宋体" w:hint="default"/>
                <w:sz w:val="18"/>
                <w:szCs w:val="18"/>
              </w:rPr>
            </w:pPr>
            <w:r>
              <w:rPr>
                <w:rFonts w:ascii="宋体" w:hAnsi="宋体" w:cs="宋体" w:eastAsia="宋体" w:hint="default"/>
                <w:sz w:val="18"/>
                <w:szCs w:val="18"/>
              </w:rPr>
              <w:t>采用会计准则（《企业会计准则</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 期股权投资》）</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063"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62"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2"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185,309,195.25</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184,309,195.25</w:t>
            </w:r>
          </w:p>
        </w:tc>
      </w:tr>
      <w:tr>
        <w:trPr>
          <w:trHeight w:val="674"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18" w:right="0"/>
              <w:jc w:val="left"/>
              <w:rPr>
                <w:rFonts w:ascii="宋体" w:hAnsi="宋体" w:cs="宋体" w:eastAsia="宋体" w:hint="default"/>
                <w:sz w:val="18"/>
                <w:szCs w:val="18"/>
              </w:rPr>
            </w:pPr>
            <w:r>
              <w:rPr>
                <w:rFonts w:ascii="宋体" w:hAnsi="宋体" w:cs="宋体" w:eastAsia="宋体" w:hint="default"/>
                <w:sz w:val="18"/>
                <w:szCs w:val="18"/>
              </w:rPr>
              <w:t>采用会计准则《企业会计准则第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p>
            <w:pPr>
              <w:pStyle w:val="TableParagraph"/>
              <w:spacing w:line="240" w:lineRule="auto" w:before="63"/>
              <w:ind w:left="1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063"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62"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18,769,984.01</w:t>
            </w:r>
          </w:p>
        </w:tc>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18,769,984.01</w:t>
            </w:r>
          </w:p>
        </w:tc>
      </w:tr>
      <w:tr>
        <w:trPr>
          <w:trHeight w:val="361"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18,769,984.01</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-18,769,984.01</w:t>
            </w:r>
          </w:p>
        </w:tc>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0.00</w:t>
            </w:r>
          </w:p>
        </w:tc>
      </w:tr>
    </w:tbl>
    <w:p>
      <w:pPr>
        <w:pStyle w:val="Heading7"/>
        <w:spacing w:line="276" w:lineRule="exact" w:before="0"/>
        <w:ind w:left="574" w:right="0"/>
        <w:jc w:val="left"/>
      </w:pPr>
      <w:r>
        <w:rPr/>
        <w:t>（</w:t>
      </w:r>
      <w:r>
        <w:rPr>
          <w:rFonts w:ascii="Times New Roman" w:hAnsi="Times New Roman" w:cs="Times New Roman" w:eastAsia="Times New Roman" w:hint="default"/>
        </w:rPr>
        <w:t>2</w:t>
      </w:r>
      <w:r>
        <w:rPr/>
        <w:t>）公司报表</w:t>
      </w:r>
    </w:p>
    <w:p>
      <w:pPr>
        <w:pStyle w:val="Heading7"/>
        <w:spacing w:line="240" w:lineRule="auto" w:before="21"/>
        <w:ind w:left="0" w:right="1638"/>
        <w:jc w:val="right"/>
      </w:pPr>
      <w:r>
        <w:rPr>
          <w:spacing w:val="-1"/>
        </w:rPr>
        <w:t>单位：元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810"/>
        <w:gridCol w:w="1560"/>
        <w:gridCol w:w="4394"/>
        <w:gridCol w:w="1559"/>
      </w:tblGrid>
      <w:tr>
        <w:trPr>
          <w:trHeight w:val="356" w:hRule="exact"/>
        </w:trPr>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43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42"/>
              <w:jc w:val="right"/>
              <w:rPr>
                <w:rFonts w:ascii="宋体" w:hAnsi="宋体" w:cs="宋体" w:eastAsia="宋体" w:hint="default"/>
                <w:sz w:val="18"/>
                <w:szCs w:val="18"/>
              </w:rPr>
            </w:pPr>
            <w:r>
              <w:rPr>
                <w:rFonts w:ascii="宋体" w:hAnsi="宋体" w:cs="宋体" w:eastAsia="宋体" w:hint="default"/>
                <w:sz w:val="18"/>
                <w:szCs w:val="18"/>
              </w:rPr>
              <w:t>采用会计准则（《企业会计准则</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61"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0.00</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67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204,659,195.25</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203,659,195.25</w:t>
            </w:r>
          </w:p>
        </w:tc>
      </w:tr>
      <w:tr>
        <w:trPr>
          <w:trHeight w:val="67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采用会计准则《企业会计准则第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61"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53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0.00</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18,769,984.01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0"/>
              <w:ind w:left="253" w:right="0"/>
              <w:jc w:val="left"/>
              <w:rPr>
                <w:rFonts w:ascii="Times New Roman" w:hAnsi="Times New Roman" w:cs="Times New Roman" w:eastAsia="Times New Roman" w:hint="default"/>
                <w:sz w:val="18"/>
                <w:szCs w:val="18"/>
              </w:rPr>
            </w:pPr>
            <w:r>
              <w:rPr>
                <w:rFonts w:ascii="Times New Roman"/>
                <w:sz w:val="18"/>
              </w:rPr>
              <w:t>18,769,984.01</w:t>
            </w:r>
          </w:p>
        </w:tc>
      </w:tr>
      <w:tr>
        <w:trPr>
          <w:trHeight w:val="36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left="254" w:right="0"/>
              <w:jc w:val="left"/>
              <w:rPr>
                <w:rFonts w:ascii="Times New Roman" w:hAnsi="Times New Roman" w:cs="Times New Roman" w:eastAsia="Times New Roman" w:hint="default"/>
                <w:sz w:val="18"/>
                <w:szCs w:val="18"/>
              </w:rPr>
            </w:pPr>
            <w:r>
              <w:rPr>
                <w:rFonts w:ascii="Times New Roman"/>
                <w:sz w:val="18"/>
              </w:rPr>
              <w:t>18,769,984.01</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-18,769,984.01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pStyle w:val="Heading7"/>
        <w:spacing w:line="256" w:lineRule="auto" w:before="35"/>
        <w:ind w:left="574" w:right="6972"/>
        <w:jc w:val="left"/>
      </w:pPr>
      <w:r>
        <w:rPr>
          <w:rFonts w:ascii="Times New Roman" w:hAnsi="Times New Roman" w:cs="Times New Roman" w:eastAsia="Times New Roman" w:hint="default"/>
        </w:rPr>
        <w:t>2</w:t>
      </w:r>
      <w:r>
        <w:rPr/>
        <w:t>、会计估计变更 报告期内，本公司会计估计无变更。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9"/>
        <w:ind w:left="154" w:right="0"/>
        <w:jc w:val="left"/>
        <w:rPr>
          <w:b w:val="0"/>
          <w:bCs w:val="0"/>
        </w:rPr>
      </w:pPr>
      <w:bookmarkStart w:name="十一、报告期内发生重大会计差错更正需追溯重述的情况说明" w:id="50"/>
      <w:bookmarkEnd w:id="50"/>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十二、与上年度财务报告相比，合并报表范围发生变化的情况说明" w:id="51"/>
      <w:bookmarkEnd w:id="51"/>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56" w:lineRule="auto" w:before="77"/>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公司第五届董事会第四次会议审议通过了《关于对外投资拟收购股权的议案》，同意以自有资金出资</w:t>
      </w:r>
    </w:p>
    <w:p>
      <w:pPr>
        <w:pStyle w:val="Heading7"/>
        <w:spacing w:line="240" w:lineRule="auto" w:before="22"/>
        <w:ind w:right="0"/>
        <w:jc w:val="left"/>
      </w:pPr>
      <w:r>
        <w:rPr>
          <w:rFonts w:ascii="Times New Roman" w:hAnsi="Times New Roman" w:cs="Times New Roman" w:eastAsia="Times New Roman" w:hint="default"/>
        </w:rPr>
        <w:t>1,020</w:t>
      </w:r>
      <w:r>
        <w:rPr/>
        <w:t>万元受让崔亚朋先生持有的北京神航星云科技股份有限公司</w:t>
      </w:r>
      <w:r>
        <w:rPr>
          <w:rFonts w:ascii="Times New Roman" w:hAnsi="Times New Roman" w:cs="Times New Roman" w:eastAsia="Times New Roman" w:hint="default"/>
        </w:rPr>
        <w:t>51%</w:t>
      </w:r>
      <w:r>
        <w:rPr/>
        <w:t>的股权。</w:t>
      </w:r>
    </w:p>
    <w:p>
      <w:pPr>
        <w:pStyle w:val="Heading6"/>
        <w:spacing w:line="240" w:lineRule="auto" w:before="21"/>
        <w:ind w:left="576"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pStyle w:val="Heading7"/>
        <w:spacing w:line="266" w:lineRule="auto" w:before="21"/>
        <w:ind w:right="1138" w:firstLine="420"/>
        <w:jc w:val="both"/>
      </w:pPr>
      <w:r>
        <w:rPr/>
        <w:t>（</w:t>
      </w:r>
      <w:r>
        <w:rPr>
          <w:rFonts w:ascii="Times New Roman" w:hAnsi="Times New Roman" w:cs="Times New Roman" w:eastAsia="Times New Roman" w:hint="default"/>
        </w:rPr>
        <w:t>1</w:t>
      </w:r>
      <w:r>
        <w:rPr/>
        <w:t>）公司第五届董事会第十一次会议审议通过了《关于全资子公司对外投资的议案》，同意子公司 </w:t>
      </w:r>
      <w:r>
        <w:rPr>
          <w:spacing w:val="3"/>
        </w:rPr>
        <w:t>珠海横琴新区集睿思信息技术有限公司与南京广安科技有限公司共同出资设立南京远光广安信息科技有</w:t>
      </w:r>
      <w:r>
        <w:rPr>
          <w:spacing w:val="-82"/>
        </w:rPr>
        <w:t> </w:t>
      </w:r>
      <w:r>
        <w:rPr>
          <w:spacing w:val="-82"/>
        </w:rPr>
      </w:r>
      <w:r>
        <w:rPr/>
        <w:t>限公司，并于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日取得注册号为</w:t>
      </w:r>
      <w:r>
        <w:rPr>
          <w:rFonts w:ascii="Times New Roman" w:hAnsi="Times New Roman" w:cs="Times New Roman" w:eastAsia="Times New Roman" w:hint="default"/>
        </w:rPr>
        <w:t>320106000266939</w:t>
      </w:r>
      <w:r>
        <w:rPr/>
        <w:t>的企业法人营业执照。</w:t>
      </w:r>
    </w:p>
    <w:p>
      <w:pPr>
        <w:pStyle w:val="Heading7"/>
        <w:spacing w:line="256" w:lineRule="auto" w:before="0"/>
        <w:ind w:right="1131" w:firstLine="420"/>
        <w:jc w:val="both"/>
      </w:pPr>
      <w:r>
        <w:rPr/>
        <w:t>（</w:t>
      </w:r>
      <w:r>
        <w:rPr>
          <w:rFonts w:ascii="Times New Roman" w:hAnsi="Times New Roman" w:cs="Times New Roman" w:eastAsia="Times New Roman" w:hint="default"/>
        </w:rPr>
        <w:t>2</w:t>
      </w:r>
      <w:r>
        <w:rPr/>
        <w:t>）公司本期投资设立全资子公司北京远光非凡科技有限公司，北京远光非凡科技有限公司于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日成立，并取得注册号为</w:t>
      </w:r>
      <w:r>
        <w:rPr>
          <w:rFonts w:ascii="Times New Roman" w:hAnsi="Times New Roman" w:cs="Times New Roman" w:eastAsia="Times New Roman" w:hint="default"/>
        </w:rPr>
        <w:t>110302017391227</w:t>
      </w:r>
      <w:r>
        <w:rPr/>
        <w:t>的企业法人营业执照。</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公司利润分配及分红派息情况" w:id="52"/>
      <w:bookmarkEnd w:id="52"/>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报告期内利润分配政策的制定、执行或调整情况</w:t>
      </w:r>
    </w:p>
    <w:p>
      <w:pPr>
        <w:pStyle w:val="BodyText"/>
        <w:spacing w:line="319" w:lineRule="auto" w:before="116"/>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根据中国证券监督管理委员会《上市公司监管指引第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上市公司现金分红》的要求，公司第五届董事会第十二次会议通 </w:t>
      </w:r>
      <w:r>
        <w:rPr>
          <w:spacing w:val="-2"/>
        </w:rPr>
        <w:t>过《关于修改公司章程的议案》，同意对公司章程第一百七十七条中涉及公司利润分配的内容进行修订，同时公司第五届董</w:t>
      </w:r>
    </w:p>
    <w:p>
      <w:pPr>
        <w:pStyle w:val="BodyText"/>
        <w:spacing w:line="300" w:lineRule="auto" w:before="17"/>
        <w:ind w:right="1153"/>
        <w:jc w:val="left"/>
      </w:pPr>
      <w:r>
        <w:rPr/>
        <w:t>事会第十二次会议审议通过了《未来三年股东回报规划》，重新制定了《公司未来三年股东回报规划（</w:t>
      </w:r>
      <w:r>
        <w:rPr>
          <w:rFonts w:ascii="Times New Roman" w:hAnsi="Times New Roman" w:cs="Times New Roman" w:eastAsia="Times New Roman" w:hint="default"/>
        </w:rPr>
        <w:t>2014-2016</w:t>
      </w:r>
      <w:r>
        <w:rPr/>
        <w:t>年）》， 进一步增强现金分红透明度，维护公司全体股东的合法权益。以上议案均已经</w:t>
      </w:r>
      <w:r>
        <w:rPr>
          <w:rFonts w:ascii="Times New Roman" w:hAnsi="Times New Roman" w:cs="Times New Roman" w:eastAsia="Times New Roman" w:hint="default"/>
        </w:rPr>
        <w:t>2014</w:t>
      </w:r>
      <w:r>
        <w:rPr/>
        <w:t>年第一次临时股东大会审议通过。</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3"/>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w:t>
      </w:r>
      <w:r>
        <w:rPr>
          <w:spacing w:val="-1"/>
        </w:rPr>
        <w:t>公司</w:t>
      </w:r>
      <w:r>
        <w:rPr>
          <w:rFonts w:ascii="Times New Roman" w:hAnsi="Times New Roman" w:cs="Times New Roman" w:eastAsia="Times New Roman" w:hint="default"/>
          <w:spacing w:val="-1"/>
        </w:rPr>
        <w:t>2014</w:t>
      </w:r>
      <w:r>
        <w:rPr>
          <w:spacing w:val="-1"/>
        </w:rPr>
        <w:t>年度利润分配预案为：以公司现有股本总额</w:t>
      </w:r>
      <w:r>
        <w:rPr>
          <w:rFonts w:ascii="Times New Roman" w:hAnsi="Times New Roman" w:cs="Times New Roman" w:eastAsia="Times New Roman" w:hint="default"/>
          <w:spacing w:val="-1"/>
        </w:rPr>
        <w:t>461,770,146</w:t>
      </w:r>
      <w:r>
        <w:rPr>
          <w:spacing w:val="-1"/>
        </w:rPr>
        <w:t>股为基数，扣除公司回购专户持有的公司股份</w:t>
      </w:r>
      <w:r>
        <w:rPr>
          <w:rFonts w:ascii="Times New Roman" w:hAnsi="Times New Roman" w:cs="Times New Roman" w:eastAsia="Times New Roman" w:hint="default"/>
          <w:spacing w:val="-1"/>
        </w:rPr>
        <w:t>54,600</w:t>
      </w:r>
      <w:r>
        <w:rPr>
          <w:spacing w:val="-1"/>
        </w:rPr>
        <w:t>股，即</w:t>
      </w:r>
      <w:r>
        <w:rPr>
          <w:spacing w:val="-69"/>
        </w:rPr>
        <w:t> </w:t>
      </w:r>
      <w:r>
        <w:rPr>
          <w:spacing w:val="-69"/>
        </w:rPr>
      </w:r>
      <w:r>
        <w:rPr>
          <w:spacing w:val="-3"/>
        </w:rPr>
        <w:t>以</w:t>
      </w:r>
      <w:r>
        <w:rPr>
          <w:rFonts w:ascii="Times New Roman" w:hAnsi="Times New Roman" w:cs="Times New Roman" w:eastAsia="Times New Roman" w:hint="default"/>
          <w:spacing w:val="-3"/>
        </w:rPr>
        <w:t>461,715,546</w:t>
      </w:r>
      <w:r>
        <w:rPr>
          <w:spacing w:val="-3"/>
        </w:rPr>
        <w:t>股为分配基数，向除公司回购专户外持有公司股份的其他全体股东每</w:t>
      </w:r>
      <w:r>
        <w:rPr>
          <w:rFonts w:ascii="Times New Roman" w:hAnsi="Times New Roman" w:cs="Times New Roman" w:eastAsia="Times New Roman" w:hint="default"/>
          <w:spacing w:val="-3"/>
        </w:rPr>
        <w:t>10</w:t>
      </w:r>
      <w:r>
        <w:rPr>
          <w:spacing w:val="-3"/>
        </w:rPr>
        <w:t>股送红股</w:t>
      </w:r>
      <w:r>
        <w:rPr>
          <w:rFonts w:ascii="Times New Roman" w:hAnsi="Times New Roman" w:cs="Times New Roman" w:eastAsia="Times New Roman" w:hint="default"/>
          <w:spacing w:val="-3"/>
        </w:rPr>
        <w:t>3</w:t>
      </w:r>
      <w:r>
        <w:rPr>
          <w:spacing w:val="-3"/>
        </w:rPr>
        <w:t>股并派发现金红利</w:t>
      </w:r>
      <w:r>
        <w:rPr>
          <w:rFonts w:ascii="Times New Roman" w:hAnsi="Times New Roman" w:cs="Times New Roman" w:eastAsia="Times New Roman" w:hint="default"/>
          <w:spacing w:val="-3"/>
        </w:rPr>
        <w:t>0.75</w:t>
      </w:r>
      <w:r>
        <w:rPr>
          <w:spacing w:val="-3"/>
        </w:rPr>
        <w:t>元（含</w:t>
      </w:r>
    </w:p>
    <w:p>
      <w:pPr>
        <w:pStyle w:val="BodyText"/>
        <w:spacing w:line="302" w:lineRule="auto" w:before="0"/>
        <w:ind w:right="1039"/>
        <w:jc w:val="left"/>
      </w:pPr>
      <w:r>
        <w:rPr>
          <w:spacing w:val="-4"/>
        </w:rPr>
        <w:t>税），共计送红股</w:t>
      </w:r>
      <w:r>
        <w:rPr>
          <w:rFonts w:ascii="Times New Roman" w:hAnsi="Times New Roman" w:cs="Times New Roman" w:eastAsia="Times New Roman" w:hint="default"/>
          <w:spacing w:val="-4"/>
        </w:rPr>
        <w:t>138,514,663</w:t>
      </w:r>
      <w:r>
        <w:rPr>
          <w:spacing w:val="-4"/>
        </w:rPr>
        <w:t>股、派发现金股利</w:t>
      </w:r>
      <w:r>
        <w:rPr>
          <w:rFonts w:ascii="Times New Roman" w:hAnsi="Times New Roman" w:cs="Times New Roman" w:eastAsia="Times New Roman" w:hint="default"/>
          <w:spacing w:val="-4"/>
        </w:rPr>
        <w:t>34,628,665.95</w:t>
      </w:r>
      <w:r>
        <w:rPr>
          <w:spacing w:val="-4"/>
        </w:rPr>
        <w:t>元。本次利润分配方案完成后，剩余未分配利润为</w:t>
      </w:r>
      <w:r>
        <w:rPr>
          <w:rFonts w:ascii="Times New Roman" w:hAnsi="Times New Roman" w:cs="Times New Roman" w:eastAsia="Times New Roman" w:hint="default"/>
          <w:spacing w:val="-4"/>
        </w:rPr>
        <w:t>710,773,571.86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元，结转至以后年度。 公司</w:t>
      </w:r>
      <w:r>
        <w:rPr>
          <w:rFonts w:ascii="Times New Roman" w:hAnsi="Times New Roman" w:cs="Times New Roman" w:eastAsia="Times New Roman" w:hint="default"/>
        </w:rPr>
        <w:t>2013</w:t>
      </w:r>
      <w:r>
        <w:rPr/>
        <w:t>年度利润分配方案为：以公司现有股本总额</w:t>
      </w:r>
      <w:r>
        <w:rPr>
          <w:rFonts w:ascii="Times New Roman" w:hAnsi="Times New Roman" w:cs="Times New Roman" w:eastAsia="Times New Roman" w:hint="default"/>
        </w:rPr>
        <w:t>461,998,326</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w:t>
      </w:r>
      <w:r>
        <w:rPr>
          <w:rFonts w:ascii="Times New Roman" w:hAnsi="Times New Roman" w:cs="Times New Roman" w:eastAsia="Times New Roman" w:hint="default"/>
          <w:spacing w:val="29"/>
        </w:rPr>
        <w:t> </w:t>
      </w:r>
      <w:r>
        <w:rPr/>
        <w:t>元（含税，</w:t>
      </w:r>
      <w:r>
        <w:rPr>
          <w:spacing w:val="-79"/>
        </w:rPr>
        <w:t> </w:t>
      </w:r>
      <w:r>
        <w:rPr>
          <w:spacing w:val="-79"/>
        </w:rPr>
      </w:r>
      <w:r>
        <w:rPr/>
        <w:t>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14"/>
        </w:rPr>
        <w:t> </w:t>
      </w:r>
      <w:r>
        <w:rPr/>
        <w:t>以及持有股改限售股、新股限售股的个人和证券投资基金每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0.45</w:t>
      </w:r>
      <w:r>
        <w:rPr/>
        <w:t>元；持有非股改、非新股限售</w:t>
      </w:r>
      <w:r>
        <w:rPr>
          <w:w w:val="99"/>
        </w:rPr>
        <w:t> </w:t>
      </w:r>
      <w:r>
        <w:rPr/>
        <w:t>股及无限售流通股的个人、证券投资基金股息红利税实行差别化税率征收，先按每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0.475</w:t>
      </w:r>
      <w:r>
        <w:rPr/>
        <w:t>元，权益登记日后根据投资</w:t>
      </w:r>
      <w:r>
        <w:rPr>
          <w:w w:val="99"/>
        </w:rPr>
        <w:t> </w:t>
      </w:r>
      <w:r>
        <w:rPr/>
        <w:t>者减持股票情况，再按实际持股期限补缴税款</w:t>
      </w:r>
      <w:r>
        <w:rPr>
          <w:rFonts w:ascii="Times New Roman" w:hAnsi="Times New Roman" w:cs="Times New Roman" w:eastAsia="Times New Roman" w:hint="default"/>
        </w:rPr>
        <w:t>ª</w:t>
      </w:r>
      <w:r>
        <w:rPr/>
        <w:t>；对于</w:t>
      </w:r>
      <w:r>
        <w:rPr>
          <w:spacing w:val="-19"/>
        </w:rPr>
        <w:t> </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外的其他非居民企业，本公司未代扣代缴所得税，由纳</w:t>
      </w:r>
      <w:r>
        <w:rPr>
          <w:w w:val="99"/>
        </w:rPr>
        <w:t> </w:t>
      </w:r>
      <w:r>
        <w:rPr/>
        <w:t>税人在所得发生地缴纳）。</w:t>
      </w:r>
      <w:r>
        <w:rPr>
          <w:spacing w:val="-18"/>
        </w:rPr>
        <w:t> </w:t>
      </w:r>
      <w:r>
        <w:rPr/>
        <w:t>该利润分配方案已于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日实施。</w:t>
      </w:r>
      <w:r>
        <w:rPr>
          <w:w w:val="99"/>
        </w:rPr>
        <w:t> </w:t>
      </w:r>
      <w:r>
        <w:rPr/>
        <w:t>公司</w:t>
      </w:r>
      <w:r>
        <w:rPr>
          <w:rFonts w:ascii="Times New Roman" w:hAnsi="Times New Roman" w:cs="Times New Roman" w:eastAsia="Times New Roman" w:hint="default"/>
        </w:rPr>
        <w:t>2012</w:t>
      </w:r>
      <w:r>
        <w:rPr/>
        <w:t>年度利润分配方案为：以公司现有股本总额</w:t>
      </w:r>
      <w:r>
        <w:rPr>
          <w:rFonts w:ascii="Times New Roman" w:hAnsi="Times New Roman" w:cs="Times New Roman" w:eastAsia="Times New Roman" w:hint="default"/>
        </w:rPr>
        <w:t>461,754,801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元（含税，扣</w:t>
      </w:r>
      <w:r>
        <w:rPr>
          <w:w w:val="99"/>
        </w:rPr>
        <w:t> </w:t>
      </w:r>
      <w:r>
        <w:rPr/>
        <w:t>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26"/>
        </w:rPr>
        <w:t> </w:t>
      </w:r>
      <w:r>
        <w:rPr/>
        <w:t>以及持有股改限售股、新股限售股的个人和证券投资基金每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1.8</w:t>
      </w:r>
      <w:r>
        <w:rPr/>
        <w:t>元；持有非股改、非新股限售股</w:t>
      </w:r>
      <w:r>
        <w:rPr>
          <w:w w:val="99"/>
        </w:rPr>
        <w:t> </w:t>
      </w:r>
      <w:r>
        <w:rPr/>
        <w:t>及无限售流通股的个人、证券投资基金股息红利税实行差别化税率征收，先按每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1.9</w:t>
      </w:r>
      <w:r>
        <w:rPr/>
        <w:t>元，权益登记日后根据投资者减</w:t>
      </w:r>
      <w:r>
        <w:rPr>
          <w:w w:val="99"/>
        </w:rPr>
        <w:t> </w:t>
      </w:r>
      <w:r>
        <w:rPr/>
        <w:t>持股票情况，再按实际持股期限补缴税款；对于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rFonts w:ascii="Times New Roman" w:hAnsi="Times New Roman" w:cs="Times New Roman" w:eastAsia="Times New Roman" w:hint="default"/>
          <w:spacing w:val="-5"/>
        </w:rPr>
        <w:t> </w:t>
      </w:r>
      <w:r>
        <w:rPr/>
        <w:t>外的其他非居民企业，我公司未代扣代缴所得税，由纳税人在</w:t>
      </w:r>
      <w:r>
        <w:rPr>
          <w:w w:val="99"/>
        </w:rPr>
        <w:t> </w:t>
      </w:r>
      <w:r>
        <w:rPr/>
        <w:t>所得发生地缴纳）。该利润分配方案已于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日实施。</w:t>
      </w:r>
    </w:p>
    <w:p>
      <w:pPr>
        <w:pStyle w:val="BodyText"/>
        <w:spacing w:line="240" w:lineRule="auto" w:before="52"/>
        <w:ind w:left="154" w:right="0"/>
        <w:jc w:val="left"/>
      </w:pPr>
      <w:r>
        <w:rPr/>
        <w:t>公司近三年现金分红情况表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34,628,665.95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190,570,344.02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23,099,916.30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340,954,072.86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92,350,960.20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288,004,446.86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公司报告期内盈利且母公司未分配利润为正但未提出现金红利分配预案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本报告期利润分配及资本公积金转增股本预案" w:id="53"/>
      <w:bookmarkEnd w:id="53"/>
      <w:r>
        <w:rPr>
          <w:b w:val="0"/>
          <w:bCs w:val="0"/>
        </w:rPr>
      </w:r>
      <w:r>
        <w:rPr/>
        <w:t>十四、本报告期利润分配及资本公积金转增股本预案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461,715,546</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34,628,665.95</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883,916,900.81</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240" w:lineRule="auto" w:before="51"/>
        <w:ind w:left="514" w:right="0"/>
        <w:jc w:val="left"/>
        <w:rPr>
          <w:rFonts w:ascii="Times New Roman" w:hAnsi="Times New Roman" w:cs="Times New Roman" w:eastAsia="Times New Roman" w:hint="default"/>
        </w:rPr>
      </w:pPr>
      <w:r>
        <w:rPr/>
        <w:t>公司 </w:t>
      </w:r>
      <w:r>
        <w:rPr>
          <w:rFonts w:ascii="Times New Roman" w:hAnsi="Times New Roman" w:cs="Times New Roman" w:eastAsia="Times New Roman" w:hint="default"/>
        </w:rPr>
        <w:t>2014  </w:t>
      </w:r>
      <w:r>
        <w:rPr/>
        <w:t>年度母公司实现的净利润 </w:t>
      </w:r>
      <w:r>
        <w:rPr>
          <w:rFonts w:ascii="Times New Roman" w:hAnsi="Times New Roman" w:cs="Times New Roman" w:eastAsia="Times New Roman" w:hint="default"/>
        </w:rPr>
        <w:t>206,429,154.50  </w:t>
      </w:r>
      <w:r>
        <w:rPr/>
        <w:t>元，根据《公司法》以及《公司章程》的规定，按净利润的</w:t>
      </w:r>
      <w:r>
        <w:rPr>
          <w:spacing w:val="-14"/>
        </w:rPr>
        <w:t> </w:t>
      </w:r>
      <w:r>
        <w:rPr>
          <w:rFonts w:ascii="Times New Roman" w:hAnsi="Times New Roman" w:cs="Times New Roman" w:eastAsia="Times New Roman" w:hint="default"/>
        </w:rPr>
        <w:t>10%</w:t>
      </w:r>
    </w:p>
    <w:p>
      <w:pPr>
        <w:pStyle w:val="BodyText"/>
        <w:spacing w:line="240" w:lineRule="auto" w:before="61"/>
        <w:ind w:right="0"/>
        <w:jc w:val="left"/>
      </w:pPr>
      <w:r>
        <w:rPr/>
        <w:t>计提法定盈余公积</w:t>
      </w:r>
      <w:r>
        <w:rPr>
          <w:spacing w:val="-47"/>
        </w:rPr>
        <w:t> </w:t>
      </w:r>
      <w:r>
        <w:rPr>
          <w:rFonts w:ascii="Times New Roman" w:hAnsi="Times New Roman" w:cs="Times New Roman" w:eastAsia="Times New Roman" w:hint="default"/>
        </w:rPr>
        <w:t>20,642,915.45</w:t>
      </w:r>
      <w:r>
        <w:rPr>
          <w:rFonts w:ascii="Times New Roman" w:hAnsi="Times New Roman" w:cs="Times New Roman" w:eastAsia="Times New Roman" w:hint="default"/>
          <w:spacing w:val="-1"/>
        </w:rPr>
        <w:t> </w:t>
      </w:r>
      <w:r>
        <w:rPr/>
        <w:t>元，本年度实现可供股东分配的利润为</w:t>
      </w:r>
      <w:r>
        <w:rPr>
          <w:spacing w:val="-47"/>
        </w:rPr>
        <w:t> </w:t>
      </w:r>
      <w:r>
        <w:rPr>
          <w:rFonts w:ascii="Times New Roman" w:hAnsi="Times New Roman" w:cs="Times New Roman" w:eastAsia="Times New Roman" w:hint="default"/>
        </w:rPr>
        <w:t>185,786,239.05</w:t>
      </w:r>
      <w:r>
        <w:rPr>
          <w:rFonts w:ascii="Times New Roman" w:hAnsi="Times New Roman" w:cs="Times New Roman" w:eastAsia="Times New Roman" w:hint="default"/>
          <w:spacing w:val="42"/>
        </w:rPr>
        <w:t> </w:t>
      </w:r>
      <w:r>
        <w:rPr/>
        <w:t>元；加上以前年度未分配利润</w:t>
      </w:r>
    </w:p>
    <w:p>
      <w:pPr>
        <w:pStyle w:val="BodyText"/>
        <w:spacing w:line="240" w:lineRule="auto" w:before="64"/>
        <w:ind w:right="0"/>
        <w:jc w:val="left"/>
      </w:pPr>
      <w:r>
        <w:rPr>
          <w:rFonts w:ascii="Times New Roman" w:hAnsi="Times New Roman" w:cs="Times New Roman" w:eastAsia="Times New Roman" w:hint="default"/>
        </w:rPr>
        <w:t>714,651,347.01 </w:t>
      </w:r>
      <w:r>
        <w:rPr/>
        <w:t>元，本年度可供股东分配的未分配利润为 </w:t>
      </w:r>
      <w:r>
        <w:rPr>
          <w:rFonts w:ascii="Times New Roman" w:hAnsi="Times New Roman" w:cs="Times New Roman" w:eastAsia="Times New Roman" w:hint="default"/>
        </w:rPr>
        <w:t>900,437,586.06</w:t>
      </w:r>
      <w:r>
        <w:rPr>
          <w:rFonts w:ascii="Times New Roman" w:hAnsi="Times New Roman" w:cs="Times New Roman" w:eastAsia="Times New Roman" w:hint="default"/>
          <w:spacing w:val="-4"/>
        </w:rPr>
        <w:t> </w:t>
      </w:r>
      <w:r>
        <w:rPr/>
        <w:t>元。</w:t>
      </w:r>
    </w:p>
    <w:p>
      <w:pPr>
        <w:pStyle w:val="BodyText"/>
        <w:spacing w:line="240" w:lineRule="auto" w:before="103"/>
        <w:ind w:left="604" w:right="0"/>
        <w:jc w:val="left"/>
      </w:pPr>
      <w:r>
        <w:rPr/>
        <w:t>公司 </w:t>
      </w:r>
      <w:r>
        <w:rPr>
          <w:rFonts w:ascii="Times New Roman" w:hAnsi="Times New Roman" w:cs="Times New Roman" w:eastAsia="Times New Roman" w:hint="default"/>
        </w:rPr>
        <w:t>2014 </w:t>
      </w:r>
      <w:r>
        <w:rPr/>
        <w:t>年度合并报表实现归属上市公司股东的净利润 </w:t>
      </w:r>
      <w:r>
        <w:rPr>
          <w:rFonts w:ascii="Times New Roman" w:hAnsi="Times New Roman" w:cs="Times New Roman" w:eastAsia="Times New Roman" w:hint="default"/>
        </w:rPr>
        <w:t>190,570,344.02</w:t>
      </w:r>
      <w:r>
        <w:rPr>
          <w:rFonts w:ascii="Times New Roman" w:hAnsi="Times New Roman" w:cs="Times New Roman" w:eastAsia="Times New Roman" w:hint="default"/>
          <w:spacing w:val="-3"/>
        </w:rPr>
        <w:t> </w:t>
      </w:r>
      <w:r>
        <w:rPr/>
        <w:t>元，根据《公司法》以及《公司章程》的规</w:t>
      </w:r>
    </w:p>
    <w:p>
      <w:pPr>
        <w:pStyle w:val="BodyText"/>
        <w:spacing w:line="240" w:lineRule="auto" w:before="63"/>
        <w:ind w:left="154" w:right="0"/>
        <w:jc w:val="left"/>
      </w:pPr>
      <w:r>
        <w:rPr/>
        <w:t>定，计提法定盈余公积</w:t>
      </w:r>
      <w:r>
        <w:rPr>
          <w:spacing w:val="-3"/>
        </w:rPr>
        <w:t> </w:t>
      </w:r>
      <w:r>
        <w:rPr>
          <w:rFonts w:ascii="Times New Roman" w:hAnsi="Times New Roman" w:cs="Times New Roman" w:eastAsia="Times New Roman" w:hint="default"/>
        </w:rPr>
        <w:t>20,642,915.45</w:t>
      </w:r>
      <w:r>
        <w:rPr>
          <w:rFonts w:ascii="Times New Roman" w:hAnsi="Times New Roman" w:cs="Times New Roman" w:eastAsia="Times New Roman" w:hint="default"/>
          <w:spacing w:val="-2"/>
        </w:rPr>
        <w:t> </w:t>
      </w:r>
      <w:r>
        <w:rPr/>
        <w:t>元，本年度实现可供股东分配的利润为</w:t>
      </w:r>
      <w:r>
        <w:rPr>
          <w:spacing w:val="-48"/>
        </w:rPr>
        <w:t> </w:t>
      </w:r>
      <w:r>
        <w:rPr>
          <w:rFonts w:ascii="Times New Roman" w:hAnsi="Times New Roman" w:cs="Times New Roman" w:eastAsia="Times New Roman" w:hint="default"/>
        </w:rPr>
        <w:t>169,927,428.57</w:t>
      </w:r>
      <w:r>
        <w:rPr>
          <w:rFonts w:ascii="Times New Roman" w:hAnsi="Times New Roman" w:cs="Times New Roman" w:eastAsia="Times New Roman" w:hint="default"/>
          <w:spacing w:val="-2"/>
        </w:rPr>
        <w:t> </w:t>
      </w:r>
      <w:r>
        <w:rPr/>
        <w:t>元；加上以前年度未分配利润</w:t>
      </w:r>
    </w:p>
    <w:p>
      <w:pPr>
        <w:pStyle w:val="BodyText"/>
        <w:spacing w:line="240" w:lineRule="auto" w:before="64"/>
        <w:ind w:right="0"/>
        <w:jc w:val="left"/>
      </w:pPr>
      <w:r>
        <w:rPr>
          <w:rFonts w:ascii="Times New Roman" w:hAnsi="Times New Roman" w:cs="Times New Roman" w:eastAsia="Times New Roman" w:hint="default"/>
        </w:rPr>
        <w:t>713,989,472.24  </w:t>
      </w:r>
      <w:r>
        <w:rPr/>
        <w:t>元，本年度可供股东分配的未分配利润为 </w:t>
      </w:r>
      <w:r>
        <w:rPr>
          <w:rFonts w:ascii="Times New Roman" w:hAnsi="Times New Roman" w:cs="Times New Roman" w:eastAsia="Times New Roman" w:hint="default"/>
        </w:rPr>
        <w:t>883,916,900.81</w:t>
      </w:r>
      <w:r>
        <w:rPr>
          <w:rFonts w:ascii="Times New Roman" w:hAnsi="Times New Roman" w:cs="Times New Roman" w:eastAsia="Times New Roman" w:hint="default"/>
          <w:spacing w:val="-5"/>
        </w:rPr>
        <w:t> </w:t>
      </w:r>
      <w:r>
        <w:rPr/>
        <w:t>元。</w:t>
      </w:r>
    </w:p>
    <w:p>
      <w:pPr>
        <w:pStyle w:val="BodyText"/>
        <w:spacing w:line="240" w:lineRule="auto" w:before="102"/>
        <w:ind w:left="586" w:right="1481"/>
        <w:jc w:val="center"/>
      </w:pPr>
      <w:r>
        <w:rPr/>
        <w:t>根据合并报表、母公司报表中可供分配利润孰低原则，本年度可供股东分配的未分配利润为 </w:t>
      </w:r>
      <w:r>
        <w:rPr>
          <w:rFonts w:ascii="Times New Roman" w:hAnsi="Times New Roman" w:cs="Times New Roman" w:eastAsia="Times New Roman" w:hint="default"/>
        </w:rPr>
        <w:t>883,916,900.81</w:t>
      </w:r>
      <w:r>
        <w:rPr>
          <w:rFonts w:ascii="Times New Roman" w:hAnsi="Times New Roman" w:cs="Times New Roman" w:eastAsia="Times New Roman" w:hint="default"/>
          <w:spacing w:val="-1"/>
        </w:rPr>
        <w:t> </w:t>
      </w:r>
      <w:r>
        <w:rPr/>
        <w:t>元。</w:t>
      </w:r>
    </w:p>
    <w:p>
      <w:pPr>
        <w:pStyle w:val="BodyText"/>
        <w:spacing w:line="240" w:lineRule="auto" w:before="101"/>
        <w:ind w:left="604" w:right="0"/>
        <w:jc w:val="left"/>
      </w:pPr>
      <w:r>
        <w:rPr/>
        <w:t>在综合考虑公司业务前景、资产状况以及市场环境的前提下，拟以公司现有股本总额</w:t>
      </w:r>
      <w:r>
        <w:rPr>
          <w:spacing w:val="-74"/>
        </w:rPr>
        <w:t> </w:t>
      </w:r>
      <w:r>
        <w:rPr>
          <w:rFonts w:ascii="Times New Roman" w:hAnsi="Times New Roman" w:cs="Times New Roman" w:eastAsia="Times New Roman" w:hint="default"/>
        </w:rPr>
        <w:t>461,770,146</w:t>
      </w:r>
      <w:r>
        <w:rPr>
          <w:rFonts w:ascii="Times New Roman" w:hAnsi="Times New Roman" w:cs="Times New Roman" w:eastAsia="Times New Roman" w:hint="default"/>
          <w:spacing w:val="-30"/>
        </w:rPr>
        <w:t> </w:t>
      </w:r>
      <w:r>
        <w:rPr>
          <w:spacing w:val="-3"/>
        </w:rPr>
        <w:t>股为基数，扣除公司</w:t>
      </w:r>
    </w:p>
    <w:p>
      <w:pPr>
        <w:pStyle w:val="BodyText"/>
        <w:spacing w:line="240" w:lineRule="auto" w:before="63"/>
        <w:ind w:right="0"/>
        <w:jc w:val="left"/>
      </w:pPr>
      <w:r>
        <w:rPr/>
        <w:t>回购专户持有的公司股份</w:t>
      </w:r>
      <w:r>
        <w:rPr>
          <w:spacing w:val="-51"/>
        </w:rPr>
        <w:t> </w:t>
      </w:r>
      <w:r>
        <w:rPr>
          <w:rFonts w:ascii="Times New Roman" w:hAnsi="Times New Roman" w:cs="Times New Roman" w:eastAsia="Times New Roman" w:hint="default"/>
        </w:rPr>
        <w:t>54,600</w:t>
      </w:r>
      <w:r>
        <w:rPr>
          <w:rFonts w:ascii="Times New Roman" w:hAnsi="Times New Roman" w:cs="Times New Roman" w:eastAsia="Times New Roman" w:hint="default"/>
          <w:spacing w:val="-6"/>
        </w:rPr>
        <w:t> </w:t>
      </w:r>
      <w:r>
        <w:rPr>
          <w:spacing w:val="-5"/>
        </w:rPr>
        <w:t>股，即以</w:t>
      </w:r>
      <w:r>
        <w:rPr>
          <w:spacing w:val="-51"/>
        </w:rPr>
        <w:t> </w:t>
      </w:r>
      <w:r>
        <w:rPr>
          <w:rFonts w:ascii="Times New Roman" w:hAnsi="Times New Roman" w:cs="Times New Roman" w:eastAsia="Times New Roman" w:hint="default"/>
        </w:rPr>
        <w:t>461,715,546</w:t>
      </w:r>
      <w:r>
        <w:rPr>
          <w:rFonts w:ascii="Times New Roman" w:hAnsi="Times New Roman" w:cs="Times New Roman" w:eastAsia="Times New Roman" w:hint="default"/>
          <w:spacing w:val="-5"/>
        </w:rPr>
        <w:t> </w:t>
      </w:r>
      <w:r>
        <w:rPr/>
        <w:t>股为分配基数，向除公司回购专户外持有公司股份的其他全体股东每</w:t>
      </w:r>
    </w:p>
    <w:p>
      <w:pPr>
        <w:pStyle w:val="BodyText"/>
        <w:spacing w:line="240" w:lineRule="auto" w:before="63"/>
        <w:ind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股送红股</w:t>
      </w:r>
      <w:r>
        <w:rPr>
          <w:spacing w:val="-46"/>
        </w:rPr>
        <w:t> </w:t>
      </w:r>
      <w:r>
        <w:rPr>
          <w:rFonts w:ascii="Times New Roman" w:hAnsi="Times New Roman" w:cs="Times New Roman" w:eastAsia="Times New Roman" w:hint="default"/>
        </w:rPr>
        <w:t>3 </w:t>
      </w:r>
      <w:r>
        <w:rPr/>
        <w:t>股并派发现金红利</w:t>
      </w:r>
      <w:r>
        <w:rPr>
          <w:spacing w:val="-46"/>
        </w:rPr>
        <w:t> </w:t>
      </w:r>
      <w:r>
        <w:rPr>
          <w:rFonts w:ascii="Times New Roman" w:hAnsi="Times New Roman" w:cs="Times New Roman" w:eastAsia="Times New Roman" w:hint="default"/>
        </w:rPr>
        <w:t>0.75</w:t>
      </w:r>
      <w:r>
        <w:rPr>
          <w:rFonts w:ascii="Times New Roman" w:hAnsi="Times New Roman" w:cs="Times New Roman" w:eastAsia="Times New Roman" w:hint="default"/>
          <w:spacing w:val="-1"/>
        </w:rPr>
        <w:t> </w:t>
      </w:r>
      <w:r>
        <w:rPr>
          <w:spacing w:val="-10"/>
        </w:rPr>
        <w:t>元</w:t>
      </w:r>
      <w:r>
        <w:rPr>
          <w:spacing w:val="1"/>
        </w:rPr>
        <w:t>（</w:t>
      </w:r>
      <w:r>
        <w:rPr/>
        <w:t>含税</w:t>
      </w:r>
      <w:r>
        <w:rPr>
          <w:spacing w:val="-90"/>
        </w:rPr>
        <w:t>）</w:t>
      </w:r>
      <w:r>
        <w:rPr>
          <w:spacing w:val="-10"/>
        </w:rPr>
        <w:t>，</w:t>
      </w:r>
      <w:r>
        <w:rPr/>
        <w:t>共计送红股</w:t>
      </w:r>
      <w:r>
        <w:rPr>
          <w:spacing w:val="-46"/>
        </w:rPr>
        <w:t> </w:t>
      </w:r>
      <w:r>
        <w:rPr>
          <w:rFonts w:ascii="Times New Roman" w:hAnsi="Times New Roman" w:cs="Times New Roman" w:eastAsia="Times New Roman" w:hint="default"/>
        </w:rPr>
        <w:t>138,514,6</w:t>
      </w:r>
      <w:r>
        <w:rPr>
          <w:rFonts w:ascii="Times New Roman" w:hAnsi="Times New Roman" w:cs="Times New Roman" w:eastAsia="Times New Roman" w:hint="default"/>
          <w:spacing w:val="-2"/>
        </w:rPr>
        <w:t>6</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w:t>
      </w:r>
      <w:r>
        <w:rPr>
          <w:spacing w:val="-10"/>
        </w:rPr>
        <w:t>、</w:t>
      </w:r>
      <w:r>
        <w:rPr/>
        <w:t>派发现</w:t>
      </w:r>
      <w:r>
        <w:rPr>
          <w:spacing w:val="1"/>
        </w:rPr>
        <w:t>金</w:t>
      </w:r>
      <w:r>
        <w:rPr/>
        <w:t>股利</w:t>
      </w:r>
      <w:r>
        <w:rPr>
          <w:spacing w:val="-46"/>
        </w:rPr>
        <w:t> </w:t>
      </w:r>
      <w:r>
        <w:rPr>
          <w:rFonts w:ascii="Times New Roman" w:hAnsi="Times New Roman" w:cs="Times New Roman" w:eastAsia="Times New Roman" w:hint="default"/>
        </w:rPr>
        <w:t>34,628,66</w:t>
      </w:r>
      <w:r>
        <w:rPr>
          <w:rFonts w:ascii="Times New Roman" w:hAnsi="Times New Roman" w:cs="Times New Roman" w:eastAsia="Times New Roman" w:hint="default"/>
          <w:spacing w:val="-2"/>
        </w:rPr>
        <w:t>5</w:t>
      </w:r>
      <w:r>
        <w:rPr>
          <w:rFonts w:ascii="Times New Roman" w:hAnsi="Times New Roman" w:cs="Times New Roman" w:eastAsia="Times New Roman" w:hint="default"/>
        </w:rPr>
        <w:t>.95 </w:t>
      </w:r>
      <w:r>
        <w:rPr/>
        <w:t>元</w:t>
      </w:r>
      <w:r>
        <w:rPr>
          <w:spacing w:val="-10"/>
        </w:rPr>
        <w:t>。</w:t>
      </w:r>
      <w:r>
        <w:rPr/>
        <w:t>本次利</w:t>
      </w:r>
      <w:r>
        <w:rPr>
          <w:spacing w:val="1"/>
        </w:rPr>
        <w:t>润</w:t>
      </w:r>
      <w:r>
        <w:rPr/>
        <w:t>分</w:t>
      </w:r>
    </w:p>
    <w:p>
      <w:pPr>
        <w:pStyle w:val="BodyText"/>
        <w:spacing w:line="240" w:lineRule="auto" w:before="64"/>
        <w:ind w:left="154" w:right="0"/>
        <w:jc w:val="left"/>
      </w:pPr>
      <w:r>
        <w:rPr>
          <w:spacing w:val="-5"/>
        </w:rPr>
        <w:t>配方案完成后，剩余未分配利润为 </w:t>
      </w:r>
      <w:r>
        <w:rPr>
          <w:rFonts w:ascii="Times New Roman" w:hAnsi="Times New Roman" w:cs="Times New Roman" w:eastAsia="Times New Roman" w:hint="default"/>
        </w:rPr>
        <w:t>710,773,571.86</w:t>
      </w:r>
      <w:r>
        <w:rPr>
          <w:rFonts w:ascii="Times New Roman" w:hAnsi="Times New Roman" w:cs="Times New Roman" w:eastAsia="Times New Roman" w:hint="default"/>
          <w:spacing w:val="-18"/>
        </w:rPr>
        <w:t> </w:t>
      </w:r>
      <w:r>
        <w:rPr>
          <w:spacing w:val="-5"/>
        </w:rPr>
        <w:t>元，结转至以后年度。利润分配方案符合公司章程和相关法律法规的规定。</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五、社会责任情况" w:id="54"/>
      <w:bookmarkEnd w:id="54"/>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11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详见公司于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日在巨潮资讯网（</w:t>
      </w:r>
      <w:hyperlink r:id="rId10">
        <w:r>
          <w:rPr>
            <w:rFonts w:ascii="Times New Roman" w:hAnsi="Times New Roman" w:cs="Times New Roman" w:eastAsia="Times New Roman" w:hint="default"/>
            <w:spacing w:val="-3"/>
          </w:rPr>
          <w:t>www.cninfo.com.cn</w:t>
        </w:r>
      </w:hyperlink>
      <w:r>
        <w:rPr>
          <w:spacing w:val="-3"/>
        </w:rPr>
        <w:t>）上披露的《远光软件股份有限公司</w:t>
      </w:r>
      <w:r>
        <w:rPr>
          <w:rFonts w:ascii="Times New Roman" w:hAnsi="Times New Roman" w:cs="Times New Roman" w:eastAsia="Times New Roman" w:hint="default"/>
          <w:spacing w:val="-3"/>
        </w:rPr>
        <w:t>2014</w:t>
      </w:r>
      <w:r>
        <w:rPr>
          <w:spacing w:val="-3"/>
        </w:rPr>
        <w:t>年度社会责任报告》。</w:t>
      </w:r>
    </w:p>
    <w:p>
      <w:pPr>
        <w:spacing w:line="240" w:lineRule="auto" w:before="7"/>
        <w:rPr>
          <w:rFonts w:ascii="宋体" w:hAnsi="宋体" w:cs="宋体" w:eastAsia="宋体" w:hint="default"/>
          <w:sz w:val="25"/>
          <w:szCs w:val="25"/>
        </w:rPr>
      </w:pPr>
    </w:p>
    <w:p>
      <w:pPr>
        <w:pStyle w:val="BodyText"/>
        <w:spacing w:line="240" w:lineRule="auto" w:before="0"/>
        <w:ind w:right="0"/>
        <w:jc w:val="left"/>
      </w:pPr>
      <w:r>
        <w:rPr/>
        <w:t>上市公司及其子公司是否属于国家环境保护部门规定的重污染行业</w:t>
      </w:r>
    </w:p>
    <w:p>
      <w:pPr>
        <w:pStyle w:val="BodyText"/>
        <w:spacing w:line="340" w:lineRule="auto" w:before="116"/>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1"/>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388.963013pt;margin-top:470.919983pt;width:146pt;height:46.8pt;mso-position-horizontal-relative:page;mso-position-vertical-relative:page;z-index:-9037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before="0"/>
                    <w:ind w:left="0" w:right="0"/>
                    <w:jc w:val="left"/>
                  </w:pPr>
                  <w:r>
                    <w:rPr/>
                    <w:t>爱建证券、</w:t>
                  </w:r>
                </w:p>
              </w:txbxContent>
            </v:textbox>
            <w10:wrap type="none"/>
          </v:shape>
        </w:pict>
      </w:r>
      <w:r>
        <w:rPr/>
        <w:pict>
          <v:shape style="position:absolute;margin-left:388.963013pt;margin-top:552.880005pt;width:146pt;height:46.8pt;mso-position-horizontal-relative:page;mso-position-vertical-relative:page;z-index:-903712" type="#_x0000_t202" filled="false" stroked="false">
            <v:textbox inset="0,0,0,0">
              <w:txbxContent>
                <w:p>
                  <w:pPr>
                    <w:pStyle w:val="BodyText"/>
                    <w:spacing w:line="207" w:lineRule="exact" w:before="0"/>
                    <w:ind w:left="0" w:right="0"/>
                    <w:jc w:val="left"/>
                  </w:pPr>
                  <w:r>
                    <w:rPr/>
                    <w:t>齐鲁证券、</w:t>
                  </w:r>
                </w:p>
              </w:txbxContent>
            </v:textbox>
            <w10:wrap type="none"/>
          </v:shape>
        </w:pict>
      </w:r>
      <w:r>
        <w:rPr/>
        <w:pict>
          <v:group style="position:absolute;margin-left:432.23999pt;margin-top:254.599976pt;width:101.6pt;height:17.6pt;mso-position-horizontal-relative:page;mso-position-vertical-relative:page;z-index:-903688" coordorigin="8645,5092" coordsize="2032,352">
            <v:shape style="position:absolute;left:8645;top:5092;width:2032;height:352" coordorigin="8645,5092" coordsize="2032,352" path="m8645,5444l10676,5444,10676,5092,8645,5092,8645,5444xe" filled="true" fillcolor="#ffffff" stroked="false">
              <v:path arrowok="t"/>
              <v:fill type="solid"/>
            </v:shape>
            <w10:wrap type="none"/>
          </v:group>
        </w:pict>
      </w:r>
      <w:r>
        <w:rPr/>
        <w:pict>
          <v:group style="position:absolute;margin-left:431.100006pt;margin-top:344.329987pt;width:102.75pt;height:36.3pt;mso-position-horizontal-relative:page;mso-position-vertical-relative:page;z-index:-903664" coordorigin="8622,6887" coordsize="2055,726">
            <v:group style="position:absolute;left:8633;top:6898;width:2;height:704" coordorigin="8633,6898" coordsize="2,704">
              <v:shape style="position:absolute;left:8633;top:6898;width:2;height:704" coordorigin="8633,6898" coordsize="0,704" path="m8633,6898l8633,7601e" filled="false" stroked="true" strokeweight="1.140pt" strokecolor="#ffffff">
                <v:path arrowok="t"/>
              </v:shape>
            </v:group>
            <v:group style="position:absolute;left:8645;top:6898;width:2032;height:352" coordorigin="8645,6898" coordsize="2032,352">
              <v:shape style="position:absolute;left:8645;top:6898;width:2032;height:352" coordorigin="8645,6898" coordsize="2032,352" path="m8645,7250l10676,7250,10676,6898,8645,6898,8645,7250xe" filled="true" fillcolor="#ffffff" stroked="false">
                <v:path arrowok="t"/>
                <v:fill type="solid"/>
              </v:shape>
            </v:group>
            <v:group style="position:absolute;left:8645;top:7250;width:2032;height:352" coordorigin="8645,7250" coordsize="2032,352">
              <v:shape style="position:absolute;left:8645;top:7250;width:2032;height:352" coordorigin="8645,7250" coordsize="2032,352" path="m8645,7601l10676,7601,10676,7250,8645,7250,8645,7601xe" filled="true" fillcolor="#ffffff" stroked="false">
                <v:path arrowok="t"/>
                <v:fill type="solid"/>
              </v:shape>
            </v:group>
            <w10:wrap type="none"/>
          </v:group>
        </w:pict>
      </w:r>
      <w:r>
        <w:rPr/>
        <w:pict>
          <v:group style="position:absolute;margin-left:431.100006pt;margin-top:552.880005pt;width:103.9pt;height:46.8pt;mso-position-horizontal-relative:page;mso-position-vertical-relative:page;z-index:-903640" coordorigin="8622,11058" coordsize="2078,936">
            <v:shape style="position:absolute;left:8622;top:11058;width:2078;height:936" coordorigin="8622,11058" coordsize="2078,936" path="m8622,11994l10699,11994,10699,11058,8622,11058,8622,11994xe" filled="true" fillcolor="#ffffff" stroked="false">
              <v:path arrowok="t"/>
              <v:fill type="solid"/>
            </v:shape>
            <w10:wrap type="none"/>
          </v:group>
        </w:pict>
      </w:r>
      <w:r>
        <w:rPr/>
        <w:pict>
          <v:group style="position:absolute;margin-left:432.23999pt;margin-top:633.399963pt;width:101.6pt;height:17.6pt;mso-position-horizontal-relative:page;mso-position-vertical-relative:page;z-index:-903616" coordorigin="8645,12668" coordsize="2032,352">
            <v:shape style="position:absolute;left:8645;top:12668;width:2032;height:352" coordorigin="8645,12668" coordsize="2032,352" path="m8645,13020l10676,13020,10676,12668,8645,12668,8645,13020xe" filled="true" fillcolor="#ffffff" stroked="false">
              <v:path arrowok="t"/>
              <v:fill type="solid"/>
            </v:shape>
            <w10:wrap type="none"/>
          </v:group>
        </w:pict>
      </w:r>
      <w:r>
        <w:rPr/>
        <w:pict>
          <v:group style="position:absolute;margin-left:431.100006pt;margin-top:689.950012pt;width:102.75pt;height:36.35pt;mso-position-horizontal-relative:page;mso-position-vertical-relative:page;z-index:-903592" coordorigin="8622,13799" coordsize="2055,727">
            <v:group style="position:absolute;left:8633;top:13810;width:2;height:704" coordorigin="8633,13810" coordsize="2,704">
              <v:shape style="position:absolute;left:8633;top:13810;width:2;height:704" coordorigin="8633,13810" coordsize="0,704" path="m8633,13810l8633,14514e" filled="false" stroked="true" strokeweight="1.140pt" strokecolor="#ffffff">
                <v:path arrowok="t"/>
              </v:shape>
            </v:group>
            <v:group style="position:absolute;left:8645;top:13810;width:2032;height:352" coordorigin="8645,13810" coordsize="2032,352">
              <v:shape style="position:absolute;left:8645;top:13810;width:2032;height:352" coordorigin="8645,13810" coordsize="2032,352" path="m8645,14162l10676,14162,10676,13810,8645,13810,8645,14162xe" filled="true" fillcolor="#ffffff" stroked="false">
                <v:path arrowok="t"/>
                <v:fill type="solid"/>
              </v:shape>
            </v:group>
            <v:group style="position:absolute;left:8645;top:14162;width:2032;height:352" coordorigin="8645,14162" coordsize="2032,352">
              <v:shape style="position:absolute;left:8645;top:14162;width:2032;height:352" coordorigin="8645,14162" coordsize="2032,352" path="m8645,14514l10676,14514,10676,14162,8645,14162,8645,14514xe" filled="true" fillcolor="#ffffff" stroked="false">
                <v:path arrowok="t"/>
                <v:fill type="solid"/>
              </v:shape>
            </v:group>
            <w10:wrap type="none"/>
          </v:group>
        </w:pict>
      </w:r>
    </w:p>
    <w:p>
      <w:pPr>
        <w:pStyle w:val="Heading2"/>
        <w:spacing w:line="240" w:lineRule="auto" w:before="26"/>
        <w:ind w:right="0"/>
        <w:jc w:val="left"/>
        <w:rPr>
          <w:b w:val="0"/>
          <w:bCs w:val="0"/>
        </w:rPr>
      </w:pPr>
      <w:bookmarkStart w:name="十六、报告期内接待调研、沟通、采访等活动登记表" w:id="55"/>
      <w:bookmarkEnd w:id="55"/>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国泰君安、民生证 券、新华基金、长 江证券、汇谷投资 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东方证券、博时基 金、华夏基金、嘉 </w:t>
            </w:r>
            <w:r>
              <w:rPr>
                <w:rFonts w:ascii="宋体" w:hAnsi="宋体" w:cs="宋体" w:eastAsia="宋体" w:hint="default"/>
                <w:spacing w:val="-14"/>
                <w:sz w:val="18"/>
                <w:szCs w:val="18"/>
              </w:rPr>
              <w:t>实基金、海通证券、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中信证券、六禾投</w:t>
            </w:r>
            <w:r>
              <w:rPr>
                <w:rFonts w:ascii="宋体" w:hAnsi="宋体" w:cs="宋体" w:eastAsia="宋体" w:hint="default"/>
                <w:sz w:val="18"/>
                <w:szCs w:val="18"/>
              </w:rPr>
              <w:t> 资、国君资管、广 发资管等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申银万国、东方证 券、国泰君安、华 </w:t>
            </w:r>
            <w:r>
              <w:rPr>
                <w:rFonts w:ascii="宋体" w:hAnsi="宋体" w:cs="宋体" w:eastAsia="宋体" w:hint="default"/>
                <w:spacing w:val="-12"/>
                <w:sz w:val="18"/>
                <w:szCs w:val="18"/>
              </w:rPr>
              <w:t>夏基金、博时基金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嘉实基金、路博迈 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公司的日常经营情况、行</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业发展情况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平安资产、诺德基 金、未来资产、韩 国投资、华夏财富 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25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宁波、杭州</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华夏基金、六禾投 资、华商基金、华 宝信托、 太平资产、天风证 券、安邦资产、华 商基金、 青沣资产、长城基 金等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103.9pt;height:46.8pt;mso-position-horizontal-relative:char;mso-position-vertical-relative:line" coordorigin="0,0" coordsize="2078,936">
                  <v:group style="position:absolute;left:0;top:0;width:2078;height:936" coordorigin="0,0" coordsize="2078,936">
                    <v:shape style="position:absolute;left:0;top:0;width:2078;height:936" coordorigin="0,0" coordsize="2078,936" path="m0,936l2077,936,2077,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申银万国、东方证 券、中金证券、瑞 </w:t>
            </w:r>
            <w:r>
              <w:rPr>
                <w:rFonts w:ascii="宋体" w:hAnsi="宋体" w:cs="宋体" w:eastAsia="宋体" w:hint="default"/>
                <w:spacing w:val="-14"/>
                <w:sz w:val="18"/>
                <w:szCs w:val="18"/>
              </w:rPr>
              <w:t>银证券、华安基金、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博时基金等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华夏基金、拾贝投 资、益民基金、建 </w:t>
            </w:r>
            <w:r>
              <w:rPr>
                <w:rFonts w:ascii="宋体" w:hAnsi="宋体" w:cs="宋体" w:eastAsia="宋体" w:hint="default"/>
                <w:spacing w:val="-12"/>
                <w:sz w:val="18"/>
                <w:szCs w:val="18"/>
              </w:rPr>
              <w:t>信基金、新华资产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星石投资、光大金 控、路博迈等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公司的日常经营情况、行</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业发展情况</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华宝兴业、鹏华基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公司的日常经营情况、行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9.963013pt;margin-top:235.519989pt;width:155pt;height:39pt;mso-position-horizontal-relative:page;mso-position-vertical-relative:page;z-index:-903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汇添富基金、</w:t>
                  </w:r>
                </w:p>
              </w:txbxContent>
            </v:textbox>
            <w10:wrap type="none"/>
          </v:shape>
        </w:pict>
      </w:r>
      <w:r>
        <w:rPr/>
        <w:pict>
          <v:group style="position:absolute;margin-left:431.100006pt;margin-top:178.399979pt;width:103.9pt;height:131.950pt;mso-position-horizontal-relative:page;mso-position-vertical-relative:page;z-index:-903544" coordorigin="8622,3568" coordsize="2078,2639">
            <v:group style="position:absolute;left:8622;top:3921;width:2078;height:780" coordorigin="8622,3921" coordsize="2078,780">
              <v:shape style="position:absolute;left:8622;top:3921;width:2078;height:780" coordorigin="8622,3921" coordsize="2078,780" path="m8622,4701l10699,4701,10699,3921,8622,3921,8622,4701xe" filled="true" fillcolor="#ffffff" stroked="false">
                <v:path arrowok="t"/>
                <v:fill type="solid"/>
              </v:shape>
            </v:group>
            <v:group style="position:absolute;left:8645;top:3568;width:2032;height:353" coordorigin="8645,3568" coordsize="2032,353">
              <v:shape style="position:absolute;left:8645;top:3568;width:2032;height:353" coordorigin="8645,3568" coordsize="2032,353" path="m8645,3921l10676,3921,10676,3568,8645,3568,8645,3921xe" filled="true" fillcolor="#ffffff" stroked="false">
                <v:path arrowok="t"/>
                <v:fill type="solid"/>
              </v:shape>
            </v:group>
            <v:group style="position:absolute;left:8622;top:4710;width:2078;height:780" coordorigin="8622,4710" coordsize="2078,780">
              <v:shape style="position:absolute;left:8622;top:4710;width:2078;height:780" coordorigin="8622,4710" coordsize="2078,780" path="m8622,5490l10699,5490,10699,4710,8622,4710,8622,5490xe" filled="true" fillcolor="#ffffff" stroked="false">
                <v:path arrowok="t"/>
                <v:fill type="solid"/>
              </v:shape>
            </v:group>
            <v:group style="position:absolute;left:8633;top:5490;width:2;height:705" coordorigin="8633,5490" coordsize="2,705">
              <v:shape style="position:absolute;left:8633;top:5490;width:2;height:705" coordorigin="8633,5490" coordsize="0,705" path="m8633,5490l8633,6195e" filled="false" stroked="true" strokeweight="1.140pt" strokecolor="#ffffff">
                <v:path arrowok="t"/>
              </v:shape>
            </v:group>
            <v:group style="position:absolute;left:8645;top:5490;width:2032;height:352" coordorigin="8645,5490" coordsize="2032,352">
              <v:shape style="position:absolute;left:8645;top:5490;width:2032;height:352" coordorigin="8645,5490" coordsize="2032,352" path="m8645,5842l10676,5842,10676,5490,8645,5490,8645,5842xe" filled="true" fillcolor="#ffffff" stroked="false">
                <v:path arrowok="t"/>
                <v:fill type="solid"/>
              </v:shape>
            </v:group>
            <v:group style="position:absolute;left:8645;top:5842;width:2032;height:353" coordorigin="8645,5842" coordsize="2032,353">
              <v:shape style="position:absolute;left:8645;top:5842;width:2032;height:353" coordorigin="8645,5842" coordsize="2032,353" path="m8645,6195l10676,6195,10676,5842,8645,5842,8645,619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金、明石投资、西 南证券、申银万国 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业发展情况</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国泰君安、平安资 管、国金证券、天 风证券、浦银安盛 基金、国海富兰克 </w:t>
            </w:r>
            <w:r>
              <w:rPr>
                <w:rFonts w:ascii="宋体" w:hAnsi="宋体" w:cs="宋体" w:eastAsia="宋体" w:hint="default"/>
                <w:spacing w:val="-12"/>
                <w:sz w:val="18"/>
                <w:szCs w:val="18"/>
              </w:rPr>
              <w:t>林基金、光证资管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承川资本、上海宏 铭投资等</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0" w:lineRule="atLeast" w:before="136"/>
              <w:ind w:left="11"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p>
            <w:pPr>
              <w:pStyle w:val="TableParagraph"/>
              <w:spacing w:line="15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浦莱德资产、浙商 证券、 银泰证券、北京鼎 </w:t>
            </w:r>
            <w:r>
              <w:rPr>
                <w:rFonts w:ascii="宋体" w:hAnsi="宋体" w:cs="宋体" w:eastAsia="宋体" w:hint="default"/>
                <w:spacing w:val="-12"/>
                <w:sz w:val="18"/>
                <w:szCs w:val="18"/>
              </w:rPr>
              <w:t>撒投资、硕载投资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申银万国、博时基 金、广发基金、华 夏基金等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公司的日常经营情况、行</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业发展情况</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长江证券、川财证 券、摩根士丹利华 鑫基金、华润元大 基金磊、君太资产 管理、泰康资产等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公司的日常经营情况、行 业发展情况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481"/>
        <w:jc w:val="center"/>
        <w:rPr>
          <w:b w:val="0"/>
          <w:bCs w:val="0"/>
        </w:rPr>
      </w:pPr>
      <w:bookmarkStart w:name="第五节 重要事项" w:id="56"/>
      <w:bookmarkEnd w:id="56"/>
      <w:r>
        <w:rPr>
          <w:b w:val="0"/>
          <w:bCs w:val="0"/>
        </w:rPr>
      </w:r>
      <w:bookmarkStart w:name="_bookmark4" w:id="57"/>
      <w:bookmarkEnd w:id="57"/>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8"/>
      <w:bookmarkEnd w:id="5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9"/>
      <w:bookmarkEnd w:id="59"/>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0"/>
      <w:bookmarkEnd w:id="6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1"/>
      <w:bookmarkEnd w:id="61"/>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2"/>
      <w:bookmarkEnd w:id="62"/>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收购资产情况" w:id="63"/>
      <w:bookmarkEnd w:id="63"/>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出售资产情况" w:id="64"/>
      <w:bookmarkEnd w:id="64"/>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企业合并情况" w:id="65"/>
      <w:bookmarkEnd w:id="65"/>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66"/>
      <w:bookmarkEnd w:id="66"/>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（一）实施股权激励计划履行的相关程序及总体情况</w:t>
      </w:r>
    </w:p>
    <w:p>
      <w:pPr>
        <w:pStyle w:val="BodyText"/>
        <w:spacing w:line="302" w:lineRule="auto" w:before="76"/>
        <w:ind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年限制性股票激励计划 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日召开第四届董事会第二十一次会议审议通过了《远光软件股份有限公司限制性股票激励计划（草案）及 </w:t>
      </w:r>
      <w:r>
        <w:rPr>
          <w:spacing w:val="-2"/>
        </w:rPr>
        <w:t>其摘要》，按照中国证监会的要求，公司已经将完整的限制性股票激励计划备案申请材料报中国证监会备案，并获证监会备</w:t>
      </w:r>
      <w:r>
        <w:rPr>
          <w:spacing w:val="-66"/>
        </w:rPr>
        <w:t> </w:t>
      </w:r>
      <w:r>
        <w:rPr>
          <w:spacing w:val="-66"/>
        </w:rPr>
      </w:r>
      <w:r>
        <w:rPr/>
        <w:t>案无异议。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日公司第四届董事会第二十四次会议审议通过了《远光软件股份有限公司限制性股票激励计划（修 订稿）》，并经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2012</w:t>
      </w:r>
      <w:r>
        <w:rPr/>
        <w:t>年第三次临时股东大会审议通过。 </w:t>
      </w: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日召开第四届董事会第二十五次会议审议通过了《关于向激励对象授予限制性股票议案》，报告期内，公</w:t>
      </w:r>
      <w:r>
        <w:rPr>
          <w:spacing w:val="-44"/>
        </w:rPr>
        <w:t> </w:t>
      </w:r>
      <w:r>
        <w:rPr>
          <w:spacing w:val="-44"/>
        </w:rPr>
      </w:r>
      <w:r>
        <w:rPr/>
        <w:t>司严格按照远光软件限制性股票激励计划修订稿的规定予以实施。</w:t>
      </w:r>
    </w:p>
    <w:p>
      <w:pPr>
        <w:pStyle w:val="BodyText"/>
        <w:spacing w:line="240" w:lineRule="auto" w:before="29"/>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年限制性股票激励计划</w:t>
      </w:r>
    </w:p>
    <w:p>
      <w:pPr>
        <w:pStyle w:val="BodyText"/>
        <w:spacing w:line="304" w:lineRule="auto" w:before="63"/>
        <w:ind w:right="1030"/>
        <w:jc w:val="left"/>
      </w:pPr>
      <w:r>
        <w:rPr>
          <w:spacing w:val="-2"/>
        </w:rPr>
        <w:t>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日召开第五届董事会第十次会议审议通过了《远光软件股份有限公司</w:t>
      </w:r>
      <w:r>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spacing w:val="-11"/>
        </w:rPr>
        <w:t>年限制性股票激励计划（草案）》</w:t>
      </w:r>
      <w:r>
        <w:rPr/>
        <w:t> </w:t>
      </w:r>
      <w:r>
        <w:rPr>
          <w:spacing w:val="-2"/>
        </w:rPr>
        <w:t>及其摘要，按照中国证监会的要求，公司已经将完整的限制性股票激励计划备案申请材料报中国证监会备案，并获证监会备</w:t>
      </w:r>
      <w:r>
        <w:rPr>
          <w:spacing w:val="-66"/>
        </w:rPr>
        <w:t> </w:t>
      </w:r>
      <w:r>
        <w:rPr>
          <w:spacing w:val="-66"/>
        </w:rPr>
      </w:r>
      <w:r>
        <w:rPr/>
        <w:t>案无异议。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日公司第五届董事会第十二次会议审议通过了《</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spacing w:val="-3"/>
        </w:rPr>
        <w:t>年限制性股票激励计划（草案修订稿）》及其</w:t>
      </w:r>
      <w:r>
        <w:rPr/>
        <w:t> 摘要，并经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2014</w:t>
      </w:r>
      <w:r>
        <w:rPr/>
        <w:t>年第一次临时股东大会审议通过。 </w:t>
      </w:r>
      <w:r>
        <w:rPr>
          <w:spacing w:val="-2"/>
        </w:rPr>
        <w:t>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日召开第五届董事会第十四次会议审议通过了《关于向激励对象授予限制性股票的议案》，报告期内，公</w:t>
      </w:r>
      <w:r>
        <w:rPr>
          <w:spacing w:val="-58"/>
        </w:rPr>
        <w:t> </w:t>
      </w:r>
      <w:r>
        <w:rPr>
          <w:spacing w:val="-58"/>
        </w:rPr>
      </w:r>
      <w:r>
        <w:rPr/>
        <w:t>司严格按照远光软件限制性股票激励计划修订稿的规定予以实施。</w:t>
      </w:r>
    </w:p>
    <w:p>
      <w:pPr>
        <w:pStyle w:val="BodyText"/>
        <w:spacing w:line="309" w:lineRule="auto" w:before="28"/>
        <w:ind w:right="8233"/>
        <w:jc w:val="left"/>
      </w:pPr>
      <w:r>
        <w:rPr/>
        <w:t>（二）激励股份来源情况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年限制性股票 向激励对象定向发行的公司股票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年限制性股票 从二级市场回购公司股份</w:t>
      </w:r>
    </w:p>
    <w:p>
      <w:pPr>
        <w:pStyle w:val="BodyText"/>
        <w:spacing w:line="307" w:lineRule="auto" w:before="24"/>
        <w:ind w:right="1118"/>
        <w:jc w:val="left"/>
      </w:pPr>
      <w:r>
        <w:rPr/>
        <w:t>（三）激励对象考核情况 报告期内，公司</w:t>
      </w:r>
      <w:r>
        <w:rPr>
          <w:rFonts w:ascii="Times New Roman" w:hAnsi="Times New Roman" w:cs="Times New Roman" w:eastAsia="Times New Roman" w:hint="default"/>
        </w:rPr>
        <w:t>2012</w:t>
      </w:r>
      <w:r>
        <w:rPr/>
        <w:t>年限制性股票激励计划第一个解锁期可解锁，经公司独立董事、薪酬与考核委员会、监事会核查，除 </w:t>
      </w:r>
      <w:r>
        <w:rPr>
          <w:rFonts w:ascii="Times New Roman" w:hAnsi="Times New Roman" w:cs="Times New Roman" w:eastAsia="Times New Roman" w:hint="default"/>
          <w:spacing w:val="-1"/>
        </w:rPr>
        <w:t>22</w:t>
      </w:r>
      <w:r>
        <w:rPr>
          <w:spacing w:val="-1"/>
        </w:rPr>
        <w:t>名激励对象因上年度绩效考核为合格（</w:t>
      </w:r>
      <w:r>
        <w:rPr>
          <w:rFonts w:ascii="Times New Roman" w:hAnsi="Times New Roman" w:cs="Times New Roman" w:eastAsia="Times New Roman" w:hint="default"/>
          <w:spacing w:val="-1"/>
        </w:rPr>
        <w:t>C</w:t>
      </w:r>
      <w:r>
        <w:rPr>
          <w:spacing w:val="-1"/>
        </w:rPr>
        <w:t>），公司酌情决定可解锁额度外，其余行权激励对象绩效考核均合格，满足行权</w:t>
      </w:r>
      <w:r>
        <w:rPr>
          <w:spacing w:val="-59"/>
        </w:rPr>
        <w:t> </w:t>
      </w:r>
      <w:r>
        <w:rPr>
          <w:spacing w:val="-59"/>
        </w:rPr>
      </w:r>
      <w:r>
        <w:rPr/>
        <w:t>条件。</w:t>
      </w:r>
    </w:p>
    <w:p>
      <w:pPr>
        <w:pStyle w:val="BodyText"/>
        <w:spacing w:line="240" w:lineRule="auto" w:before="26"/>
        <w:ind w:left="154" w:right="0"/>
        <w:jc w:val="left"/>
      </w:pPr>
      <w:r>
        <w:rPr/>
        <w:t>（四）限制性股票授予及行权情况</w:t>
      </w:r>
    </w:p>
    <w:p>
      <w:pPr>
        <w:pStyle w:val="BodyText"/>
        <w:spacing w:line="300" w:lineRule="auto" w:before="76"/>
        <w:ind w:right="1141"/>
        <w:jc w:val="left"/>
      </w:pPr>
      <w:r>
        <w:rPr/>
        <w:t>根据公司第五届董事会第十二次会议审议通过的《</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年限制性股票激励计划（草案修订稿）》及其摘要，董事会拟授予 </w:t>
      </w:r>
      <w:r>
        <w:rPr>
          <w:rFonts w:ascii="Times New Roman" w:hAnsi="Times New Roman" w:cs="Times New Roman" w:eastAsia="Times New Roman" w:hint="default"/>
        </w:rPr>
        <w:t>798</w:t>
      </w:r>
      <w:r>
        <w:rPr/>
        <w:t>人不超过 </w:t>
      </w:r>
      <w:r>
        <w:rPr>
          <w:rFonts w:ascii="Times New Roman" w:hAnsi="Times New Roman" w:cs="Times New Roman" w:eastAsia="Times New Roman" w:hint="default"/>
        </w:rPr>
        <w:t>1300</w:t>
      </w:r>
      <w:r>
        <w:rPr>
          <w:rFonts w:ascii="Times New Roman" w:hAnsi="Times New Roman" w:cs="Times New Roman" w:eastAsia="Times New Roman" w:hint="default"/>
          <w:spacing w:val="7"/>
        </w:rPr>
        <w:t> </w:t>
      </w:r>
      <w:r>
        <w:rPr/>
        <w:t>万股限制性股票数量，在激励计划实施过程中，由于少数激励对象因认购时点与</w:t>
      </w:r>
      <w:r>
        <w:rPr>
          <w:rFonts w:ascii="Times New Roman" w:hAnsi="Times New Roman" w:cs="Times New Roman" w:eastAsia="Times New Roman" w:hint="default"/>
        </w:rPr>
        <w:t>2012</w:t>
      </w:r>
      <w:r>
        <w:rPr/>
        <w:t>年股权激励计划的 衔接以及个人财务安排等原因放弃认购共计</w:t>
      </w:r>
      <w:r>
        <w:rPr>
          <w:rFonts w:ascii="Times New Roman" w:hAnsi="Times New Roman" w:cs="Times New Roman" w:eastAsia="Times New Roman" w:hint="default"/>
        </w:rPr>
        <w:t>4,404,276</w:t>
      </w:r>
      <w:r>
        <w:rPr/>
        <w:t>股限制性股票。据此，根据激励计划，公司取消以上授予的</w:t>
      </w:r>
      <w:r>
        <w:rPr>
          <w:rFonts w:ascii="Times New Roman" w:hAnsi="Times New Roman" w:cs="Times New Roman" w:eastAsia="Times New Roman" w:hint="default"/>
        </w:rPr>
        <w:t>4,404,276 </w:t>
      </w:r>
      <w:r>
        <w:rPr/>
        <w:t>股限制性股票，经过调整后，公司回购的本公司股份数量由</w:t>
      </w:r>
      <w:r>
        <w:rPr>
          <w:rFonts w:ascii="Times New Roman" w:hAnsi="Times New Roman" w:cs="Times New Roman" w:eastAsia="Times New Roman" w:hint="default"/>
        </w:rPr>
        <w:t>1,300</w:t>
      </w:r>
      <w:r>
        <w:rPr/>
        <w:t>万股调整为</w:t>
      </w:r>
      <w:r>
        <w:rPr>
          <w:rFonts w:ascii="Times New Roman" w:hAnsi="Times New Roman" w:cs="Times New Roman" w:eastAsia="Times New Roman" w:hint="default"/>
        </w:rPr>
        <w:t>8,595,724</w:t>
      </w:r>
      <w:r>
        <w:rPr/>
        <w:t>股，激励对象人数由</w:t>
      </w:r>
      <w:r>
        <w:rPr>
          <w:rFonts w:ascii="Times New Roman" w:hAnsi="Times New Roman" w:cs="Times New Roman" w:eastAsia="Times New Roman" w:hint="default"/>
        </w:rPr>
        <w:t>798</w:t>
      </w:r>
      <w:r>
        <w:rPr/>
        <w:t>人调整为</w:t>
      </w:r>
      <w:r>
        <w:rPr>
          <w:rFonts w:ascii="Times New Roman" w:hAnsi="Times New Roman" w:cs="Times New Roman" w:eastAsia="Times New Roman" w:hint="default"/>
        </w:rPr>
        <w:t>588 </w:t>
      </w:r>
      <w:r>
        <w:rPr/>
        <w:t>人。</w:t>
      </w:r>
    </w:p>
    <w:p>
      <w:pPr>
        <w:pStyle w:val="BodyText"/>
        <w:spacing w:line="240" w:lineRule="auto" w:before="31"/>
        <w:ind w:left="154" w:right="0"/>
        <w:jc w:val="left"/>
      </w:pPr>
      <w:r>
        <w:rPr/>
        <w:t>根据公司董事会第十四次会议审议通过的《关于向激励对象授予限制性股票的议案》，董事会同意授予 </w:t>
      </w:r>
      <w:r>
        <w:rPr>
          <w:rFonts w:ascii="Times New Roman" w:hAnsi="Times New Roman" w:cs="Times New Roman" w:eastAsia="Times New Roman" w:hint="default"/>
        </w:rPr>
        <w:t>587</w:t>
      </w:r>
      <w:r>
        <w:rPr>
          <w:rFonts w:ascii="Times New Roman" w:hAnsi="Times New Roman" w:cs="Times New Roman" w:eastAsia="Times New Roman" w:hint="default"/>
          <w:spacing w:val="8"/>
        </w:rPr>
        <w:t> </w:t>
      </w:r>
      <w:r>
        <w:rPr/>
        <w:t>名激励对象</w:t>
      </w:r>
    </w:p>
    <w:p>
      <w:pPr>
        <w:pStyle w:val="BodyText"/>
        <w:spacing w:line="300" w:lineRule="auto" w:before="63"/>
        <w:ind w:right="1032"/>
        <w:jc w:val="left"/>
      </w:pPr>
      <w:r>
        <w:rPr>
          <w:rFonts w:ascii="Times New Roman" w:hAnsi="Times New Roman" w:cs="Times New Roman" w:eastAsia="Times New Roman" w:hint="default"/>
        </w:rPr>
        <w:t>8,573,024</w:t>
      </w:r>
      <w:r>
        <w:rPr>
          <w:rFonts w:ascii="Times New Roman" w:hAnsi="Times New Roman" w:cs="Times New Roman" w:eastAsia="Times New Roman" w:hint="default"/>
          <w:spacing w:val="39"/>
        </w:rPr>
        <w:t> </w:t>
      </w:r>
      <w:r>
        <w:rPr>
          <w:spacing w:val="-5"/>
        </w:rPr>
        <w:t>股限制性股票。在限制性股票缴款登记过程中，激励对象张军飞先生放弃认购本次授予其的</w:t>
      </w:r>
      <w:r>
        <w:rPr>
          <w:spacing w:val="-6"/>
        </w:rPr>
        <w:t> </w:t>
      </w:r>
      <w:r>
        <w:rPr>
          <w:rFonts w:ascii="Times New Roman" w:hAnsi="Times New Roman" w:cs="Times New Roman" w:eastAsia="Times New Roman" w:hint="default"/>
        </w:rPr>
        <w:t>31,900</w:t>
      </w:r>
      <w:r>
        <w:rPr>
          <w:rFonts w:ascii="Times New Roman" w:hAnsi="Times New Roman" w:cs="Times New Roman" w:eastAsia="Times New Roman" w:hint="default"/>
          <w:spacing w:val="40"/>
        </w:rPr>
        <w:t> </w:t>
      </w:r>
      <w:r>
        <w:rPr>
          <w:spacing w:val="-1"/>
        </w:rPr>
        <w:t>股限制性股票，</w:t>
      </w:r>
      <w:r>
        <w:rPr>
          <w:spacing w:val="-88"/>
        </w:rPr>
        <w:t> </w:t>
      </w:r>
      <w:r>
        <w:rPr>
          <w:spacing w:val="-88"/>
        </w:rPr>
      </w:r>
      <w:r>
        <w:rPr/>
        <w:t>因此本次限制性股票数量调整为 </w:t>
      </w:r>
      <w:r>
        <w:rPr>
          <w:rFonts w:ascii="Times New Roman" w:hAnsi="Times New Roman" w:cs="Times New Roman" w:eastAsia="Times New Roman" w:hint="default"/>
          <w:spacing w:val="-4"/>
        </w:rPr>
        <w:t>8,541,124</w:t>
      </w:r>
      <w:r>
        <w:rPr>
          <w:spacing w:val="-4"/>
        </w:rPr>
        <w:t>股，激励对象调整为 </w:t>
      </w:r>
      <w:r>
        <w:rPr>
          <w:rFonts w:ascii="Times New Roman" w:hAnsi="Times New Roman" w:cs="Times New Roman" w:eastAsia="Times New Roman" w:hint="default"/>
        </w:rPr>
        <w:t>586 </w:t>
      </w:r>
      <w:r>
        <w:rPr/>
        <w:t>人。另外，由于公司前董事会秘书彭家辉先生于</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23 </w:t>
      </w:r>
      <w:r>
        <w:rPr/>
        <w:t>日，即</w:t>
      </w:r>
      <w:r>
        <w:rPr>
          <w:rFonts w:ascii="Times New Roman" w:hAnsi="Times New Roman" w:cs="Times New Roman" w:eastAsia="Times New Roman" w:hint="default"/>
        </w:rPr>
        <w:t>2014</w:t>
      </w:r>
      <w:r>
        <w:rPr/>
        <w:t>年限制性股票授予之日前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个月内发生减持公司股票的行为，因此彭家辉先生的限制性股票将自其最</w:t>
      </w:r>
    </w:p>
    <w:p>
      <w:pPr>
        <w:pStyle w:val="BodyText"/>
        <w:spacing w:line="300" w:lineRule="auto" w:before="13"/>
        <w:ind w:right="1121"/>
        <w:jc w:val="left"/>
      </w:pPr>
      <w:r>
        <w:rPr/>
        <w:t>后一次减持本公司股票之日起 </w:t>
      </w:r>
      <w:r>
        <w:rPr>
          <w:rFonts w:ascii="Times New Roman" w:hAnsi="Times New Roman" w:cs="Times New Roman" w:eastAsia="Times New Roman" w:hint="default"/>
        </w:rPr>
        <w:t>6 </w:t>
      </w:r>
      <w:r>
        <w:rPr/>
        <w:t>个月后授予。本次激励计划的授予日为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日限制性股票 登记办理完毕， 本次授予股份的上市日期为</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w:t>
      </w:r>
      <w:r>
        <w:rPr>
          <w:spacing w:val="-47"/>
        </w:rPr>
        <w:t> </w:t>
      </w:r>
      <w:r>
        <w:rPr>
          <w:rFonts w:ascii="Times New Roman" w:hAnsi="Times New Roman" w:cs="Times New Roman" w:eastAsia="Times New Roman" w:hint="default"/>
        </w:rPr>
        <w:t>25</w:t>
      </w:r>
      <w:r>
        <w:rPr/>
        <w:t>日。</w:t>
      </w:r>
    </w:p>
    <w:p>
      <w:pPr>
        <w:pStyle w:val="BodyText"/>
        <w:spacing w:line="240" w:lineRule="auto" w:before="13"/>
        <w:ind w:right="0"/>
        <w:jc w:val="left"/>
      </w:pPr>
      <w:r>
        <w:rPr/>
        <w:t>（五）激励对象范围、限制性股票数量的调整情况及履行的程序</w:t>
      </w:r>
    </w:p>
    <w:p>
      <w:pPr>
        <w:pStyle w:val="BodyText"/>
        <w:spacing w:line="240" w:lineRule="auto" w:before="76"/>
        <w:ind w:left="15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年限制性股票</w:t>
      </w:r>
    </w:p>
    <w:p>
      <w:pPr>
        <w:pStyle w:val="BodyText"/>
        <w:spacing w:line="300" w:lineRule="auto" w:before="63"/>
        <w:ind w:right="1132"/>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日，公司第五届董事会第三次会议审议并通过了《关于回购注销部分限制性股票的议案》，同意对因上年 度绩效考核结果为合格（</w:t>
      </w:r>
      <w:r>
        <w:rPr>
          <w:rFonts w:ascii="Times New Roman" w:hAnsi="Times New Roman" w:cs="Times New Roman" w:eastAsia="Times New Roman" w:hint="default"/>
        </w:rPr>
        <w:t>C</w:t>
      </w:r>
      <w:r>
        <w:rPr/>
        <w:t>）的</w:t>
      </w:r>
      <w:r>
        <w:rPr>
          <w:rFonts w:ascii="Times New Roman" w:hAnsi="Times New Roman" w:cs="Times New Roman" w:eastAsia="Times New Roman" w:hint="default"/>
        </w:rPr>
        <w:t>22 </w:t>
      </w:r>
      <w:r>
        <w:rPr/>
        <w:t>名激励对象所持当期可解锁的部分限制性股票共计 </w:t>
      </w:r>
      <w:r>
        <w:rPr>
          <w:rFonts w:ascii="Times New Roman" w:hAnsi="Times New Roman" w:cs="Times New Roman" w:eastAsia="Times New Roman" w:hint="default"/>
        </w:rPr>
        <w:t>56,041</w:t>
      </w:r>
      <w:r>
        <w:rPr>
          <w:rFonts w:ascii="Times New Roman" w:hAnsi="Times New Roman" w:cs="Times New Roman" w:eastAsia="Times New Roman" w:hint="default"/>
          <w:spacing w:val="19"/>
        </w:rPr>
        <w:t> </w:t>
      </w:r>
      <w:r>
        <w:rPr/>
        <w:t>股进行回购注销。经中国证券 登记结算有限责任公司深圳分公司确认，上述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名激励对象所持已获授但尚未解锁的限制性股票的回购注销事宜已于</w:t>
      </w:r>
    </w:p>
    <w:p>
      <w:pPr>
        <w:pStyle w:val="BodyText"/>
        <w:spacing w:line="240" w:lineRule="auto" w:before="13"/>
        <w:ind w:left="154"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 </w:t>
      </w:r>
      <w:r>
        <w:rPr>
          <w:spacing w:val="-4"/>
        </w:rPr>
        <w:t>日办理完成。本次限制性股票回购注销后，公司限制性股票激励计划授予的限制性股票数量由 </w:t>
      </w:r>
      <w:r>
        <w:rPr>
          <w:rFonts w:ascii="Times New Roman" w:hAnsi="Times New Roman" w:cs="Times New Roman" w:eastAsia="Times New Roman" w:hint="default"/>
        </w:rPr>
        <w:t>12,436,710 </w:t>
      </w:r>
      <w:r>
        <w:rPr>
          <w:rFonts w:ascii="Times New Roman" w:hAnsi="Times New Roman" w:cs="Times New Roman" w:eastAsia="Times New Roman" w:hint="default"/>
          <w:spacing w:val="40"/>
        </w:rPr>
        <w:t> </w:t>
      </w:r>
      <w:r>
        <w:rPr/>
        <w:t>股</w:t>
      </w:r>
    </w:p>
    <w:p>
      <w:pPr>
        <w:pStyle w:val="BodyText"/>
        <w:spacing w:line="240" w:lineRule="auto" w:before="63"/>
        <w:ind w:right="0"/>
        <w:jc w:val="left"/>
      </w:pPr>
      <w:r>
        <w:rPr/>
        <w:t>调整为 </w:t>
      </w:r>
      <w:r>
        <w:rPr>
          <w:rFonts w:ascii="Times New Roman" w:hAnsi="Times New Roman" w:cs="Times New Roman" w:eastAsia="Times New Roman" w:hint="default"/>
        </w:rPr>
        <w:t>12,380,669 </w:t>
      </w:r>
      <w:r>
        <w:rPr/>
        <w:t>股，激励对象仍为 </w:t>
      </w:r>
      <w:r>
        <w:rPr>
          <w:rFonts w:ascii="Times New Roman" w:hAnsi="Times New Roman" w:cs="Times New Roman" w:eastAsia="Times New Roman" w:hint="default"/>
        </w:rPr>
        <w:t>293</w:t>
      </w:r>
      <w:r>
        <w:rPr>
          <w:rFonts w:ascii="Times New Roman" w:hAnsi="Times New Roman" w:cs="Times New Roman" w:eastAsia="Times New Roman" w:hint="default"/>
          <w:spacing w:val="14"/>
        </w:rPr>
        <w:t> </w:t>
      </w:r>
      <w:r>
        <w:rPr/>
        <w:t>名。</w:t>
      </w:r>
    </w:p>
    <w:p>
      <w:pPr>
        <w:pStyle w:val="BodyText"/>
        <w:spacing w:line="240" w:lineRule="auto" w:before="63"/>
        <w:ind w:left="154"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日，公司第五届董事会第十次会议、第五届监事会第五次会议审议并通过了《关于回购注销部分限制性股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17"/>
        <w:jc w:val="left"/>
      </w:pPr>
      <w:r>
        <w:rPr>
          <w:spacing w:val="-5"/>
        </w:rPr>
        <w:t>票的议案》，同意回购注销 </w:t>
      </w:r>
      <w:r>
        <w:rPr>
          <w:rFonts w:ascii="Times New Roman" w:hAnsi="Times New Roman" w:cs="Times New Roman" w:eastAsia="Times New Roman" w:hint="default"/>
        </w:rPr>
        <w:t>9</w:t>
      </w:r>
      <w:r>
        <w:rPr/>
        <w:t>名离职激励对象已获授但尚未解锁的限制性股票 </w:t>
      </w:r>
      <w:r>
        <w:rPr>
          <w:rFonts w:ascii="Times New Roman" w:hAnsi="Times New Roman" w:cs="Times New Roman" w:eastAsia="Times New Roman" w:hint="default"/>
        </w:rPr>
        <w:t>228,180</w:t>
      </w:r>
      <w:r>
        <w:rPr>
          <w:rFonts w:ascii="Times New Roman" w:hAnsi="Times New Roman" w:cs="Times New Roman" w:eastAsia="Times New Roman" w:hint="default"/>
          <w:spacing w:val="-19"/>
        </w:rPr>
        <w:t> </w:t>
      </w:r>
      <w:r>
        <w:rPr/>
        <w:t>股。经中国证券登记结算有限责任公 </w:t>
      </w:r>
      <w:r>
        <w:rPr>
          <w:spacing w:val="-3"/>
        </w:rPr>
        <w:t>司深圳分公司确认，上述 </w:t>
      </w:r>
      <w:r>
        <w:rPr>
          <w:rFonts w:ascii="Times New Roman" w:hAnsi="Times New Roman" w:cs="Times New Roman" w:eastAsia="Times New Roman" w:hint="default"/>
        </w:rPr>
        <w:t>9 </w:t>
      </w:r>
      <w:r>
        <w:rPr/>
        <w:t>名激励对象所持已获授但尚未解锁的限制性股票的回购注销事宜已于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日办理 完成。本次限制性股票回购注销后，公司截止目前尚未解锁的限制性股票数量由</w:t>
      </w:r>
      <w:r>
        <w:rPr>
          <w:rFonts w:ascii="Times New Roman" w:hAnsi="Times New Roman" w:cs="Times New Roman" w:eastAsia="Times New Roman" w:hint="default"/>
        </w:rPr>
        <w:t>7,462,026 </w:t>
      </w:r>
      <w:r>
        <w:rPr/>
        <w:t>股调整为 </w:t>
      </w:r>
      <w:r>
        <w:rPr>
          <w:rFonts w:ascii="Times New Roman" w:hAnsi="Times New Roman" w:cs="Times New Roman" w:eastAsia="Times New Roman" w:hint="default"/>
        </w:rPr>
        <w:t>7,233,846</w:t>
      </w:r>
      <w:r>
        <w:rPr>
          <w:rFonts w:ascii="Times New Roman" w:hAnsi="Times New Roman" w:cs="Times New Roman" w:eastAsia="Times New Roman" w:hint="default"/>
          <w:spacing w:val="-12"/>
        </w:rPr>
        <w:t> </w:t>
      </w:r>
      <w:r>
        <w:rPr/>
        <w:t>股，激励对 象由 </w:t>
      </w:r>
      <w:r>
        <w:rPr>
          <w:rFonts w:ascii="Times New Roman" w:hAnsi="Times New Roman" w:cs="Times New Roman" w:eastAsia="Times New Roman" w:hint="default"/>
        </w:rPr>
        <w:t>293 </w:t>
      </w:r>
      <w:r>
        <w:rPr/>
        <w:t>名调整为 </w:t>
      </w:r>
      <w:r>
        <w:rPr>
          <w:rFonts w:ascii="Times New Roman" w:hAnsi="Times New Roman" w:cs="Times New Roman" w:eastAsia="Times New Roman" w:hint="default"/>
        </w:rPr>
        <w:t>284</w:t>
      </w:r>
      <w:r>
        <w:rPr>
          <w:rFonts w:ascii="Times New Roman" w:hAnsi="Times New Roman" w:cs="Times New Roman" w:eastAsia="Times New Roman" w:hint="default"/>
          <w:spacing w:val="18"/>
        </w:rPr>
        <w:t> </w:t>
      </w:r>
      <w:r>
        <w:rPr/>
        <w:t>名。</w:t>
      </w:r>
    </w:p>
    <w:p>
      <w:pPr>
        <w:pStyle w:val="BodyText"/>
        <w:spacing w:line="240" w:lineRule="auto" w:before="13"/>
        <w:ind w:left="15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年限制性股票</w:t>
      </w:r>
    </w:p>
    <w:p>
      <w:pPr>
        <w:pStyle w:val="BodyText"/>
        <w:spacing w:line="307" w:lineRule="auto" w:before="63"/>
        <w:ind w:right="1130"/>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25 </w:t>
      </w:r>
      <w:r>
        <w:rPr/>
        <w:t>日，公司召开第五届董事会第十四次会议，审议并通过了《关于调整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年限制性股票激励计划的激励 </w:t>
      </w:r>
      <w:r>
        <w:rPr>
          <w:spacing w:val="-2"/>
        </w:rPr>
        <w:t>对象及限制性股票数量的议案》。鉴于本次激励计划的少数激励对象因认购时点与上次股权激励计划的衔接以及个人财务安</w:t>
      </w:r>
      <w:r>
        <w:rPr>
          <w:spacing w:val="-64"/>
        </w:rPr>
        <w:t> </w:t>
      </w:r>
      <w:r>
        <w:rPr>
          <w:spacing w:val="-64"/>
        </w:rPr>
      </w:r>
      <w:r>
        <w:rPr>
          <w:spacing w:val="-2"/>
        </w:rPr>
        <w:t>排等原因放弃认购共计</w:t>
      </w:r>
      <w:r>
        <w:rPr>
          <w:rFonts w:ascii="Times New Roman" w:hAnsi="Times New Roman" w:cs="Times New Roman" w:eastAsia="Times New Roman" w:hint="default"/>
          <w:spacing w:val="-2"/>
        </w:rPr>
        <w:t>4,404,276</w:t>
      </w:r>
      <w:r>
        <w:rPr>
          <w:spacing w:val="-2"/>
        </w:rPr>
        <w:t>股限制性股票。据此，根据激励计划，公司拟取消以上授予的</w:t>
      </w:r>
      <w:r>
        <w:rPr>
          <w:rFonts w:ascii="Times New Roman" w:hAnsi="Times New Roman" w:cs="Times New Roman" w:eastAsia="Times New Roman" w:hint="default"/>
          <w:spacing w:val="-2"/>
        </w:rPr>
        <w:t>4,404,276</w:t>
      </w:r>
      <w:r>
        <w:rPr>
          <w:spacing w:val="-2"/>
        </w:rPr>
        <w:t>股限制性股票，经过</w:t>
      </w:r>
      <w:r>
        <w:rPr>
          <w:spacing w:val="-49"/>
        </w:rPr>
        <w:t> </w:t>
      </w:r>
      <w:r>
        <w:rPr>
          <w:spacing w:val="-49"/>
        </w:rPr>
      </w:r>
      <w:r>
        <w:rPr/>
        <w:t>本次调整后，公司拟回购的本公司股份数量由</w:t>
      </w:r>
      <w:r>
        <w:rPr>
          <w:rFonts w:ascii="Times New Roman" w:hAnsi="Times New Roman" w:cs="Times New Roman" w:eastAsia="Times New Roman" w:hint="default"/>
        </w:rPr>
        <w:t>1,300</w:t>
      </w:r>
      <w:r>
        <w:rPr/>
        <w:t>万股调整为</w:t>
      </w:r>
      <w:r>
        <w:rPr>
          <w:rFonts w:ascii="Times New Roman" w:hAnsi="Times New Roman" w:cs="Times New Roman" w:eastAsia="Times New Roman" w:hint="default"/>
        </w:rPr>
        <w:t>8,595,724</w:t>
      </w:r>
      <w:r>
        <w:rPr/>
        <w:t>股，激励对象人数由</w:t>
      </w:r>
      <w:r>
        <w:rPr>
          <w:rFonts w:ascii="Times New Roman" w:hAnsi="Times New Roman" w:cs="Times New Roman" w:eastAsia="Times New Roman" w:hint="default"/>
        </w:rPr>
        <w:t>798</w:t>
      </w:r>
      <w:r>
        <w:rPr/>
        <w:t>人调整为</w:t>
      </w:r>
      <w:r>
        <w:rPr>
          <w:rFonts w:ascii="Times New Roman" w:hAnsi="Times New Roman" w:cs="Times New Roman" w:eastAsia="Times New Roman" w:hint="default"/>
        </w:rPr>
        <w:t>588</w:t>
      </w:r>
      <w:r>
        <w:rPr/>
        <w:t>人。</w:t>
      </w:r>
    </w:p>
    <w:p>
      <w:pPr>
        <w:pStyle w:val="BodyText"/>
        <w:spacing w:line="309" w:lineRule="auto" w:before="7"/>
        <w:ind w:left="154" w:right="2247"/>
        <w:jc w:val="left"/>
      </w:pPr>
      <w:r>
        <w:rPr/>
        <w:t>（六）实施股权激励计划对公司报告期内及以后各年度财务状况和经营成果的影响 股权激励计划对报告期内及以后各年度经营成果的影响很小</w:t>
      </w:r>
      <w:r>
        <w:rPr>
          <w:rFonts w:ascii="Times New Roman" w:hAnsi="Times New Roman" w:cs="Times New Roman" w:eastAsia="Times New Roman" w:hint="default"/>
        </w:rPr>
        <w:t>,</w:t>
      </w:r>
      <w:r>
        <w:rPr/>
        <w:t>对报告期内及以后各年度财务状况的影响如下： </w:t>
      </w:r>
      <w:r>
        <w:rPr>
          <w:rFonts w:ascii="Times New Roman" w:hAnsi="Times New Roman" w:cs="Times New Roman" w:eastAsia="Times New Roman" w:hint="default"/>
        </w:rPr>
        <w:t>1</w:t>
      </w:r>
      <w:r>
        <w:rPr/>
        <w:t>、报告期：</w:t>
      </w:r>
    </w:p>
    <w:p>
      <w:pPr>
        <w:pStyle w:val="BodyText"/>
        <w:spacing w:line="300" w:lineRule="auto" w:before="5"/>
        <w:ind w:right="1132" w:firstLine="361"/>
        <w:jc w:val="both"/>
      </w:pPr>
      <w:r>
        <w:rPr>
          <w:rFonts w:ascii="Times New Roman" w:hAnsi="Times New Roman" w:cs="Times New Roman" w:eastAsia="Times New Roman" w:hint="default"/>
          <w:spacing w:val="-1"/>
        </w:rPr>
        <w:t>a</w:t>
      </w:r>
      <w:r>
        <w:rPr>
          <w:spacing w:val="-1"/>
        </w:rPr>
        <w:t>、根据财政部会计司《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4-5</w:t>
      </w:r>
      <w:r>
        <w:rPr>
          <w:spacing w:val="-1"/>
        </w:rPr>
        <w:t>月会计师事务所提交的专业技术问题的研讨情况及财政部就有关会计处理征询函的复</w:t>
      </w:r>
      <w:r>
        <w:rPr/>
        <w:t> 函通报》，公司本年授予限制性股票的潜在回购义务和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日授予的第三期限制性股票由于本年业绩不达标产生的 回购义务，需确认负债并作收购库存股处理，由此导致公司净资产减少</w:t>
      </w:r>
      <w:r>
        <w:rPr>
          <w:rFonts w:ascii="Times New Roman" w:hAnsi="Times New Roman" w:cs="Times New Roman" w:eastAsia="Times New Roman" w:hint="default"/>
        </w:rPr>
        <w:t>122,186,676.58</w:t>
      </w:r>
      <w:r>
        <w:rPr/>
        <w:t>元、负债增加</w:t>
      </w:r>
      <w:r>
        <w:rPr>
          <w:rFonts w:ascii="Times New Roman" w:hAnsi="Times New Roman" w:cs="Times New Roman" w:eastAsia="Times New Roman" w:hint="default"/>
        </w:rPr>
        <w:t>122,186,676.58</w:t>
      </w:r>
      <w:r>
        <w:rPr/>
        <w:t>元；</w:t>
      </w:r>
    </w:p>
    <w:p>
      <w:pPr>
        <w:pStyle w:val="BodyText"/>
        <w:spacing w:line="300" w:lineRule="auto" w:before="13"/>
        <w:ind w:right="3881" w:firstLine="362"/>
        <w:jc w:val="left"/>
      </w:pPr>
      <w:r>
        <w:rPr>
          <w:rFonts w:ascii="Times New Roman" w:hAnsi="Times New Roman" w:cs="Times New Roman" w:eastAsia="Times New Roman" w:hint="default"/>
        </w:rPr>
        <w:t>b</w:t>
      </w:r>
      <w:r>
        <w:rPr/>
        <w:t>、回购注销离职员工与绩效考核为</w:t>
      </w:r>
      <w:r>
        <w:rPr>
          <w:rFonts w:ascii="Times New Roman" w:hAnsi="Times New Roman" w:cs="Times New Roman" w:eastAsia="Times New Roman" w:hint="default"/>
        </w:rPr>
        <w:t>C</w:t>
      </w:r>
      <w:r>
        <w:rPr/>
        <w:t>员工的限制性股票，对财务状况的影响很小。 </w:t>
      </w:r>
      <w:r>
        <w:rPr>
          <w:rFonts w:ascii="Times New Roman" w:hAnsi="Times New Roman" w:cs="Times New Roman" w:eastAsia="Times New Roman" w:hint="default"/>
        </w:rPr>
        <w:t>2</w:t>
      </w:r>
      <w:r>
        <w:rPr/>
        <w:t>、以后年度：</w:t>
      </w:r>
    </w:p>
    <w:p>
      <w:pPr>
        <w:pStyle w:val="BodyText"/>
        <w:spacing w:line="300" w:lineRule="auto" w:before="13"/>
        <w:ind w:left="154" w:right="1118" w:firstLine="217"/>
        <w:jc w:val="left"/>
      </w:pPr>
      <w:r>
        <w:rPr>
          <w:spacing w:val="-2"/>
        </w:rPr>
        <w:t>公司本年授予限制性股票的潜在回购义务</w:t>
      </w:r>
      <w:r>
        <w:rPr>
          <w:rFonts w:ascii="Times New Roman" w:hAnsi="Times New Roman" w:cs="Times New Roman" w:eastAsia="Times New Roman" w:hint="default"/>
          <w:spacing w:val="-2"/>
        </w:rPr>
        <w:t>93,649,154.11</w:t>
      </w:r>
      <w:r>
        <w:rPr>
          <w:spacing w:val="-2"/>
        </w:rPr>
        <w:t>元，锁定期满时，符合解锁条件的部分将相应增加公司净资产、减</w:t>
      </w:r>
      <w:r>
        <w:rPr/>
        <w:t> 少负债。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0"/>
        <w:jc w:val="left"/>
        <w:rPr>
          <w:b w:val="0"/>
          <w:bCs w:val="0"/>
        </w:rPr>
      </w:pPr>
      <w:bookmarkStart w:name="七、重大关联交易" w:id="67"/>
      <w:bookmarkEnd w:id="67"/>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与日常经营相关的关联交易" w:id="68"/>
      <w:bookmarkEnd w:id="6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pict>
          <v:shape style="position:absolute;margin-left:432.059998pt;margin-top:52.691711pt;width:63.45pt;height:15.6pt;mso-position-horizontal-relative:page;mso-position-vertical-relative:paragraph;z-index:-903520" type="#_x0000_t202" filled="false" stroked="false">
            <v:textbox inset="0,0,0,0">
              <w:txbxContent>
                <w:p>
                  <w:pPr>
                    <w:pStyle w:val="BodyText"/>
                    <w:spacing w:line="208" w:lineRule="exact" w:before="0"/>
                    <w:ind w:left="0" w:right="0"/>
                    <w:jc w:val="left"/>
                  </w:pPr>
                  <w:r>
                    <w:rPr/>
                    <w:t>（元）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关联交易 </w:t>
            </w:r>
            <w:r>
              <w:rPr>
                <w:rFonts w:ascii="宋体" w:hAnsi="宋体" w:cs="宋体" w:eastAsia="宋体" w:hint="default"/>
                <w:spacing w:val="-18"/>
                <w:sz w:val="18"/>
                <w:szCs w:val="18"/>
              </w:rPr>
              <w:t>价格（元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4"/>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w:t>
            </w:r>
          </w:p>
          <w:p>
            <w:pPr>
              <w:pStyle w:val="TableParagraph"/>
              <w:spacing w:line="8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1" w:firstLine="10"/>
              <w:jc w:val="both"/>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国电电力 发展股份 有限公司 及其子公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非控股股 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3"/>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9"/>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5"/>
              <w:jc w:val="both"/>
              <w:rPr>
                <w:rFonts w:ascii="宋体" w:hAnsi="宋体" w:cs="宋体" w:eastAsia="宋体" w:hint="default"/>
                <w:sz w:val="18"/>
                <w:szCs w:val="18"/>
              </w:rPr>
            </w:pPr>
            <w:r>
              <w:rPr>
                <w:rFonts w:ascii="宋体" w:hAnsi="宋体" w:cs="宋体" w:eastAsia="宋体" w:hint="default"/>
                <w:sz w:val="18"/>
                <w:szCs w:val="18"/>
              </w:rPr>
              <w:t>独立核算 及公允原 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33,547,69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3,354.77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33,547,69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2.08</w:t>
            </w: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国网吉林 省电力有 限公司及 其子公司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4"/>
              <w:jc w:val="left"/>
              <w:rPr>
                <w:rFonts w:ascii="宋体" w:hAnsi="宋体" w:cs="宋体" w:eastAsia="宋体" w:hint="default"/>
                <w:sz w:val="18"/>
                <w:szCs w:val="18"/>
              </w:rPr>
            </w:pPr>
            <w:r>
              <w:rPr>
                <w:rFonts w:ascii="宋体" w:hAnsi="宋体" w:cs="宋体" w:eastAsia="宋体" w:hint="default"/>
                <w:sz w:val="18"/>
                <w:szCs w:val="18"/>
              </w:rPr>
              <w:t>非控股股 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独立核算 及公允原 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7,836,084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7,836,084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国网福建 省电力有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非控股股 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3"/>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both"/>
              <w:rPr>
                <w:rFonts w:ascii="宋体" w:hAnsi="宋体" w:cs="宋体" w:eastAsia="宋体" w:hint="default"/>
                <w:sz w:val="18"/>
                <w:szCs w:val="18"/>
              </w:rPr>
            </w:pPr>
            <w:r>
              <w:rPr>
                <w:rFonts w:ascii="宋体" w:hAnsi="宋体" w:cs="宋体" w:eastAsia="宋体" w:hint="default"/>
                <w:sz w:val="18"/>
                <w:szCs w:val="18"/>
              </w:rPr>
              <w:t>销售商品 及提供服 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5"/>
              <w:jc w:val="both"/>
              <w:rPr>
                <w:rFonts w:ascii="宋体" w:hAnsi="宋体" w:cs="宋体" w:eastAsia="宋体" w:hint="default"/>
                <w:sz w:val="18"/>
                <w:szCs w:val="18"/>
              </w:rPr>
            </w:pPr>
            <w:r>
              <w:rPr>
                <w:rFonts w:ascii="宋体" w:hAnsi="宋体" w:cs="宋体" w:eastAsia="宋体" w:hint="default"/>
                <w:sz w:val="18"/>
                <w:szCs w:val="18"/>
              </w:rPr>
              <w:t>独立核算 及公允原 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12,178,01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12,178,01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8.89</w:t>
            </w: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5,356.18</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34"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8"/>
        <w:gridCol w:w="6374"/>
      </w:tblGrid>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以上关联方为本公司电力行业客户、属于本公司目标市场、非本公司控股股东； 本公司产品解决方案在电力行业处于领导地位，为关联方的最优选择；本公司与 关联方的交易是具有商业实质、基于市场价格的正常销售业务，对于双方来说都 是必要的、可持续的。</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关联交易占同类交易的比例为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6.56%</w:t>
            </w:r>
            <w:r>
              <w:rPr>
                <w:rFonts w:ascii="宋体" w:hAnsi="宋体" w:cs="宋体" w:eastAsia="宋体" w:hint="default"/>
                <w:sz w:val="18"/>
                <w:szCs w:val="18"/>
              </w:rPr>
              <w:t>，公司对关联方无依赖。</w:t>
            </w:r>
          </w:p>
        </w:tc>
      </w:tr>
      <w:tr>
        <w:trPr>
          <w:trHeight w:val="1026"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销售商品及提供服务</w:t>
            </w:r>
            <w:r>
              <w:rPr>
                <w:rFonts w:ascii="Times New Roman" w:hAnsi="Times New Roman" w:cs="Times New Roman" w:eastAsia="Times New Roman" w:hint="default"/>
                <w:sz w:val="18"/>
                <w:szCs w:val="18"/>
              </w:rPr>
              <w:t>”</w:t>
            </w:r>
            <w:r>
              <w:rPr>
                <w:rFonts w:ascii="宋体" w:hAnsi="宋体" w:cs="宋体" w:eastAsia="宋体" w:hint="default"/>
                <w:sz w:val="18"/>
                <w:szCs w:val="18"/>
              </w:rPr>
              <w:t>关联交易金额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万元，报告期已发生</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5,356.18 </w:t>
            </w:r>
            <w:r>
              <w:rPr>
                <w:rFonts w:ascii="宋体" w:hAnsi="宋体" w:cs="宋体" w:eastAsia="宋体" w:hint="default"/>
                <w:sz w:val="18"/>
                <w:szCs w:val="18"/>
              </w:rPr>
              <w:t>万元，占年度预计金额的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28.95%</w:t>
            </w:r>
            <w:r>
              <w:rPr>
                <w:rFonts w:ascii="宋体" w:hAnsi="宋体" w:cs="宋体" w:eastAsia="宋体" w:hint="default"/>
                <w:sz w:val="18"/>
                <w:szCs w:val="18"/>
              </w:rPr>
              <w:t>。</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资产收购、出售发生的关联交易" w:id="69"/>
      <w:bookmarkEnd w:id="6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共同对外投资的关联交易" w:id="70"/>
      <w:bookmarkEnd w:id="7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4、关联债权债务往来" w:id="71"/>
      <w:bookmarkEnd w:id="7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0"/>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5、其他关联交易" w:id="72"/>
      <w:bookmarkEnd w:id="72"/>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重大合同及其履行情况" w:id="73"/>
      <w:bookmarkEnd w:id="73"/>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托管、承包、租赁事项情况" w:id="74"/>
      <w:bookmarkEnd w:id="7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托管情况" w:id="75"/>
      <w:bookmarkEnd w:id="7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承包情况" w:id="76"/>
      <w:bookmarkEnd w:id="7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bookmarkStart w:name="（3）租赁情况" w:id="77"/>
      <w:bookmarkEnd w:id="7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担保情况" w:id="78"/>
      <w:bookmarkEnd w:id="7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其他重大合同" w:id="79"/>
      <w:bookmarkEnd w:id="79"/>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794"/>
        <w:gridCol w:w="792"/>
        <w:gridCol w:w="793"/>
        <w:gridCol w:w="792"/>
        <w:gridCol w:w="792"/>
        <w:gridCol w:w="792"/>
        <w:gridCol w:w="790"/>
        <w:gridCol w:w="790"/>
        <w:gridCol w:w="795"/>
        <w:gridCol w:w="790"/>
        <w:gridCol w:w="788"/>
        <w:gridCol w:w="960"/>
      </w:tblGrid>
      <w:tr>
        <w:trPr>
          <w:trHeight w:val="1651" w:hRule="exact"/>
        </w:trPr>
        <w:tc>
          <w:tcPr>
            <w:tcW w:w="79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27"/>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5" w:right="2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06" w:right="25"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3"/>
              <w:ind w:left="25" w:right="25"/>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0"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25"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3"/>
              <w:ind w:left="25" w:right="27"/>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0"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25"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5" w:right="25"/>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7" w:right="23" w:firstLine="7"/>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9"/>
                <w:sz w:val="18"/>
                <w:szCs w:val="18"/>
              </w:rPr>
              <w:t>日（如有</w:t>
            </w:r>
          </w:p>
        </w:tc>
        <w:tc>
          <w:tcPr>
            <w:tcW w:w="79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03" w:right="24"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9" w:right="19"/>
              <w:jc w:val="center"/>
              <w:rPr>
                <w:rFonts w:ascii="宋体" w:hAnsi="宋体" w:cs="宋体" w:eastAsia="宋体" w:hint="default"/>
                <w:sz w:val="18"/>
                <w:szCs w:val="18"/>
              </w:rPr>
            </w:pPr>
            <w:r>
              <w:rPr>
                <w:rFonts w:ascii="宋体" w:hAnsi="宋体" w:cs="宋体" w:eastAsia="宋体" w:hint="default"/>
                <w:sz w:val="18"/>
                <w:szCs w:val="18"/>
              </w:rPr>
              <w:t>截至报告期 末的执行情 况</w:t>
            </w:r>
          </w:p>
        </w:tc>
      </w:tr>
      <w:tr>
        <w:trPr>
          <w:trHeight w:val="1972" w:hRule="exact"/>
        </w:trPr>
        <w:tc>
          <w:tcPr>
            <w:tcW w:w="7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 w:right="34" w:firstLine="45"/>
              <w:jc w:val="left"/>
              <w:rPr>
                <w:rFonts w:ascii="宋体" w:hAnsi="宋体" w:cs="宋体" w:eastAsia="宋体" w:hint="default"/>
                <w:sz w:val="18"/>
                <w:szCs w:val="18"/>
              </w:rPr>
            </w:pPr>
            <w:r>
              <w:rPr>
                <w:rFonts w:ascii="宋体" w:hAnsi="宋体" w:cs="宋体" w:eastAsia="宋体" w:hint="default"/>
                <w:sz w:val="18"/>
                <w:szCs w:val="18"/>
              </w:rPr>
              <w:t>远光软 件股份有 限公司</w:t>
            </w:r>
          </w:p>
        </w:tc>
        <w:tc>
          <w:tcPr>
            <w:tcW w:w="792" w:type="dxa"/>
            <w:tcBorders>
              <w:top w:val="single" w:sz="8" w:space="0" w:color="000000"/>
              <w:left w:val="single" w:sz="8" w:space="0" w:color="000000"/>
              <w:bottom w:val="single" w:sz="8" w:space="0" w:color="000000"/>
              <w:right w:val="single" w:sz="8" w:space="0" w:color="000000"/>
            </w:tcBorders>
          </w:tcPr>
          <w:p>
            <w:pPr>
              <w:pStyle w:val="TableParagraph"/>
              <w:spacing w:line="285" w:lineRule="auto" w:before="35"/>
              <w:ind w:left="18" w:right="107" w:firstLine="45"/>
              <w:jc w:val="both"/>
              <w:rPr>
                <w:rFonts w:ascii="宋体" w:hAnsi="宋体" w:cs="宋体" w:eastAsia="宋体" w:hint="default"/>
                <w:sz w:val="20"/>
                <w:szCs w:val="20"/>
              </w:rPr>
            </w:pPr>
            <w:r>
              <w:rPr>
                <w:rFonts w:ascii="宋体" w:hAnsi="宋体" w:cs="宋体" w:eastAsia="宋体" w:hint="default"/>
                <w:sz w:val="20"/>
                <w:szCs w:val="20"/>
              </w:rPr>
              <w:t>中国南</w:t>
            </w:r>
            <w:r>
              <w:rPr>
                <w:rFonts w:ascii="宋体" w:hAnsi="宋体" w:cs="宋体" w:eastAsia="宋体" w:hint="default"/>
                <w:w w:val="100"/>
                <w:sz w:val="20"/>
                <w:szCs w:val="20"/>
              </w:rPr>
              <w:t> </w:t>
            </w:r>
            <w:r>
              <w:rPr>
                <w:rFonts w:ascii="宋体" w:hAnsi="宋体" w:cs="宋体" w:eastAsia="宋体" w:hint="default"/>
                <w:sz w:val="20"/>
                <w:szCs w:val="20"/>
              </w:rPr>
              <w:t>方电网</w:t>
            </w:r>
            <w:r>
              <w:rPr>
                <w:rFonts w:ascii="宋体" w:hAnsi="宋体" w:cs="宋体" w:eastAsia="宋体" w:hint="default"/>
                <w:w w:val="100"/>
                <w:sz w:val="20"/>
                <w:szCs w:val="20"/>
              </w:rPr>
              <w:t> </w:t>
            </w:r>
            <w:r>
              <w:rPr>
                <w:rFonts w:ascii="宋体" w:hAnsi="宋体" w:cs="宋体" w:eastAsia="宋体" w:hint="default"/>
                <w:sz w:val="20"/>
                <w:szCs w:val="20"/>
              </w:rPr>
              <w:t>有限责</w:t>
            </w:r>
            <w:r>
              <w:rPr>
                <w:rFonts w:ascii="宋体" w:hAnsi="宋体" w:cs="宋体" w:eastAsia="宋体" w:hint="default"/>
                <w:w w:val="100"/>
                <w:sz w:val="20"/>
                <w:szCs w:val="20"/>
              </w:rPr>
              <w:t> </w:t>
            </w:r>
            <w:r>
              <w:rPr>
                <w:rFonts w:ascii="宋体" w:hAnsi="宋体" w:cs="宋体" w:eastAsia="宋体" w:hint="default"/>
                <w:sz w:val="20"/>
                <w:szCs w:val="20"/>
              </w:rPr>
              <w:t>任公司</w:t>
            </w:r>
            <w:r>
              <w:rPr>
                <w:rFonts w:ascii="宋体" w:hAnsi="宋体" w:cs="宋体" w:eastAsia="宋体" w:hint="default"/>
                <w:w w:val="100"/>
                <w:sz w:val="20"/>
                <w:szCs w:val="20"/>
              </w:rPr>
              <w:t> </w:t>
            </w:r>
            <w:r>
              <w:rPr>
                <w:rFonts w:ascii="宋体" w:hAnsi="宋体" w:cs="宋体" w:eastAsia="宋体" w:hint="default"/>
                <w:sz w:val="20"/>
                <w:szCs w:val="20"/>
              </w:rPr>
              <w:t>及其下</w:t>
            </w:r>
            <w:r>
              <w:rPr>
                <w:rFonts w:ascii="宋体" w:hAnsi="宋体" w:cs="宋体" w:eastAsia="宋体" w:hint="default"/>
                <w:w w:val="100"/>
                <w:sz w:val="20"/>
                <w:szCs w:val="20"/>
              </w:rPr>
              <w:t> </w:t>
            </w:r>
            <w:r>
              <w:rPr>
                <w:rFonts w:ascii="宋体" w:hAnsi="宋体" w:cs="宋体" w:eastAsia="宋体" w:hint="default"/>
                <w:sz w:val="20"/>
                <w:szCs w:val="20"/>
              </w:rPr>
              <w:t>属单位</w:t>
            </w:r>
          </w:p>
        </w:tc>
        <w:tc>
          <w:tcPr>
            <w:tcW w:w="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月至</w:t>
            </w:r>
          </w:p>
          <w:p>
            <w:pPr>
              <w:pStyle w:val="TableParagraph"/>
              <w:spacing w:line="240" w:lineRule="auto" w:before="76"/>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2" w:type="dxa"/>
            <w:tcBorders>
              <w:top w:val="single" w:sz="8" w:space="0" w:color="000000"/>
              <w:left w:val="single" w:sz="8" w:space="0" w:color="000000"/>
              <w:bottom w:val="single" w:sz="8" w:space="0" w:color="000000"/>
              <w:right w:val="single" w:sz="8" w:space="0" w:color="000000"/>
            </w:tcBorders>
          </w:tcPr>
          <w:p>
            <w:pPr/>
          </w:p>
        </w:tc>
        <w:tc>
          <w:tcPr>
            <w:tcW w:w="792" w:type="dxa"/>
            <w:tcBorders>
              <w:top w:val="single" w:sz="8" w:space="0" w:color="000000"/>
              <w:left w:val="single" w:sz="8" w:space="0" w:color="000000"/>
              <w:bottom w:val="single" w:sz="8" w:space="0" w:color="000000"/>
              <w:right w:val="single" w:sz="8" w:space="0" w:color="000000"/>
            </w:tcBorders>
          </w:tcPr>
          <w:p>
            <w:pPr/>
          </w:p>
        </w:tc>
        <w:tc>
          <w:tcPr>
            <w:tcW w:w="792" w:type="dxa"/>
            <w:tcBorders>
              <w:top w:val="single" w:sz="8" w:space="0" w:color="000000"/>
              <w:left w:val="single" w:sz="8" w:space="0" w:color="000000"/>
              <w:bottom w:val="single" w:sz="8" w:space="0" w:color="000000"/>
              <w:right w:val="single" w:sz="8" w:space="0" w:color="000000"/>
            </w:tcBorders>
          </w:tcPr>
          <w:p>
            <w:pPr/>
          </w:p>
        </w:tc>
        <w:tc>
          <w:tcPr>
            <w:tcW w:w="790" w:type="dxa"/>
            <w:tcBorders>
              <w:top w:val="single" w:sz="8" w:space="0" w:color="000000"/>
              <w:left w:val="single" w:sz="8" w:space="0" w:color="000000"/>
              <w:bottom w:val="single" w:sz="8" w:space="0" w:color="000000"/>
              <w:right w:val="single" w:sz="8" w:space="0" w:color="000000"/>
            </w:tcBorders>
          </w:tcPr>
          <w:p>
            <w:pP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2" w:right="0"/>
              <w:jc w:val="left"/>
              <w:rPr>
                <w:rFonts w:ascii="宋体" w:hAnsi="宋体" w:cs="宋体" w:eastAsia="宋体" w:hint="default"/>
                <w:sz w:val="18"/>
                <w:szCs w:val="18"/>
              </w:rPr>
            </w:pPr>
            <w:r>
              <w:rPr>
                <w:rFonts w:ascii="宋体"/>
                <w:sz w:val="18"/>
              </w:rPr>
              <w:t>11,787</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1"/>
              <w:jc w:val="righ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3" w:right="0"/>
              <w:jc w:val="left"/>
              <w:rPr>
                <w:rFonts w:ascii="宋体" w:hAnsi="宋体" w:cs="宋体" w:eastAsia="宋体" w:hint="default"/>
                <w:sz w:val="18"/>
                <w:szCs w:val="18"/>
              </w:rPr>
            </w:pPr>
            <w:r>
              <w:rPr>
                <w:rFonts w:ascii="宋体" w:hAnsi="宋体" w:cs="宋体" w:eastAsia="宋体" w:hint="default"/>
                <w:sz w:val="18"/>
                <w:szCs w:val="18"/>
              </w:rPr>
              <w:t>正常执行</w:t>
            </w:r>
          </w:p>
        </w:tc>
      </w:tr>
    </w:tbl>
    <w:p>
      <w:pPr>
        <w:pStyle w:val="BodyText"/>
        <w:spacing w:line="300" w:lineRule="auto" w:before="52"/>
        <w:ind w:right="1130" w:firstLine="360"/>
        <w:jc w:val="both"/>
      </w:pPr>
      <w:r>
        <w:rPr/>
        <w:t>公司于</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日披露了《关于收到中标通知书的公告》，公司被确定为“中国南方电网有限责任公司财务管理</w:t>
      </w:r>
      <w:r>
        <w:rPr/>
        <w:t> 系统</w:t>
      </w:r>
      <w:r>
        <w:rPr>
          <w:spacing w:val="-54"/>
        </w:rPr>
        <w:t> </w:t>
      </w:r>
      <w:r>
        <w:rPr>
          <w:rFonts w:ascii="Times New Roman" w:hAnsi="Times New Roman" w:cs="Times New Roman" w:eastAsia="Times New Roman" w:hint="default"/>
        </w:rPr>
        <w:t>V1.0</w:t>
      </w:r>
      <w:r>
        <w:rPr>
          <w:rFonts w:ascii="Times New Roman" w:hAnsi="Times New Roman" w:cs="Times New Roman" w:eastAsia="Times New Roman" w:hint="default"/>
          <w:spacing w:val="-8"/>
        </w:rPr>
        <w:t> </w:t>
      </w:r>
      <w:r>
        <w:rPr/>
        <w:t>详细设计、开发与实施（主体）项目”的中标人，中标价人民币</w:t>
      </w:r>
      <w:r>
        <w:rPr>
          <w:spacing w:val="-53"/>
        </w:rPr>
        <w:t> </w:t>
      </w:r>
      <w:r>
        <w:rPr>
          <w:rFonts w:ascii="Times New Roman" w:hAnsi="Times New Roman" w:cs="Times New Roman" w:eastAsia="Times New Roman" w:hint="default"/>
        </w:rPr>
        <w:t>12,530</w:t>
      </w:r>
      <w:r>
        <w:rPr>
          <w:rFonts w:ascii="Times New Roman" w:hAnsi="Times New Roman" w:cs="Times New Roman" w:eastAsia="Times New Roman" w:hint="default"/>
          <w:spacing w:val="-9"/>
        </w:rPr>
        <w:t> </w:t>
      </w:r>
      <w:r>
        <w:rPr/>
        <w:t>万元。公司根据招标通知书的要求与南方 电网有限责任公司及其下属单位分别签署合同，截止报告期末，已签署合同</w:t>
      </w:r>
      <w:r>
        <w:rPr>
          <w:spacing w:val="-3"/>
        </w:rPr>
        <w:t> </w:t>
      </w:r>
      <w:r>
        <w:rPr>
          <w:rFonts w:ascii="Times New Roman" w:hAnsi="Times New Roman" w:cs="Times New Roman" w:eastAsia="Times New Roman" w:hint="default"/>
        </w:rPr>
        <w:t>11,787</w:t>
      </w:r>
      <w:r>
        <w:rPr>
          <w:rFonts w:ascii="Times New Roman" w:hAnsi="Times New Roman" w:cs="Times New Roman" w:eastAsia="Times New Roman" w:hint="default"/>
          <w:spacing w:val="-3"/>
        </w:rPr>
        <w:t> </w:t>
      </w:r>
      <w:r>
        <w:rPr/>
        <w:t>万元，还剩</w:t>
      </w:r>
      <w:r>
        <w:rPr>
          <w:spacing w:val="-48"/>
        </w:rPr>
        <w:t> </w:t>
      </w:r>
      <w:r>
        <w:rPr>
          <w:rFonts w:ascii="Times New Roman" w:hAnsi="Times New Roman" w:cs="Times New Roman" w:eastAsia="Times New Roman" w:hint="default"/>
        </w:rPr>
        <w:t>743</w:t>
      </w:r>
      <w:r>
        <w:rPr>
          <w:rFonts w:ascii="Times New Roman" w:hAnsi="Times New Roman" w:cs="Times New Roman" w:eastAsia="Times New Roman" w:hint="default"/>
          <w:spacing w:val="-3"/>
        </w:rPr>
        <w:t> </w:t>
      </w:r>
      <w:r>
        <w:rPr/>
        <w:t>万元合同尚未签署，公 司将根据客户实际情况，进一步跟进相关工作。</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其他重大交易" w:id="80"/>
      <w:bookmarkEnd w:id="80"/>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1"/>
      <w:bookmarkEnd w:id="81"/>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公司或持股5%以上股东在报告期内发生或以前期间发生但持续到报告期内的承诺事项" w:id="82"/>
      <w:bookmarkEnd w:id="82"/>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6"/>
                <w:sz w:val="18"/>
                <w:szCs w:val="18"/>
              </w:rPr>
              <w:t>陈利浩、黄建元</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标的股权过户 </w:t>
            </w:r>
            <w:r>
              <w:rPr>
                <w:rFonts w:ascii="宋体" w:hAnsi="宋体" w:cs="宋体" w:eastAsia="宋体" w:hint="default"/>
                <w:spacing w:val="-6"/>
                <w:sz w:val="18"/>
                <w:szCs w:val="18"/>
              </w:rPr>
              <w:t>完成后，乙方减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持远光软件，将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遵守相关法律 </w:t>
            </w:r>
            <w:r>
              <w:rPr>
                <w:rFonts w:ascii="宋体" w:hAnsi="宋体" w:cs="宋体" w:eastAsia="宋体" w:hint="default"/>
                <w:spacing w:val="-6"/>
                <w:sz w:val="18"/>
                <w:szCs w:val="18"/>
              </w:rPr>
              <w:t>法规的规定。即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使在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年内离 </w:t>
            </w:r>
            <w:r>
              <w:rPr>
                <w:rFonts w:ascii="宋体" w:hAnsi="宋体" w:cs="宋体" w:eastAsia="宋体" w:hint="default"/>
                <w:spacing w:val="-6"/>
                <w:sz w:val="18"/>
                <w:szCs w:val="18"/>
              </w:rPr>
              <w:t>职，也将遵守现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行相关法律法 规对公司董事、 </w:t>
            </w:r>
            <w:r>
              <w:rPr>
                <w:rFonts w:ascii="宋体" w:hAnsi="宋体" w:cs="宋体" w:eastAsia="宋体" w:hint="default"/>
                <w:spacing w:val="-6"/>
                <w:sz w:val="18"/>
                <w:szCs w:val="18"/>
              </w:rPr>
              <w:t>监事、高级管理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人员所持本公 司股份变动管 理的要求。</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72"/>
              <w:jc w:val="left"/>
              <w:rPr>
                <w:rFonts w:ascii="宋体" w:hAnsi="宋体" w:cs="宋体" w:eastAsia="宋体" w:hint="default"/>
                <w:sz w:val="18"/>
                <w:szCs w:val="18"/>
              </w:rPr>
            </w:pPr>
            <w:r>
              <w:rPr>
                <w:rFonts w:ascii="宋体" w:hAnsi="宋体" w:cs="宋体" w:eastAsia="宋体" w:hint="default"/>
                <w:sz w:val="18"/>
                <w:szCs w:val="18"/>
              </w:rPr>
              <w:t>标的股权过户 之日起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即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人严格履行了 该承诺。</w:t>
            </w:r>
          </w:p>
        </w:tc>
      </w:tr>
      <w:tr>
        <w:trPr>
          <w:trHeight w:val="704"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1721"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17"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在未来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 不再筹划重大 资产重组事项</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人严格履行了 该承诺。</w:t>
            </w:r>
          </w:p>
        </w:tc>
      </w:tr>
      <w:tr>
        <w:trPr>
          <w:trHeight w:val="39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785"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312"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珠海市东区荣 光科技有限公 司（现</w:t>
            </w:r>
            <w:r>
              <w:rPr>
                <w:rFonts w:ascii="Times New Roman" w:hAnsi="Times New Roman" w:cs="Times New Roman" w:eastAsia="Times New Roman" w:hint="default"/>
                <w:sz w:val="18"/>
                <w:szCs w:val="18"/>
              </w:rPr>
              <w:t>“</w:t>
            </w:r>
            <w:r>
              <w:rPr>
                <w:rFonts w:ascii="宋体" w:hAnsi="宋体" w:cs="宋体" w:eastAsia="宋体" w:hint="default"/>
                <w:sz w:val="18"/>
                <w:szCs w:val="18"/>
              </w:rPr>
              <w:t>林芝地 区荣光科技有 </w:t>
            </w:r>
            <w:r>
              <w:rPr>
                <w:rFonts w:ascii="宋体" w:hAnsi="宋体" w:cs="宋体" w:eastAsia="宋体" w:hint="default"/>
                <w:spacing w:val="-16"/>
                <w:w w:val="100"/>
                <w:sz w:val="18"/>
                <w:szCs w:val="18"/>
              </w:rPr>
              <w:t>限公司</w:t>
            </w:r>
            <w:r>
              <w:rPr>
                <w:rFonts w:ascii="Times New Roman" w:hAnsi="Times New Roman" w:cs="Times New Roman" w:eastAsia="Times New Roman" w:hint="default"/>
                <w:spacing w:val="-16"/>
                <w:w w:val="100"/>
                <w:sz w:val="18"/>
                <w:szCs w:val="18"/>
              </w:rPr>
              <w:t>”</w:t>
            </w:r>
            <w:r>
              <w:rPr>
                <w:rFonts w:ascii="宋体" w:hAnsi="宋体" w:cs="宋体" w:eastAsia="宋体" w:hint="default"/>
                <w:spacing w:val="-16"/>
                <w:w w:val="100"/>
                <w:sz w:val="18"/>
                <w:szCs w:val="18"/>
              </w:rPr>
              <w:t>）、陈利</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浩</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人严格履行了 该承诺。</w:t>
            </w:r>
          </w:p>
        </w:tc>
      </w:tr>
      <w:tr>
        <w:trPr>
          <w:trHeight w:val="39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785"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785"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陈利浩承诺：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 不减持所持公 司股份。</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人严格履行了 该承诺。</w:t>
            </w:r>
          </w:p>
        </w:tc>
      </w:tr>
      <w:tr>
        <w:trPr>
          <w:trHeight w:val="39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785"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59" w:lineRule="auto" w:before="35"/>
        <w:ind w:right="0"/>
        <w:jc w:val="left"/>
        <w:rPr>
          <w:b w:val="0"/>
          <w:bCs w:val="0"/>
        </w:rPr>
      </w:pPr>
      <w:bookmarkStart w:name="2、公司资产或项目存在盈利预测，且报告期仍处在盈利预测期间，公司就资产或项目达到" w:id="83"/>
      <w:bookmarkEnd w:id="8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4"/>
      <w:bookmarkEnd w:id="84"/>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王淑燕、樊文景</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监事会、独立董事（如适用）对会计师事务所本报告期“非标准审计报告”的说明" w:id="85"/>
      <w:bookmarkEnd w:id="85"/>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86"/>
      <w:bookmarkEnd w:id="8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87"/>
      <w:bookmarkEnd w:id="87"/>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88"/>
      <w:bookmarkEnd w:id="88"/>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公司子公司重要事项" w:id="89"/>
      <w:bookmarkEnd w:id="89"/>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六、公司发行公司债券的情况" w:id="90"/>
      <w:bookmarkEnd w:id="90"/>
      <w:r>
        <w:rPr>
          <w:b w:val="0"/>
          <w:bCs w:val="0"/>
        </w:rPr>
      </w:r>
      <w:r>
        <w:rPr/>
        <w:t>十六、公司发行公司债券的情况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1"/>
      <w:bookmarkEnd w:id="91"/>
      <w:r>
        <w:rPr>
          <w:b w:val="0"/>
          <w:bCs w:val="0"/>
        </w:rPr>
      </w:r>
      <w:bookmarkStart w:name="_bookmark5" w:id="92"/>
      <w:bookmarkEnd w:id="9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3"/>
      <w:bookmarkEnd w:id="93"/>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78,778,14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17.05%</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-98,139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-98,139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17.04%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78,778,14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17.05%</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-98,139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-98,139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17.04%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78,778,14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17.05%</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-98,139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-98,139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17.04%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82.95%</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-186,082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-186,082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82.96%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82.95%</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-186,082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-186,082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82.96%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462,054,3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-284,221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-284,221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461,770,1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股份变动的原因</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16"/>
        </w:rPr>
        <w:t> </w:t>
      </w:r>
      <w:r>
        <w:rPr/>
        <w:t>日公司第五届董事会第三次会议审议通过《关于回购注销部分限制性股票的议案》，公司拟回购注销</w:t>
      </w:r>
      <w:r>
        <w:rPr>
          <w:rFonts w:ascii="Times New Roman" w:hAnsi="Times New Roman" w:cs="Times New Roman" w:eastAsia="Times New Roman" w:hint="default"/>
        </w:rPr>
        <w:t>22</w:t>
      </w:r>
    </w:p>
    <w:p>
      <w:pPr>
        <w:pStyle w:val="BodyText"/>
        <w:spacing w:line="240" w:lineRule="auto" w:before="63"/>
        <w:ind w:right="0"/>
        <w:jc w:val="both"/>
      </w:pPr>
      <w:r>
        <w:rPr/>
        <w:t>名激励对象合计持有的 </w:t>
      </w:r>
      <w:r>
        <w:rPr>
          <w:rFonts w:ascii="Times New Roman" w:hAnsi="Times New Roman" w:cs="Times New Roman" w:eastAsia="Times New Roman" w:hint="default"/>
        </w:rPr>
        <w:t>56,041 </w:t>
      </w:r>
      <w:r>
        <w:rPr/>
        <w:t>股限制性股票，由此公司股本总额将 </w:t>
      </w:r>
      <w:r>
        <w:rPr>
          <w:rFonts w:ascii="Times New Roman" w:hAnsi="Times New Roman" w:cs="Times New Roman" w:eastAsia="Times New Roman" w:hint="default"/>
        </w:rPr>
        <w:t>462,054,367 </w:t>
      </w:r>
      <w:r>
        <w:rPr/>
        <w:t>股调整为 </w:t>
      </w:r>
      <w:r>
        <w:rPr>
          <w:rFonts w:ascii="Times New Roman" w:hAnsi="Times New Roman" w:cs="Times New Roman" w:eastAsia="Times New Roman" w:hint="default"/>
        </w:rPr>
        <w:t>461,998,326</w:t>
      </w:r>
      <w:r>
        <w:rPr>
          <w:rFonts w:ascii="Times New Roman" w:hAnsi="Times New Roman" w:cs="Times New Roman" w:eastAsia="Times New Roman" w:hint="default"/>
          <w:spacing w:val="20"/>
        </w:rPr>
        <w:t> </w:t>
      </w:r>
      <w:r>
        <w:rPr/>
        <w:t>股。</w:t>
      </w:r>
    </w:p>
    <w:p>
      <w:pPr>
        <w:pStyle w:val="BodyText"/>
        <w:spacing w:line="300" w:lineRule="auto" w:before="63"/>
        <w:ind w:right="113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26 </w:t>
      </w:r>
      <w:r>
        <w:rPr/>
        <w:t>日公司第五届董事会第十次会议审议通过了《关于回购注销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年限制性股票激励计划部分限制性股 </w:t>
      </w:r>
      <w:r>
        <w:rPr>
          <w:spacing w:val="-6"/>
        </w:rPr>
        <w:t>票的议案》，公司拟回购并注销 </w:t>
      </w:r>
      <w:r>
        <w:rPr>
          <w:rFonts w:ascii="Times New Roman" w:hAnsi="Times New Roman" w:cs="Times New Roman" w:eastAsia="Times New Roman" w:hint="default"/>
        </w:rPr>
        <w:t>9 </w:t>
      </w:r>
      <w:r>
        <w:rPr/>
        <w:t>名因离职已不符合激励条件的激励对象合计持有的已获授但尚未解锁的</w:t>
      </w:r>
      <w:r>
        <w:rPr>
          <w:rFonts w:ascii="Times New Roman" w:hAnsi="Times New Roman" w:cs="Times New Roman" w:eastAsia="Times New Roman" w:hint="default"/>
        </w:rPr>
        <w:t>228,180</w:t>
      </w:r>
      <w:r>
        <w:rPr>
          <w:rFonts w:ascii="Times New Roman" w:hAnsi="Times New Roman" w:cs="Times New Roman" w:eastAsia="Times New Roman" w:hint="default"/>
          <w:spacing w:val="4"/>
        </w:rPr>
        <w:t> </w:t>
      </w:r>
      <w:r>
        <w:rPr/>
        <w:t>股限制性 股票，由此公司股本总额将从</w:t>
      </w:r>
      <w:r>
        <w:rPr>
          <w:rFonts w:ascii="Times New Roman" w:hAnsi="Times New Roman" w:cs="Times New Roman" w:eastAsia="Times New Roman" w:hint="default"/>
        </w:rPr>
        <w:t>461,998,326  </w:t>
      </w:r>
      <w:r>
        <w:rPr/>
        <w:t>股变更为 </w:t>
      </w:r>
      <w:r>
        <w:rPr>
          <w:rFonts w:ascii="Times New Roman" w:hAnsi="Times New Roman" w:cs="Times New Roman" w:eastAsia="Times New Roman" w:hint="default"/>
        </w:rPr>
        <w:t>461,770,146</w:t>
      </w:r>
      <w:r>
        <w:rPr>
          <w:rFonts w:ascii="Times New Roman" w:hAnsi="Times New Roman" w:cs="Times New Roman" w:eastAsia="Times New Roman" w:hint="default"/>
          <w:spacing w:val="-10"/>
        </w:rPr>
        <w:t> </w:t>
      </w:r>
      <w:r>
        <w:rPr/>
        <w:t>股。</w:t>
      </w:r>
    </w:p>
    <w:p>
      <w:pPr>
        <w:pStyle w:val="BodyText"/>
        <w:spacing w:line="240" w:lineRule="auto" w:before="53"/>
        <w:ind w:right="0"/>
        <w:jc w:val="both"/>
      </w:pPr>
      <w:r>
        <w:rPr/>
        <w:t>股份变动的批准情况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01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日公司第五届董事会第三次会议审议通过了《关于回购注销部分限制性股票的议案》。</w:t>
      </w:r>
    </w:p>
    <w:p>
      <w:pPr>
        <w:pStyle w:val="BodyText"/>
        <w:spacing w:line="300" w:lineRule="auto" w:before="63"/>
        <w:ind w:right="1118"/>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26 </w:t>
      </w:r>
      <w:r>
        <w:rPr/>
        <w:t>日公司第五届董事会第十次会议审议通过了《关于回购注销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年限制性股票激励计划部分限制性股 票的议案》。</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股份变动的过户情况</w:t>
      </w:r>
    </w:p>
    <w:p>
      <w:pPr>
        <w:pStyle w:val="BodyText"/>
        <w:spacing w:line="240" w:lineRule="auto" w:before="116"/>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1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 </w:t>
      </w:r>
      <w:r>
        <w:rPr/>
        <w:t>日，</w:t>
      </w:r>
      <w:r>
        <w:rPr>
          <w:rFonts w:ascii="Times New Roman" w:hAnsi="Times New Roman" w:cs="Times New Roman" w:eastAsia="Times New Roman" w:hint="default"/>
        </w:rPr>
        <w:t>22 </w:t>
      </w:r>
      <w:r>
        <w:rPr/>
        <w:t>名激励对象所持限制性股票</w:t>
      </w:r>
      <w:r>
        <w:rPr>
          <w:rFonts w:ascii="Times New Roman" w:hAnsi="Times New Roman" w:cs="Times New Roman" w:eastAsia="Times New Roman" w:hint="default"/>
        </w:rPr>
        <w:t>56,041</w:t>
      </w:r>
      <w:r>
        <w:rPr>
          <w:rFonts w:ascii="Times New Roman" w:hAnsi="Times New Roman" w:cs="Times New Roman" w:eastAsia="Times New Roman" w:hint="default"/>
          <w:spacing w:val="4"/>
        </w:rPr>
        <w:t> </w:t>
      </w:r>
      <w:r>
        <w:rPr/>
        <w:t>股的回购注销事宜，已经中国证券登记结算有限责任公司深 圳分公司确认。</w:t>
      </w:r>
    </w:p>
    <w:p>
      <w:pPr>
        <w:pStyle w:val="BodyText"/>
        <w:spacing w:line="240" w:lineRule="auto" w:before="31"/>
        <w:ind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19 </w:t>
      </w:r>
      <w:r>
        <w:rPr/>
        <w:t>日，</w:t>
      </w:r>
      <w:r>
        <w:rPr>
          <w:rFonts w:ascii="Times New Roman" w:hAnsi="Times New Roman" w:cs="Times New Roman" w:eastAsia="Times New Roman" w:hint="default"/>
        </w:rPr>
        <w:t>9</w:t>
      </w:r>
      <w:r>
        <w:rPr/>
        <w:t>名激励对象所持限制性股票</w:t>
      </w:r>
      <w:r>
        <w:rPr>
          <w:spacing w:val="-45"/>
        </w:rPr>
        <w:t> </w:t>
      </w:r>
      <w:r>
        <w:rPr>
          <w:rFonts w:ascii="Times New Roman" w:hAnsi="Times New Roman" w:cs="Times New Roman" w:eastAsia="Times New Roman" w:hint="default"/>
        </w:rPr>
        <w:t>228,180</w:t>
      </w:r>
      <w:r>
        <w:rPr/>
        <w:t>股的回购注销事宜，已经中国证券登记结算有限责任公司深</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ind w:right="1393"/>
        <w:jc w:val="left"/>
      </w:pPr>
      <w:r>
        <w:rPr/>
        <w:t>圳分公司确认。 股份变动对最近一年和最近一期基本每股收益和稀释每股收益、归属于公司普通股股东的每股净资产等财务指标的影响</w:t>
      </w:r>
    </w:p>
    <w:p>
      <w:pPr>
        <w:pStyle w:val="BodyText"/>
        <w:spacing w:line="338" w:lineRule="auto" w:before="27"/>
        <w:ind w:right="3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股份变动对基本每股收益和稀释每股收益的影响甚微，对净资产与每股净资产的主要影响如下：</w:t>
      </w:r>
    </w:p>
    <w:p>
      <w:pPr>
        <w:pStyle w:val="BodyText"/>
        <w:spacing w:line="300" w:lineRule="auto" w:before="3"/>
        <w:ind w:left="154" w:right="1167"/>
        <w:jc w:val="left"/>
      </w:pPr>
      <w:r>
        <w:rPr>
          <w:rFonts w:ascii="Times New Roman" w:hAnsi="Times New Roman" w:cs="Times New Roman" w:eastAsia="Times New Roman" w:hint="default"/>
        </w:rPr>
        <w:t>1</w:t>
      </w:r>
      <w:r>
        <w:rPr/>
        <w:t>、本期回购股份用于员工限制性股票激励，回购款与行权款之间的差异</w:t>
      </w:r>
      <w:r>
        <w:rPr>
          <w:rFonts w:ascii="Times New Roman" w:hAnsi="Times New Roman" w:cs="Times New Roman" w:eastAsia="Times New Roman" w:hint="default"/>
        </w:rPr>
        <w:t>93,709,340.03</w:t>
      </w:r>
      <w:r>
        <w:rPr/>
        <w:t>元冲减资本公积，由此导致公司净资 产减少</w:t>
      </w:r>
      <w:r>
        <w:rPr>
          <w:rFonts w:ascii="Times New Roman" w:hAnsi="Times New Roman" w:cs="Times New Roman" w:eastAsia="Times New Roman" w:hint="default"/>
        </w:rPr>
        <w:t>93,709,340.03</w:t>
      </w:r>
      <w:r>
        <w:rPr/>
        <w:t>元、每股净资产减少</w:t>
      </w:r>
      <w:r>
        <w:rPr>
          <w:rFonts w:ascii="Times New Roman" w:hAnsi="Times New Roman" w:cs="Times New Roman" w:eastAsia="Times New Roman" w:hint="default"/>
        </w:rPr>
        <w:t>0.20</w:t>
      </w:r>
      <w:r>
        <w:rPr/>
        <w:t>元。</w:t>
      </w:r>
    </w:p>
    <w:p>
      <w:pPr>
        <w:pStyle w:val="BodyText"/>
        <w:spacing w:line="302" w:lineRule="auto" w:before="13"/>
        <w:ind w:right="1121"/>
        <w:jc w:val="left"/>
      </w:pPr>
      <w:r>
        <w:rPr>
          <w:rFonts w:ascii="Times New Roman" w:hAnsi="Times New Roman" w:cs="Times New Roman" w:eastAsia="Times New Roman" w:hint="default"/>
          <w:spacing w:val="-1"/>
        </w:rPr>
        <w:t>2</w:t>
      </w:r>
      <w:r>
        <w:rPr>
          <w:spacing w:val="-1"/>
        </w:rPr>
        <w:t>、根据财政部会计司《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4-5</w:t>
      </w:r>
      <w:r>
        <w:rPr>
          <w:spacing w:val="-1"/>
        </w:rPr>
        <w:t>月会计师事务所提交的专业技术问题的研讨情况及财政部就有关会计处理征询函的复函通</w:t>
      </w:r>
      <w:r>
        <w:rPr>
          <w:spacing w:val="-86"/>
        </w:rPr>
        <w:t> </w:t>
      </w:r>
      <w:r>
        <w:rPr/>
        <w:t>报》，</w:t>
      </w:r>
      <w:r>
        <w:rPr>
          <w:rFonts w:ascii="Times New Roman" w:hAnsi="Times New Roman" w:cs="Times New Roman" w:eastAsia="Times New Roman" w:hint="default"/>
        </w:rPr>
        <w:t>“</w:t>
      </w:r>
      <w:r>
        <w:rPr/>
        <w:t>向职工发行的限制性股票按有关规定履行了注册登记等增资手续的，在授予日，企业应当根据收到的职工缴纳的认 </w:t>
      </w:r>
      <w:r>
        <w:rPr>
          <w:spacing w:val="-2"/>
        </w:rPr>
        <w:t>股款确认股本和资本公积（股本溢价），同时就回购义务确认负债（作收购库存股处理）；在锁定期和解锁期内，企业应当</w:t>
      </w:r>
      <w:r>
        <w:rPr>
          <w:spacing w:val="-72"/>
        </w:rPr>
        <w:t> </w:t>
      </w:r>
      <w:r>
        <w:rPr>
          <w:spacing w:val="-72"/>
        </w:rPr>
      </w:r>
      <w:r>
        <w:rPr/>
        <w:t>按照《企业会计准则第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股份支付》的相关规定进行会计处理。</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本公司股权激励计划回购义务主要包括：</w:t>
      </w:r>
      <w:r>
        <w:rPr>
          <w:rFonts w:ascii="Times New Roman" w:hAnsi="Times New Roman" w:cs="Times New Roman" w:eastAsia="Times New Roman" w:hint="default"/>
        </w:rPr>
        <w:t>a</w:t>
      </w:r>
      <w:r>
        <w:rPr/>
        <w:t>、公司本 </w:t>
      </w:r>
      <w:r>
        <w:rPr>
          <w:spacing w:val="-2"/>
        </w:rPr>
        <w:t>年授予的限制性股票的回购义务全额确认一项负债并作收购库存股处理；</w:t>
      </w:r>
      <w:r>
        <w:rPr>
          <w:rFonts w:ascii="Times New Roman" w:hAnsi="Times New Roman" w:cs="Times New Roman" w:eastAsia="Times New Roman" w:hint="default"/>
          <w:spacing w:val="-2"/>
        </w:rPr>
        <w:t>b</w:t>
      </w: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日授予的第三期限制性股票由</w:t>
      </w:r>
      <w:r>
        <w:rPr>
          <w:spacing w:val="-55"/>
        </w:rPr>
        <w:t> </w:t>
      </w:r>
      <w:r>
        <w:rPr/>
        <w:t>于本年业绩不达标产生回购义务，确认为一项负债并作收购库存股处理。本公司因</w:t>
      </w:r>
      <w:r>
        <w:rPr>
          <w:rFonts w:ascii="Times New Roman" w:hAnsi="Times New Roman" w:cs="Times New Roman" w:eastAsia="Times New Roman" w:hint="default"/>
        </w:rPr>
        <w:t>“</w:t>
      </w:r>
      <w:r>
        <w:rPr/>
        <w:t>股权激励计划回购义务</w:t>
      </w:r>
      <w:r>
        <w:rPr>
          <w:rFonts w:ascii="Times New Roman" w:hAnsi="Times New Roman" w:cs="Times New Roman" w:eastAsia="Times New Roman" w:hint="default"/>
        </w:rPr>
        <w:t>”</w:t>
      </w:r>
      <w:r>
        <w:rPr/>
        <w:t>确认库存股 </w:t>
      </w:r>
      <w:r>
        <w:rPr>
          <w:rFonts w:ascii="Times New Roman" w:hAnsi="Times New Roman" w:cs="Times New Roman" w:eastAsia="Times New Roman" w:hint="default"/>
        </w:rPr>
        <w:t>122,186,676.58</w:t>
      </w:r>
      <w:r>
        <w:rPr/>
        <w:t>元，由此导致公司净资产减少</w:t>
      </w:r>
      <w:r>
        <w:rPr>
          <w:rFonts w:ascii="Times New Roman" w:hAnsi="Times New Roman" w:cs="Times New Roman" w:eastAsia="Times New Roman" w:hint="default"/>
        </w:rPr>
        <w:t>122,186,676.58</w:t>
      </w:r>
      <w:r>
        <w:rPr/>
        <w:t>元、每股净资产减少</w:t>
      </w:r>
      <w:r>
        <w:rPr>
          <w:rFonts w:ascii="Times New Roman" w:hAnsi="Times New Roman" w:cs="Times New Roman" w:eastAsia="Times New Roman" w:hint="default"/>
        </w:rPr>
        <w:t>0.26</w:t>
      </w:r>
      <w:r>
        <w:rPr/>
        <w:t>元。</w:t>
      </w:r>
    </w:p>
    <w:p>
      <w:pPr>
        <w:pStyle w:val="BodyText"/>
        <w:spacing w:line="240" w:lineRule="auto" w:before="52"/>
        <w:ind w:right="0"/>
        <w:jc w:val="left"/>
      </w:pPr>
      <w:r>
        <w:rPr/>
        <w:t>公司认为必要或证券监管机构要求披露的其他内容</w:t>
      </w:r>
    </w:p>
    <w:p>
      <w:pPr>
        <w:pStyle w:val="BodyText"/>
        <w:spacing w:line="328" w:lineRule="auto" w:before="117"/>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报告期内，因以下原因，公司有限售条件股份数有变动：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年限制性股票第一期解锁；</w:t>
      </w:r>
    </w:p>
    <w:p>
      <w:pPr>
        <w:pStyle w:val="BodyText"/>
        <w:spacing w:line="238" w:lineRule="exact" w:before="0"/>
        <w:ind w:right="0"/>
        <w:jc w:val="left"/>
      </w:pPr>
      <w:r>
        <w:rPr>
          <w:rFonts w:ascii="Times New Roman" w:hAnsi="Times New Roman" w:cs="Times New Roman" w:eastAsia="Times New Roman" w:hint="default"/>
        </w:rPr>
        <w:t>2</w:t>
      </w:r>
      <w:r>
        <w:rPr/>
        <w:t>、不符合解锁条件的</w:t>
      </w:r>
      <w:r>
        <w:rPr>
          <w:rFonts w:ascii="Times New Roman" w:hAnsi="Times New Roman" w:cs="Times New Roman" w:eastAsia="Times New Roman" w:hint="default"/>
        </w:rPr>
        <w:t>2012</w:t>
      </w:r>
      <w:r>
        <w:rPr/>
        <w:t>年限制性股票回购注销；</w:t>
      </w:r>
    </w:p>
    <w:p>
      <w:pPr>
        <w:pStyle w:val="BodyText"/>
        <w:spacing w:line="300" w:lineRule="auto" w:before="63"/>
        <w:ind w:right="1132"/>
        <w:jc w:val="both"/>
      </w:pPr>
      <w:r>
        <w:rPr>
          <w:rFonts w:ascii="Times New Roman" w:hAnsi="Times New Roman" w:cs="Times New Roman" w:eastAsia="Times New Roman" w:hint="default"/>
        </w:rPr>
        <w:t>3</w:t>
      </w:r>
      <w:r>
        <w:rPr/>
        <w:t>、每年的第一个交易日，中国结算深圳分公司以上市公司董事、监事和高级管理人员在上年最后一个交易日登记在其名下 </w:t>
      </w:r>
      <w:r>
        <w:rPr>
          <w:spacing w:val="-1"/>
        </w:rPr>
        <w:t>的在本所上市的本公司股份为基数，按</w:t>
      </w:r>
      <w:r>
        <w:rPr>
          <w:rFonts w:ascii="Times New Roman" w:hAnsi="Times New Roman" w:cs="Times New Roman" w:eastAsia="Times New Roman" w:hint="default"/>
          <w:spacing w:val="-1"/>
        </w:rPr>
        <w:t>25%</w:t>
      </w:r>
      <w:r>
        <w:rPr>
          <w:spacing w:val="-1"/>
        </w:rPr>
        <w:t>计算其本年度可转让股份法定额度；同时，对该人员所持的在本年度可转让股份</w:t>
      </w:r>
      <w:r>
        <w:rPr/>
        <w:t> 额度内的无限售条件的流通股进行解锁；</w:t>
      </w:r>
    </w:p>
    <w:p>
      <w:pPr>
        <w:pStyle w:val="BodyText"/>
        <w:spacing w:line="240" w:lineRule="auto" w:before="32"/>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年限制性股票授予登记；</w:t>
      </w:r>
    </w:p>
    <w:p>
      <w:pPr>
        <w:pStyle w:val="BodyText"/>
        <w:spacing w:line="240" w:lineRule="auto" w:before="63"/>
        <w:ind w:right="0"/>
        <w:jc w:val="left"/>
      </w:pPr>
      <w:r>
        <w:rPr>
          <w:rFonts w:ascii="Times New Roman" w:hAnsi="Times New Roman" w:cs="Times New Roman" w:eastAsia="Times New Roman" w:hint="default"/>
        </w:rPr>
        <w:t>5</w:t>
      </w:r>
      <w:r>
        <w:rPr/>
        <w:t>、朱安离任时间满</w:t>
      </w:r>
      <w:r>
        <w:rPr>
          <w:rFonts w:ascii="Times New Roman" w:hAnsi="Times New Roman" w:cs="Times New Roman" w:eastAsia="Times New Roman" w:hint="default"/>
        </w:rPr>
        <w:t>6</w:t>
      </w:r>
      <w:r>
        <w:rPr/>
        <w:t>个月，其所持有股份</w:t>
      </w:r>
      <w:r>
        <w:rPr>
          <w:rFonts w:ascii="Times New Roman" w:hAnsi="Times New Roman" w:cs="Times New Roman" w:eastAsia="Times New Roman" w:hint="default"/>
        </w:rPr>
        <w:t>50%</w:t>
      </w:r>
      <w:r>
        <w:rPr/>
        <w:t>解除限售；</w:t>
      </w:r>
    </w:p>
    <w:p>
      <w:pPr>
        <w:pStyle w:val="BodyText"/>
        <w:spacing w:line="240" w:lineRule="auto" w:before="63"/>
        <w:ind w:left="154" w:right="0"/>
        <w:jc w:val="left"/>
      </w:pPr>
      <w:r>
        <w:rPr>
          <w:rFonts w:ascii="Times New Roman" w:hAnsi="Times New Roman" w:cs="Times New Roman" w:eastAsia="Times New Roman" w:hint="default"/>
        </w:rPr>
        <w:t>6</w:t>
      </w:r>
      <w:r>
        <w:rPr/>
        <w:t>、毛华夏离任时间满</w:t>
      </w:r>
      <w:r>
        <w:rPr>
          <w:rFonts w:ascii="Times New Roman" w:hAnsi="Times New Roman" w:cs="Times New Roman" w:eastAsia="Times New Roman" w:hint="default"/>
        </w:rPr>
        <w:t>18</w:t>
      </w:r>
      <w:r>
        <w:rPr/>
        <w:t>个月，其所持股份全部解除限售。</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二、证券发行与上市情况" w:id="94"/>
      <w:bookmarkEnd w:id="9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报告期末近三年历次证券发行情况" w:id="95"/>
      <w:bookmarkEnd w:id="95"/>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2,549,823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2,549,823</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1,279,860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6,077,001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6,077,001</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限制性股票登记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12,494,650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12,494,650</w:t>
            </w: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0" w:right="0"/>
              <w:jc w:val="left"/>
              <w:rPr>
                <w:rFonts w:ascii="Times New Roman" w:hAnsi="Times New Roman" w:cs="Times New Roman" w:eastAsia="Times New Roman" w:hint="default"/>
                <w:sz w:val="18"/>
                <w:szCs w:val="18"/>
              </w:rPr>
            </w:pPr>
            <w:r>
              <w:rPr>
                <w:rFonts w:ascii="Times New Roman"/>
                <w:sz w:val="18"/>
              </w:rPr>
              <w:t>357,506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9" w:right="0"/>
              <w:jc w:val="left"/>
              <w:rPr>
                <w:rFonts w:ascii="Times New Roman" w:hAnsi="Times New Roman" w:cs="Times New Roman" w:eastAsia="Times New Roman" w:hint="default"/>
                <w:sz w:val="18"/>
                <w:szCs w:val="18"/>
              </w:rPr>
            </w:pPr>
            <w:r>
              <w:rPr>
                <w:rFonts w:ascii="Times New Roman"/>
                <w:sz w:val="18"/>
              </w:rPr>
              <w:t>357,506</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left="154" w:right="0"/>
        <w:jc w:val="left"/>
      </w:pPr>
      <w:r>
        <w:rPr/>
        <w:t>前三年历次证券发行情况的说明</w:t>
      </w:r>
    </w:p>
    <w:p>
      <w:pPr>
        <w:pStyle w:val="BodyText"/>
        <w:spacing w:line="300" w:lineRule="auto" w:before="116"/>
        <w:ind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日，公司股票期权激励计划第二个行权期第一次行权，本次行权</w:t>
      </w:r>
      <w:r>
        <w:rPr>
          <w:rFonts w:ascii="Times New Roman" w:hAnsi="Times New Roman" w:cs="Times New Roman" w:eastAsia="Times New Roman" w:hint="default"/>
        </w:rPr>
        <w:t>2,549,823</w:t>
      </w:r>
      <w:r>
        <w:rPr/>
        <w:t>份，行权后公司股本由</w:t>
      </w:r>
      <w:r>
        <w:rPr>
          <w:rFonts w:ascii="Times New Roman" w:hAnsi="Times New Roman" w:cs="Times New Roman" w:eastAsia="Times New Roman" w:hint="default"/>
        </w:rPr>
        <w:t>337,375,785 </w:t>
      </w:r>
      <w:r>
        <w:rPr/>
        <w:t>股变更为</w:t>
      </w:r>
      <w:r>
        <w:rPr>
          <w:rFonts w:ascii="Times New Roman" w:hAnsi="Times New Roman" w:cs="Times New Roman" w:eastAsia="Times New Roman" w:hint="default"/>
        </w:rPr>
        <w:t>339,925,608</w:t>
      </w:r>
      <w:r>
        <w:rPr/>
        <w:t>股；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日，公司股票期权激励计划第二个行权期第二次行权，本次行权</w:t>
      </w:r>
      <w:r>
        <w:rPr>
          <w:rFonts w:ascii="Times New Roman" w:hAnsi="Times New Roman" w:cs="Times New Roman" w:eastAsia="Times New Roman" w:hint="default"/>
          <w:spacing w:val="-3"/>
        </w:rPr>
        <w:t>1,279,860</w:t>
      </w:r>
      <w:r>
        <w:rPr>
          <w:spacing w:val="-3"/>
        </w:rPr>
        <w:t>份，行权后公司股本由</w:t>
      </w:r>
      <w:r>
        <w:rPr>
          <w:rFonts w:ascii="Times New Roman" w:hAnsi="Times New Roman" w:cs="Times New Roman" w:eastAsia="Times New Roman" w:hint="default"/>
          <w:spacing w:val="-3"/>
        </w:rPr>
        <w:t>441,903,290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股变更为</w:t>
      </w:r>
      <w:r>
        <w:rPr>
          <w:rFonts w:ascii="Times New Roman" w:hAnsi="Times New Roman" w:cs="Times New Roman" w:eastAsia="Times New Roman" w:hint="default"/>
        </w:rPr>
        <w:t>443,183,150</w:t>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日，公司股票期权激励计划第三个行权期第一次行权，本次行权</w:t>
      </w:r>
      <w:r>
        <w:rPr>
          <w:rFonts w:ascii="Times New Roman" w:hAnsi="Times New Roman" w:cs="Times New Roman" w:eastAsia="Times New Roman" w:hint="default"/>
        </w:rPr>
        <w:t>6,077,001</w:t>
      </w:r>
      <w:r>
        <w:rPr/>
        <w:t>份，权后公司股本由</w:t>
      </w:r>
      <w:r>
        <w:rPr>
          <w:rFonts w:ascii="Times New Roman" w:hAnsi="Times New Roman" w:cs="Times New Roman" w:eastAsia="Times New Roman" w:hint="default"/>
        </w:rPr>
        <w:t>443,183,150 </w:t>
      </w:r>
      <w:r>
        <w:rPr/>
        <w:t>股变更为</w:t>
      </w:r>
      <w:r>
        <w:rPr>
          <w:rFonts w:ascii="Times New Roman" w:hAnsi="Times New Roman" w:cs="Times New Roman" w:eastAsia="Times New Roman" w:hint="default"/>
        </w:rPr>
        <w:t>449,260,151</w:t>
      </w:r>
      <w:r>
        <w:rPr/>
        <w:t>股；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日，公司完成限制性股票登记，本次登记的限制性股票</w:t>
      </w:r>
      <w:r>
        <w:rPr>
          <w:rFonts w:ascii="Times New Roman" w:hAnsi="Times New Roman" w:cs="Times New Roman" w:eastAsia="Times New Roman" w:hint="default"/>
        </w:rPr>
        <w:t>12,494,650</w:t>
      </w:r>
      <w:r>
        <w:rPr/>
        <w:t>股，上市日期为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日，公司股本 由</w:t>
      </w:r>
      <w:r>
        <w:rPr>
          <w:rFonts w:ascii="Times New Roman" w:hAnsi="Times New Roman" w:cs="Times New Roman" w:eastAsia="Times New Roman" w:hint="default"/>
        </w:rPr>
        <w:t>449,260,151</w:t>
      </w:r>
      <w:r>
        <w:rPr/>
        <w:t>股变更为</w:t>
      </w:r>
      <w:r>
        <w:rPr>
          <w:rFonts w:ascii="Times New Roman" w:hAnsi="Times New Roman" w:cs="Times New Roman" w:eastAsia="Times New Roman" w:hint="default"/>
        </w:rPr>
        <w:t>461,754,801</w:t>
      </w:r>
      <w:r>
        <w:rPr/>
        <w:t>股；</w:t>
      </w:r>
    </w:p>
    <w:p>
      <w:pPr>
        <w:pStyle w:val="BodyText"/>
        <w:spacing w:line="240" w:lineRule="auto" w:before="13"/>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日，公司股票期权激励计划第三个行权期预留期权行权</w:t>
      </w:r>
      <w:r>
        <w:rPr>
          <w:rFonts w:ascii="Times New Roman" w:hAnsi="Times New Roman" w:cs="Times New Roman" w:eastAsia="Times New Roman" w:hint="default"/>
        </w:rPr>
        <w:t>357,506</w:t>
      </w:r>
      <w:r>
        <w:rPr/>
        <w:t>份，行权后公司股本由</w:t>
      </w:r>
      <w:r>
        <w:rPr>
          <w:rFonts w:ascii="Times New Roman" w:hAnsi="Times New Roman" w:cs="Times New Roman" w:eastAsia="Times New Roman" w:hint="default"/>
        </w:rPr>
        <w:t>461,754,801</w:t>
      </w:r>
      <w:r>
        <w:rPr/>
        <w:t>股变更为</w:t>
      </w:r>
    </w:p>
    <w:p>
      <w:pPr>
        <w:pStyle w:val="BodyText"/>
        <w:spacing w:line="240" w:lineRule="auto" w:before="63"/>
        <w:ind w:right="0"/>
        <w:jc w:val="left"/>
      </w:pPr>
      <w:r>
        <w:rPr>
          <w:rFonts w:ascii="Times New Roman" w:hAnsi="Times New Roman" w:cs="Times New Roman" w:eastAsia="Times New Roman" w:hint="default"/>
        </w:rPr>
        <w:t>462,112,307</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6"/>
        <w:spacing w:line="240" w:lineRule="auto"/>
        <w:ind w:right="0"/>
        <w:jc w:val="left"/>
        <w:rPr>
          <w:b w:val="0"/>
          <w:bCs w:val="0"/>
        </w:rPr>
      </w:pPr>
      <w:bookmarkStart w:name="2、公司股份总数及股东结构的变动、公司资产和负债结构的变动情况说明" w:id="96"/>
      <w:bookmarkEnd w:id="9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9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4 </w:t>
      </w:r>
      <w:r>
        <w:rPr/>
        <w:t>日，公司公告 </w:t>
      </w:r>
      <w:r>
        <w:rPr>
          <w:rFonts w:ascii="Times New Roman" w:hAnsi="Times New Roman" w:cs="Times New Roman" w:eastAsia="Times New Roman" w:hint="default"/>
        </w:rPr>
        <w:t>22 </w:t>
      </w:r>
      <w:r>
        <w:rPr/>
        <w:t>名激励对象因上年度绩效考核结果为合格（</w:t>
      </w:r>
      <w:r>
        <w:rPr>
          <w:rFonts w:ascii="Times New Roman" w:hAnsi="Times New Roman" w:cs="Times New Roman" w:eastAsia="Times New Roman" w:hint="default"/>
        </w:rPr>
        <w:t>C</w:t>
      </w:r>
      <w:r>
        <w:rPr/>
        <w:t>）所持已获授但尚未解锁的</w:t>
      </w:r>
      <w:r>
        <w:rPr>
          <w:rFonts w:ascii="Times New Roman" w:hAnsi="Times New Roman" w:cs="Times New Roman" w:eastAsia="Times New Roman" w:hint="default"/>
        </w:rPr>
        <w:t>56,041</w:t>
      </w:r>
      <w:r>
        <w:rPr>
          <w:rFonts w:ascii="Times New Roman" w:hAnsi="Times New Roman" w:cs="Times New Roman" w:eastAsia="Times New Roman" w:hint="default"/>
          <w:spacing w:val="33"/>
        </w:rPr>
        <w:t> </w:t>
      </w:r>
      <w:r>
        <w:rPr/>
        <w:t>股限 制性股票回购注销完成，回购注销完成后，公司股本由</w:t>
      </w:r>
      <w:r>
        <w:rPr>
          <w:rFonts w:ascii="Times New Roman" w:hAnsi="Times New Roman" w:cs="Times New Roman" w:eastAsia="Times New Roman" w:hint="default"/>
        </w:rPr>
        <w:t>462,054,367 </w:t>
      </w:r>
      <w:r>
        <w:rPr/>
        <w:t>股变更为 </w:t>
      </w:r>
      <w:r>
        <w:rPr>
          <w:rFonts w:ascii="Times New Roman" w:hAnsi="Times New Roman" w:cs="Times New Roman" w:eastAsia="Times New Roman" w:hint="default"/>
        </w:rPr>
        <w:t>461,998,326</w:t>
      </w:r>
      <w:r>
        <w:rPr>
          <w:rFonts w:ascii="Times New Roman" w:hAnsi="Times New Roman" w:cs="Times New Roman" w:eastAsia="Times New Roman" w:hint="default"/>
          <w:spacing w:val="-12"/>
        </w:rPr>
        <w:t> </w:t>
      </w:r>
      <w:r>
        <w:rPr/>
        <w:t>股。本次限制性股票的回购注销 对公司资产、负债影响很小。</w:t>
      </w:r>
    </w:p>
    <w:p>
      <w:pPr>
        <w:pStyle w:val="BodyText"/>
        <w:spacing w:line="304" w:lineRule="auto" w:before="31"/>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19</w:t>
      </w:r>
      <w:r>
        <w:rPr/>
        <w:t>日，公司公告</w:t>
      </w:r>
      <w:r>
        <w:rPr>
          <w:rFonts w:ascii="Times New Roman" w:hAnsi="Times New Roman" w:cs="Times New Roman" w:eastAsia="Times New Roman" w:hint="default"/>
        </w:rPr>
        <w:t>9 </w:t>
      </w:r>
      <w:r>
        <w:rPr/>
        <w:t>名因离职已不符合激励条件的激励对象合计持有的已获授但尚未解锁的</w:t>
      </w:r>
      <w:r>
        <w:rPr>
          <w:rFonts w:ascii="Times New Roman" w:hAnsi="Times New Roman" w:cs="Times New Roman" w:eastAsia="Times New Roman" w:hint="default"/>
        </w:rPr>
        <w:t>228,180</w:t>
      </w:r>
      <w:r>
        <w:rPr>
          <w:rFonts w:ascii="Times New Roman" w:hAnsi="Times New Roman" w:cs="Times New Roman" w:eastAsia="Times New Roman" w:hint="default"/>
          <w:spacing w:val="2"/>
        </w:rPr>
        <w:t> </w:t>
      </w:r>
      <w:r>
        <w:rPr/>
        <w:t>股限制 性股票回购注销完成，回购注销完成后，公司股本总额由</w:t>
      </w:r>
      <w:r>
        <w:rPr>
          <w:rFonts w:ascii="Times New Roman" w:hAnsi="Times New Roman" w:cs="Times New Roman" w:eastAsia="Times New Roman" w:hint="default"/>
        </w:rPr>
        <w:t>461,998,326 </w:t>
      </w:r>
      <w:r>
        <w:rPr/>
        <w:t>股变更为 </w:t>
      </w:r>
      <w:r>
        <w:rPr>
          <w:rFonts w:ascii="Times New Roman" w:hAnsi="Times New Roman" w:cs="Times New Roman" w:eastAsia="Times New Roman" w:hint="default"/>
        </w:rPr>
        <w:t>461,770,146</w:t>
      </w:r>
      <w:r>
        <w:rPr>
          <w:rFonts w:ascii="Times New Roman" w:hAnsi="Times New Roman" w:cs="Times New Roman" w:eastAsia="Times New Roman" w:hint="default"/>
          <w:spacing w:val="-10"/>
        </w:rPr>
        <w:t> </w:t>
      </w:r>
      <w:r>
        <w:rPr/>
        <w:t>股。本次限制性股票的回购注 销对公司资产、负债影响很小。 </w:t>
      </w:r>
      <w:r>
        <w:rPr>
          <w:rFonts w:ascii="Times New Roman" w:hAnsi="Times New Roman" w:cs="Times New Roman" w:eastAsia="Times New Roman" w:hint="default"/>
        </w:rPr>
        <w:t>3</w:t>
      </w:r>
      <w:r>
        <w:rPr/>
        <w:t>、本期回购股份用于员工限制性股票激励，回购款与行权款之间的差异</w:t>
      </w:r>
      <w:r>
        <w:rPr>
          <w:rFonts w:ascii="Times New Roman" w:hAnsi="Times New Roman" w:cs="Times New Roman" w:eastAsia="Times New Roman" w:hint="default"/>
        </w:rPr>
        <w:t>93,709,340.03</w:t>
      </w:r>
      <w:r>
        <w:rPr/>
        <w:t>元冲减资本公积，由此导致公司净资 产减少</w:t>
      </w:r>
      <w:r>
        <w:rPr>
          <w:rFonts w:ascii="Times New Roman" w:hAnsi="Times New Roman" w:cs="Times New Roman" w:eastAsia="Times New Roman" w:hint="default"/>
        </w:rPr>
        <w:t>93,709,340.03</w:t>
      </w:r>
      <w:r>
        <w:rPr/>
        <w:t>元。</w:t>
      </w:r>
    </w:p>
    <w:p>
      <w:pPr>
        <w:pStyle w:val="BodyText"/>
        <w:spacing w:line="302" w:lineRule="auto" w:before="9"/>
        <w:ind w:right="1121"/>
        <w:jc w:val="left"/>
      </w:pPr>
      <w:r>
        <w:rPr>
          <w:rFonts w:ascii="Times New Roman" w:hAnsi="Times New Roman" w:cs="Times New Roman" w:eastAsia="Times New Roman" w:hint="default"/>
          <w:spacing w:val="-1"/>
        </w:rPr>
        <w:t>4</w:t>
      </w:r>
      <w:r>
        <w:rPr>
          <w:spacing w:val="-1"/>
        </w:rPr>
        <w:t>、根据财政部会计司《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4-5</w:t>
      </w:r>
      <w:r>
        <w:rPr>
          <w:spacing w:val="-1"/>
        </w:rPr>
        <w:t>月会计师事务所提交的专业技术问题的研讨情况及财政部就有关会计处理征询函的复函通</w:t>
      </w:r>
      <w:r>
        <w:rPr>
          <w:spacing w:val="-86"/>
        </w:rPr>
        <w:t> </w:t>
      </w:r>
      <w:r>
        <w:rPr/>
        <w:t>报》，</w:t>
      </w:r>
      <w:r>
        <w:rPr>
          <w:rFonts w:ascii="Times New Roman" w:hAnsi="Times New Roman" w:cs="Times New Roman" w:eastAsia="Times New Roman" w:hint="default"/>
        </w:rPr>
        <w:t>“</w:t>
      </w:r>
      <w:r>
        <w:rPr/>
        <w:t>向职工发行的限制性股票按有关规定履行了注册登记等增资手续的，在授予日，企业应当根据收到的职工缴纳的认 </w:t>
      </w:r>
      <w:r>
        <w:rPr>
          <w:spacing w:val="-2"/>
        </w:rPr>
        <w:t>股款确认股本和资本公积（股本溢价），同时就回购义务确认负债（作收购库存股处理）；在锁定期和解锁期内，企业应当</w:t>
      </w:r>
      <w:r>
        <w:rPr>
          <w:spacing w:val="-72"/>
        </w:rPr>
        <w:t> </w:t>
      </w:r>
      <w:r>
        <w:rPr>
          <w:spacing w:val="-72"/>
        </w:rPr>
      </w:r>
      <w:r>
        <w:rPr/>
        <w:t>按照《企业会计准则第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股份支付》的相关规定进行会计处理。</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本公司股权激励计划回购义务主要包括：</w:t>
      </w:r>
      <w:r>
        <w:rPr>
          <w:rFonts w:ascii="Times New Roman" w:hAnsi="Times New Roman" w:cs="Times New Roman" w:eastAsia="Times New Roman" w:hint="default"/>
        </w:rPr>
        <w:t>a</w:t>
      </w:r>
      <w:r>
        <w:rPr/>
        <w:t>、公司本 </w:t>
      </w:r>
      <w:r>
        <w:rPr>
          <w:spacing w:val="-2"/>
        </w:rPr>
        <w:t>年授予的限制性股票的回购义务全额确认一项负债并作收购库存股处理；</w:t>
      </w:r>
      <w:r>
        <w:rPr>
          <w:rFonts w:ascii="Times New Roman" w:hAnsi="Times New Roman" w:cs="Times New Roman" w:eastAsia="Times New Roman" w:hint="default"/>
          <w:spacing w:val="-2"/>
        </w:rPr>
        <w:t>b</w:t>
      </w: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日授予的第三期限制性股票由</w:t>
      </w:r>
      <w:r>
        <w:rPr>
          <w:spacing w:val="-55"/>
        </w:rPr>
        <w:t> </w:t>
      </w:r>
      <w:r>
        <w:rPr/>
        <w:t>于本年业绩不达标产生回购义务，确认为一项负债并作收购库存股处理。本公司因</w:t>
      </w:r>
      <w:r>
        <w:rPr>
          <w:rFonts w:ascii="Times New Roman" w:hAnsi="Times New Roman" w:cs="Times New Roman" w:eastAsia="Times New Roman" w:hint="default"/>
        </w:rPr>
        <w:t>“</w:t>
      </w:r>
      <w:r>
        <w:rPr/>
        <w:t>股权激励计划回购义务</w:t>
      </w:r>
      <w:r>
        <w:rPr>
          <w:rFonts w:ascii="Times New Roman" w:hAnsi="Times New Roman" w:cs="Times New Roman" w:eastAsia="Times New Roman" w:hint="default"/>
        </w:rPr>
        <w:t>”</w:t>
      </w:r>
      <w:r>
        <w:rPr/>
        <w:t>确认库存股 </w:t>
      </w:r>
      <w:r>
        <w:rPr>
          <w:rFonts w:ascii="Times New Roman" w:hAnsi="Times New Roman" w:cs="Times New Roman" w:eastAsia="Times New Roman" w:hint="default"/>
        </w:rPr>
        <w:t>122,186,676.58</w:t>
      </w:r>
      <w:r>
        <w:rPr/>
        <w:t>元，由此导致公司净资产减少</w:t>
      </w:r>
      <w:r>
        <w:rPr>
          <w:rFonts w:ascii="Times New Roman" w:hAnsi="Times New Roman" w:cs="Times New Roman" w:eastAsia="Times New Roman" w:hint="default"/>
        </w:rPr>
        <w:t>122,186,676.58</w:t>
      </w:r>
      <w:r>
        <w:rPr/>
        <w:t>元。</w:t>
      </w:r>
    </w:p>
    <w:p>
      <w:pPr>
        <w:spacing w:line="240" w:lineRule="auto" w:before="12"/>
        <w:rPr>
          <w:rFonts w:ascii="宋体" w:hAnsi="宋体" w:cs="宋体" w:eastAsia="宋体" w:hint="default"/>
          <w:sz w:val="21"/>
          <w:szCs w:val="21"/>
        </w:rPr>
      </w:pPr>
    </w:p>
    <w:p>
      <w:pPr>
        <w:pStyle w:val="Heading6"/>
        <w:spacing w:line="240" w:lineRule="auto"/>
        <w:ind w:left="154" w:right="0"/>
        <w:jc w:val="left"/>
        <w:rPr>
          <w:b w:val="0"/>
          <w:bCs w:val="0"/>
        </w:rPr>
      </w:pPr>
      <w:bookmarkStart w:name="3、现存的内部职工股情况" w:id="97"/>
      <w:bookmarkEnd w:id="9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193.399994pt;margin-top:693.01001pt;width:340.45pt;height:20.75pt;mso-position-horizontal-relative:page;mso-position-vertical-relative:page;z-index:-903496" coordorigin="3868,13860" coordsize="6809,415">
            <v:group style="position:absolute;left:3879;top:13872;width:2;height:392" coordorigin="3879,13872" coordsize="2,392">
              <v:shape style="position:absolute;left:3879;top:13872;width:2;height:392" coordorigin="3879,13872" coordsize="0,392" path="m3879,13872l3879,14263e" filled="false" stroked="true" strokeweight="1.140pt" strokecolor="#ffffff">
                <v:path arrowok="t"/>
              </v:shape>
            </v:group>
            <v:group style="position:absolute;left:3891;top:13872;width:6786;height:392" coordorigin="3891,13872" coordsize="6786,392">
              <v:shape style="position:absolute;left:3891;top:13872;width:6786;height:392" coordorigin="3891,13872" coordsize="6786,392" path="m3891,14263l10676,14263,10676,13872,3891,13872,3891,14263xe" filled="true" fillcolor="#ffffff" stroked="false">
                <v:path arrowok="t"/>
                <v:fill type="solid"/>
              </v:shape>
            </v:group>
            <w10:wrap type="none"/>
          </v:group>
        </w:pict>
      </w:r>
    </w:p>
    <w:p>
      <w:pPr>
        <w:pStyle w:val="Heading2"/>
        <w:spacing w:line="240" w:lineRule="auto" w:before="26"/>
        <w:ind w:right="0"/>
        <w:jc w:val="left"/>
        <w:rPr>
          <w:b w:val="0"/>
          <w:bCs w:val="0"/>
        </w:rPr>
      </w:pPr>
      <w:bookmarkStart w:name="三、股东和实际控制人情况" w:id="98"/>
      <w:bookmarkEnd w:id="9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公司股东数量及持股情况" w:id="99"/>
      <w:bookmarkEnd w:id="9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2"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2"/>
                <w:sz w:val="18"/>
              </w:rPr>
              <w:t>17,411</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21,046</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FFFFFF"/>
            </w:tcBorders>
            <w:shd w:val="clear" w:color="auto" w:fill="D2D2D2"/>
          </w:tcPr>
          <w:p>
            <w:pPr/>
          </w:p>
        </w:tc>
        <w:tc>
          <w:tcPr>
            <w:tcW w:w="798"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FFFFFF"/>
            </w:tcBorders>
            <w:shd w:val="clear" w:color="auto" w:fill="D2D2D2"/>
          </w:tcPr>
          <w:p>
            <w:pPr/>
          </w:p>
        </w:tc>
        <w:tc>
          <w:tcPr>
            <w:tcW w:w="798" w:type="dxa"/>
            <w:vMerge/>
            <w:tcBorders>
              <w:left w:val="single" w:sz="4" w:space="0" w:color="FFFFFF"/>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FFFFFF"/>
            </w:tcBorders>
            <w:shd w:val="clear" w:color="auto" w:fill="D2D2D2"/>
          </w:tcPr>
          <w:p>
            <w:pPr/>
          </w:p>
        </w:tc>
        <w:tc>
          <w:tcPr>
            <w:tcW w:w="798"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11.52%</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53,190,44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53,190,44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国电电力发展股 份有限公司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6.25%</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28,870,96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28,870,96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3,176,313</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国网福建省电力 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5.78%</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26,693,38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26,693,38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国网吉林省电力 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3.21%</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14,816,95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14,816,95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中国工商银行－ 广发聚丰股票型 证券投资基金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9,215,195</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-3,009,99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9,215,195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1.95%</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9,000,000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全国社保基金一 一零组合</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1.56%</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7,207,961</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7,207,961</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朱勤</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left="366" w:right="0"/>
              <w:jc w:val="lef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5,813,798</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5,813,798</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中信银行股份有 限公司－建信恒 久价值股票型证 券投资基金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1.21%</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5,606,919</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5,606,919</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7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9" w:type="dxa"/>
            <w:tcBorders>
              <w:top w:val="single" w:sz="4" w:space="0" w:color="000000"/>
              <w:left w:val="nil" w:sz="6" w:space="0" w:color="auto"/>
              <w:bottom w:val="single" w:sz="4" w:space="0" w:color="000000"/>
              <w:right w:val="nil" w:sz="6" w:space="0" w:color="auto"/>
            </w:tcBorders>
          </w:tcPr>
          <w:p>
            <w:pPr/>
          </w:p>
        </w:tc>
        <w:tc>
          <w:tcPr>
            <w:tcW w:w="798" w:type="dxa"/>
            <w:tcBorders>
              <w:top w:val="single" w:sz="4" w:space="0" w:color="000000"/>
              <w:left w:val="nil" w:sz="6" w:space="0" w:color="auto"/>
              <w:bottom w:val="single" w:sz="4" w:space="0" w:color="000000"/>
              <w:right w:val="nil" w:sz="6" w:space="0" w:color="auto"/>
            </w:tcBorders>
          </w:tcPr>
          <w:p>
            <w:pPr/>
          </w:p>
        </w:tc>
        <w:tc>
          <w:tcPr>
            <w:tcW w:w="383" w:type="dxa"/>
            <w:tcBorders>
              <w:top w:val="single" w:sz="4" w:space="0" w:color="000000"/>
              <w:left w:val="nil" w:sz="6" w:space="0" w:color="auto"/>
              <w:bottom w:val="single" w:sz="4" w:space="0" w:color="000000"/>
              <w:right w:val="nil" w:sz="6" w:space="0" w:color="auto"/>
            </w:tcBorders>
          </w:tcPr>
          <w:p>
            <w:pPr/>
          </w:p>
        </w:tc>
        <w:tc>
          <w:tcPr>
            <w:tcW w:w="414"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406" w:type="dxa"/>
            <w:tcBorders>
              <w:top w:val="single" w:sz="4" w:space="0" w:color="000000"/>
              <w:left w:val="nil" w:sz="6" w:space="0" w:color="auto"/>
              <w:bottom w:val="single" w:sz="4" w:space="0" w:color="000000"/>
              <w:right w:val="nil" w:sz="6" w:space="0" w:color="auto"/>
            </w:tcBorders>
          </w:tcPr>
          <w:p>
            <w:pPr/>
          </w:p>
        </w:tc>
        <w:tc>
          <w:tcPr>
            <w:tcW w:w="445"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
        </w:tc>
        <w:tc>
          <w:tcPr>
            <w:tcW w:w="241"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715"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11"/>
            <w:tcBorders>
              <w:top w:val="single" w:sz="4" w:space="0" w:color="000000"/>
              <w:left w:val="single" w:sz="9" w:space="0" w:color="D2D2D2"/>
              <w:bottom w:val="single" w:sz="4" w:space="0" w:color="000000"/>
              <w:right w:val="single" w:sz="4" w:space="0" w:color="000000"/>
            </w:tcBorders>
          </w:tcPr>
          <w:p>
            <w:pPr>
              <w:pStyle w:val="TableParagraph"/>
              <w:spacing w:line="316" w:lineRule="auto" w:before="71"/>
              <w:ind w:left="16" w:right="21"/>
              <w:jc w:val="left"/>
              <w:rPr>
                <w:rFonts w:ascii="宋体" w:hAnsi="宋体" w:cs="宋体" w:eastAsia="宋体" w:hint="default"/>
                <w:sz w:val="18"/>
                <w:szCs w:val="18"/>
              </w:rPr>
            </w:pPr>
            <w:r>
              <w:rPr>
                <w:rFonts w:ascii="宋体" w:hAnsi="宋体" w:cs="宋体" w:eastAsia="宋体" w:hint="default"/>
                <w:spacing w:val="-2"/>
                <w:sz w:val="18"/>
                <w:szCs w:val="18"/>
              </w:rPr>
              <w:t>上述股东中，国网福建省电力有限公司与国网吉林省电力有限公司存在关联关系，两者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的控股股东均是国家电网公司。未知其他股东之间是否具有关联关系，也未知是否属于</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left="0" w:right="1140"/>
        <w:jc w:val="right"/>
      </w:pPr>
      <w:r>
        <w:rPr/>
        <w:pict>
          <v:shape style="position:absolute;margin-left:56.459999pt;margin-top:-350.448273pt;width:479.25pt;height:444.9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9"/>
                    <w:gridCol w:w="4106"/>
                    <w:gridCol w:w="1368"/>
                    <w:gridCol w:w="1367"/>
                  </w:tblGrid>
                  <w:tr>
                    <w:trPr>
                      <w:trHeight w:val="362"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一致行动人。</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729" w:type="dxa"/>
                        <w:vMerge/>
                        <w:tcBorders>
                          <w:left w:val="single" w:sz="4" w:space="0" w:color="000000"/>
                          <w:bottom w:val="nil" w:sz="6" w:space="0" w:color="auto"/>
                          <w:right w:val="single" w:sz="4" w:space="0" w:color="000000"/>
                        </w:tcBorders>
                        <w:shd w:val="clear" w:color="auto" w:fill="D2D2D2"/>
                      </w:tcPr>
                      <w:p>
                        <w:pPr/>
                      </w:p>
                    </w:tc>
                    <w:tc>
                      <w:tcPr>
                        <w:tcW w:w="410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28,870,962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28,870,962</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26,693,388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26,693,388</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14,816,955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14,816,955</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中国工商银行－广发聚丰股票型 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14,259,860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14,259,860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7,207,961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7,207,961</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朱勤</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5,813,798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5,813,798</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中信银行股份有限公司－建信恒 久价值股票型证券投资基金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5,606,919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5,606,919</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交通银行－博时新兴成长股票型 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全国社保基金一一一组合</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4,949,754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4,949,754</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6" w:right="22"/>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名无限售流通股股东中，国网福建省电力有限公司与国网吉林省电力有限公司存 </w:t>
                        </w:r>
                        <w:r>
                          <w:rPr>
                            <w:rFonts w:ascii="宋体" w:hAnsi="宋体" w:cs="宋体" w:eastAsia="宋体" w:hint="default"/>
                            <w:spacing w:val="-4"/>
                            <w:sz w:val="18"/>
                            <w:szCs w:val="18"/>
                          </w:rPr>
                          <w:t>在关联关系，两者的控股股东均是国家电网公司。未知其他股东之间是否具有关联关系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也未知是否属于一致行动人。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名普通股股东中朱勤通过国海证券股份有限公司客户信用交易担保证券账户持有</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5,813,791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通过普通账户持有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合计</w:t>
                        </w:r>
                        <w:r>
                          <w:rPr>
                            <w:rFonts w:ascii="宋体" w:hAnsi="宋体" w:cs="宋体" w:eastAsia="宋体" w:hint="default"/>
                            <w:spacing w:val="1"/>
                            <w:sz w:val="18"/>
                            <w:szCs w:val="18"/>
                          </w:rPr>
                          <w:t>持</w:t>
                        </w: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5,813,798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占公司总股本比例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0" w:right="1139"/>
        <w:jc w:val="right"/>
      </w:pPr>
      <w:r>
        <w:rPr/>
        <w:t>。</w:t>
      </w: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公司控股股东情况" w:id="100"/>
      <w:bookmarkEnd w:id="10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年以来，陈利浩先生一直在公司任职，现担任董事长职务。主要社会 兼职有：国家会计信息化委员会委员、中国软件行业协会副理事长、九三学社 中央委员和广东省委副主委、广东省政协常委和珠海市政协常委等；主要公司 兼职有：林芝地区荣光科技有限公司执行董事兼总经理，珠海市浩天投资有限 公司执行董事兼总经理、广东省依依关爱儿童基金会理事兼秘书长等。</w:t>
            </w:r>
          </w:p>
        </w:tc>
      </w:tr>
    </w:tbl>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324"/>
        <w:gridCol w:w="6245"/>
      </w:tblGrid>
      <w:tr>
        <w:trPr>
          <w:trHeight w:val="332" w:hRule="exact"/>
        </w:trPr>
        <w:tc>
          <w:tcPr>
            <w:tcW w:w="3324" w:type="dxa"/>
            <w:tcBorders>
              <w:top w:val="nil" w:sz="6" w:space="0" w:color="auto"/>
              <w:left w:val="nil" w:sz="6" w:space="0" w:color="auto"/>
              <w:bottom w:val="single" w:sz="4" w:space="0" w:color="000000"/>
              <w:right w:val="nil" w:sz="6" w:space="0" w:color="auto"/>
            </w:tcBorders>
          </w:tcPr>
          <w:p>
            <w:pPr/>
          </w:p>
        </w:tc>
        <w:tc>
          <w:tcPr>
            <w:tcW w:w="624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903352" coordorigin="1104,-740" coordsize="9700,2">
            <v:shape style="position:absolute;left:1104;top:-740;width:9700;height:2" coordorigin="1104,-740" coordsize="9700,0" path="m1104,-740l10804,-740e" filled="false" stroked="true" strokeweight=".72pt" strokecolor="#000000">
              <v:path arrowok="t"/>
            </v:shape>
            <w10:wrap type="none"/>
          </v:group>
        </w:pict>
      </w: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公司实际控制人情况" w:id="101"/>
      <w:bookmarkEnd w:id="10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陈利浩先生，董事长，中国国籍，</w:t>
            </w:r>
            <w:r>
              <w:rPr>
                <w:rFonts w:ascii="Times New Roman" w:hAnsi="Times New Roman" w:cs="Times New Roman" w:eastAsia="Times New Roman" w:hint="default"/>
                <w:sz w:val="18"/>
                <w:szCs w:val="18"/>
              </w:rPr>
              <w:t>1955 </w:t>
            </w:r>
            <w:r>
              <w:rPr>
                <w:rFonts w:ascii="宋体" w:hAnsi="宋体" w:cs="宋体" w:eastAsia="宋体" w:hint="default"/>
                <w:sz w:val="18"/>
                <w:szCs w:val="18"/>
              </w:rPr>
              <w:t>年生，毕业于上海电力学院。自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1998 </w:t>
            </w:r>
            <w:r>
              <w:rPr>
                <w:rFonts w:ascii="宋体" w:hAnsi="宋体" w:cs="宋体" w:eastAsia="宋体" w:hint="default"/>
                <w:spacing w:val="-1"/>
                <w:sz w:val="18"/>
                <w:szCs w:val="18"/>
              </w:rPr>
              <w:t>年以来，陈先生一直在公司任职。主要社会兼职有：国家会计信息化委员会委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员、中国软件行业协会副理事长、九三学社中央委员和广东省委副主委、广东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省政协常委和珠海市政协常委等；主要公司兼职有：林芝地区荣光科技有限公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司执行董事兼总经理，珠海市浩天投资有限公司执行董事兼总经理，公司子公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司远光共创智能科技股份有限公司董事长，广东省依依关爱儿童基金会理事兼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秘书长等。</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3"/>
          <w:szCs w:val="3"/>
        </w:rPr>
      </w:pPr>
    </w:p>
    <w:p>
      <w:pPr>
        <w:spacing w:line="2182" w:lineRule="exact"/>
        <w:ind w:left="819"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90.4pt;height:109.1pt;mso-position-horizontal-relative:char;mso-position-vertical-relative:line" coordorigin="0,0" coordsize="1808,2182">
            <v:group style="position:absolute;left:718;top:527;width:120;height:1655" coordorigin="718,527" coordsize="120,1655">
              <v:shape style="position:absolute;left:718;top:527;width:120;height:1655" coordorigin="718,527" coordsize="120,1655" path="m768,2062l718,2062,778,2182,823,2092,772,2092,768,2088,768,2062xe" filled="true" fillcolor="#000000" stroked="false">
                <v:path arrowok="t"/>
                <v:fill type="solid"/>
              </v:shape>
              <v:shape style="position:absolute;left:718;top:527;width:120;height:1655" coordorigin="718,527" coordsize="120,1655" path="m783,527l771,527,767,531,768,2088,772,2092,783,2092,788,2088,787,537,787,531,783,527xe" filled="true" fillcolor="#000000" stroked="false">
                <v:path arrowok="t"/>
                <v:fill type="solid"/>
              </v:shape>
              <v:shape style="position:absolute;left:718;top:527;width:120;height:1655" coordorigin="718,527" coordsize="120,1655" path="m838,2062l788,2062,788,2088,783,2092,823,2092,838,2062xe" filled="true" fillcolor="#000000" stroked="false">
                <v:path arrowok="t"/>
                <v:fill type="solid"/>
              </v:shape>
            </v:group>
            <v:group style="position:absolute;left:801;top:1048;width:999;height:551" coordorigin="801,1048" coordsize="999,551">
              <v:shape style="position:absolute;left:801;top:1048;width:999;height:551" coordorigin="801,1048" coordsize="999,551" path="m801,1599l1800,1599,1800,1048,801,1048,801,1599xe" filled="false" stroked="true" strokeweight=".75pt" strokecolor="#ffffff">
                <v:path arrowok="t"/>
              </v:shape>
              <v:shape style="position:absolute;left:718;top:527;width:1090;height:1655"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308" w:right="0" w:firstLine="0"/>
                        <w:jc w:val="left"/>
                        <w:rPr>
                          <w:rFonts w:ascii="Times New Roman" w:hAnsi="Times New Roman" w:cs="Times New Roman" w:eastAsia="Times New Roman" w:hint="default"/>
                          <w:sz w:val="18"/>
                          <w:szCs w:val="18"/>
                        </w:rPr>
                      </w:pPr>
                      <w:r>
                        <w:rPr>
                          <w:rFonts w:ascii="Times New Roman"/>
                          <w:sz w:val="18"/>
                        </w:rPr>
                        <w:t>11.52%</w:t>
                      </w:r>
                    </w:p>
                  </w:txbxContent>
                </v:textbox>
                <w10:wrap type="none"/>
              </v:shape>
              <v:shape style="position:absolute;left:0;top:0;width:1580;height:551" type="#_x0000_t202" filled="false" stroked="true" strokeweight=".75pt" strokecolor="#000000">
                <v:textbox inset="0,0,0,0">
                  <w:txbxContent>
                    <w:p>
                      <w:pPr>
                        <w:spacing w:before="122"/>
                        <w:ind w:left="513" w:right="0" w:firstLine="0"/>
                        <w:jc w:val="left"/>
                        <w:rPr>
                          <w:rFonts w:ascii="宋体" w:hAnsi="宋体" w:cs="宋体" w:eastAsia="宋体" w:hint="default"/>
                          <w:sz w:val="18"/>
                          <w:szCs w:val="18"/>
                        </w:rPr>
                      </w:pPr>
                      <w:r>
                        <w:rPr>
                          <w:rFonts w:ascii="宋体" w:hAnsi="宋体" w:cs="宋体" w:eastAsia="宋体" w:hint="default"/>
                          <w:sz w:val="18"/>
                          <w:szCs w:val="18"/>
                        </w:rPr>
                        <w:t>陈利浩</w:t>
                      </w:r>
                    </w:p>
                  </w:txbxContent>
                </v:textbox>
                <w10:wrap type="none"/>
              </v:shape>
            </v:group>
          </v:group>
        </w:pict>
      </w:r>
      <w:r>
        <w:rPr>
          <w:rFonts w:ascii="宋体" w:hAnsi="宋体" w:cs="宋体" w:eastAsia="宋体" w:hint="default"/>
          <w:position w:val="-43"/>
          <w:sz w:val="20"/>
          <w:szCs w:val="20"/>
        </w:rPr>
      </w:r>
    </w:p>
    <w:p>
      <w:pPr>
        <w:spacing w:line="240" w:lineRule="auto" w:before="4"/>
        <w:rPr>
          <w:rFonts w:ascii="宋体" w:hAnsi="宋体" w:cs="宋体" w:eastAsia="宋体" w:hint="default"/>
          <w:sz w:val="2"/>
          <w:szCs w:val="2"/>
        </w:rPr>
      </w:pPr>
    </w:p>
    <w:p>
      <w:pPr>
        <w:spacing w:line="551" w:lineRule="exact"/>
        <w:ind w:left="162"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44.9pt;height:27.55pt;mso-position-horizontal-relative:char;mso-position-vertical-relative:line" type="#_x0000_t202" filled="false" stroked="true" strokeweight=".75pt" strokecolor="#000000">
            <w10:anchorlock/>
            <v:textbox inset="0,0,0,0">
              <w:txbxContent>
                <w:p>
                  <w:pPr>
                    <w:pStyle w:val="BodyText"/>
                    <w:spacing w:line="240" w:lineRule="auto" w:before="124"/>
                    <w:ind w:left="541" w:right="0"/>
                    <w:jc w:val="left"/>
                  </w:pPr>
                  <w:r>
                    <w:rPr/>
                    <w:t>远光软件股份有限公司</w:t>
                  </w:r>
                </w:p>
              </w:txbxContent>
            </v:textbox>
          </v:shape>
        </w:pict>
      </w:r>
      <w:r>
        <w:rPr>
          <w:rFonts w:ascii="宋体" w:hAnsi="宋体" w:cs="宋体" w:eastAsia="宋体" w:hint="default"/>
          <w:position w:val="-10"/>
          <w:sz w:val="20"/>
          <w:szCs w:val="20"/>
        </w:rPr>
      </w:r>
    </w:p>
    <w:p>
      <w:pPr>
        <w:pStyle w:val="BodyText"/>
        <w:spacing w:line="240" w:lineRule="auto" w:before="74"/>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其他持股在10%以上的法人股东" w:id="102"/>
      <w:bookmarkEnd w:id="10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公司股东及其一致行动人在报告期提出或实施股份增持计划的情况" w:id="103"/>
      <w:bookmarkEnd w:id="103"/>
      <w:r>
        <w:rPr>
          <w:b w:val="0"/>
          <w:bCs w:val="0"/>
        </w:rPr>
      </w: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286" w:right="0"/>
        <w:jc w:val="left"/>
        <w:rPr>
          <w:b w:val="0"/>
          <w:bCs w:val="0"/>
        </w:rPr>
      </w:pPr>
      <w:bookmarkStart w:name="第七节 优先股相关情况" w:id="104"/>
      <w:bookmarkEnd w:id="104"/>
      <w:r>
        <w:rPr>
          <w:b w:val="0"/>
          <w:bCs w:val="0"/>
        </w:rPr>
      </w:r>
      <w:bookmarkStart w:name="_bookmark6" w:id="105"/>
      <w:bookmarkEnd w:id="10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43.660004pt;margin-top:259.279968pt;width:43.05pt;height:27.95pt;mso-position-horizontal-relative:page;mso-position-vertical-relative:page;z-index:-903304" coordorigin="2873,5186" coordsize="861,559">
            <v:group style="position:absolute;left:2873;top:5186;width:861;height:156" coordorigin="2873,5186" coordsize="861,156">
              <v:shape style="position:absolute;left:2873;top:5186;width:861;height:156" coordorigin="2873,5186" coordsize="861,156" path="m2873,5342l3734,5342,3734,5186,2873,5186,2873,5342xe" filled="true" fillcolor="#ffffff" stroked="false">
                <v:path arrowok="t"/>
                <v:fill type="solid"/>
              </v:shape>
            </v:group>
            <v:group style="position:absolute;left:2885;top:5342;width:2;height:392" coordorigin="2885,5342" coordsize="2,392">
              <v:shape style="position:absolute;left:2885;top:5342;width:2;height:392" coordorigin="2885,5342" coordsize="0,392" path="m2885,5342l2885,5733e" filled="false" stroked="true" strokeweight="1.140pt" strokecolor="#ffffff">
                <v:path arrowok="t"/>
              </v:shape>
            </v:group>
            <v:group style="position:absolute;left:2896;top:5342;width:815;height:392" coordorigin="2896,5342" coordsize="815,392">
              <v:shape style="position:absolute;left:2896;top:5342;width:815;height:392" coordorigin="2896,5342" coordsize="815,392" path="m2896,5733l3711,5733,3711,5342,2896,5342,2896,5733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06"/>
      <w:bookmarkEnd w:id="106"/>
      <w:r>
        <w:rPr>
          <w:b w:val="0"/>
          <w:bCs w:val="0"/>
        </w:rPr>
      </w:r>
      <w:bookmarkStart w:name="_bookmark7" w:id="107"/>
      <w:bookmarkEnd w:id="10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8"/>
      <w:bookmarkEnd w:id="10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53,190,446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53,190,446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12,225,193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3,056,298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9,215,195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副总裁、财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务负责人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705,868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575,701</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职工代表 </w:t>
            </w: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45,645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209,936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149,836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138,292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107,484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112,640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107,484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67,046,235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3,664,244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63,708,591</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09"/>
      <w:bookmarkEnd w:id="109"/>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514" w:right="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w:t>
      </w:r>
      <w:r>
        <w:rPr>
          <w:spacing w:val="-2"/>
        </w:rPr>
        <w:t>陈利浩先生，董事长，中国国籍，</w:t>
      </w:r>
      <w:r>
        <w:rPr>
          <w:rFonts w:ascii="Times New Roman" w:hAnsi="Times New Roman" w:cs="Times New Roman" w:eastAsia="Times New Roman" w:hint="default"/>
          <w:spacing w:val="-2"/>
        </w:rPr>
        <w:t>1955</w:t>
      </w:r>
      <w:r>
        <w:rPr>
          <w:spacing w:val="-2"/>
        </w:rPr>
        <w:t>年生，毕业于上海电力学院。自</w:t>
      </w:r>
      <w:r>
        <w:rPr>
          <w:rFonts w:ascii="Times New Roman" w:hAnsi="Times New Roman" w:cs="Times New Roman" w:eastAsia="Times New Roman" w:hint="default"/>
          <w:spacing w:val="-2"/>
        </w:rPr>
        <w:t>1998</w:t>
      </w:r>
      <w:r>
        <w:rPr>
          <w:spacing w:val="-2"/>
        </w:rPr>
        <w:t>年以来，陈先生一直在公司任职。主要社会</w:t>
      </w:r>
    </w:p>
    <w:p>
      <w:pPr>
        <w:pStyle w:val="BodyText"/>
        <w:spacing w:line="217" w:lineRule="exact" w:before="0"/>
        <w:ind w:right="0"/>
        <w:jc w:val="left"/>
      </w:pPr>
      <w:r>
        <w:rPr/>
        <w:t>兼职有：国家会计信息化委员会委员、中国软件行业协会副理事长、九三学社中央委员和广东省委副主委、广东省政协常委</w:t>
      </w:r>
    </w:p>
    <w:p>
      <w:pPr>
        <w:pStyle w:val="BodyText"/>
        <w:spacing w:line="319" w:lineRule="auto" w:before="76"/>
        <w:ind w:right="0"/>
        <w:jc w:val="left"/>
      </w:pPr>
      <w:r>
        <w:rPr>
          <w:spacing w:val="-2"/>
        </w:rPr>
        <w:t>和珠海市政协常委等；主要公司兼职有：林芝地区荣光科技有限公司执行董事兼总经理，珠海市浩天投资有限公司执行董事</w:t>
      </w:r>
      <w:r>
        <w:rPr>
          <w:spacing w:val="-66"/>
        </w:rPr>
        <w:t> </w:t>
      </w:r>
      <w:r>
        <w:rPr>
          <w:spacing w:val="-66"/>
        </w:rPr>
      </w:r>
      <w:r>
        <w:rPr/>
        <w:t>兼总经理，公司子公司远光共创智能科技股份有限公司董事长，广东省依依关爱儿童基金会理事兼秘书长等。</w:t>
      </w:r>
    </w:p>
    <w:p>
      <w:pPr>
        <w:pStyle w:val="BodyText"/>
        <w:spacing w:line="312" w:lineRule="auto" w:before="17"/>
        <w:ind w:left="154" w:right="1132" w:firstLine="360"/>
        <w:jc w:val="both"/>
      </w:pPr>
      <w:r>
        <w:rPr>
          <w:spacing w:val="-2"/>
        </w:rPr>
        <w:t>黄建元先生，副董事长、总裁，中国国籍，</w:t>
      </w:r>
      <w:r>
        <w:rPr>
          <w:rFonts w:ascii="Times New Roman" w:hAnsi="Times New Roman" w:cs="Times New Roman" w:eastAsia="Times New Roman" w:hint="default"/>
          <w:spacing w:val="-2"/>
        </w:rPr>
        <w:t>1962</w:t>
      </w:r>
      <w:r>
        <w:rPr>
          <w:spacing w:val="-2"/>
        </w:rPr>
        <w:t>年生，毕业于武汉大学，获北京大学</w:t>
      </w:r>
      <w:r>
        <w:rPr>
          <w:rFonts w:ascii="Times New Roman" w:hAnsi="Times New Roman" w:cs="Times New Roman" w:eastAsia="Times New Roman" w:hint="default"/>
          <w:spacing w:val="-2"/>
        </w:rPr>
        <w:t>EMBA</w:t>
      </w:r>
      <w:r>
        <w:rPr>
          <w:spacing w:val="-2"/>
        </w:rPr>
        <w:t>学位。自</w:t>
      </w:r>
      <w:r>
        <w:rPr>
          <w:rFonts w:ascii="Times New Roman" w:hAnsi="Times New Roman" w:cs="Times New Roman" w:eastAsia="Times New Roman" w:hint="default"/>
          <w:spacing w:val="-2"/>
        </w:rPr>
        <w:t>1998</w:t>
      </w:r>
      <w:r>
        <w:rPr>
          <w:spacing w:val="-2"/>
        </w:rPr>
        <w:t>年以来，黄先</w:t>
      </w:r>
      <w:r>
        <w:rPr/>
        <w:t> </w:t>
      </w:r>
      <w:r>
        <w:rPr>
          <w:spacing w:val="-2"/>
        </w:rPr>
        <w:t>生一直在公司任职，现还担任珠海市软件行业协会副会长、珠海市元创科技有限公司执行董事兼经理、公司子公司远光共创</w:t>
      </w:r>
      <w:r>
        <w:rPr>
          <w:spacing w:val="-66"/>
        </w:rPr>
        <w:t> </w:t>
      </w:r>
      <w:r>
        <w:rPr>
          <w:spacing w:val="-66"/>
        </w:rPr>
      </w:r>
      <w:r>
        <w:rPr>
          <w:spacing w:val="-2"/>
        </w:rPr>
        <w:t>智能科技股份有限公司副董事长、远光智和卓源（北京）科技有限公司董事长、北京神航星云科技有限公司执行董事、长沙</w:t>
      </w:r>
      <w:r>
        <w:rPr>
          <w:spacing w:val="-66"/>
        </w:rPr>
        <w:t> </w:t>
      </w:r>
      <w:r>
        <w:rPr>
          <w:spacing w:val="-66"/>
        </w:rPr>
      </w:r>
      <w:r>
        <w:rPr/>
        <w:t>瑞祥科技有限公司董事长。</w:t>
      </w:r>
    </w:p>
    <w:p>
      <w:pPr>
        <w:pStyle w:val="BodyText"/>
        <w:spacing w:line="314" w:lineRule="auto" w:before="22"/>
        <w:ind w:right="1133" w:firstLine="360"/>
        <w:jc w:val="both"/>
      </w:pPr>
      <w:r>
        <w:rPr>
          <w:spacing w:val="-2"/>
        </w:rPr>
        <w:t>姜洪元先生，副董事长，中国国籍，</w:t>
      </w:r>
      <w:r>
        <w:rPr>
          <w:rFonts w:ascii="Times New Roman" w:hAnsi="Times New Roman" w:cs="Times New Roman" w:eastAsia="Times New Roman" w:hint="default"/>
          <w:spacing w:val="-2"/>
        </w:rPr>
        <w:t>1963</w:t>
      </w:r>
      <w:r>
        <w:rPr>
          <w:spacing w:val="-2"/>
        </w:rPr>
        <w:t>年生，中共党员，研究生学历，高级会计师，现任国电电力发展股份有限公司</w:t>
      </w:r>
      <w:r>
        <w:rPr/>
        <w:t> </w:t>
      </w:r>
      <w:r>
        <w:rPr>
          <w:spacing w:val="-2"/>
        </w:rPr>
        <w:t>总会计师、党组成员。历任财政部工交司副主任科员、主任科员，中国电力信托投资有限公司资金计划部副经理，国家电力</w:t>
      </w:r>
      <w:r>
        <w:rPr>
          <w:spacing w:val="-66"/>
        </w:rPr>
        <w:t> </w:t>
      </w:r>
      <w:r>
        <w:rPr>
          <w:spacing w:val="-66"/>
        </w:rPr>
      </w:r>
      <w:r>
        <w:rPr>
          <w:spacing w:val="-5"/>
        </w:rPr>
        <w:t>公司财务与产权管理部会计处处长，中国国电集团公司财务产权部副主任，国电电力发展股份有限公司总会计师、党组成员，</w:t>
      </w:r>
      <w:r>
        <w:rPr>
          <w:spacing w:val="-79"/>
        </w:rPr>
        <w:t> </w:t>
      </w:r>
      <w:r>
        <w:rPr>
          <w:spacing w:val="-79"/>
        </w:rPr>
      </w:r>
      <w:r>
        <w:rPr>
          <w:spacing w:val="-2"/>
        </w:rPr>
        <w:t>国电电力发展股份有限公司总会计师、董事会秘书、党组成员，国电电力发展股份有限公司总会计师、党组成员、总法律顾</w:t>
      </w:r>
      <w:r>
        <w:rPr>
          <w:spacing w:val="-66"/>
        </w:rPr>
        <w:t> </w:t>
      </w:r>
      <w:r>
        <w:rPr>
          <w:spacing w:val="-66"/>
        </w:rPr>
      </w:r>
      <w:r>
        <w:rPr/>
        <w:t>问。</w:t>
      </w:r>
    </w:p>
    <w:p>
      <w:pPr>
        <w:pStyle w:val="BodyText"/>
        <w:spacing w:line="300" w:lineRule="auto" w:before="20"/>
        <w:ind w:right="0" w:firstLine="360"/>
        <w:jc w:val="left"/>
      </w:pPr>
      <w:r>
        <w:rPr/>
        <w:t>黄笑华先生，董事、高级副总裁、财务负责人，中国国籍，</w:t>
      </w:r>
      <w:r>
        <w:rPr>
          <w:rFonts w:ascii="Times New Roman" w:hAnsi="Times New Roman" w:cs="Times New Roman" w:eastAsia="Times New Roman" w:hint="default"/>
        </w:rPr>
        <w:t>1971</w:t>
      </w:r>
      <w:r>
        <w:rPr/>
        <w:t>年生，毕业于西安交通大学，获清华大学</w:t>
      </w:r>
      <w:r>
        <w:rPr>
          <w:rFonts w:ascii="Times New Roman" w:hAnsi="Times New Roman" w:cs="Times New Roman" w:eastAsia="Times New Roman" w:hint="default"/>
        </w:rPr>
        <w:t>EMBA</w:t>
      </w:r>
      <w:r>
        <w:rPr/>
        <w:t>学位。</w:t>
      </w:r>
      <w:r>
        <w:rPr>
          <w:spacing w:val="1"/>
        </w:rPr>
        <w:t> </w:t>
      </w:r>
      <w:r>
        <w:rPr/>
        <w:t>自</w:t>
      </w:r>
      <w:r>
        <w:rPr>
          <w:rFonts w:ascii="Times New Roman" w:hAnsi="Times New Roman" w:cs="Times New Roman" w:eastAsia="Times New Roman" w:hint="default"/>
        </w:rPr>
        <w:t>1998</w:t>
      </w:r>
      <w:r>
        <w:rPr/>
        <w:t>年以来，黄先生一直在公司任职，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月起担任公司总裁，现还担任公司子公司南京远光广安信息科技有限公司 董事长、北京智和管理咨询有限公司董事长、北京远光非凡科技有限公司执行董事兼总经理。</w:t>
      </w:r>
    </w:p>
    <w:p>
      <w:pPr>
        <w:pStyle w:val="BodyText"/>
        <w:spacing w:line="300" w:lineRule="auto" w:before="31"/>
        <w:ind w:left="154" w:right="1130" w:firstLine="360"/>
        <w:jc w:val="both"/>
      </w:pPr>
      <w:r>
        <w:rPr>
          <w:spacing w:val="-2"/>
        </w:rPr>
        <w:t>林国华先生，董事，中国香港，</w:t>
      </w:r>
      <w:r>
        <w:rPr>
          <w:rFonts w:ascii="Times New Roman" w:hAnsi="Times New Roman" w:cs="Times New Roman" w:eastAsia="Times New Roman" w:hint="default"/>
          <w:spacing w:val="-2"/>
        </w:rPr>
        <w:t>1962</w:t>
      </w:r>
      <w:r>
        <w:rPr>
          <w:spacing w:val="-2"/>
        </w:rPr>
        <w:t>年生，浸会大学工商管理学士，现任香港万恒生科技有限公司总经理。林先生曾任</w:t>
      </w:r>
      <w:r>
        <w:rPr/>
        <w:t> 法国永兴洋行行政部主管，美国霍尼韦尔公司市场经理，香港万事利电脑系统有限公司董事、副总经理。</w:t>
      </w:r>
    </w:p>
    <w:p>
      <w:pPr>
        <w:pStyle w:val="BodyText"/>
        <w:spacing w:line="300" w:lineRule="auto" w:before="31"/>
        <w:ind w:right="1157" w:firstLine="360"/>
        <w:jc w:val="both"/>
      </w:pPr>
      <w:r>
        <w:rPr/>
        <w:t>彭家辉先生，职工董事、董事会秘书，中国国籍，</w:t>
      </w:r>
      <w:r>
        <w:rPr>
          <w:rFonts w:ascii="Times New Roman" w:hAnsi="Times New Roman" w:cs="Times New Roman" w:eastAsia="Times New Roman" w:hint="default"/>
        </w:rPr>
        <w:t>1978</w:t>
      </w:r>
      <w:r>
        <w:rPr>
          <w:rFonts w:ascii="Times New Roman" w:hAnsi="Times New Roman" w:cs="Times New Roman" w:eastAsia="Times New Roman" w:hint="default"/>
          <w:spacing w:val="27"/>
        </w:rPr>
        <w:t> </w:t>
      </w:r>
      <w:r>
        <w:rPr/>
        <w:t>年生，毕业于西南民族学院，学士。自</w:t>
      </w:r>
      <w:r>
        <w:rPr>
          <w:rFonts w:ascii="Times New Roman" w:hAnsi="Times New Roman" w:cs="Times New Roman" w:eastAsia="Times New Roman" w:hint="default"/>
        </w:rPr>
        <w:t>2010</w:t>
      </w:r>
      <w:r>
        <w:rPr/>
        <w:t>年以来，彭家辉先 生一直在公司任职。彭家辉先生曾任职于华工科技产业股份有限公司。</w:t>
      </w:r>
    </w:p>
    <w:p>
      <w:pPr>
        <w:pStyle w:val="BodyText"/>
        <w:spacing w:line="309" w:lineRule="auto" w:before="31"/>
        <w:ind w:left="154" w:right="1130" w:firstLine="360"/>
        <w:jc w:val="both"/>
      </w:pPr>
      <w:r>
        <w:rPr>
          <w:spacing w:val="-2"/>
        </w:rPr>
        <w:t>宋萍萍女士，独立董事，中国国籍，</w:t>
      </w:r>
      <w:r>
        <w:rPr>
          <w:rFonts w:ascii="Times New Roman" w:hAnsi="Times New Roman" w:cs="Times New Roman" w:eastAsia="Times New Roman" w:hint="default"/>
          <w:spacing w:val="-2"/>
        </w:rPr>
        <w:t>1967</w:t>
      </w:r>
      <w:r>
        <w:rPr>
          <w:spacing w:val="-2"/>
        </w:rPr>
        <w:t>年生，毕业于中南财经政法大学，硕士。宋萍萍女士现任深圳市东方富海投资</w:t>
      </w:r>
      <w:r>
        <w:rPr/>
        <w:t> </w:t>
      </w:r>
      <w:r>
        <w:rPr>
          <w:spacing w:val="-2"/>
        </w:rPr>
        <w:t>管理有限公司合伙人、深圳市远致富海投资管理有限公司风控委秘书长，任深圳市盐田港股份有限公司独立董事，深圳赛格</w:t>
      </w:r>
      <w:r>
        <w:rPr>
          <w:spacing w:val="-66"/>
        </w:rPr>
        <w:t> </w:t>
      </w:r>
      <w:r>
        <w:rPr>
          <w:spacing w:val="-66"/>
        </w:rPr>
      </w:r>
      <w:r>
        <w:rPr/>
        <w:t>股份有限公司独立董事，深圳市通产丽星股份有限公司独立董事。宋萍萍女士曾任北京金杜律师事务所合伙人。</w:t>
      </w:r>
    </w:p>
    <w:p>
      <w:pPr>
        <w:pStyle w:val="BodyText"/>
        <w:spacing w:line="300" w:lineRule="auto" w:before="24"/>
        <w:ind w:right="1131" w:firstLine="360"/>
        <w:jc w:val="both"/>
      </w:pPr>
      <w:r>
        <w:rPr/>
        <w:t>钱强先生，独立董事，中国国籍，</w:t>
      </w:r>
      <w:r>
        <w:rPr>
          <w:rFonts w:ascii="Times New Roman" w:hAnsi="Times New Roman" w:cs="Times New Roman" w:eastAsia="Times New Roman" w:hint="default"/>
        </w:rPr>
        <w:t>1971</w:t>
      </w:r>
      <w:r>
        <w:rPr>
          <w:rFonts w:ascii="Times New Roman" w:hAnsi="Times New Roman" w:cs="Times New Roman" w:eastAsia="Times New Roman" w:hint="default"/>
          <w:spacing w:val="26"/>
        </w:rPr>
        <w:t> </w:t>
      </w:r>
      <w:r>
        <w:rPr/>
        <w:t>年生，计算机专业硕士研究生。现任中兴合创（天津）投资管理有限公司投资 </w:t>
      </w:r>
      <w:r>
        <w:rPr>
          <w:spacing w:val="-2"/>
        </w:rPr>
        <w:t>决策委员会委员、董事总经理，深圳市中兴合创投资管理有限公司董事，南京亚派科技股份有限公司董事，南京绛门通讯科</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513" w:right="0" w:hanging="360"/>
        <w:jc w:val="left"/>
      </w:pPr>
      <w:r>
        <w:rPr/>
        <w:t>技有限公司董事。钱先生曾任中兴通讯股份有限公司有线产品经营部副总经理等职务。 </w:t>
      </w:r>
      <w:r>
        <w:rPr>
          <w:spacing w:val="-2"/>
        </w:rPr>
        <w:t>卫建国先生，独立董事，中国国籍，</w:t>
      </w:r>
      <w:r>
        <w:rPr>
          <w:rFonts w:ascii="Times New Roman" w:hAnsi="Times New Roman" w:cs="Times New Roman" w:eastAsia="Times New Roman" w:hint="default"/>
          <w:spacing w:val="-2"/>
        </w:rPr>
        <w:t>1957</w:t>
      </w:r>
      <w:r>
        <w:rPr>
          <w:spacing w:val="-2"/>
        </w:rPr>
        <w:t>年生，中共党员，</w:t>
      </w:r>
      <w:r>
        <w:rPr>
          <w:rFonts w:ascii="Times New Roman" w:hAnsi="Times New Roman" w:cs="Times New Roman" w:eastAsia="Times New Roman" w:hint="default"/>
          <w:spacing w:val="-2"/>
        </w:rPr>
        <w:t>1990</w:t>
      </w:r>
      <w:r>
        <w:rPr>
          <w:spacing w:val="-2"/>
        </w:rPr>
        <w:t>年毕业于兰州大学，硕士，现任中山大学南方学院会计</w:t>
      </w:r>
    </w:p>
    <w:p>
      <w:pPr>
        <w:pStyle w:val="BodyText"/>
        <w:spacing w:line="319" w:lineRule="auto" w:before="0"/>
        <w:ind w:right="1033"/>
        <w:jc w:val="left"/>
      </w:pPr>
      <w:r>
        <w:rPr>
          <w:spacing w:val="-2"/>
        </w:rPr>
        <w:t>学系主任和预算委员会主任、中山大学管理学院会计学系副教授、硕士研究生导师。兼任广东省审计学会理事、广州市审计</w:t>
      </w:r>
      <w:r>
        <w:rPr>
          <w:spacing w:val="-66"/>
        </w:rPr>
        <w:t> </w:t>
      </w:r>
      <w:r>
        <w:rPr>
          <w:spacing w:val="-66"/>
        </w:rPr>
      </w:r>
      <w:r>
        <w:rPr>
          <w:spacing w:val="-2"/>
        </w:rPr>
        <w:t>学会常务理事，东方宾馆股份有限公司、新宝电器股份有限公司、光华科技股份有限公司等独立董事。卫先生曾在美国夏威</w:t>
      </w:r>
      <w:r>
        <w:rPr>
          <w:spacing w:val="-66"/>
        </w:rPr>
        <w:t> </w:t>
      </w:r>
      <w:r>
        <w:rPr>
          <w:spacing w:val="-66"/>
        </w:rPr>
      </w:r>
      <w:r>
        <w:rPr/>
        <w:t>夷大学作高级访问学者，曾任青岛海洋大学会计学系副主任、中山大学管理学院会计学系副主任、广东省会计学会副会长、</w:t>
      </w:r>
      <w:r>
        <w:rPr>
          <w:spacing w:val="-85"/>
        </w:rPr>
        <w:t> </w:t>
      </w:r>
      <w:r>
        <w:rPr>
          <w:spacing w:val="-85"/>
        </w:rPr>
      </w:r>
      <w:r>
        <w:rPr/>
        <w:t>天伦置业股份有限公司独立董事。</w:t>
      </w:r>
    </w:p>
    <w:p>
      <w:pPr>
        <w:pStyle w:val="BodyText"/>
        <w:spacing w:line="309" w:lineRule="auto" w:before="17"/>
        <w:ind w:left="154" w:right="1043" w:firstLine="360"/>
        <w:jc w:val="both"/>
      </w:pPr>
      <w:r>
        <w:rPr>
          <w:spacing w:val="-2"/>
        </w:rPr>
        <w:t>张紫娟女士，监事会主席，中国国籍，</w:t>
      </w:r>
      <w:r>
        <w:rPr>
          <w:rFonts w:ascii="Times New Roman" w:hAnsi="Times New Roman" w:cs="Times New Roman" w:eastAsia="Times New Roman" w:hint="default"/>
          <w:spacing w:val="-2"/>
        </w:rPr>
        <w:t>1962</w:t>
      </w:r>
      <w:r>
        <w:rPr>
          <w:spacing w:val="-2"/>
        </w:rPr>
        <w:t>年生，中共党员，大学本科学历，副研究员，现任国电电力发展股份有限公</w:t>
      </w:r>
      <w:r>
        <w:rPr/>
        <w:t> </w:t>
      </w:r>
      <w:r>
        <w:rPr>
          <w:spacing w:val="-5"/>
        </w:rPr>
        <w:t>司党组成员、纪检组长、工会主席。张女士曾任华北电力大学党委宣传部校报编辑部主任、常务副总编、校长办公室副主任，</w:t>
      </w:r>
      <w:r>
        <w:rPr>
          <w:spacing w:val="-79"/>
        </w:rPr>
        <w:t> </w:t>
      </w:r>
      <w:r>
        <w:rPr>
          <w:spacing w:val="-79"/>
        </w:rPr>
      </w:r>
      <w:r>
        <w:rPr/>
        <w:t>国家电力公司高级培训中心综合管理处处长，中国国电集团公司党组纪检组办公室主任，中国国电集团公司监察部副主任。</w:t>
      </w:r>
    </w:p>
    <w:p>
      <w:pPr>
        <w:pStyle w:val="BodyText"/>
        <w:spacing w:line="309" w:lineRule="auto" w:before="24"/>
        <w:ind w:right="1130" w:firstLine="360"/>
        <w:jc w:val="both"/>
      </w:pPr>
      <w:r>
        <w:rPr>
          <w:spacing w:val="-2"/>
        </w:rPr>
        <w:t>柯甫灼先生，监事，中国国籍，</w:t>
      </w:r>
      <w:r>
        <w:rPr>
          <w:rFonts w:ascii="Times New Roman" w:hAnsi="Times New Roman" w:cs="Times New Roman" w:eastAsia="Times New Roman" w:hint="default"/>
          <w:spacing w:val="-2"/>
        </w:rPr>
        <w:t>1962</w:t>
      </w:r>
      <w:r>
        <w:rPr>
          <w:spacing w:val="-2"/>
        </w:rPr>
        <w:t>年生，大学学历，高级会计师，现任国网福建省电力有限公司财务部主任。柯先生</w:t>
      </w:r>
      <w:r>
        <w:rPr/>
        <w:t> </w:t>
      </w:r>
      <w:r>
        <w:rPr>
          <w:spacing w:val="-2"/>
        </w:rPr>
        <w:t>曾任福建省电力勘测设计院财务科会计、成本会计、主办会计、科长，副总会计师，福建省电力工业局财经部主任助理、劳</w:t>
      </w:r>
      <w:r>
        <w:rPr>
          <w:spacing w:val="-67"/>
        </w:rPr>
        <w:t> </w:t>
      </w:r>
      <w:r>
        <w:rPr>
          <w:spacing w:val="-67"/>
        </w:rPr>
      </w:r>
      <w:r>
        <w:rPr/>
        <w:t>资部主任经济师。</w:t>
      </w:r>
    </w:p>
    <w:p>
      <w:pPr>
        <w:pStyle w:val="BodyText"/>
        <w:spacing w:line="314" w:lineRule="auto" w:before="24"/>
        <w:ind w:right="1130" w:firstLine="360"/>
        <w:jc w:val="both"/>
      </w:pPr>
      <w:r>
        <w:rPr>
          <w:spacing w:val="-4"/>
        </w:rPr>
        <w:t>武永海先生，监事，</w:t>
      </w:r>
      <w:r>
        <w:rPr>
          <w:rFonts w:ascii="Times New Roman" w:hAnsi="Times New Roman" w:cs="Times New Roman" w:eastAsia="Times New Roman" w:hint="default"/>
          <w:spacing w:val="-4"/>
        </w:rPr>
        <w:t>1958</w:t>
      </w:r>
      <w:r>
        <w:rPr>
          <w:rFonts w:ascii="Times New Roman" w:hAnsi="Times New Roman" w:cs="Times New Roman" w:eastAsia="Times New Roman" w:hint="default"/>
          <w:spacing w:val="1"/>
        </w:rPr>
        <w:t> </w:t>
      </w:r>
      <w:r>
        <w:rPr>
          <w:spacing w:val="-3"/>
        </w:rPr>
        <w:t>年生，中共党员，研究生学历，高级会计师。现任国网吉林省电力有限公司财务资产部主任、</w:t>
      </w:r>
      <w:r>
        <w:rPr/>
        <w:t> </w:t>
      </w:r>
      <w:r>
        <w:rPr>
          <w:spacing w:val="-2"/>
        </w:rPr>
        <w:t>吉林省吉能电力集团有限公司董事、吉林名门电力实业集团公司董事、吉林省电力科学研究院有限公司监事会主席、辽宁蒲</w:t>
      </w:r>
      <w:r>
        <w:rPr>
          <w:spacing w:val="-66"/>
        </w:rPr>
        <w:t> </w:t>
      </w:r>
      <w:r>
        <w:rPr>
          <w:spacing w:val="-66"/>
        </w:rPr>
      </w:r>
      <w:r>
        <w:rPr>
          <w:spacing w:val="-2"/>
        </w:rPr>
        <w:t>石河抽水蓄能有限公司监事、吉林敦化抽水蓄能有限公司监事。武永海先生曾任吉林省送变电公司四工区会计；长春电力通</w:t>
      </w:r>
      <w:r>
        <w:rPr>
          <w:spacing w:val="-66"/>
        </w:rPr>
        <w:t> </w:t>
      </w:r>
      <w:r>
        <w:rPr>
          <w:spacing w:val="-66"/>
        </w:rPr>
      </w:r>
      <w:r>
        <w:rPr>
          <w:spacing w:val="-2"/>
        </w:rPr>
        <w:t>讯设备厂会计；吉林电力管道公司财务科会计；吉林省华电电力设备厂财务科会计；吉林省电力工业局财务处会计、副科级</w:t>
      </w:r>
      <w:r>
        <w:rPr>
          <w:spacing w:val="-66"/>
        </w:rPr>
        <w:t> </w:t>
      </w:r>
      <w:r>
        <w:rPr>
          <w:spacing w:val="-66"/>
        </w:rPr>
      </w:r>
      <w:r>
        <w:rPr>
          <w:spacing w:val="-5"/>
        </w:rPr>
        <w:t>科员、综合科科长；东北电力集团财务公司吉林代理处副主任、财务部主任会计师（副处级）、财务部副主任、主任会计师；</w:t>
      </w:r>
      <w:r>
        <w:rPr>
          <w:spacing w:val="-81"/>
        </w:rPr>
        <w:t> </w:t>
      </w:r>
      <w:r>
        <w:rPr>
          <w:spacing w:val="-81"/>
        </w:rPr>
      </w:r>
      <w:r>
        <w:rPr/>
        <w:t>吉林省电力资金结算中心副主任；长春供电公司（长春电业局）总会计师。</w:t>
      </w:r>
    </w:p>
    <w:p>
      <w:pPr>
        <w:pStyle w:val="BodyText"/>
        <w:spacing w:line="300" w:lineRule="auto" w:before="20"/>
        <w:ind w:right="1132" w:firstLine="360"/>
        <w:jc w:val="both"/>
      </w:pPr>
      <w:r>
        <w:rPr/>
        <w:t>陈小花女士，职工代表监事，中国国籍，</w:t>
      </w:r>
      <w:r>
        <w:rPr>
          <w:rFonts w:ascii="Times New Roman" w:hAnsi="Times New Roman" w:cs="Times New Roman" w:eastAsia="Times New Roman" w:hint="default"/>
        </w:rPr>
        <w:t>1982</w:t>
      </w:r>
      <w:r>
        <w:rPr/>
        <w:t>年生，毕业于南昌大学，学士。自</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年以来，陈小花女士一直在公司 任职。陈小花女士曾任职于《南方声屏报》社、广东德豪润达电气股份有限公司、东信和平科技股份有限公司。</w:t>
      </w:r>
    </w:p>
    <w:p>
      <w:pPr>
        <w:pStyle w:val="BodyText"/>
        <w:spacing w:line="300" w:lineRule="auto" w:before="31"/>
        <w:ind w:right="1139" w:firstLine="360"/>
        <w:jc w:val="both"/>
      </w:pPr>
      <w:r>
        <w:rPr/>
        <w:t>梅洁女士，职工代表监事，中国国籍，</w:t>
      </w:r>
      <w:r>
        <w:rPr>
          <w:rFonts w:ascii="Times New Roman" w:hAnsi="Times New Roman" w:cs="Times New Roman" w:eastAsia="Times New Roman" w:hint="default"/>
        </w:rPr>
        <w:t>1985</w:t>
      </w:r>
      <w:r>
        <w:rPr/>
        <w:t>年生，毕业于北京师范大学，自</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月以来，梅女士一直在公 司任职。</w:t>
      </w:r>
    </w:p>
    <w:p>
      <w:pPr>
        <w:pStyle w:val="BodyText"/>
        <w:spacing w:line="300" w:lineRule="auto" w:before="32"/>
        <w:ind w:right="1179" w:firstLine="360"/>
        <w:jc w:val="both"/>
      </w:pPr>
      <w:r>
        <w:rPr/>
        <w:t>郑佩敏女士，副总裁，中国香港，</w:t>
      </w:r>
      <w:r>
        <w:rPr>
          <w:rFonts w:ascii="Times New Roman" w:hAnsi="Times New Roman" w:cs="Times New Roman" w:eastAsia="Times New Roman" w:hint="default"/>
        </w:rPr>
        <w:t>1972</w:t>
      </w:r>
      <w:r>
        <w:rPr/>
        <w:t>年生，获香港浸会大学</w:t>
      </w:r>
      <w:r>
        <w:rPr>
          <w:rFonts w:ascii="Times New Roman" w:hAnsi="Times New Roman" w:cs="Times New Roman" w:eastAsia="Times New Roman" w:hint="default"/>
        </w:rPr>
        <w:t>MBA</w:t>
      </w:r>
      <w:r>
        <w:rPr/>
        <w:t>学位，自</w:t>
      </w:r>
      <w:r>
        <w:rPr>
          <w:rFonts w:ascii="Times New Roman" w:hAnsi="Times New Roman" w:cs="Times New Roman" w:eastAsia="Times New Roman" w:hint="default"/>
        </w:rPr>
        <w:t>2001</w:t>
      </w:r>
      <w:r>
        <w:rPr/>
        <w:t>年以来，郑女士一直在公司任职，现 还担任公司子公司北京远光非凡科技有限公司监事。</w:t>
      </w:r>
    </w:p>
    <w:p>
      <w:pPr>
        <w:pStyle w:val="BodyText"/>
        <w:spacing w:line="300" w:lineRule="auto" w:before="31"/>
        <w:ind w:left="513" w:right="0"/>
        <w:jc w:val="left"/>
      </w:pPr>
      <w:r>
        <w:rPr/>
        <w:t>向万红先生，副总裁，中国国籍，</w:t>
      </w:r>
      <w:r>
        <w:rPr>
          <w:rFonts w:ascii="Times New Roman" w:hAnsi="Times New Roman" w:cs="Times New Roman" w:eastAsia="Times New Roman" w:hint="default"/>
        </w:rPr>
        <w:t>1978</w:t>
      </w:r>
      <w:r>
        <w:rPr/>
        <w:t>年生，专科学历。自</w:t>
      </w:r>
      <w:r>
        <w:rPr>
          <w:rFonts w:ascii="Times New Roman" w:hAnsi="Times New Roman" w:cs="Times New Roman" w:eastAsia="Times New Roman" w:hint="default"/>
        </w:rPr>
        <w:t>2000</w:t>
      </w:r>
      <w:r>
        <w:rPr/>
        <w:t>年以来，向先生一直在公司任职。 </w:t>
      </w:r>
      <w:r>
        <w:rPr>
          <w:spacing w:val="-2"/>
        </w:rPr>
        <w:t>刘伟女士，副总裁，中国国籍，</w:t>
      </w:r>
      <w:r>
        <w:rPr>
          <w:rFonts w:ascii="Times New Roman" w:hAnsi="Times New Roman" w:cs="Times New Roman" w:eastAsia="Times New Roman" w:hint="default"/>
          <w:spacing w:val="-2"/>
        </w:rPr>
        <w:t>1974</w:t>
      </w:r>
      <w:r>
        <w:rPr>
          <w:spacing w:val="-2"/>
        </w:rPr>
        <w:t>年生，中欧国际工商学院</w:t>
      </w:r>
      <w:r>
        <w:rPr>
          <w:rFonts w:ascii="Times New Roman" w:hAnsi="Times New Roman" w:cs="Times New Roman" w:eastAsia="Times New Roman" w:hint="default"/>
          <w:spacing w:val="-2"/>
        </w:rPr>
        <w:t>EMBA</w:t>
      </w:r>
      <w:r>
        <w:rPr>
          <w:spacing w:val="-2"/>
        </w:rPr>
        <w:t>。自</w:t>
      </w:r>
      <w:r>
        <w:rPr>
          <w:rFonts w:ascii="Times New Roman" w:hAnsi="Times New Roman" w:cs="Times New Roman" w:eastAsia="Times New Roman" w:hint="default"/>
          <w:spacing w:val="-2"/>
        </w:rPr>
        <w:t>1999</w:t>
      </w:r>
      <w:r>
        <w:rPr>
          <w:spacing w:val="-2"/>
        </w:rPr>
        <w:t>年以来，刘女士一直在公司任职，现还担</w:t>
      </w:r>
    </w:p>
    <w:p>
      <w:pPr>
        <w:pStyle w:val="BodyText"/>
        <w:spacing w:line="307" w:lineRule="auto" w:before="13"/>
        <w:ind w:left="513" w:right="0" w:hanging="360"/>
        <w:jc w:val="left"/>
      </w:pPr>
      <w:r>
        <w:rPr/>
        <w:t>任公司子公司珠海横琴新区集睿思信息技术有限公司监事。 李美平先生，副总裁，中国国籍，</w:t>
      </w:r>
      <w:r>
        <w:rPr>
          <w:rFonts w:ascii="Times New Roman" w:hAnsi="Times New Roman" w:cs="Times New Roman" w:eastAsia="Times New Roman" w:hint="default"/>
        </w:rPr>
        <w:t>1979</w:t>
      </w:r>
      <w:r>
        <w:rPr/>
        <w:t>年生，中共党员，大学学历。自</w:t>
      </w:r>
      <w:r>
        <w:rPr>
          <w:rFonts w:ascii="Times New Roman" w:hAnsi="Times New Roman" w:cs="Times New Roman" w:eastAsia="Times New Roman" w:hint="default"/>
        </w:rPr>
        <w:t>2004</w:t>
      </w:r>
      <w:r>
        <w:rPr/>
        <w:t>年以来，李先生一直在公司任职。 秦秀芬女士，副总裁，中国国籍，</w:t>
      </w:r>
      <w:r>
        <w:rPr>
          <w:rFonts w:ascii="Times New Roman" w:hAnsi="Times New Roman" w:cs="Times New Roman" w:eastAsia="Times New Roman" w:hint="default"/>
        </w:rPr>
        <w:t>1979</w:t>
      </w:r>
      <w:r>
        <w:rPr/>
        <w:t>年生，研究生学历。自</w:t>
      </w:r>
      <w:r>
        <w:rPr>
          <w:rFonts w:ascii="Times New Roman" w:hAnsi="Times New Roman" w:cs="Times New Roman" w:eastAsia="Times New Roman" w:hint="default"/>
        </w:rPr>
        <w:t>2001</w:t>
      </w:r>
      <w:r>
        <w:rPr/>
        <w:t>年以来，秦女士一直在公司任职。 </w:t>
      </w:r>
      <w:r>
        <w:rPr>
          <w:spacing w:val="-2"/>
        </w:rPr>
        <w:t>简露然先生，副总裁，中国国籍，</w:t>
      </w:r>
      <w:r>
        <w:rPr>
          <w:rFonts w:ascii="Times New Roman" w:hAnsi="Times New Roman" w:cs="Times New Roman" w:eastAsia="Times New Roman" w:hint="default"/>
          <w:spacing w:val="-2"/>
        </w:rPr>
        <w:t>1973</w:t>
      </w:r>
      <w:r>
        <w:rPr>
          <w:spacing w:val="-2"/>
        </w:rPr>
        <w:t>年生，大学学历。自</w:t>
      </w:r>
      <w:r>
        <w:rPr>
          <w:rFonts w:ascii="Times New Roman" w:hAnsi="Times New Roman" w:cs="Times New Roman" w:eastAsia="Times New Roman" w:hint="default"/>
          <w:spacing w:val="-2"/>
        </w:rPr>
        <w:t>2001</w:t>
      </w:r>
      <w:r>
        <w:rPr>
          <w:spacing w:val="-2"/>
        </w:rPr>
        <w:t>年以来，简先生一直在公司任职，现还担任公司子公司</w:t>
      </w:r>
    </w:p>
    <w:p>
      <w:pPr>
        <w:pStyle w:val="BodyText"/>
        <w:spacing w:line="360" w:lineRule="auto" w:before="7"/>
        <w:ind w:left="154" w:right="6072"/>
        <w:jc w:val="left"/>
      </w:pPr>
      <w:r>
        <w:rPr/>
        <w:t>珠海横琴新区集睿思信息技术有限公司执行董事、总经理。 在股东单位任职情况</w:t>
      </w:r>
    </w:p>
    <w:p>
      <w:pPr>
        <w:pStyle w:val="BodyText"/>
        <w:spacing w:line="240" w:lineRule="auto" w:before="2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总会计师、党</w:t>
            </w:r>
            <w:r>
              <w:rPr>
                <w:rFonts w:ascii="宋体" w:hAnsi="宋体" w:cs="宋体" w:eastAsia="宋体" w:hint="default"/>
                <w:sz w:val="18"/>
                <w:szCs w:val="18"/>
              </w:rPr>
              <w:t> 组成员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12"/>
                <w:sz w:val="18"/>
                <w:szCs w:val="18"/>
              </w:rPr>
              <w:t>党组成员、纪</w:t>
            </w:r>
            <w:r>
              <w:rPr>
                <w:rFonts w:ascii="宋体" w:hAnsi="宋体" w:cs="宋体" w:eastAsia="宋体" w:hint="default"/>
                <w:sz w:val="18"/>
                <w:szCs w:val="18"/>
              </w:rPr>
              <w:t> </w:t>
            </w:r>
            <w:r>
              <w:rPr>
                <w:rFonts w:ascii="宋体" w:hAnsi="宋体" w:cs="宋体" w:eastAsia="宋体" w:hint="default"/>
                <w:spacing w:val="-12"/>
                <w:sz w:val="18"/>
                <w:szCs w:val="18"/>
              </w:rPr>
              <w:t>检组长、工会</w:t>
            </w:r>
            <w:r>
              <w:rPr>
                <w:rFonts w:ascii="宋体" w:hAnsi="宋体" w:cs="宋体" w:eastAsia="宋体" w:hint="default"/>
                <w:sz w:val="18"/>
                <w:szCs w:val="18"/>
              </w:rPr>
              <w:t> 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04"/>
        <w:gridCol w:w="3189"/>
        <w:gridCol w:w="1064"/>
        <w:gridCol w:w="1196"/>
        <w:gridCol w:w="1330"/>
        <w:gridCol w:w="1588"/>
      </w:tblGrid>
      <w:tr>
        <w:trPr>
          <w:trHeight w:val="714" w:hRule="exact"/>
        </w:trPr>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财务资产部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林芝地区荣光科技有限公司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珠海市浩天投资有限公司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理事兼秘书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国电电力大同发电有限责任公司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监事会副主 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国电财务有限公司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河北邯郸热电股份有限公司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国电保险经纪（北京）有限公司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国电大渡河流域水电开发有限公司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监事会副主 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珠海市元创科技有限公司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长沙瑞翔科技有限公司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香港万恒生科技有限公司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中山大学南方学院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会计学系主 任和预算委 员会主任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广东省审计学会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广州市审计学会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天伦置业股份有限公司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东方宾馆股份有限公司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新宝电器股份有限公司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光华科技股份有限公司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深圳市东方富海投资管理有限公司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深圳市远致富海投资管理有限公司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风控委秘书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深圳市盐田港股份有限公司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深圳赛格股份有限公司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长园集团股份有限公司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中兴合创（天津）投资管理有限公司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投资决策委 </w:t>
            </w:r>
            <w:r>
              <w:rPr>
                <w:rFonts w:ascii="宋体" w:hAnsi="宋体" w:cs="宋体" w:eastAsia="宋体" w:hint="default"/>
                <w:spacing w:val="-13"/>
                <w:sz w:val="18"/>
                <w:szCs w:val="18"/>
              </w:rPr>
              <w:t>员会委员、董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深圳市中兴合创投资管理有限公司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南京亚派科技股份有限公司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南京绛门通讯科技有限公司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上海外高桥第二发电有限责任公司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上海外高桥第三发电有限责任公司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39"/>
              <w:jc w:val="left"/>
              <w:rPr>
                <w:rFonts w:ascii="宋体" w:hAnsi="宋体" w:cs="宋体" w:eastAsia="宋体" w:hint="default"/>
                <w:sz w:val="18"/>
                <w:szCs w:val="18"/>
              </w:rPr>
            </w:pPr>
            <w:r>
              <w:rPr>
                <w:rFonts w:ascii="宋体" w:hAnsi="宋体" w:cs="宋体" w:eastAsia="宋体" w:hint="default"/>
                <w:spacing w:val="-3"/>
                <w:sz w:val="18"/>
                <w:szCs w:val="18"/>
              </w:rPr>
              <w:t>浙江浙能北仑发电有限公司（北仑二厂）</w:t>
            </w:r>
            <w:r>
              <w:rPr>
                <w:rFonts w:ascii="宋体" w:hAnsi="宋体" w:cs="宋体" w:eastAsia="宋体" w:hint="default"/>
                <w:sz w:val="18"/>
                <w:szCs w:val="18"/>
              </w:rPr>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监事会主席</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9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0.4pt;height:19.650pt;mso-position-horizontal-relative:char;mso-position-vertical-relative:line" coordorigin="0,0" coordsize="1008,393">
                  <v:group style="position:absolute;left:0;top:0;width:1008;height:393" coordorigin="0,0" coordsize="1008,393">
                    <v:shape style="position:absolute;left:0;top:0;width:1008;height:393" coordorigin="0,0" coordsize="1008,393" path="m0,392l1008,392,100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国电浙江北仑第一发电有限公司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吉林省吉能电力集团有限公司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吉林名门电力实业集团公司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吉林省电力科学研究院有限公司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辽宁蒲石河抽水蓄能有限公司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吉林敦化抽水蓄能有限公司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北京远光非凡科技有限公司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110"/>
      <w:bookmarkEnd w:id="110"/>
      <w:r>
        <w:rPr>
          <w:b w:val="0"/>
          <w:bCs w:val="0"/>
        </w:rPr>
      </w:r>
      <w:r>
        <w:rPr/>
        <w:t>三、董事、监事、高级管理人员报酬情况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w:t>
      </w:r>
    </w:p>
    <w:p>
      <w:pPr>
        <w:pStyle w:val="BodyText"/>
        <w:spacing w:line="300" w:lineRule="auto" w:before="116"/>
        <w:ind w:left="154" w:right="1122"/>
        <w:jc w:val="left"/>
      </w:pPr>
      <w:r>
        <w:rPr>
          <w:rFonts w:ascii="Times New Roman" w:hAnsi="Times New Roman" w:cs="Times New Roman" w:eastAsia="Times New Roman" w:hint="default"/>
        </w:rPr>
        <w:t>1</w:t>
      </w:r>
      <w:r>
        <w:rPr/>
        <w:t>、报酬的决策程序、报酬确定依据。董事会在年初制定经营班子（总裁、副总裁）本年度的考核方案，年末根据会计师事 </w:t>
      </w:r>
      <w:r>
        <w:rPr>
          <w:spacing w:val="-5"/>
        </w:rPr>
        <w:t>务所的财务审计报告，对经营班子的经营业绩进行考核，并实施奖励与惩罚；对高级管理人员的其他奖励由董事会审议决定。</w:t>
      </w:r>
    </w:p>
    <w:p>
      <w:pPr>
        <w:spacing w:line="240" w:lineRule="auto" w:before="13"/>
        <w:rPr>
          <w:rFonts w:ascii="宋体" w:hAnsi="宋体" w:cs="宋体" w:eastAsia="宋体" w:hint="default"/>
          <w:sz w:val="25"/>
          <w:szCs w:val="25"/>
        </w:rPr>
      </w:pPr>
    </w:p>
    <w:p>
      <w:pPr>
        <w:pStyle w:val="BodyText"/>
        <w:spacing w:line="240" w:lineRule="auto"/>
        <w:ind w:left="154"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副董事长、总 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71.75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姜洪元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董事、高级副 总裁、财务负 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张紫娟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柯甫灼</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12.43</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职工代表董 事、董事会秘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505.04</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145,300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董事、高级 副总裁、财 务负责人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145,300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138,900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112,640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107,484</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138,900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112,640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107,484</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138,900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职工代表董 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36,516</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1,111,140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公司董事、监事、高级管理人员变动情况" w:id="111"/>
      <w:bookmarkEnd w:id="111"/>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工作岗位轮换原因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个人健康原因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彭家辉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个人健康原因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2"/>
      <w:bookmarkEnd w:id="112"/>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员工情况" w:id="113"/>
      <w:bookmarkEnd w:id="113"/>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截至报告期末，公司在职员工人数为</w:t>
      </w:r>
      <w:r>
        <w:rPr>
          <w:rFonts w:ascii="Times New Roman" w:hAnsi="Times New Roman" w:cs="Times New Roman" w:eastAsia="Times New Roman" w:hint="default"/>
        </w:rPr>
        <w:t>3722</w:t>
      </w:r>
      <w:r>
        <w:rPr/>
        <w:t>人。</w:t>
      </w:r>
    </w:p>
    <w:p>
      <w:pPr>
        <w:pStyle w:val="BodyText"/>
        <w:spacing w:line="240" w:lineRule="auto" w:before="63"/>
        <w:ind w:right="0"/>
        <w:jc w:val="left"/>
      </w:pPr>
      <w:r>
        <w:rPr>
          <w:rFonts w:ascii="Times New Roman" w:hAnsi="Times New Roman" w:cs="Times New Roman" w:eastAsia="Times New Roman" w:hint="default"/>
        </w:rPr>
        <w:t>1.</w:t>
      </w:r>
      <w:r>
        <w:rPr/>
        <w:t>公司员工构成比例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281"/>
        <w:gridCol w:w="960"/>
        <w:gridCol w:w="2120"/>
      </w:tblGrid>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类别项目</w:t>
            </w:r>
            <w:r>
              <w:rPr>
                <w:rFonts w:ascii="宋体" w:hAnsi="宋体" w:cs="宋体" w:eastAsia="宋体" w:hint="default"/>
                <w:sz w:val="22"/>
                <w:szCs w:val="22"/>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占公司总人数比例</w:t>
            </w:r>
            <w:r>
              <w:rPr>
                <w:rFonts w:ascii="宋体" w:hAnsi="宋体" w:cs="宋体" w:eastAsia="宋体" w:hint="default"/>
                <w:sz w:val="22"/>
                <w:szCs w:val="22"/>
              </w:rPr>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技术人员</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3,062</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sz w:val="22"/>
              </w:rPr>
              <w:t>82.27%</w:t>
            </w:r>
          </w:p>
        </w:tc>
      </w:tr>
      <w:tr>
        <w:trPr>
          <w:trHeight w:val="348"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销售人员</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213</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5.72%</w:t>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3"/>
              <w:jc w:val="center"/>
              <w:rPr>
                <w:rFonts w:ascii="宋体" w:hAnsi="宋体" w:cs="宋体" w:eastAsia="宋体" w:hint="default"/>
                <w:sz w:val="22"/>
                <w:szCs w:val="22"/>
              </w:rPr>
            </w:pPr>
            <w:r>
              <w:rPr>
                <w:rFonts w:ascii="宋体" w:hAnsi="宋体" w:cs="宋体" w:eastAsia="宋体" w:hint="default"/>
                <w:sz w:val="22"/>
                <w:szCs w:val="22"/>
              </w:rPr>
              <w:t>财务人员</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66</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1.77%</w:t>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行政人员</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368</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9.89%</w:t>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生产人员</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13</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0.35%</w:t>
            </w:r>
          </w:p>
        </w:tc>
      </w:tr>
      <w:tr>
        <w:trPr>
          <w:trHeight w:val="348"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小计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3,722</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100%</w:t>
            </w:r>
          </w:p>
        </w:tc>
      </w:tr>
    </w:tbl>
    <w:p>
      <w:pPr>
        <w:spacing w:line="240" w:lineRule="auto" w:before="11"/>
        <w:rPr>
          <w:rFonts w:ascii="宋体" w:hAnsi="宋体" w:cs="宋体" w:eastAsia="宋体" w:hint="default"/>
          <w:sz w:val="2"/>
          <w:szCs w:val="2"/>
        </w:rPr>
      </w:pPr>
    </w:p>
    <w:p>
      <w:pPr>
        <w:spacing w:line="4605" w:lineRule="exact"/>
        <w:ind w:left="18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3076574" cy="29241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3076574" cy="2924175"/>
                    </a:xfrm>
                    <a:prstGeom prst="rect">
                      <a:avLst/>
                    </a:prstGeom>
                  </pic:spPr>
                </pic:pic>
              </a:graphicData>
            </a:graphic>
          </wp:inline>
        </w:drawing>
      </w:r>
      <w:r>
        <w:rPr>
          <w:rFonts w:ascii="宋体" w:hAnsi="宋体" w:cs="宋体" w:eastAsia="宋体" w:hint="default"/>
          <w:position w:val="-91"/>
          <w:sz w:val="20"/>
          <w:szCs w:val="20"/>
        </w:rPr>
      </w:r>
    </w:p>
    <w:p>
      <w:pPr>
        <w:pStyle w:val="BodyText"/>
        <w:spacing w:line="240" w:lineRule="auto" w:before="49"/>
        <w:ind w:left="154" w:right="0"/>
        <w:jc w:val="left"/>
      </w:pPr>
      <w:r>
        <w:rPr>
          <w:rFonts w:ascii="Times New Roman" w:hAnsi="Times New Roman" w:cs="Times New Roman" w:eastAsia="Times New Roman" w:hint="default"/>
        </w:rPr>
        <w:t>2</w:t>
      </w:r>
      <w:r>
        <w:rPr/>
        <w:t>、员工受教育程度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281"/>
        <w:gridCol w:w="695"/>
        <w:gridCol w:w="2121"/>
      </w:tblGrid>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类别项目</w:t>
            </w:r>
            <w:r>
              <w:rPr>
                <w:rFonts w:ascii="宋体" w:hAnsi="宋体" w:cs="宋体" w:eastAsia="宋体" w:hint="default"/>
                <w:sz w:val="22"/>
                <w:szCs w:val="22"/>
              </w:rPr>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19"/>
              <w:jc w:val="right"/>
              <w:rPr>
                <w:rFonts w:ascii="宋体" w:hAnsi="宋体" w:cs="宋体" w:eastAsia="宋体" w:hint="default"/>
                <w:sz w:val="22"/>
                <w:szCs w:val="22"/>
              </w:rPr>
            </w:pPr>
            <w:r>
              <w:rPr>
                <w:rFonts w:ascii="宋体" w:hAnsi="宋体" w:cs="宋体" w:eastAsia="宋体" w:hint="default"/>
                <w:b/>
                <w:bCs/>
                <w:w w:val="95"/>
                <w:sz w:val="22"/>
                <w:szCs w:val="22"/>
              </w:rPr>
              <w:t>小计</w:t>
            </w:r>
            <w:r>
              <w:rPr>
                <w:rFonts w:ascii="宋体" w:hAnsi="宋体" w:cs="宋体" w:eastAsia="宋体" w:hint="default"/>
                <w:sz w:val="22"/>
                <w:szCs w:val="22"/>
              </w:rPr>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b/>
                <w:bCs/>
                <w:sz w:val="22"/>
                <w:szCs w:val="22"/>
              </w:rPr>
              <w:t>占公司总人数比例</w:t>
            </w:r>
            <w:r>
              <w:rPr>
                <w:rFonts w:ascii="宋体" w:hAnsi="宋体" w:cs="宋体" w:eastAsia="宋体" w:hint="default"/>
                <w:sz w:val="22"/>
                <w:szCs w:val="22"/>
              </w:rPr>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sz w:val="22"/>
                <w:szCs w:val="22"/>
              </w:rPr>
              <w:t>本科及以上</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2"/>
                <w:szCs w:val="22"/>
              </w:rPr>
            </w:pPr>
            <w:r>
              <w:rPr>
                <w:rFonts w:ascii="Times New Roman"/>
                <w:w w:val="95"/>
                <w:sz w:val="22"/>
              </w:rPr>
              <w:t>2,520</w:t>
            </w:r>
            <w:r>
              <w:rPr>
                <w:rFonts w:ascii="Times New Roman"/>
                <w:sz w:val="22"/>
              </w:rPr>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67.71%</w:t>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大专</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2"/>
                <w:szCs w:val="22"/>
              </w:rPr>
            </w:pPr>
            <w:r>
              <w:rPr>
                <w:rFonts w:ascii="Times New Roman"/>
                <w:w w:val="95"/>
                <w:sz w:val="22"/>
              </w:rPr>
              <w:t>1,087</w:t>
            </w:r>
            <w:r>
              <w:rPr>
                <w:rFonts w:ascii="Times New Roman"/>
                <w:sz w:val="22"/>
              </w:rPr>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29.20%</w:t>
            </w:r>
          </w:p>
        </w:tc>
      </w:tr>
      <w:tr>
        <w:trPr>
          <w:trHeight w:val="347"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其他</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73"/>
              <w:jc w:val="right"/>
              <w:rPr>
                <w:rFonts w:ascii="Times New Roman" w:hAnsi="Times New Roman" w:cs="Times New Roman" w:eastAsia="Times New Roman" w:hint="default"/>
                <w:sz w:val="22"/>
                <w:szCs w:val="22"/>
              </w:rPr>
            </w:pPr>
            <w:r>
              <w:rPr>
                <w:rFonts w:ascii="Times New Roman"/>
                <w:w w:val="95"/>
                <w:sz w:val="22"/>
              </w:rPr>
              <w:t>115</w:t>
            </w:r>
            <w:r>
              <w:rPr>
                <w:rFonts w:ascii="Times New Roman"/>
                <w:sz w:val="22"/>
              </w:rPr>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2"/>
                <w:szCs w:val="22"/>
              </w:rPr>
            </w:pPr>
            <w:r>
              <w:rPr>
                <w:rFonts w:ascii="Times New Roman"/>
                <w:sz w:val="22"/>
              </w:rPr>
              <w:t>3.09%</w:t>
            </w:r>
          </w:p>
        </w:tc>
      </w:tr>
      <w:tr>
        <w:trPr>
          <w:trHeight w:val="348" w:hRule="exact"/>
        </w:trPr>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
              <w:jc w:val="center"/>
              <w:rPr>
                <w:rFonts w:ascii="宋体" w:hAnsi="宋体" w:cs="宋体" w:eastAsia="宋体" w:hint="default"/>
                <w:sz w:val="22"/>
                <w:szCs w:val="22"/>
              </w:rPr>
            </w:pPr>
            <w:r>
              <w:rPr>
                <w:rFonts w:ascii="宋体" w:hAnsi="宋体" w:cs="宋体" w:eastAsia="宋体" w:hint="default"/>
                <w:sz w:val="22"/>
                <w:szCs w:val="22"/>
              </w:rPr>
              <w:t>小计</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1"/>
              <w:jc w:val="right"/>
              <w:rPr>
                <w:rFonts w:ascii="Times New Roman" w:hAnsi="Times New Roman" w:cs="Times New Roman" w:eastAsia="Times New Roman" w:hint="default"/>
                <w:sz w:val="22"/>
                <w:szCs w:val="22"/>
              </w:rPr>
            </w:pPr>
            <w:r>
              <w:rPr>
                <w:rFonts w:ascii="Times New Roman"/>
                <w:w w:val="95"/>
                <w:sz w:val="22"/>
              </w:rPr>
              <w:t>3,722</w:t>
            </w:r>
            <w:r>
              <w:rPr>
                <w:rFonts w:ascii="Times New Roman"/>
                <w:sz w:val="22"/>
              </w:rPr>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100%</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spacing w:line="4560" w:lineRule="exact"/>
        <w:ind w:left="184"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3028949" cy="28956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028949" cy="2895600"/>
                    </a:xfrm>
                    <a:prstGeom prst="rect">
                      <a:avLst/>
                    </a:prstGeom>
                  </pic:spPr>
                </pic:pic>
              </a:graphicData>
            </a:graphic>
          </wp:inline>
        </w:drawing>
      </w:r>
      <w:r>
        <w:rPr>
          <w:rFonts w:ascii="宋体" w:hAnsi="宋体" w:cs="宋体" w:eastAsia="宋体" w:hint="default"/>
          <w:position w:val="-90"/>
          <w:sz w:val="20"/>
          <w:szCs w:val="20"/>
        </w:rPr>
      </w:r>
    </w:p>
    <w:p>
      <w:pPr>
        <w:pStyle w:val="BodyText"/>
        <w:spacing w:line="300" w:lineRule="auto" w:before="71"/>
        <w:ind w:right="6298"/>
        <w:jc w:val="left"/>
      </w:pPr>
      <w:r>
        <w:rPr>
          <w:rFonts w:ascii="Times New Roman" w:hAnsi="Times New Roman" w:cs="Times New Roman" w:eastAsia="Times New Roman" w:hint="default"/>
        </w:rPr>
        <w:t>3.</w:t>
      </w:r>
      <w:r>
        <w:rPr/>
        <w:t>截至报告期末，公司是否有需承担费用的离退休职工。 无</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81"/>
        <w:jc w:val="center"/>
        <w:rPr>
          <w:b w:val="0"/>
          <w:bCs w:val="0"/>
        </w:rPr>
      </w:pPr>
      <w:bookmarkStart w:name="第九节 公司治理" w:id="114"/>
      <w:bookmarkEnd w:id="114"/>
      <w:r>
        <w:rPr>
          <w:b w:val="0"/>
          <w:bCs w:val="0"/>
        </w:rPr>
      </w:r>
      <w:bookmarkStart w:name="_bookmark8" w:id="115"/>
      <w:bookmarkEnd w:id="11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16"/>
      <w:bookmarkEnd w:id="116"/>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jc w:val="both"/>
      </w:pPr>
      <w:r>
        <w:rPr>
          <w:spacing w:val="-5"/>
        </w:rPr>
        <w:t>报告期内，公司严格按照《公司法》、《证券法》、《上市公司治理准则》和《深圳证券交易所股票上市规则》等相关法律、</w:t>
      </w:r>
      <w:r>
        <w:rPr>
          <w:spacing w:val="-80"/>
        </w:rPr>
        <w:t> </w:t>
      </w:r>
      <w:r>
        <w:rPr>
          <w:spacing w:val="-80"/>
        </w:rPr>
      </w:r>
      <w:r>
        <w:rPr>
          <w:spacing w:val="-2"/>
        </w:rPr>
        <w:t>法规的规定，不断完善公司法人治理结构，健全内部控制体系，进一步规范公司运作。按照中国证券监督管理委员会、深圳</w:t>
      </w:r>
      <w:r>
        <w:rPr>
          <w:spacing w:val="-66"/>
        </w:rPr>
        <w:t> </w:t>
      </w:r>
      <w:r>
        <w:rPr>
          <w:spacing w:val="-66"/>
        </w:rPr>
      </w:r>
      <w:r>
        <w:rPr>
          <w:spacing w:val="-2"/>
        </w:rPr>
        <w:t>证券交易所、广东证监局的要求，报告期内公司及时修订了公司《公司章程》、《关联交易制度》、《投资者投诉处理工作</w:t>
      </w:r>
      <w:r>
        <w:rPr>
          <w:spacing w:val="-69"/>
        </w:rPr>
        <w:t> </w:t>
      </w:r>
      <w:r>
        <w:rPr>
          <w:spacing w:val="-69"/>
        </w:rPr>
      </w:r>
      <w:r>
        <w:rPr>
          <w:spacing w:val="-2"/>
        </w:rPr>
        <w:t>制度》。报告期内未收到监管部门行政监管措施需限期整改的有关文件。截止报告期末，经公司股东大会或董事会审议通过</w:t>
      </w:r>
      <w:r>
        <w:rPr>
          <w:spacing w:val="-66"/>
        </w:rPr>
        <w:t> </w:t>
      </w:r>
      <w:r>
        <w:rPr>
          <w:spacing w:val="-66"/>
        </w:rPr>
      </w:r>
      <w:r>
        <w:rPr/>
        <w:t>并正在执行的制度及最新披露时间如下：</w:t>
      </w:r>
    </w:p>
    <w:tbl>
      <w:tblPr>
        <w:tblW w:w="0" w:type="auto"/>
        <w:jc w:val="left"/>
        <w:tblInd w:w="146" w:type="dxa"/>
        <w:tblLayout w:type="fixed"/>
        <w:tblCellMar>
          <w:top w:w="0" w:type="dxa"/>
          <w:left w:w="0" w:type="dxa"/>
          <w:bottom w:w="0" w:type="dxa"/>
          <w:right w:w="0" w:type="dxa"/>
        </w:tblCellMar>
        <w:tblLook w:val="01E0"/>
      </w:tblPr>
      <w:tblGrid>
        <w:gridCol w:w="740"/>
        <w:gridCol w:w="3080"/>
        <w:gridCol w:w="255"/>
        <w:gridCol w:w="1449"/>
        <w:gridCol w:w="1706"/>
        <w:gridCol w:w="1704"/>
      </w:tblGrid>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3" w:right="0"/>
              <w:jc w:val="left"/>
              <w:rPr>
                <w:rFonts w:ascii="宋体" w:hAnsi="宋体" w:cs="宋体" w:eastAsia="宋体" w:hint="default"/>
                <w:sz w:val="18"/>
                <w:szCs w:val="18"/>
              </w:rPr>
            </w:pPr>
            <w:r>
              <w:rPr>
                <w:rFonts w:ascii="宋体" w:hAnsi="宋体" w:cs="宋体" w:eastAsia="宋体" w:hint="default"/>
                <w:sz w:val="18"/>
                <w:szCs w:val="18"/>
              </w:rPr>
              <w:t>最新披露时间</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信息披露载体</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2014-10-10</w:t>
            </w:r>
          </w:p>
        </w:tc>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62"/>
              <w:ind w:left="39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关联交易制度（</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2014-10-10</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2014-10-10</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center"/>
              <w:rPr>
                <w:rFonts w:ascii="宋体" w:hAnsi="宋体" w:cs="宋体" w:eastAsia="宋体" w:hint="default"/>
                <w:sz w:val="18"/>
                <w:szCs w:val="18"/>
              </w:rPr>
            </w:pPr>
            <w:r>
              <w:rPr>
                <w:rFonts w:ascii="宋体" w:hAnsi="宋体" w:cs="宋体" w:eastAsia="宋体" w:hint="default"/>
                <w:sz w:val="18"/>
                <w:szCs w:val="18"/>
              </w:rPr>
              <w:t>投资者投诉处理工作制度（</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14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75" w:right="0"/>
              <w:jc w:val="left"/>
              <w:rPr>
                <w:rFonts w:ascii="Times New Roman" w:hAnsi="Times New Roman" w:cs="Times New Roman" w:eastAsia="Times New Roman" w:hint="default"/>
                <w:sz w:val="18"/>
                <w:szCs w:val="18"/>
              </w:rPr>
            </w:pPr>
            <w:r>
              <w:rPr>
                <w:rFonts w:ascii="Times New Roman"/>
                <w:sz w:val="18"/>
              </w:rPr>
              <w:t>2014-04-26</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2013-10-19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董事会议事规则</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9" w:right="0"/>
              <w:jc w:val="left"/>
              <w:rPr>
                <w:rFonts w:ascii="Times New Roman" w:hAnsi="Times New Roman" w:cs="Times New Roman" w:eastAsia="Times New Roman" w:hint="default"/>
                <w:sz w:val="18"/>
                <w:szCs w:val="18"/>
              </w:rPr>
            </w:pPr>
            <w:r>
              <w:rPr>
                <w:rFonts w:ascii="Times New Roman"/>
                <w:sz w:val="18"/>
              </w:rPr>
              <w:t>2013-4-24</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监事会议事规则</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2013-4-24</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董事会审计委员会工作制度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2013-10-09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董事会提名委员会工作制度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2013-10-09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董事会薪酬与考核委员会工作制度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2013-10-09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对外提供财务资助管理制度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2012-4-19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董事会秘书工作制度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9" w:right="0"/>
              <w:jc w:val="left"/>
              <w:rPr>
                <w:rFonts w:ascii="Times New Roman" w:hAnsi="Times New Roman" w:cs="Times New Roman" w:eastAsia="Times New Roman" w:hint="default"/>
                <w:sz w:val="18"/>
                <w:szCs w:val="18"/>
              </w:rPr>
            </w:pPr>
            <w:r>
              <w:rPr>
                <w:rFonts w:ascii="Times New Roman"/>
                <w:sz w:val="18"/>
              </w:rPr>
              <w:t>2012-4-19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2011-11-30</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投资者关系管理档案制度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2011-7-29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对外报送信息管理制度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2011-4-29</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年报重大差错责任追究制度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3" w:right="0"/>
              <w:jc w:val="left"/>
              <w:rPr>
                <w:rFonts w:ascii="Times New Roman" w:hAnsi="Times New Roman" w:cs="Times New Roman" w:eastAsia="Times New Roman" w:hint="default"/>
                <w:sz w:val="18"/>
                <w:szCs w:val="18"/>
              </w:rPr>
            </w:pPr>
            <w:r>
              <w:rPr>
                <w:rFonts w:ascii="Times New Roman"/>
                <w:sz w:val="18"/>
              </w:rPr>
              <w:t>2011-3-5</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社会责任管理制度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2010-11-11</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董事、监事和高级管理人员培训制度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69" w:right="0"/>
              <w:jc w:val="left"/>
              <w:rPr>
                <w:rFonts w:ascii="Times New Roman" w:hAnsi="Times New Roman" w:cs="Times New Roman" w:eastAsia="Times New Roman" w:hint="default"/>
                <w:sz w:val="18"/>
                <w:szCs w:val="18"/>
              </w:rPr>
            </w:pPr>
            <w:r>
              <w:rPr>
                <w:rFonts w:ascii="Times New Roman"/>
                <w:sz w:val="18"/>
              </w:rPr>
              <w:t>2010-4-23</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公司治理自查和整改内部管理制度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2010-4-23</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内幕信息知情人报备制度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2009-6-18</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31" w:right="2" w:hanging="629"/>
              <w:jc w:val="left"/>
              <w:rPr>
                <w:rFonts w:ascii="宋体" w:hAnsi="宋体" w:cs="宋体" w:eastAsia="宋体" w:hint="default"/>
                <w:sz w:val="18"/>
                <w:szCs w:val="18"/>
              </w:rPr>
            </w:pPr>
            <w:r>
              <w:rPr>
                <w:rFonts w:ascii="宋体" w:hAnsi="宋体" w:cs="宋体" w:eastAsia="宋体" w:hint="default"/>
                <w:sz w:val="18"/>
                <w:szCs w:val="18"/>
              </w:rPr>
              <w:t>董事、监事和高级管理人员所持本公司 股份及其变动管理制度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2009-6-18</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证券投资内控制度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2009-6-18</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董事会审计委员会年报工作规程</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2009-3-26</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对外投资管理制度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3" w:right="0"/>
              <w:jc w:val="left"/>
              <w:rPr>
                <w:rFonts w:ascii="Times New Roman" w:hAnsi="Times New Roman" w:cs="Times New Roman" w:eastAsia="Times New Roman" w:hint="default"/>
                <w:sz w:val="18"/>
                <w:szCs w:val="18"/>
              </w:rPr>
            </w:pPr>
            <w:r>
              <w:rPr>
                <w:rFonts w:ascii="Times New Roman"/>
                <w:sz w:val="18"/>
              </w:rPr>
              <w:t>2008-11-13</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对外担保制度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3" w:right="0"/>
              <w:jc w:val="left"/>
              <w:rPr>
                <w:rFonts w:ascii="Times New Roman" w:hAnsi="Times New Roman" w:cs="Times New Roman" w:eastAsia="Times New Roman" w:hint="default"/>
                <w:sz w:val="18"/>
                <w:szCs w:val="18"/>
              </w:rPr>
            </w:pPr>
            <w:r>
              <w:rPr>
                <w:rFonts w:ascii="Times New Roman"/>
                <w:sz w:val="18"/>
              </w:rPr>
              <w:t>2008-11-13</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2008-4-11</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新股申购内控制度</w:t>
            </w:r>
          </w:p>
        </w:tc>
        <w:tc>
          <w:tcPr>
            <w:tcW w:w="17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2008-1-16</w:t>
            </w:r>
          </w:p>
        </w:tc>
        <w:tc>
          <w:tcPr>
            <w:tcW w:w="1706" w:type="dxa"/>
            <w:vMerge/>
            <w:tcBorders>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40"/>
        <w:gridCol w:w="3080"/>
        <w:gridCol w:w="1704"/>
        <w:gridCol w:w="1706"/>
        <w:gridCol w:w="1704"/>
      </w:tblGrid>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28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总裁工作细则</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5"/>
              <w:jc w:val="right"/>
              <w:rPr>
                <w:rFonts w:ascii="Times New Roman" w:hAnsi="Times New Roman" w:cs="Times New Roman" w:eastAsia="Times New Roman" w:hint="default"/>
                <w:sz w:val="18"/>
                <w:szCs w:val="18"/>
              </w:rPr>
            </w:pPr>
            <w:r>
              <w:rPr>
                <w:rFonts w:ascii="Times New Roman"/>
                <w:sz w:val="18"/>
              </w:rPr>
              <w:t>2007-10-10</w:t>
            </w:r>
          </w:p>
        </w:tc>
        <w:tc>
          <w:tcPr>
            <w:tcW w:w="1706" w:type="dxa"/>
            <w:vMerge w:val="restart"/>
            <w:tcBorders>
              <w:top w:val="single" w:sz="6" w:space="0" w:color="000000"/>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29</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接待和推广工作制度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8"/>
              <w:jc w:val="right"/>
              <w:rPr>
                <w:rFonts w:ascii="Times New Roman" w:hAnsi="Times New Roman" w:cs="Times New Roman" w:eastAsia="Times New Roman" w:hint="default"/>
                <w:sz w:val="18"/>
                <w:szCs w:val="18"/>
              </w:rPr>
            </w:pPr>
            <w:r>
              <w:rPr>
                <w:rFonts w:ascii="Times New Roman"/>
                <w:sz w:val="18"/>
              </w:rPr>
              <w:t>2007-7-20</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信息披露管理制度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8"/>
              <w:jc w:val="right"/>
              <w:rPr>
                <w:rFonts w:ascii="Times New Roman" w:hAnsi="Times New Roman" w:cs="Times New Roman" w:eastAsia="Times New Roman" w:hint="default"/>
                <w:sz w:val="18"/>
                <w:szCs w:val="18"/>
              </w:rPr>
            </w:pPr>
            <w:r>
              <w:rPr>
                <w:rFonts w:ascii="Times New Roman"/>
                <w:sz w:val="18"/>
              </w:rPr>
              <w:t>2007-5-25</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73"/>
              <w:jc w:val="right"/>
              <w:rPr>
                <w:rFonts w:ascii="Times New Roman" w:hAnsi="Times New Roman" w:cs="Times New Roman" w:eastAsia="Times New Roman" w:hint="default"/>
                <w:sz w:val="18"/>
                <w:szCs w:val="18"/>
              </w:rPr>
            </w:pPr>
            <w:r>
              <w:rPr>
                <w:rFonts w:ascii="Times New Roman"/>
                <w:sz w:val="18"/>
              </w:rPr>
              <w:t>31</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1171" w:right="93" w:hanging="1080"/>
              <w:jc w:val="left"/>
              <w:rPr>
                <w:rFonts w:ascii="宋体" w:hAnsi="宋体" w:cs="宋体" w:eastAsia="宋体" w:hint="default"/>
                <w:sz w:val="18"/>
                <w:szCs w:val="18"/>
              </w:rPr>
            </w:pPr>
            <w:r>
              <w:rPr>
                <w:rFonts w:ascii="宋体" w:hAnsi="宋体" w:cs="宋体" w:eastAsia="宋体" w:hint="default"/>
                <w:sz w:val="18"/>
                <w:szCs w:val="18"/>
              </w:rPr>
              <w:t>关于以非现场方式召开董事会会议的 实施细则</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68"/>
              <w:jc w:val="right"/>
              <w:rPr>
                <w:rFonts w:ascii="Times New Roman" w:hAnsi="Times New Roman" w:cs="Times New Roman" w:eastAsia="Times New Roman" w:hint="default"/>
                <w:sz w:val="18"/>
                <w:szCs w:val="18"/>
              </w:rPr>
            </w:pPr>
            <w:r>
              <w:rPr>
                <w:rFonts w:ascii="Times New Roman"/>
                <w:sz w:val="18"/>
              </w:rPr>
              <w:t>2007-5-25</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32</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公司内部信息的报告制度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8"/>
              <w:jc w:val="right"/>
              <w:rPr>
                <w:rFonts w:ascii="Times New Roman" w:hAnsi="Times New Roman" w:cs="Times New Roman" w:eastAsia="Times New Roman" w:hint="default"/>
                <w:sz w:val="18"/>
                <w:szCs w:val="18"/>
              </w:rPr>
            </w:pPr>
            <w:r>
              <w:rPr>
                <w:rFonts w:ascii="Times New Roman"/>
                <w:sz w:val="18"/>
              </w:rPr>
              <w:t>2007-5-25</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33</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信息披露管理办法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8"/>
              <w:jc w:val="right"/>
              <w:rPr>
                <w:rFonts w:ascii="Times New Roman" w:hAnsi="Times New Roman" w:cs="Times New Roman" w:eastAsia="Times New Roman" w:hint="default"/>
                <w:sz w:val="18"/>
                <w:szCs w:val="18"/>
              </w:rPr>
            </w:pPr>
            <w:r>
              <w:rPr>
                <w:rFonts w:ascii="Times New Roman"/>
                <w:sz w:val="18"/>
              </w:rPr>
              <w:t>2007-4-26</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34</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投资者关系管理办法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8"/>
              <w:jc w:val="right"/>
              <w:rPr>
                <w:rFonts w:ascii="Times New Roman" w:hAnsi="Times New Roman" w:cs="Times New Roman" w:eastAsia="Times New Roman" w:hint="default"/>
                <w:sz w:val="18"/>
                <w:szCs w:val="18"/>
              </w:rPr>
            </w:pPr>
            <w:r>
              <w:rPr>
                <w:rFonts w:ascii="Times New Roman"/>
                <w:sz w:val="18"/>
              </w:rPr>
              <w:t>2007-3-27</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35</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内部审计制度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68"/>
              <w:jc w:val="right"/>
              <w:rPr>
                <w:rFonts w:ascii="Times New Roman" w:hAnsi="Times New Roman" w:cs="Times New Roman" w:eastAsia="Times New Roman" w:hint="default"/>
                <w:sz w:val="18"/>
                <w:szCs w:val="18"/>
              </w:rPr>
            </w:pPr>
            <w:r>
              <w:rPr>
                <w:rFonts w:ascii="Times New Roman"/>
                <w:sz w:val="18"/>
              </w:rPr>
              <w:t>2007-3-27</w:t>
            </w:r>
          </w:p>
        </w:tc>
        <w:tc>
          <w:tcPr>
            <w:tcW w:w="1706" w:type="dxa"/>
            <w:vMerge/>
            <w:tcBorders>
              <w:left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36</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募集资金管理办法</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5"/>
              <w:jc w:val="right"/>
              <w:rPr>
                <w:rFonts w:ascii="Times New Roman" w:hAnsi="Times New Roman" w:cs="Times New Roman" w:eastAsia="Times New Roman" w:hint="default"/>
                <w:sz w:val="18"/>
                <w:szCs w:val="18"/>
              </w:rPr>
            </w:pPr>
            <w:r>
              <w:rPr>
                <w:rFonts w:ascii="Times New Roman"/>
                <w:sz w:val="18"/>
              </w:rPr>
              <w:t>2006-10-11</w:t>
            </w:r>
          </w:p>
        </w:tc>
        <w:tc>
          <w:tcPr>
            <w:tcW w:w="1706" w:type="dxa"/>
            <w:vMerge/>
            <w:tcBorders>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73"/>
              <w:jc w:val="right"/>
              <w:rPr>
                <w:rFonts w:ascii="Times New Roman" w:hAnsi="Times New Roman" w:cs="Times New Roman" w:eastAsia="Times New Roman" w:hint="default"/>
                <w:sz w:val="18"/>
                <w:szCs w:val="18"/>
              </w:rPr>
            </w:pPr>
            <w:r>
              <w:rPr>
                <w:rFonts w:ascii="Times New Roman"/>
                <w:sz w:val="18"/>
              </w:rPr>
              <w:t>37</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独立董事制度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15"/>
              <w:jc w:val="right"/>
              <w:rPr>
                <w:rFonts w:ascii="Times New Roman" w:hAnsi="Times New Roman" w:cs="Times New Roman" w:eastAsia="Times New Roman" w:hint="default"/>
                <w:sz w:val="18"/>
                <w:szCs w:val="18"/>
              </w:rPr>
            </w:pPr>
            <w:r>
              <w:rPr>
                <w:rFonts w:ascii="Times New Roman"/>
                <w:sz w:val="18"/>
              </w:rPr>
              <w:t>2006-6-2</w:t>
            </w:r>
          </w:p>
        </w:tc>
        <w:tc>
          <w:tcPr>
            <w:tcW w:w="1706"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上市前制定</w:t>
            </w:r>
          </w:p>
        </w:tc>
      </w:tr>
      <w:tr>
        <w:trPr>
          <w:trHeight w:val="34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3"/>
              <w:jc w:val="right"/>
              <w:rPr>
                <w:rFonts w:ascii="Times New Roman" w:hAnsi="Times New Roman" w:cs="Times New Roman" w:eastAsia="Times New Roman" w:hint="default"/>
                <w:sz w:val="18"/>
                <w:szCs w:val="18"/>
              </w:rPr>
            </w:pPr>
            <w:r>
              <w:rPr>
                <w:rFonts w:ascii="Times New Roman"/>
                <w:sz w:val="18"/>
              </w:rPr>
              <w:t>38</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资金管理制度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15"/>
              <w:jc w:val="right"/>
              <w:rPr>
                <w:rFonts w:ascii="Times New Roman" w:hAnsi="Times New Roman" w:cs="Times New Roman" w:eastAsia="Times New Roman" w:hint="default"/>
                <w:sz w:val="18"/>
                <w:szCs w:val="18"/>
              </w:rPr>
            </w:pPr>
            <w:r>
              <w:rPr>
                <w:rFonts w:ascii="Times New Roman"/>
                <w:sz w:val="18"/>
              </w:rPr>
              <w:t>2006-6-2</w:t>
            </w:r>
          </w:p>
        </w:tc>
        <w:tc>
          <w:tcPr>
            <w:tcW w:w="1706"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上市前制定</w:t>
            </w:r>
          </w:p>
        </w:tc>
      </w:tr>
    </w:tbl>
    <w:p>
      <w:pPr>
        <w:pStyle w:val="BodyText"/>
        <w:spacing w:line="240" w:lineRule="auto" w:before="10"/>
        <w:ind w:left="154" w:right="0"/>
        <w:jc w:val="left"/>
      </w:pPr>
      <w:r>
        <w:rPr/>
        <w:t>（一）关于股东与股东大会</w:t>
      </w:r>
    </w:p>
    <w:p>
      <w:pPr>
        <w:pStyle w:val="BodyText"/>
        <w:spacing w:line="309" w:lineRule="auto" w:before="117"/>
        <w:ind w:left="154" w:right="1131"/>
        <w:jc w:val="both"/>
      </w:pPr>
      <w:r>
        <w:rPr/>
        <w:t>报告期内，公司共召</w:t>
      </w:r>
      <w:r>
        <w:rPr>
          <w:rFonts w:ascii="Times New Roman" w:hAnsi="Times New Roman" w:cs="Times New Roman" w:eastAsia="Times New Roman" w:hint="default"/>
        </w:rPr>
        <w:t>2</w:t>
      </w:r>
      <w:r>
        <w:rPr/>
        <w:t>次股东大会。公司历次股东大会均严格按照《上市公司股东大会规则》和公司制定的《股东大会议事</w:t>
      </w:r>
      <w:r>
        <w:rPr>
          <w:spacing w:val="-83"/>
        </w:rPr>
        <w:t> </w:t>
      </w:r>
      <w:r>
        <w:rPr>
          <w:spacing w:val="-83"/>
        </w:rPr>
      </w:r>
      <w:r>
        <w:rPr>
          <w:spacing w:val="-2"/>
        </w:rPr>
        <w:t>规则》的要求，股东大会召集、召开、表决等程序合法、合规，平等对待所有股东，特别是保证中小股东对公司重大事项的</w:t>
      </w:r>
      <w:r>
        <w:rPr>
          <w:spacing w:val="-72"/>
        </w:rPr>
        <w:t> </w:t>
      </w:r>
      <w:r>
        <w:rPr>
          <w:spacing w:val="-72"/>
        </w:rPr>
      </w:r>
      <w:r>
        <w:rPr/>
        <w:t>知情权和平等参与权，充分而不受干涉地行使股东权力。</w:t>
      </w:r>
    </w:p>
    <w:p>
      <w:pPr>
        <w:pStyle w:val="BodyText"/>
        <w:spacing w:line="338" w:lineRule="auto" w:before="64"/>
        <w:ind w:left="154" w:right="0"/>
        <w:jc w:val="left"/>
      </w:pPr>
      <w:r>
        <w:rPr/>
        <w:t>（二）关于公司与控股股东 </w:t>
      </w:r>
      <w:r>
        <w:rPr>
          <w:spacing w:val="-2"/>
        </w:rPr>
        <w:t>公司与控股股东在业务、人员、资产、机构、财务等方面完全分开，具有独立完整的业务及自主经营能力。公司董事会、监</w:t>
      </w:r>
      <w:r>
        <w:rPr>
          <w:spacing w:val="-71"/>
        </w:rPr>
        <w:t> </w:t>
      </w:r>
      <w:r>
        <w:rPr>
          <w:spacing w:val="-71"/>
        </w:rPr>
      </w:r>
      <w:r>
        <w:rPr>
          <w:spacing w:val="-2"/>
        </w:rPr>
        <w:t>事会和内部机构独立运作。公司控股股东能严格规范自己的行为，依法行使股东权利，没有超越公司股东大会直接或间接干</w:t>
      </w:r>
    </w:p>
    <w:p>
      <w:pPr>
        <w:pStyle w:val="BodyText"/>
        <w:spacing w:line="240" w:lineRule="auto" w:before="4"/>
        <w:ind w:left="154" w:right="0"/>
        <w:jc w:val="left"/>
      </w:pPr>
      <w:r>
        <w:rPr/>
        <w:t>预公司的决策和经营活动的行为，不存在控股股东占用公司资金的现象。公司也不存在为控股股东提供担保的情形。</w:t>
      </w:r>
    </w:p>
    <w:p>
      <w:pPr>
        <w:pStyle w:val="BodyText"/>
        <w:spacing w:line="240" w:lineRule="auto" w:before="117"/>
        <w:ind w:right="0"/>
        <w:jc w:val="left"/>
      </w:pPr>
      <w:r>
        <w:rPr/>
        <w:t>（三）关于董事与董事会</w:t>
      </w:r>
    </w:p>
    <w:p>
      <w:pPr>
        <w:pStyle w:val="BodyText"/>
        <w:spacing w:line="312" w:lineRule="auto" w:before="115"/>
        <w:ind w:right="1033"/>
        <w:jc w:val="left"/>
      </w:pPr>
      <w:r>
        <w:rPr>
          <w:spacing w:val="-2"/>
        </w:rPr>
        <w:t>报告期内，公司共召开</w:t>
      </w:r>
      <w:r>
        <w:rPr>
          <w:rFonts w:ascii="Times New Roman" w:hAnsi="Times New Roman" w:cs="Times New Roman" w:eastAsia="Times New Roman" w:hint="default"/>
          <w:spacing w:val="-2"/>
        </w:rPr>
        <w:t>13</w:t>
      </w:r>
      <w:r>
        <w:rPr>
          <w:spacing w:val="-2"/>
        </w:rPr>
        <w:t>次董事会，均严格按照《公司章程》、《董事会议事规则》及《关于以非现场方式召开董事会会议</w:t>
      </w:r>
      <w:r>
        <w:rPr>
          <w:spacing w:val="-65"/>
        </w:rPr>
        <w:t> </w:t>
      </w:r>
      <w:r>
        <w:rPr>
          <w:spacing w:val="-65"/>
        </w:rPr>
      </w:r>
      <w:r>
        <w:rPr/>
        <w:t>的实施细则》的要求，召集、召开、表决等程序合法、合规。董事会人员构成和人数符合法律法规和《公司章程》的要求。</w:t>
      </w:r>
      <w:r>
        <w:rPr>
          <w:spacing w:val="-84"/>
        </w:rPr>
        <w:t> </w:t>
      </w:r>
      <w:r>
        <w:rPr>
          <w:spacing w:val="-84"/>
        </w:rPr>
      </w:r>
      <w:r>
        <w:rPr>
          <w:spacing w:val="-2"/>
        </w:rPr>
        <w:t>公司全体董事能够依据《公司董事会议事规则》及其他相关规则的要求开展工作，认真出席董事会和股东大会，积极参加相</w:t>
      </w:r>
      <w:r>
        <w:rPr>
          <w:spacing w:val="-66"/>
        </w:rPr>
        <w:t> </w:t>
      </w:r>
      <w:r>
        <w:rPr>
          <w:spacing w:val="-66"/>
        </w:rPr>
      </w:r>
      <w:r>
        <w:rPr/>
        <w:t>关知识的培训，熟悉有关法律法规，勤勉尽职地行使权力，维护公司和股东利益。</w:t>
      </w:r>
    </w:p>
    <w:p>
      <w:pPr>
        <w:pStyle w:val="BodyText"/>
        <w:spacing w:line="240" w:lineRule="auto" w:before="62"/>
        <w:ind w:right="0"/>
        <w:jc w:val="left"/>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38" w:lineRule="auto" w:before="42"/>
        <w:ind w:right="1128"/>
        <w:jc w:val="left"/>
      </w:pPr>
      <w:r>
        <w:rPr/>
        <w:t>公司治理专项活动开展情况以及内幕信息知情人登记管理制度的制定、实施情况 </w:t>
      </w:r>
      <w:r>
        <w:rPr>
          <w:spacing w:val="-5"/>
        </w:rPr>
        <w:t>报告期内公司严格执行《内幕信息知情人登记管理制度》、《对外报送信息管理制度》，报告期内公司没有内幕信息知情人买</w:t>
      </w:r>
      <w:r>
        <w:rPr>
          <w:spacing w:val="-85"/>
        </w:rPr>
        <w:t> </w:t>
      </w:r>
      <w:r>
        <w:rPr>
          <w:spacing w:val="-85"/>
        </w:rPr>
      </w:r>
      <w:r>
        <w:rPr/>
        <w:t>卖公司股票的情况发生。</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报告期内召开的年度股东大会和临时股东大会的有关情况" w:id="117"/>
      <w:bookmarkEnd w:id="117"/>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本报告期年度股东大会情况" w:id="118"/>
      <w:bookmarkEnd w:id="118"/>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w:t>
            </w:r>
          </w:p>
          <w:p>
            <w:pPr>
              <w:pStyle w:val="TableParagraph"/>
              <w:spacing w:line="309" w:lineRule="auto" w:before="61"/>
              <w:ind w:left="23" w:right="20"/>
              <w:jc w:val="left"/>
              <w:rPr>
                <w:rFonts w:ascii="宋体" w:hAnsi="宋体" w:cs="宋体" w:eastAsia="宋体" w:hint="default"/>
                <w:sz w:val="18"/>
                <w:szCs w:val="18"/>
              </w:rPr>
            </w:pPr>
            <w:r>
              <w:rPr>
                <w:rFonts w:ascii="宋体" w:hAnsi="宋体" w:cs="宋体" w:eastAsia="宋体" w:hint="default"/>
                <w:spacing w:val="-13"/>
                <w:sz w:val="18"/>
                <w:szCs w:val="18"/>
              </w:rPr>
              <w:t>告》及摘要</w:t>
            </w:r>
            <w:r>
              <w:rPr>
                <w:rFonts w:ascii="宋体" w:hAnsi="宋体" w:cs="宋体" w:eastAsia="宋体" w:hint="default"/>
                <w:spacing w:val="-45"/>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w:t>
            </w:r>
            <w:r>
              <w:rPr>
                <w:rFonts w:ascii="Times New Roman" w:hAnsi="Times New Roman" w:cs="Times New Roman" w:eastAsia="Times New Roman" w:hint="default"/>
                <w:spacing w:val="-22"/>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年度董事会工作报 </w:t>
            </w:r>
            <w:r>
              <w:rPr>
                <w:rFonts w:ascii="宋体" w:hAnsi="宋体" w:cs="宋体" w:eastAsia="宋体" w:hint="default"/>
                <w:spacing w:val="-10"/>
                <w:sz w:val="18"/>
                <w:szCs w:val="18"/>
              </w:rPr>
              <w:t>告》</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pacing w:val="-30"/>
                <w:sz w:val="18"/>
                <w:szCs w:val="18"/>
              </w:rPr>
              <w:t>日《中</w:t>
            </w:r>
            <w:r>
              <w:rPr>
                <w:rFonts w:ascii="宋体" w:hAnsi="宋体" w:cs="宋体" w:eastAsia="宋体" w:hint="default"/>
                <w:sz w:val="18"/>
                <w:szCs w:val="18"/>
              </w:rPr>
              <w:t> </w:t>
            </w:r>
            <w:r>
              <w:rPr>
                <w:rFonts w:ascii="宋体" w:hAnsi="宋体" w:cs="宋体" w:eastAsia="宋体" w:hint="default"/>
                <w:spacing w:val="-27"/>
                <w:sz w:val="18"/>
                <w:szCs w:val="18"/>
              </w:rPr>
              <w:t>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报》以及巨潮资讯网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上的《</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r>
        <w:rPr/>
        <w:pict>
          <v:shape style="position:absolute;margin-left:290.019989pt;margin-top:605.5pt;width:85.4pt;height:163.85pt;mso-position-horizontal-relative:page;mso-position-vertical-relative:page;z-index:-90316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6"/>
                      <w:szCs w:val="26"/>
                    </w:rPr>
                  </w:pPr>
                </w:p>
                <w:p>
                  <w:pPr>
                    <w:pStyle w:val="BodyText"/>
                    <w:spacing w:line="240" w:lineRule="auto" w:before="0"/>
                    <w:ind w:left="0" w:right="0"/>
                    <w:jc w:val="left"/>
                  </w:pPr>
                  <w:r>
                    <w:rPr/>
                    <w:t>、</w:t>
                  </w:r>
                </w:p>
              </w:txbxContent>
            </v:textbox>
            <w10:wrap type="none"/>
          </v:shape>
        </w:pict>
      </w:r>
      <w:r>
        <w:rPr/>
        <w:pict>
          <v:group style="position:absolute;margin-left:296.200012pt;margin-top:605.5pt;width:79.2pt;height:163.85pt;mso-position-horizontal-relative:page;mso-position-vertical-relative:page;z-index:-903112" coordorigin="5924,12110" coordsize="1584,3277">
            <v:shape style="position:absolute;left:5924;top:12110;width:1584;height:3277" coordorigin="5924,12110" coordsize="1584,3277" path="m5924,15386l7508,15386,7508,12110,5924,12110,5924,15386xe" filled="true" fillcolor="#ffffff" stroked="false">
              <v:path arrowok="t"/>
              <v:fill type="solid"/>
            </v:shape>
            <w10:wrap type="none"/>
          </v:group>
        </w:pict>
      </w:r>
    </w:p>
    <w:p>
      <w:pPr>
        <w:spacing w:line="5686" w:lineRule="exact"/>
        <w:ind w:left="149" w:right="0" w:firstLine="0"/>
        <w:rPr>
          <w:rFonts w:ascii="宋体" w:hAnsi="宋体" w:cs="宋体" w:eastAsia="宋体" w:hint="default"/>
          <w:sz w:val="20"/>
          <w:szCs w:val="20"/>
        </w:rPr>
      </w:pPr>
      <w:r>
        <w:rPr>
          <w:rFonts w:ascii="宋体" w:hAnsi="宋体" w:cs="宋体" w:eastAsia="宋体" w:hint="default"/>
          <w:position w:val="-113"/>
          <w:sz w:val="20"/>
          <w:szCs w:val="20"/>
        </w:rPr>
        <w:pict>
          <v:group style="width:478.9pt;height:284.3pt;mso-position-horizontal-relative:char;mso-position-vertical-relative:line" coordorigin="0,0" coordsize="9578,5686">
            <v:group style="position:absolute;left:4795;top:14;width:1584;height:5658" coordorigin="4795,14" coordsize="1584,5658">
              <v:shape style="position:absolute;left:4795;top:14;width:1584;height:5658" coordorigin="4795,14" coordsize="1584,5658" path="m4795,5672l6379,5672,6379,14,4795,14,4795,5672xe" filled="true" fillcolor="#ffffff" stroked="false">
                <v:path arrowok="t"/>
                <v:fill type="solid"/>
              </v:shape>
            </v:group>
            <v:group style="position:absolute;left:10;top:10;width:1587;height:2" coordorigin="10,10" coordsize="1587,2">
              <v:shape style="position:absolute;left:10;top:10;width:1587;height:2" coordorigin="10,10" coordsize="1587,0" path="m10,10l1596,10e" filled="false" stroked="true" strokeweight=".48pt" strokecolor="#000000">
                <v:path arrowok="t"/>
              </v:shape>
            </v:group>
            <v:group style="position:absolute;left:1606;top:10;width:1584;height:2" coordorigin="1606,10" coordsize="1584,2">
              <v:shape style="position:absolute;left:1606;top:10;width:1584;height:2" coordorigin="1606,10" coordsize="1584,0" path="m1606,10l3190,10e" filled="false" stroked="true" strokeweight=".48pt" strokecolor="#000000">
                <v:path arrowok="t"/>
              </v:shape>
            </v:group>
            <v:group style="position:absolute;left:3200;top:10;width:1586;height:2" coordorigin="3200,10" coordsize="1586,2">
              <v:shape style="position:absolute;left:3200;top:10;width:1586;height:2" coordorigin="3200,10" coordsize="1586,0" path="m3200,10l4785,10e" filled="false" stroked="true" strokeweight=".48pt" strokecolor="#000000">
                <v:path arrowok="t"/>
              </v:shape>
            </v:group>
            <v:group style="position:absolute;left:4795;top:10;width:1584;height:2" coordorigin="4795,10" coordsize="1584,2">
              <v:shape style="position:absolute;left:4795;top:10;width:1584;height:2" coordorigin="4795,10" coordsize="1584,0" path="m4795,10l6379,10e" filled="false" stroked="true" strokeweight=".48pt" strokecolor="#000000">
                <v:path arrowok="t"/>
              </v:shape>
            </v:group>
            <v:group style="position:absolute;left:6388;top:10;width:1585;height:2" coordorigin="6388,10" coordsize="1585,2">
              <v:shape style="position:absolute;left:6388;top:10;width:1585;height:2" coordorigin="6388,10" coordsize="1585,0" path="m6388,10l7973,10e" filled="false" stroked="true" strokeweight=".48pt" strokecolor="#000000">
                <v:path arrowok="t"/>
              </v:shape>
            </v:group>
            <v:group style="position:absolute;left:7982;top:10;width:1586;height:2" coordorigin="7982,10" coordsize="1586,2">
              <v:shape style="position:absolute;left:7982;top:10;width:1586;height:2" coordorigin="7982,10" coordsize="1586,0" path="m7982,10l9568,10e" filled="false" stroked="true" strokeweight=".48pt" strokecolor="#000000">
                <v:path arrowok="t"/>
              </v:shape>
            </v:group>
            <v:group style="position:absolute;left:5;top:5;width:2;height:5677" coordorigin="5,5" coordsize="2,5677">
              <v:shape style="position:absolute;left:5;top:5;width:2;height:5677" coordorigin="5,5" coordsize="0,5677" path="m5,5l5,5681e" filled="false" stroked="true" strokeweight=".48pt" strokecolor="#000000">
                <v:path arrowok="t"/>
              </v:shape>
            </v:group>
            <v:group style="position:absolute;left:10;top:5676;width:1587;height:2" coordorigin="10,5676" coordsize="1587,2">
              <v:shape style="position:absolute;left:10;top:5676;width:1587;height:2" coordorigin="10,5676" coordsize="1587,0" path="m10,5676l1596,5676e" filled="false" stroked="true" strokeweight=".48pt" strokecolor="#000000">
                <v:path arrowok="t"/>
              </v:shape>
            </v:group>
            <v:group style="position:absolute;left:1601;top:5;width:2;height:5677" coordorigin="1601,5" coordsize="2,5677">
              <v:shape style="position:absolute;left:1601;top:5;width:2;height:5677" coordorigin="1601,5" coordsize="0,5677" path="m1601,5l1601,5681e" filled="false" stroked="true" strokeweight=".48pt" strokecolor="#000000">
                <v:path arrowok="t"/>
              </v:shape>
            </v:group>
            <v:group style="position:absolute;left:1606;top:5676;width:1584;height:2" coordorigin="1606,5676" coordsize="1584,2">
              <v:shape style="position:absolute;left:1606;top:5676;width:1584;height:2" coordorigin="1606,5676" coordsize="1584,0" path="m1606,5676l3190,5676e" filled="false" stroked="true" strokeweight=".48pt" strokecolor="#000000">
                <v:path arrowok="t"/>
              </v:shape>
            </v:group>
            <v:group style="position:absolute;left:3195;top:5;width:2;height:5677" coordorigin="3195,5" coordsize="2,5677">
              <v:shape style="position:absolute;left:3195;top:5;width:2;height:5677" coordorigin="3195,5" coordsize="0,5677" path="m3195,5l3195,5681e" filled="false" stroked="true" strokeweight=".48pt" strokecolor="#000000">
                <v:path arrowok="t"/>
              </v:shape>
            </v:group>
            <v:group style="position:absolute;left:3200;top:5676;width:1586;height:2" coordorigin="3200,5676" coordsize="1586,2">
              <v:shape style="position:absolute;left:3200;top:5676;width:1586;height:2" coordorigin="3200,5676" coordsize="1586,0" path="m3200,5676l4785,5676e" filled="false" stroked="true" strokeweight=".48pt" strokecolor="#000000">
                <v:path arrowok="t"/>
              </v:shape>
            </v:group>
            <v:group style="position:absolute;left:4790;top:5;width:2;height:5677" coordorigin="4790,5" coordsize="2,5677">
              <v:shape style="position:absolute;left:4790;top:5;width:2;height:5677" coordorigin="4790,5" coordsize="0,5677" path="m4790,5l4790,5681e" filled="false" stroked="true" strokeweight=".48pt" strokecolor="#000000">
                <v:path arrowok="t"/>
              </v:shape>
            </v:group>
            <v:group style="position:absolute;left:4795;top:5676;width:1584;height:2" coordorigin="4795,5676" coordsize="1584,2">
              <v:shape style="position:absolute;left:4795;top:5676;width:1584;height:2" coordorigin="4795,5676" coordsize="1584,0" path="m4795,5676l6379,5676e" filled="false" stroked="true" strokeweight=".48pt" strokecolor="#000000">
                <v:path arrowok="t"/>
              </v:shape>
            </v:group>
            <v:group style="position:absolute;left:6384;top:5;width:2;height:5677" coordorigin="6384,5" coordsize="2,5677">
              <v:shape style="position:absolute;left:6384;top:5;width:2;height:5677" coordorigin="6384,5" coordsize="0,5677" path="m6384,5l6384,5681e" filled="false" stroked="true" strokeweight=".48pt" strokecolor="#000000">
                <v:path arrowok="t"/>
              </v:shape>
            </v:group>
            <v:group style="position:absolute;left:6388;top:5676;width:1585;height:2" coordorigin="6388,5676" coordsize="1585,2">
              <v:shape style="position:absolute;left:6388;top:5676;width:1585;height:2" coordorigin="6388,5676" coordsize="1585,0" path="m6388,5676l7973,5676e" filled="false" stroked="true" strokeweight=".48pt" strokecolor="#000000">
                <v:path arrowok="t"/>
              </v:shape>
            </v:group>
            <v:group style="position:absolute;left:7978;top:5;width:2;height:5677" coordorigin="7978,5" coordsize="2,5677">
              <v:shape style="position:absolute;left:7978;top:5;width:2;height:5677" coordorigin="7978,5" coordsize="0,5677" path="m7978,5l7978,5681e" filled="false" stroked="true" strokeweight=".48pt" strokecolor="#000000">
                <v:path arrowok="t"/>
              </v:shape>
            </v:group>
            <v:group style="position:absolute;left:7982;top:5676;width:1586;height:2" coordorigin="7982,5676" coordsize="1586,2">
              <v:shape style="position:absolute;left:7982;top:5676;width:1586;height:2" coordorigin="7982,5676" coordsize="1586,0" path="m7982,5676l9568,5676e" filled="false" stroked="true" strokeweight=".48pt" strokecolor="#000000">
                <v:path arrowok="t"/>
              </v:shape>
            </v:group>
            <v:group style="position:absolute;left:9572;top:5;width:2;height:5677" coordorigin="9572,5" coordsize="2,5677">
              <v:shape style="position:absolute;left:9572;top:5;width:2;height:5677" coordorigin="9572,5" coordsize="0,5677" path="m9572,5l9572,5681e" filled="false" stroked="true" strokeweight=".48pt" strokecolor="#000000">
                <v:path arrowok="t"/>
              </v:shape>
              <v:shape style="position:absolute;left:3224;top:81;width:1620;height:5486" type="#_x0000_t202" filled="false" stroked="false">
                <v:textbox inset="0,0,0,0">
                  <w:txbxContent>
                    <w:p>
                      <w:pPr>
                        <w:spacing w:line="194"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监事会工作报告</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4</w:t>
                      </w:r>
                    </w:p>
                    <w:p>
                      <w:pPr>
                        <w:spacing w:line="304" w:lineRule="auto" w:before="63"/>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 </w:t>
                      </w:r>
                      <w:r>
                        <w:rPr>
                          <w:rFonts w:ascii="宋体" w:hAnsi="宋体" w:cs="宋体" w:eastAsia="宋体" w:hint="default"/>
                          <w:spacing w:val="-9"/>
                          <w:sz w:val="18"/>
                          <w:szCs w:val="18"/>
                        </w:rPr>
                        <w:t>算报告》</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年度利润分配方案》 </w:t>
                      </w: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、《关于续聘审计机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8"/>
                          <w:sz w:val="18"/>
                          <w:szCs w:val="18"/>
                        </w:rPr>
                        <w:t>构的议案》</w:t>
                      </w:r>
                      <w:r>
                        <w:rPr>
                          <w:rFonts w:ascii="Times New Roman" w:hAnsi="Times New Roman" w:cs="Times New Roman" w:eastAsia="Times New Roman" w:hint="default"/>
                          <w:spacing w:val="-18"/>
                          <w:sz w:val="18"/>
                          <w:szCs w:val="18"/>
                        </w:rPr>
                        <w:t>7</w:t>
                      </w:r>
                      <w:r>
                        <w:rPr>
                          <w:rFonts w:ascii="宋体" w:hAnsi="宋体" w:cs="宋体" w:eastAsia="宋体" w:hint="default"/>
                          <w:spacing w:val="-18"/>
                          <w:sz w:val="18"/>
                          <w:szCs w:val="18"/>
                        </w:rPr>
                        <w:t>、《关于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 联交易金额进行预 </w:t>
                      </w:r>
                      <w:r>
                        <w:rPr>
                          <w:rFonts w:ascii="宋体" w:hAnsi="宋体" w:cs="宋体" w:eastAsia="宋体" w:hint="default"/>
                          <w:spacing w:val="-18"/>
                          <w:sz w:val="18"/>
                          <w:szCs w:val="18"/>
                        </w:rPr>
                        <w:t>计的议案》</w:t>
                      </w:r>
                      <w:r>
                        <w:rPr>
                          <w:rFonts w:ascii="Times New Roman" w:hAnsi="Times New Roman" w:cs="Times New Roman" w:eastAsia="Times New Roman" w:hint="default"/>
                          <w:spacing w:val="-18"/>
                          <w:sz w:val="18"/>
                          <w:szCs w:val="18"/>
                        </w:rPr>
                        <w:t>8</w:t>
                      </w:r>
                      <w:r>
                        <w:rPr>
                          <w:rFonts w:ascii="宋体" w:hAnsi="宋体" w:cs="宋体" w:eastAsia="宋体" w:hint="default"/>
                          <w:spacing w:val="-18"/>
                          <w:sz w:val="18"/>
                          <w:szCs w:val="18"/>
                        </w:rPr>
                        <w:t>、《关于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修改〈公司章程〉的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议案》（</w:t>
                      </w:r>
                      <w:r>
                        <w:rPr>
                          <w:rFonts w:ascii="Times New Roman" w:hAnsi="Times New Roman" w:cs="Times New Roman" w:eastAsia="Times New Roman" w:hint="default"/>
                          <w:spacing w:val="-16"/>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日第五届第三次 </w:t>
                      </w:r>
                      <w:r>
                        <w:rPr>
                          <w:rFonts w:ascii="宋体" w:hAnsi="宋体" w:cs="宋体" w:eastAsia="宋体" w:hint="default"/>
                          <w:spacing w:val="-10"/>
                          <w:sz w:val="18"/>
                          <w:szCs w:val="18"/>
                        </w:rPr>
                        <w:t>董事会审议通过）</w:t>
                      </w:r>
                      <w:r>
                        <w:rPr>
                          <w:rFonts w:ascii="Times New Roman" w:hAnsi="Times New Roman" w:cs="Times New Roman" w:eastAsia="Times New Roman" w:hint="default"/>
                          <w:spacing w:val="-10"/>
                          <w:sz w:val="18"/>
                          <w:szCs w:val="18"/>
                        </w:rPr>
                        <w:t>9</w:t>
                      </w:r>
                    </w:p>
                    <w:p>
                      <w:pPr>
                        <w:spacing w:line="307" w:lineRule="auto" w:before="9"/>
                        <w:ind w:left="0" w:right="79" w:firstLine="0"/>
                        <w:jc w:val="both"/>
                        <w:rPr>
                          <w:rFonts w:ascii="宋体" w:hAnsi="宋体" w:cs="宋体" w:eastAsia="宋体" w:hint="default"/>
                          <w:sz w:val="18"/>
                          <w:szCs w:val="18"/>
                        </w:rPr>
                      </w:pPr>
                      <w:r>
                        <w:rPr>
                          <w:rFonts w:ascii="宋体" w:hAnsi="宋体" w:cs="宋体" w:eastAsia="宋体" w:hint="default"/>
                          <w:spacing w:val="-10"/>
                          <w:sz w:val="18"/>
                          <w:szCs w:val="18"/>
                        </w:rPr>
                        <w:t>《关于修改〈公司章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程〉的议案》（</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日第五届 第六次董事会审议</w:t>
                      </w:r>
                    </w:p>
                    <w:p>
                      <w:pPr>
                        <w:spacing w:before="27"/>
                        <w:ind w:left="0" w:right="0" w:firstLine="0"/>
                        <w:jc w:val="left"/>
                        <w:rPr>
                          <w:rFonts w:ascii="宋体" w:hAnsi="宋体" w:cs="宋体" w:eastAsia="宋体" w:hint="default"/>
                          <w:sz w:val="18"/>
                          <w:szCs w:val="18"/>
                        </w:rPr>
                      </w:pPr>
                      <w:r>
                        <w:rPr>
                          <w:rFonts w:ascii="宋体" w:hAnsi="宋体" w:cs="宋体" w:eastAsia="宋体" w:hint="default"/>
                          <w:sz w:val="18"/>
                          <w:szCs w:val="18"/>
                        </w:rPr>
                        <w:t>通过）</w:t>
                      </w:r>
                    </w:p>
                  </w:txbxContent>
                </v:textbox>
                <w10:wrap type="none"/>
              </v:shape>
              <v:shape style="position:absolute;left:8006;top:81;width:1350;height:81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股东大会决议公</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spacing w:line="203" w:lineRule="exact" w:before="117"/>
                        <w:ind w:left="0" w:right="0" w:firstLine="0"/>
                        <w:jc w:val="left"/>
                        <w:rPr>
                          <w:rFonts w:ascii="Times New Roman" w:hAnsi="Times New Roman" w:cs="Times New Roman" w:eastAsia="Times New Roman" w:hint="default"/>
                          <w:sz w:val="18"/>
                          <w:szCs w:val="18"/>
                        </w:rPr>
                      </w:pPr>
                      <w:r>
                        <w:rPr>
                          <w:rFonts w:ascii="Times New Roman"/>
                          <w:sz w:val="18"/>
                        </w:rPr>
                        <w:t>2014-038</w:t>
                      </w:r>
                    </w:p>
                  </w:txbxContent>
                </v:textbox>
                <w10:wrap type="none"/>
              </v:shape>
            </v:group>
          </v:group>
        </w:pict>
      </w:r>
      <w:r>
        <w:rPr>
          <w:rFonts w:ascii="宋体" w:hAnsi="宋体" w:cs="宋体" w:eastAsia="宋体" w:hint="default"/>
          <w:position w:val="-113"/>
          <w:sz w:val="20"/>
          <w:szCs w:val="20"/>
        </w:rPr>
      </w:r>
    </w:p>
    <w:p>
      <w:pPr>
        <w:spacing w:line="240" w:lineRule="auto" w:before="11"/>
        <w:rPr>
          <w:rFonts w:ascii="宋体" w:hAnsi="宋体" w:cs="宋体" w:eastAsia="宋体" w:hint="default"/>
          <w:b/>
          <w:bCs/>
          <w:sz w:val="18"/>
          <w:szCs w:val="18"/>
        </w:rPr>
      </w:pPr>
    </w:p>
    <w:p>
      <w:pPr>
        <w:pStyle w:val="Heading6"/>
        <w:spacing w:line="240" w:lineRule="auto" w:before="35"/>
        <w:ind w:left="154" w:right="0"/>
        <w:jc w:val="left"/>
        <w:rPr>
          <w:b w:val="0"/>
          <w:bCs w:val="0"/>
        </w:rPr>
      </w:pPr>
      <w:r>
        <w:rPr/>
        <w:pict>
          <v:shape style="position:absolute;margin-left:290.079987pt;margin-top:-295.906342pt;width:85.35pt;height:282.9pt;mso-position-horizontal-relative:page;mso-position-vertical-relative:paragraph;z-index:-903184" type="#_x0000_t202" filled="false" stroked="false">
            <v:textbox inset="0,0,0,0">
              <w:txbxContent>
                <w:p>
                  <w:pPr>
                    <w:pStyle w:val="BodyText"/>
                    <w:spacing w:line="240" w:lineRule="auto" w:before="10"/>
                    <w:ind w:left="0" w:right="0"/>
                    <w:jc w:val="left"/>
                  </w:pPr>
                  <w:r>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6"/>
                      <w:szCs w:val="16"/>
                    </w:rPr>
                  </w:pPr>
                </w:p>
                <w:p>
                  <w:pPr>
                    <w:pStyle w:val="BodyText"/>
                    <w:spacing w:line="240" w:lineRule="auto" w:before="0"/>
                    <w:ind w:left="0" w:right="0"/>
                    <w:jc w:val="left"/>
                  </w:pPr>
                  <w:r>
                    <w:rPr/>
                    <w:t>、</w:t>
                  </w:r>
                </w:p>
              </w:txbxContent>
            </v:textbox>
            <w10:wrap type="none"/>
          </v:shape>
        </w:pict>
      </w:r>
      <w:r>
        <w:rPr/>
        <w:pict>
          <v:group style="position:absolute;margin-left:296.200012pt;margin-top:53.693661pt;width:79.2pt;height:163.8pt;mso-position-horizontal-relative:page;mso-position-vertical-relative:paragraph;z-index:-903136" coordorigin="5924,1074" coordsize="1584,3276">
            <v:shape style="position:absolute;left:5924;top:1074;width:1584;height:3276" coordorigin="5924,1074" coordsize="1584,3276" path="m5924,4350l7508,4350,7508,1074,5924,1074,5924,4350xe" filled="true" fillcolor="#ffffff" stroked="false">
              <v:path arrowok="t"/>
              <v:fill type="solid"/>
            </v:shape>
            <w10:wrap type="none"/>
          </v:group>
        </w:pict>
      </w:r>
      <w:bookmarkStart w:name="2、本报告期临时股东大会情况" w:id="119"/>
      <w:bookmarkEnd w:id="119"/>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w:t>
            </w:r>
            <w:r>
              <w:rPr>
                <w:rFonts w:ascii="宋体" w:hAnsi="宋体" w:cs="宋体" w:eastAsia="宋体" w:hint="default"/>
                <w:spacing w:val="-10"/>
                <w:sz w:val="18"/>
                <w:szCs w:val="18"/>
              </w:rPr>
              <w:t>股票激励计划（草案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修订稿）及其摘要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股票激励计划实施 考核管理办法》</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16" w:lineRule="auto" w:before="3"/>
              <w:ind w:left="23" w:right="20"/>
              <w:jc w:val="both"/>
              <w:rPr>
                <w:rFonts w:ascii="宋体" w:hAnsi="宋体" w:cs="宋体" w:eastAsia="宋体" w:hint="default"/>
                <w:sz w:val="18"/>
                <w:szCs w:val="18"/>
              </w:rPr>
            </w:pPr>
            <w:r>
              <w:rPr>
                <w:rFonts w:ascii="宋体" w:hAnsi="宋体" w:cs="宋体" w:eastAsia="宋体" w:hint="default"/>
                <w:sz w:val="18"/>
                <w:szCs w:val="18"/>
              </w:rPr>
              <w:t>《关于提请股东大 会授权董事会办理 公司限制性股票激 励计划相关事宜的 </w:t>
            </w:r>
            <w:r>
              <w:rPr>
                <w:rFonts w:ascii="宋体" w:hAnsi="宋体" w:cs="宋体" w:eastAsia="宋体" w:hint="default"/>
                <w:spacing w:val="-18"/>
                <w:sz w:val="18"/>
                <w:szCs w:val="18"/>
              </w:rPr>
              <w:t>议案》</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、《关于修改</w:t>
            </w:r>
          </w:p>
          <w:p>
            <w:pPr>
              <w:pStyle w:val="TableParagraph"/>
              <w:spacing w:line="300"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r>
              <w:rPr>
                <w:rFonts w:ascii="宋体" w:hAnsi="宋体" w:cs="宋体" w:eastAsia="宋体" w:hint="default"/>
                <w:spacing w:val="-2"/>
                <w:sz w:val="18"/>
                <w:szCs w:val="18"/>
              </w:rPr>
              <w:t> </w:t>
            </w:r>
            <w:r>
              <w:rPr>
                <w:rFonts w:ascii="宋体" w:hAnsi="宋体" w:cs="宋体" w:eastAsia="宋体" w:hint="default"/>
                <w:spacing w:val="-10"/>
                <w:sz w:val="18"/>
                <w:szCs w:val="18"/>
              </w:rPr>
              <w:t>案》</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、《关于修改</w:t>
            </w:r>
            <w:r>
              <w:rPr>
                <w:rFonts w:ascii="Times New Roman" w:hAnsi="Times New Roman" w:cs="Times New Roman" w:eastAsia="Times New Roman" w:hint="default"/>
                <w:spacing w:val="-10"/>
                <w:sz w:val="18"/>
                <w:szCs w:val="18"/>
              </w:rPr>
              <w:t>&lt;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关联交易制度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8"/>
                <w:sz w:val="18"/>
                <w:szCs w:val="18"/>
              </w:rPr>
              <w:t>议案》</w:t>
            </w: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、《关于修改</w:t>
            </w:r>
          </w:p>
          <w:p>
            <w:pPr>
              <w:pStyle w:val="TableParagraph"/>
              <w:spacing w:line="307" w:lineRule="auto" w:before="1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股东大会议事规 </w:t>
            </w:r>
            <w:r>
              <w:rPr>
                <w:rFonts w:ascii="宋体" w:hAnsi="宋体" w:cs="宋体" w:eastAsia="宋体" w:hint="default"/>
                <w:spacing w:val="-10"/>
                <w:sz w:val="18"/>
                <w:szCs w:val="18"/>
              </w:rPr>
              <w:t>则</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w:t>
            </w: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来三年股东回报规 </w:t>
            </w:r>
            <w:r>
              <w:rPr>
                <w:rFonts w:ascii="宋体" w:hAnsi="宋体" w:cs="宋体" w:eastAsia="宋体" w:hint="default"/>
                <w:spacing w:val="-11"/>
                <w:sz w:val="18"/>
                <w:szCs w:val="18"/>
              </w:rPr>
              <w:t>划》（</w:t>
            </w:r>
            <w:r>
              <w:rPr>
                <w:rFonts w:ascii="Times New Roman" w:hAnsi="Times New Roman" w:cs="Times New Roman" w:eastAsia="Times New Roman" w:hint="default"/>
                <w:spacing w:val="-11"/>
                <w:sz w:val="18"/>
                <w:szCs w:val="18"/>
              </w:rPr>
              <w:t>2014-2016</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8</w:t>
            </w:r>
          </w:p>
          <w:p>
            <w:pPr>
              <w:pStyle w:val="TableParagraph"/>
              <w:spacing w:line="319" w:lineRule="auto" w:before="7"/>
              <w:ind w:left="23" w:right="119"/>
              <w:jc w:val="both"/>
              <w:rPr>
                <w:rFonts w:ascii="宋体" w:hAnsi="宋体" w:cs="宋体" w:eastAsia="宋体" w:hint="default"/>
                <w:sz w:val="18"/>
                <w:szCs w:val="18"/>
              </w:rPr>
            </w:pPr>
            <w:r>
              <w:rPr>
                <w:rFonts w:ascii="宋体" w:hAnsi="宋体" w:cs="宋体" w:eastAsia="宋体" w:hint="default"/>
                <w:sz w:val="18"/>
                <w:szCs w:val="18"/>
              </w:rPr>
              <w:t>《关于运用自有资 金进行短期理财的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4" w:lineRule="auto" w:before="63"/>
              <w:ind w:left="23" w:right="20"/>
              <w:jc w:val="left"/>
              <w:rPr>
                <w:rFonts w:ascii="Times New Roman" w:hAnsi="Times New Roman" w:cs="Times New Roman" w:eastAsia="Times New Roman"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券时报》以及巨潮资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讯网上的《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2014-075</w:t>
            </w:r>
          </w:p>
        </w:tc>
      </w:tr>
    </w:tbl>
    <w:p>
      <w:pPr>
        <w:spacing w:after="0" w:line="314"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3、表决权恢夊的优先股股东请求召开临时股东大会" w:id="120"/>
      <w:bookmarkEnd w:id="120"/>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21"/>
      <w:bookmarkEnd w:id="121"/>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22"/>
      <w:bookmarkEnd w:id="12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卫建国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宋萍萍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独立董事对公司有关事项提出异议的情况" w:id="123"/>
      <w:bookmarkEnd w:id="12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独立董事履行职责的其他说明" w:id="124"/>
      <w:bookmarkEnd w:id="12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3"/>
        <w:jc w:val="both"/>
      </w:pPr>
      <w:r>
        <w:rPr>
          <w:spacing w:val="-2"/>
        </w:rPr>
        <w:t>报告期内，公司独立董事严格按照《公司法》、《关于在上市公司建立独立董事制度的指导意见》、《深圳证券交易所中小</w:t>
      </w:r>
      <w:r>
        <w:rPr>
          <w:spacing w:val="-67"/>
        </w:rPr>
        <w:t> </w:t>
      </w:r>
      <w:r>
        <w:rPr>
          <w:spacing w:val="-67"/>
        </w:rPr>
      </w:r>
      <w:r>
        <w:rPr>
          <w:spacing w:val="-2"/>
        </w:rPr>
        <w:t>企业板上市规范运作指引》以及本公司章程的规定，积极履行自身职责。公司独立董事始终坚持公平、公正的原则，充分运</w:t>
      </w:r>
      <w:r>
        <w:rPr>
          <w:spacing w:val="-66"/>
        </w:rPr>
        <w:t> </w:t>
      </w:r>
      <w:r>
        <w:rPr>
          <w:spacing w:val="-66"/>
        </w:rPr>
      </w:r>
      <w:r>
        <w:rPr>
          <w:spacing w:val="-2"/>
        </w:rPr>
        <w:t>用上市公司独立董事的权力，认真履行职责，公司独立董事针对内部控制规范化建设等方面提出了合理意见和建议，公司已</w:t>
      </w:r>
      <w:r>
        <w:rPr>
          <w:spacing w:val="-66"/>
        </w:rPr>
        <w:t> </w:t>
      </w:r>
      <w:r>
        <w:rPr>
          <w:spacing w:val="-66"/>
        </w:rPr>
      </w:r>
      <w:r>
        <w:rPr/>
        <w:t>采纳。</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董事会下设专门委员会在报告期内履行职责情况" w:id="125"/>
      <w:bookmarkEnd w:id="125"/>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23"/>
        <w:jc w:val="left"/>
      </w:pPr>
      <w:r>
        <w:rPr>
          <w:rFonts w:ascii="Times New Roman" w:hAnsi="Times New Roman" w:cs="Times New Roman" w:eastAsia="Times New Roman" w:hint="default"/>
        </w:rPr>
        <w:t>1</w:t>
      </w:r>
      <w:r>
        <w:rPr/>
        <w:t>、审计委员会 报告期内，审计委员会召开了</w:t>
      </w:r>
      <w:r>
        <w:rPr>
          <w:rFonts w:ascii="Times New Roman" w:hAnsi="Times New Roman" w:cs="Times New Roman" w:eastAsia="Times New Roman" w:hint="default"/>
        </w:rPr>
        <w:t>4</w:t>
      </w:r>
      <w:r>
        <w:rPr/>
        <w:t>次会议，对公司内部审计部门提供的内部审计报告、续聘审计机构等议案进行了审议；并按 照《董事会审计委员会年报工作规程》，充分发挥审计委员会的监督作用，提高公司年报信息披露质量。</w:t>
      </w:r>
    </w:p>
    <w:p>
      <w:pPr>
        <w:pStyle w:val="BodyText"/>
        <w:spacing w:line="300" w:lineRule="auto" w:before="32"/>
        <w:ind w:right="4903"/>
        <w:jc w:val="left"/>
      </w:pPr>
      <w:r>
        <w:rPr>
          <w:rFonts w:ascii="Times New Roman" w:hAnsi="Times New Roman" w:cs="Times New Roman" w:eastAsia="Times New Roman" w:hint="default"/>
        </w:rPr>
        <w:t>2</w:t>
      </w:r>
      <w:r>
        <w:rPr/>
        <w:t>、提名委员会 报告期内，提名委员会召开了</w:t>
      </w:r>
      <w:r>
        <w:rPr>
          <w:rFonts w:ascii="Times New Roman" w:hAnsi="Times New Roman" w:cs="Times New Roman" w:eastAsia="Times New Roman" w:hint="default"/>
        </w:rPr>
        <w:t>1</w:t>
      </w:r>
      <w:r>
        <w:rPr/>
        <w:t>次会议，提名了公司高级管理人员的人选。 </w:t>
      </w:r>
      <w:r>
        <w:rPr>
          <w:rFonts w:ascii="Times New Roman" w:hAnsi="Times New Roman" w:cs="Times New Roman" w:eastAsia="Times New Roman" w:hint="default"/>
        </w:rPr>
        <w:t>3</w:t>
      </w:r>
      <w:r>
        <w:rPr/>
        <w:t>、薪酬与考核委员会</w:t>
      </w:r>
    </w:p>
    <w:p>
      <w:pPr>
        <w:pStyle w:val="BodyText"/>
        <w:spacing w:line="240" w:lineRule="auto" w:before="13"/>
        <w:ind w:left="154" w:right="0"/>
        <w:jc w:val="left"/>
      </w:pPr>
      <w:r>
        <w:rPr/>
        <w:t>报告期内，薪酬与考核委员会召开了</w:t>
      </w:r>
      <w:r>
        <w:rPr>
          <w:rFonts w:ascii="Times New Roman" w:hAnsi="Times New Roman" w:cs="Times New Roman" w:eastAsia="Times New Roman" w:hint="default"/>
        </w:rPr>
        <w:t>1</w:t>
      </w:r>
      <w:r>
        <w:rPr/>
        <w:t>次会议，审议了《关于核查公司限制性股票激励计划第一个解锁期可解锁对象名单的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both"/>
      </w:pPr>
      <w:r>
        <w:rPr/>
        <w:t>议案》。</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五、监事会工作情况" w:id="126"/>
      <w:bookmarkEnd w:id="126"/>
      <w:r>
        <w:rPr>
          <w:b w:val="0"/>
          <w:bCs w:val="0"/>
        </w:rPr>
      </w:r>
      <w:r>
        <w:rPr/>
        <w:t>五、监事会工作情况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六、公司相对于控股股东在业务、人员、资产、机构、财务等方面的独立完整情况" w:id="127"/>
      <w:bookmarkEnd w:id="127"/>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0"/>
        <w:jc w:val="both"/>
      </w:pPr>
      <w:r>
        <w:rPr>
          <w:spacing w:val="-2"/>
        </w:rPr>
        <w:t>公司与控股股东在业务、人员、资产、机构、财务等方面完全分开，具有独立完整的业务及自主经营能力。（一）业务的独</w:t>
      </w:r>
      <w:r>
        <w:rPr>
          <w:spacing w:val="-67"/>
        </w:rPr>
        <w:t> </w:t>
      </w:r>
      <w:r>
        <w:rPr>
          <w:spacing w:val="-67"/>
        </w:rPr>
      </w:r>
      <w:r>
        <w:rPr/>
        <w:t>立性</w:t>
      </w:r>
      <w:r>
        <w:rPr>
          <w:spacing w:val="-19"/>
        </w:rPr>
        <w:t> </w:t>
      </w:r>
      <w:r>
        <w:rPr/>
        <w:t>公司具有独立、完整的软件研发、销售、实施和技术服务体系。公司的业务独立于控股股东、实际控制人，与控股股</w:t>
      </w:r>
      <w:r>
        <w:rPr/>
        <w:t> 东、实际控制人不存在同业竞争或者显失公平的关联交易。（二）人员的独立性</w:t>
      </w:r>
      <w:r>
        <w:rPr>
          <w:spacing w:val="-18"/>
        </w:rPr>
        <w:t> </w:t>
      </w:r>
      <w:r>
        <w:rPr/>
        <w:t>公司董事长没有由股东单位的法定代表人</w:t>
      </w:r>
      <w:r>
        <w:rPr/>
        <w:t> </w:t>
      </w:r>
      <w:r>
        <w:rPr>
          <w:spacing w:val="-2"/>
        </w:rPr>
        <w:t>兼任，公司总裁、各副总裁、董事会秘书、财务总监等高级管理人员均在公司专职工作及领取报酬，上述人员未在公司的控</w:t>
      </w:r>
      <w:r>
        <w:rPr>
          <w:spacing w:val="-66"/>
        </w:rPr>
        <w:t> </w:t>
      </w:r>
      <w:r>
        <w:rPr>
          <w:spacing w:val="-66"/>
        </w:rPr>
      </w:r>
      <w:r>
        <w:rPr>
          <w:spacing w:val="-2"/>
        </w:rPr>
        <w:t>股股东、实际控制人处担任除董事、监事以外的其他职务，未在控股股东、实际控制人处领薪，亦不存在自营或为他人经营</w:t>
      </w:r>
      <w:r>
        <w:rPr>
          <w:spacing w:val="-66"/>
        </w:rPr>
        <w:t> </w:t>
      </w:r>
      <w:r>
        <w:rPr>
          <w:spacing w:val="-66"/>
        </w:rPr>
      </w:r>
      <w:r>
        <w:rPr/>
        <w:t>与公司经营范围相同业务的情形；公司的财务人员未在控股股东、实际控制人处兼职。</w:t>
      </w:r>
      <w:r>
        <w:rPr>
          <w:spacing w:val="-18"/>
        </w:rPr>
        <w:t> </w:t>
      </w:r>
      <w:r>
        <w:rPr/>
        <w:t>公司的劳动、人事及工资管理完全</w:t>
      </w:r>
      <w:r>
        <w:rPr/>
        <w:t> </w:t>
      </w:r>
      <w:r>
        <w:rPr>
          <w:spacing w:val="-2"/>
        </w:rPr>
        <w:t>独立。公司董事、监事均严格按照《公司法》和《公司章程》的有关规定选举产生，公司高级管理人员都是公司董事会依职</w:t>
      </w:r>
      <w:r>
        <w:rPr>
          <w:spacing w:val="-72"/>
        </w:rPr>
        <w:t> </w:t>
      </w:r>
      <w:r>
        <w:rPr>
          <w:spacing w:val="-72"/>
        </w:rPr>
      </w:r>
      <w:r>
        <w:rPr>
          <w:spacing w:val="-2"/>
        </w:rPr>
        <w:t>权聘任的，不存在股东或其他关联方干涉公司有关人事任免的情况。公司拥有独立的员工队伍，并已建立较为完善的劳动用</w:t>
      </w:r>
      <w:r>
        <w:rPr>
          <w:spacing w:val="-66"/>
        </w:rPr>
        <w:t> </w:t>
      </w:r>
      <w:r>
        <w:rPr>
          <w:spacing w:val="-66"/>
        </w:rPr>
      </w:r>
      <w:r>
        <w:rPr>
          <w:spacing w:val="-2"/>
        </w:rPr>
        <w:t>工和人事管理制度。公司已依据国家的法律法规与公司员工签订了劳动合同并缴纳社会保险费用、住房公积金，公司拥有独</w:t>
      </w:r>
      <w:r>
        <w:rPr>
          <w:spacing w:val="-65"/>
        </w:rPr>
        <w:t> </w:t>
      </w:r>
      <w:r>
        <w:rPr>
          <w:spacing w:val="-65"/>
        </w:rPr>
      </w:r>
      <w:r>
        <w:rPr/>
        <w:t>立的劳动用工权利，不存在受控股股东干涉的现象。（三）资产的独立性</w:t>
      </w:r>
      <w:r>
        <w:rPr>
          <w:spacing w:val="-18"/>
        </w:rPr>
        <w:t> </w:t>
      </w:r>
      <w:r>
        <w:rPr/>
        <w:t>公司拥有开展生产经营所必须的资产，包括商标</w:t>
      </w:r>
      <w:r>
        <w:rPr/>
        <w:t> </w:t>
      </w:r>
      <w:r>
        <w:rPr>
          <w:spacing w:val="-2"/>
        </w:rPr>
        <w:t>权、计算机软件著作权和软件开发所需要的设备、车辆、土地使用权、房屋建筑物等。公司资产产权界定明确，不存在以承</w:t>
      </w:r>
      <w:r>
        <w:rPr>
          <w:spacing w:val="-68"/>
        </w:rPr>
        <w:t> </w:t>
      </w:r>
      <w:r>
        <w:rPr>
          <w:spacing w:val="-68"/>
        </w:rPr>
      </w:r>
      <w:r>
        <w:rPr>
          <w:spacing w:val="-2"/>
        </w:rPr>
        <w:t>包、委托经营、租赁或其他类似方式，依赖关联方的资产进行生产和经营的情形。公司没有以资产、权益或信誉为控股股东</w:t>
      </w:r>
      <w:r>
        <w:rPr>
          <w:spacing w:val="-66"/>
        </w:rPr>
        <w:t> </w:t>
      </w:r>
      <w:r>
        <w:rPr>
          <w:spacing w:val="-66"/>
        </w:rPr>
      </w:r>
      <w:r>
        <w:rPr/>
        <w:t>的债务提供过担保，不存在资产、资金被控股股东占用而损害公司其他股东利益的情况。（四）机构的独立性</w:t>
      </w:r>
      <w:r>
        <w:rPr>
          <w:spacing w:val="-17"/>
        </w:rPr>
        <w:t> </w:t>
      </w:r>
      <w:r>
        <w:rPr/>
        <w:t>公司建立了</w:t>
      </w:r>
      <w:r>
        <w:rPr/>
        <w:t> </w:t>
      </w:r>
      <w:r>
        <w:rPr>
          <w:spacing w:val="-2"/>
        </w:rPr>
        <w:t>健全的法人治理机构，公司根据《公司法》和《公司章程》及其他有关法律法规的规定，设立了股东大会、董事会、监事会</w:t>
      </w:r>
      <w:r>
        <w:rPr>
          <w:spacing w:val="-67"/>
        </w:rPr>
        <w:t> </w:t>
      </w:r>
      <w:r>
        <w:rPr>
          <w:spacing w:val="-67"/>
        </w:rPr>
      </w:r>
      <w:r>
        <w:rPr/>
        <w:t>以及经营管理层，并制定了相关议事规则和工作细则。</w:t>
      </w:r>
      <w:r>
        <w:rPr>
          <w:spacing w:val="-18"/>
        </w:rPr>
        <w:t> </w:t>
      </w:r>
      <w:r>
        <w:rPr/>
        <w:t>公司已经按照法律、法规的规定和公司的实际情况设置了公司的组</w:t>
      </w:r>
      <w:r>
        <w:rPr/>
        <w:t> </w:t>
      </w:r>
      <w:r>
        <w:rPr>
          <w:spacing w:val="-2"/>
        </w:rPr>
        <w:t>织机构，独立于控股股东和其他关联方，具有健全的内部经营管理机构，独立行使经营管理职权，公司及其职能部门与控股</w:t>
      </w:r>
      <w:r>
        <w:rPr>
          <w:spacing w:val="-66"/>
        </w:rPr>
        <w:t> </w:t>
      </w:r>
      <w:r>
        <w:rPr>
          <w:spacing w:val="-66"/>
        </w:rPr>
      </w:r>
      <w:r>
        <w:rPr>
          <w:spacing w:val="-2"/>
        </w:rPr>
        <w:t>股东及其职能部门之间不存在上下级关系，任何企业无权以任何形式干预公司的经营活动。公司不存在与控股股东、实际控</w:t>
      </w:r>
      <w:r>
        <w:rPr>
          <w:spacing w:val="-66"/>
        </w:rPr>
        <w:t> </w:t>
      </w:r>
      <w:r>
        <w:rPr>
          <w:spacing w:val="-66"/>
        </w:rPr>
      </w:r>
      <w:r>
        <w:rPr>
          <w:spacing w:val="-5"/>
        </w:rPr>
        <w:t>制人机构混同的情形。（五）财务的独立性</w:t>
      </w:r>
      <w:r>
        <w:rPr>
          <w:spacing w:val="-13"/>
        </w:rPr>
        <w:t> </w:t>
      </w:r>
      <w:r>
        <w:rPr>
          <w:spacing w:val="-2"/>
        </w:rPr>
        <w:t>公司设有独立的财务部门，建立独立的财务核算体系，能够独立作出财务决策，</w:t>
      </w:r>
      <w:r>
        <w:rPr/>
        <w:t> </w:t>
      </w:r>
      <w:r>
        <w:rPr>
          <w:spacing w:val="-2"/>
        </w:rPr>
        <w:t>具有规范的财务会计制度和对驻外机构（分公司、办事处、研发中心）、子公司的财务管理制度；公司在银行独立开户，不</w:t>
      </w:r>
      <w:r>
        <w:rPr>
          <w:spacing w:val="-71"/>
        </w:rPr>
        <w:t> </w:t>
      </w:r>
      <w:r>
        <w:rPr>
          <w:spacing w:val="-71"/>
        </w:rPr>
      </w:r>
      <w:r>
        <w:rPr/>
        <w:t>存在与控股股东、实际控制人共用银行账户的情形。</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七、同业竞争情况" w:id="128"/>
      <w:bookmarkEnd w:id="128"/>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28"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公司与控股股东以及实际控制人之间不存在同业竞争情况。本公司控股股东、实际控制人陈利浩先生已向公司出具了避免同</w:t>
      </w:r>
      <w:r>
        <w:rPr>
          <w:spacing w:val="-64"/>
        </w:rPr>
        <w:t> </w:t>
      </w:r>
      <w:r>
        <w:rPr>
          <w:spacing w:val="-64"/>
        </w:rPr>
      </w:r>
      <w:r>
        <w:rPr/>
        <w:t>业竞争的《承诺函》，承诺不与公司进行同业竞争。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2"/>
        <w:spacing w:line="240" w:lineRule="auto"/>
        <w:ind w:left="154" w:right="0"/>
        <w:jc w:val="both"/>
        <w:rPr>
          <w:b w:val="0"/>
          <w:bCs w:val="0"/>
        </w:rPr>
      </w:pPr>
      <w:bookmarkStart w:name="八、高级管理人员的考评及激励情况" w:id="129"/>
      <w:bookmarkEnd w:id="12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right="1131"/>
        <w:jc w:val="both"/>
      </w:pPr>
      <w:r>
        <w:rPr>
          <w:spacing w:val="-2"/>
        </w:rPr>
        <w:t>公司高级管理人员均由董事会聘任，董事会薪酬与考核委员会负责对公司高级管理人员的工作能力、履职情况、责任目标完</w:t>
      </w:r>
      <w:r>
        <w:rPr>
          <w:spacing w:val="-66"/>
        </w:rPr>
        <w:t> </w:t>
      </w:r>
      <w:r>
        <w:rPr>
          <w:spacing w:val="-66"/>
        </w:rPr>
      </w:r>
      <w:r>
        <w:rPr>
          <w:spacing w:val="-2"/>
        </w:rPr>
        <w:t>成情况进行考评。报告期内，公司加强绩效管理工作，根据发展战略和年度经营目标，确定公司年度经营重点工作，并从财</w:t>
      </w:r>
      <w:r>
        <w:rPr>
          <w:spacing w:val="-66"/>
        </w:rPr>
        <w:t> </w:t>
      </w:r>
      <w:r>
        <w:rPr>
          <w:spacing w:val="-66"/>
        </w:rPr>
      </w:r>
      <w:r>
        <w:rPr>
          <w:spacing w:val="-2"/>
        </w:rPr>
        <w:t>务、业务、基础管理及能力等维度，以经营管理工作及相关能力表现相结合的形式进行考评。公司实施了《</w:t>
      </w:r>
      <w:r>
        <w:rPr>
          <w:rFonts w:ascii="Times New Roman" w:hAnsi="Times New Roman" w:cs="Times New Roman" w:eastAsia="Times New Roman" w:hint="default"/>
          <w:spacing w:val="-2"/>
        </w:rPr>
        <w:t>2012</w:t>
      </w:r>
      <w:r>
        <w:rPr>
          <w:spacing w:val="-2"/>
        </w:rPr>
        <w:t>年限制性股</w:t>
      </w:r>
      <w:r>
        <w:rPr>
          <w:spacing w:val="-61"/>
        </w:rPr>
        <w:t> </w:t>
      </w:r>
      <w:r>
        <w:rPr>
          <w:spacing w:val="-2"/>
        </w:rPr>
        <w:t>票激励计划》、《</w:t>
      </w:r>
      <w:r>
        <w:rPr>
          <w:rFonts w:ascii="Times New Roman" w:hAnsi="Times New Roman" w:cs="Times New Roman" w:eastAsia="Times New Roman" w:hint="default"/>
          <w:spacing w:val="-2"/>
        </w:rPr>
        <w:t>2014</w:t>
      </w:r>
      <w:r>
        <w:rPr>
          <w:spacing w:val="-2"/>
        </w:rPr>
        <w:t>年限制性股票激励计划》，为有效调动管理者和骨干员工的积极性，吸引和保留优秀管理人才和业务</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骨干起到积极作用，从而更好地促进公司稳定发展。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81"/>
        <w:jc w:val="center"/>
        <w:rPr>
          <w:b w:val="0"/>
          <w:bCs w:val="0"/>
        </w:rPr>
      </w:pPr>
      <w:bookmarkStart w:name="第十节 内部控制" w:id="130"/>
      <w:bookmarkEnd w:id="130"/>
      <w:r>
        <w:rPr>
          <w:b w:val="0"/>
          <w:bCs w:val="0"/>
        </w:rPr>
      </w:r>
      <w:bookmarkStart w:name="_bookmark9" w:id="131"/>
      <w:bookmarkEnd w:id="131"/>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内部控制建设情况" w:id="132"/>
      <w:bookmarkEnd w:id="132"/>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54" w:right="1131"/>
        <w:jc w:val="both"/>
      </w:pPr>
      <w:r>
        <w:rPr>
          <w:rFonts w:ascii="Times New Roman" w:hAnsi="Times New Roman" w:cs="Times New Roman" w:eastAsia="Times New Roman" w:hint="default"/>
          <w:spacing w:val="-2"/>
        </w:rPr>
        <w:t>2014</w:t>
      </w:r>
      <w:r>
        <w:rPr>
          <w:spacing w:val="-2"/>
        </w:rPr>
        <w:t>年公司按照《公司法》、《证券法》、《企业内部控制基本规范》、《上市公司内部控制指引》等有关法律、法规和规</w:t>
      </w:r>
      <w:r>
        <w:rPr>
          <w:spacing w:val="-65"/>
        </w:rPr>
        <w:t> </w:t>
      </w:r>
      <w:r>
        <w:rPr>
          <w:spacing w:val="-65"/>
        </w:rPr>
      </w:r>
      <w:r>
        <w:rPr>
          <w:spacing w:val="-2"/>
        </w:rPr>
        <w:t>章制度要求，结合公司的经营特点和管理需要，不断完善公司治理，进一步健全公司法人治理结构，并对公司的业务流程和</w:t>
      </w:r>
      <w:r>
        <w:rPr>
          <w:spacing w:val="-66"/>
        </w:rPr>
        <w:t> </w:t>
      </w:r>
      <w:r>
        <w:rPr>
          <w:spacing w:val="-66"/>
        </w:rPr>
      </w:r>
      <w:r>
        <w:rPr/>
        <w:t>管理制度进行了全面梳理与检查，健全内部控制体系，保障了公司内部控制管理的有效执行，确保了公司的稳定经营。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both"/>
        <w:rPr>
          <w:b w:val="0"/>
          <w:bCs w:val="0"/>
        </w:rPr>
      </w:pPr>
      <w:bookmarkStart w:name="二、董事会关于内部控制责任的声明" w:id="133"/>
      <w:bookmarkEnd w:id="133"/>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1"/>
        <w:jc w:val="both"/>
      </w:pPr>
      <w:r>
        <w:rPr>
          <w:spacing w:val="-2"/>
        </w:rPr>
        <w:t>董事会对公司内部控制进行了认真的自查和分析，认为：公司建立了较为完善的法人治理结构，内部控制体系较为健全，该</w:t>
      </w:r>
      <w:r>
        <w:rPr>
          <w:spacing w:val="-66"/>
        </w:rPr>
        <w:t> </w:t>
      </w:r>
      <w:r>
        <w:rPr>
          <w:spacing w:val="-66"/>
        </w:rPr>
      </w:r>
      <w:r>
        <w:rPr>
          <w:spacing w:val="-5"/>
        </w:rPr>
        <w:t>体系已囊括公司经营及管理的各个层面和各环节，具有规范性、合法性和有效性，能够较好地预防、发现和纠正公司在经营、</w:t>
      </w:r>
      <w:r>
        <w:rPr>
          <w:spacing w:val="-82"/>
        </w:rPr>
        <w:t> </w:t>
      </w:r>
      <w:r>
        <w:rPr>
          <w:spacing w:val="-82"/>
        </w:rPr>
      </w:r>
      <w:r>
        <w:rPr>
          <w:spacing w:val="-2"/>
        </w:rPr>
        <w:t>管理运作中出现的问题和风险，适应公司管理和发展的需要，保证公司资产的安全和完整，保证会计信息的准确性、真实性</w:t>
      </w:r>
      <w:r>
        <w:rPr>
          <w:spacing w:val="-66"/>
        </w:rPr>
        <w:t> </w:t>
      </w:r>
      <w:r>
        <w:rPr>
          <w:spacing w:val="-66"/>
        </w:rPr>
      </w:r>
      <w:r>
        <w:rPr>
          <w:spacing w:val="-2"/>
        </w:rPr>
        <w:t>和及时性，公司内部控制制度执行情况良好，符合有关法律法规和证券监管部门对上市公司内控制度管理的规范要求。董事</w:t>
      </w:r>
      <w:r>
        <w:rPr>
          <w:spacing w:val="-66"/>
        </w:rPr>
        <w:t> </w:t>
      </w:r>
      <w:r>
        <w:rPr>
          <w:spacing w:val="-66"/>
        </w:rPr>
      </w:r>
      <w:r>
        <w:rPr/>
        <w:t>会全体成员保证本报告内容真实、准确和完整，没有虚假记载、误导性陈述或者重大遗漏。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三、建立财务报告内部控制的依据" w:id="134"/>
      <w:bookmarkEnd w:id="134"/>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jc w:val="both"/>
      </w:pPr>
      <w:r>
        <w:rPr>
          <w:spacing w:val="-2"/>
        </w:rPr>
        <w:t>公司根据《会计法》、《企业会计准则》、《企业内部控制基本规范》及监管部门的相关规范性文件要求，建立了财务报告</w:t>
      </w:r>
      <w:r>
        <w:rPr>
          <w:spacing w:val="-69"/>
        </w:rPr>
        <w:t> </w:t>
      </w:r>
      <w:r>
        <w:rPr>
          <w:spacing w:val="-69"/>
        </w:rPr>
      </w:r>
      <w:r>
        <w:rPr>
          <w:spacing w:val="-2"/>
        </w:rPr>
        <w:t>内部控制，本年度的财务报告内部控制不存在重大缺陷。经过审计的财务报告由公司法定代表人、财务负责人及会计机构负</w:t>
      </w:r>
      <w:r>
        <w:rPr>
          <w:spacing w:val="-66"/>
        </w:rPr>
        <w:t> </w:t>
      </w:r>
      <w:r>
        <w:rPr>
          <w:spacing w:val="-66"/>
        </w:rPr>
      </w:r>
      <w:r>
        <w:rPr/>
        <w:t>责人签名盖章。</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四、内部控制评价报告" w:id="135"/>
      <w:bookmarkEnd w:id="135"/>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日的巨潮资讯</w:t>
            </w:r>
            <w:r>
              <w:rPr>
                <w:rFonts w:ascii="宋体" w:hAnsi="宋体" w:cs="宋体" w:eastAsia="宋体" w:hint="default"/>
                <w:spacing w:val="-90"/>
                <w:sz w:val="18"/>
                <w:szCs w:val="18"/>
              </w:rPr>
              <w:t>网</w:t>
            </w:r>
            <w:r>
              <w:rPr>
                <w:rFonts w:ascii="宋体" w:hAnsi="宋体" w:cs="宋体" w:eastAsia="宋体" w:hint="default"/>
                <w:sz w:val="18"/>
                <w:szCs w:val="18"/>
              </w:rPr>
              <w:t>（</w:t>
            </w:r>
            <w:hyperlink r:id="rId10">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hyperlink>
            <w:r>
              <w:rPr>
                <w:rFonts w:ascii="宋体" w:hAnsi="宋体" w:cs="宋体" w:eastAsia="宋体" w:hint="default"/>
                <w:spacing w:val="-90"/>
                <w:sz w:val="18"/>
                <w:szCs w:val="18"/>
              </w:rPr>
              <w:t>）</w:t>
            </w:r>
            <w:r>
              <w:rPr>
                <w:rFonts w:ascii="宋体" w:hAnsi="宋体" w:cs="宋体" w:eastAsia="宋体" w:hint="default"/>
                <w:sz w:val="18"/>
                <w:szCs w:val="18"/>
              </w:rPr>
              <w:t>上</w:t>
            </w:r>
            <w:r>
              <w:rPr>
                <w:rFonts w:ascii="宋体" w:hAnsi="宋体" w:cs="宋体" w:eastAsia="宋体" w:hint="default"/>
                <w:spacing w:val="-90"/>
                <w:sz w:val="18"/>
                <w:szCs w:val="18"/>
              </w:rPr>
              <w:t>的</w:t>
            </w:r>
            <w:r>
              <w:rPr>
                <w:rFonts w:ascii="宋体" w:hAnsi="宋体" w:cs="宋体" w:eastAsia="宋体" w:hint="default"/>
                <w:spacing w:val="-2"/>
                <w:sz w:val="18"/>
                <w:szCs w:val="18"/>
              </w:rPr>
              <w:t>《</w:t>
            </w:r>
            <w:r>
              <w:rPr>
                <w:rFonts w:ascii="宋体" w:hAnsi="宋体" w:cs="宋体" w:eastAsia="宋体" w:hint="default"/>
                <w:sz w:val="18"/>
                <w:szCs w:val="18"/>
              </w:rPr>
              <w:t>远光软件股份有限公司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6"/>
      <w:bookmarkEnd w:id="136"/>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年度报告重大差错责任追究制度的建立与执行情况" w:id="137"/>
      <w:bookmarkEnd w:id="137"/>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97"/>
        <w:jc w:val="left"/>
      </w:pPr>
      <w:r>
        <w:rPr/>
        <w:t>公司于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月制定并披露了《年报重大差错责任追究制度》。报告期内，公司严格并且良好的执行了该制度，公司 未发生年度报告重大差错的情形。</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38"/>
      <w:bookmarkEnd w:id="138"/>
      <w:r>
        <w:rPr>
          <w:b w:val="0"/>
          <w:bCs w:val="0"/>
        </w:rPr>
      </w:r>
      <w:bookmarkStart w:name="_bookmark10" w:id="139"/>
      <w:bookmarkEnd w:id="13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0"/>
      <w:bookmarkEnd w:id="140"/>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[2015]40030018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王淑燕、樊文景</w:t>
            </w:r>
          </w:p>
        </w:tc>
      </w:tr>
    </w:tbl>
    <w:p>
      <w:pPr>
        <w:pStyle w:val="BodyText"/>
        <w:spacing w:line="240" w:lineRule="auto" w:before="51"/>
        <w:ind w:left="505" w:right="1481"/>
        <w:jc w:val="center"/>
      </w:pPr>
      <w:r>
        <w:rPr/>
        <w:t>审计报告正文</w:t>
      </w:r>
    </w:p>
    <w:p>
      <w:pPr>
        <w:spacing w:before="126"/>
        <w:ind w:left="504" w:right="1481"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pStyle w:val="Heading3"/>
        <w:spacing w:line="240" w:lineRule="auto" w:before="26"/>
        <w:ind w:left="6967" w:right="0"/>
        <w:jc w:val="left"/>
      </w:pPr>
      <w:r>
        <w:rPr/>
        <w:t>瑞华审字</w:t>
      </w:r>
      <w:r>
        <w:rPr>
          <w:rFonts w:ascii="Times New Roman" w:hAnsi="Times New Roman" w:cs="Times New Roman" w:eastAsia="Times New Roman" w:hint="default"/>
        </w:rPr>
        <w:t>[2015]40030018</w:t>
      </w:r>
      <w:r>
        <w:rPr/>
        <w:t>号</w:t>
      </w:r>
    </w:p>
    <w:p>
      <w:pPr>
        <w:spacing w:line="240" w:lineRule="auto" w:before="8"/>
        <w:rPr>
          <w:rFonts w:ascii="宋体" w:hAnsi="宋体" w:cs="宋体" w:eastAsia="宋体" w:hint="default"/>
          <w:sz w:val="24"/>
          <w:szCs w:val="24"/>
        </w:rPr>
      </w:pPr>
    </w:p>
    <w:p>
      <w:pPr>
        <w:spacing w:line="312" w:lineRule="exact" w:before="0"/>
        <w:ind w:left="633" w:right="0" w:hanging="48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远光软件股份有限公司全体股东：</w:t>
      </w:r>
      <w:r>
        <w:rPr>
          <w:rFonts w:ascii="宋体" w:hAnsi="宋体" w:cs="宋体" w:eastAsia="宋体" w:hint="default"/>
          <w:b/>
          <w:bCs/>
          <w:w w:val="99"/>
          <w:sz w:val="24"/>
          <w:szCs w:val="24"/>
        </w:rPr>
        <w:t> </w:t>
      </w:r>
      <w:r>
        <w:rPr>
          <w:rFonts w:ascii="宋体" w:hAnsi="宋体" w:cs="宋体" w:eastAsia="宋体" w:hint="default"/>
          <w:spacing w:val="-5"/>
          <w:sz w:val="24"/>
          <w:szCs w:val="24"/>
        </w:rPr>
        <w:t>我们审计了后附的远光软件股份有限公司（以下简称</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远光软件</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）的财务报表，包括</w:t>
      </w:r>
      <w:r>
        <w:rPr>
          <w:rFonts w:ascii="Times New Roman" w:hAnsi="Times New Roman" w:cs="Times New Roman" w:eastAsia="Times New Roman" w:hint="default"/>
          <w:spacing w:val="-5"/>
          <w:sz w:val="24"/>
          <w:szCs w:val="24"/>
        </w:rPr>
        <w:t>2014</w:t>
      </w:r>
    </w:p>
    <w:p>
      <w:pPr>
        <w:pStyle w:val="Heading3"/>
        <w:spacing w:line="225" w:lineRule="auto"/>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日合并及公司的资产负债表，</w:t>
      </w:r>
      <w:r>
        <w:rPr>
          <w:rFonts w:ascii="Times New Roman" w:hAnsi="Times New Roman" w:cs="Times New Roman" w:eastAsia="Times New Roman" w:hint="default"/>
        </w:rPr>
        <w:t>2014</w:t>
      </w:r>
      <w:r>
        <w:rPr/>
        <w:t>年度合并及公司的利润表、合并及公司的现金流</w:t>
      </w:r>
      <w:r>
        <w:rPr>
          <w:spacing w:val="-111"/>
        </w:rPr>
        <w:t> </w:t>
      </w:r>
      <w:r>
        <w:rPr>
          <w:spacing w:val="-111"/>
        </w:rPr>
      </w:r>
      <w:r>
        <w:rPr/>
        <w:t>量表和合并及公司的股东权益变动表以及财务报表附注。</w:t>
      </w:r>
    </w:p>
    <w:p>
      <w:pPr>
        <w:spacing w:line="312" w:lineRule="exact" w:before="3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编制和公允列报财务报表是远光软件管理层的责任。这种责任包括：（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w:t>
      </w:r>
    </w:p>
    <w:p>
      <w:pPr>
        <w:pStyle w:val="Heading3"/>
        <w:spacing w:line="312" w:lineRule="exact"/>
        <w:ind w:right="0"/>
        <w:jc w:val="left"/>
      </w:pPr>
      <w:r>
        <w:rPr/>
        <w:t>准则的规定编制财务报表，并使其实现公允反映；（</w:t>
      </w:r>
      <w:r>
        <w:rPr>
          <w:rFonts w:ascii="Times New Roman" w:hAnsi="Times New Roman" w:cs="Times New Roman" w:eastAsia="Times New Roman" w:hint="default"/>
        </w:rPr>
        <w:t>2</w:t>
      </w:r>
      <w:r>
        <w:rPr/>
        <w:t>）设计、执行和维护必要的内部控制，</w:t>
      </w:r>
      <w:r>
        <w:rPr>
          <w:spacing w:val="-113"/>
        </w:rPr>
        <w:t> </w:t>
      </w:r>
      <w:r>
        <w:rPr/>
        <w:t>以使财务报表不存在由于舞弊或错误导致的重大错报。</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12" w:lineRule="exact"/>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Heading3"/>
        <w:spacing w:line="283" w:lineRule="exact"/>
        <w:ind w:left="633"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Heading3"/>
        <w:spacing w:line="240" w:lineRule="auto"/>
        <w:ind w:left="633"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我们认为，上述财务报表在所有重大方面按照企业会计准则的规定编制，公允反映了远</w:t>
      </w:r>
    </w:p>
    <w:p>
      <w:pPr>
        <w:pStyle w:val="Heading3"/>
        <w:spacing w:line="312" w:lineRule="exact" w:before="28"/>
        <w:ind w:right="1118"/>
        <w:jc w:val="left"/>
      </w:pPr>
      <w:r>
        <w:rPr/>
        <w:t>光软件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w:t>
      </w:r>
      <w:r>
        <w:rPr>
          <w:spacing w:val="-106"/>
        </w:rPr>
        <w:t> </w:t>
      </w:r>
      <w:r>
        <w:rPr>
          <w:spacing w:val="-106"/>
        </w:rPr>
      </w:r>
      <w:r>
        <w:rPr/>
        <w:t>量。</w:t>
      </w:r>
    </w:p>
    <w:p>
      <w:pPr>
        <w:spacing w:after="0" w:line="31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300" w:type="dxa"/>
        <w:tblLayout w:type="fixed"/>
        <w:tblCellMar>
          <w:top w:w="0" w:type="dxa"/>
          <w:left w:w="0" w:type="dxa"/>
          <w:bottom w:w="0" w:type="dxa"/>
          <w:right w:w="0" w:type="dxa"/>
        </w:tblCellMar>
        <w:tblLook w:val="01E0"/>
      </w:tblPr>
      <w:tblGrid>
        <w:gridCol w:w="4363"/>
        <w:gridCol w:w="2996"/>
      </w:tblGrid>
      <w:tr>
        <w:trPr>
          <w:trHeight w:val="28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exact"/>
              <w:ind w:left="323"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39"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304" w:lineRule="exact"/>
              <w:ind w:right="121"/>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2996" w:type="dxa"/>
            <w:tcBorders>
              <w:top w:val="nil" w:sz="6" w:space="0" w:color="auto"/>
              <w:left w:val="nil" w:sz="6" w:space="0" w:color="auto"/>
              <w:bottom w:val="nil" w:sz="6" w:space="0" w:color="auto"/>
              <w:right w:val="nil" w:sz="6" w:space="0" w:color="auto"/>
            </w:tcBorders>
          </w:tcPr>
          <w:p>
            <w:pPr>
              <w:pStyle w:val="TableParagraph"/>
              <w:spacing w:line="286" w:lineRule="exact"/>
              <w:ind w:left="323"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280" w:hRule="exact"/>
        </w:trPr>
        <w:tc>
          <w:tcPr>
            <w:tcW w:w="4363"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80" w:lineRule="exact"/>
              <w:ind w:left="395" w:right="0"/>
              <w:jc w:val="left"/>
              <w:rPr>
                <w:rFonts w:ascii="宋体" w:hAnsi="宋体" w:cs="宋体" w:eastAsia="宋体" w:hint="default"/>
                <w:sz w:val="24"/>
                <w:szCs w:val="24"/>
              </w:rPr>
            </w:pPr>
            <w:r>
              <w:rPr>
                <w:rFonts w:ascii="宋体" w:hAnsi="宋体" w:cs="宋体" w:eastAsia="宋体" w:hint="default"/>
                <w:sz w:val="24"/>
                <w:szCs w:val="24"/>
              </w:rPr>
              <w:t>二〇一五年四月十七日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before="26"/>
        <w:ind w:left="154" w:right="0"/>
        <w:jc w:val="left"/>
        <w:rPr>
          <w:b w:val="0"/>
          <w:bCs w:val="0"/>
        </w:rPr>
      </w:pPr>
      <w:bookmarkStart w:name="二、财务报表" w:id="141"/>
      <w:bookmarkEnd w:id="14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合并资产负债表" w:id="142"/>
      <w:bookmarkEnd w:id="14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编制单位：远光软件股份有限公司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1,065,439,072.24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999,644,141.93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1,394,529.67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124,780,821.98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17,570,811.90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62,899,116.95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325,301,737.09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247,061,497.04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15,407,496.72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48,634,870.18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32,974,789.46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9,864,364.30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8,323,590.59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10,007,589.99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1,483,919,617.66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1,495,944,588.63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189,638,848.54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184,309,195.25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202,636,226.27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113,486,675.74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5,858,108.76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7,616,762.33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1,263,535.79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23,126,260.20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13,897,429.43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8,461,515.76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7,703,897.79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431,984,495.32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329,001,513.54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1,915,904,112.98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1,824,946,102.17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34,612,972.80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26,113,736.42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7,528,286.43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5,520,410.24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71,995,109.36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59,145,272.07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22,327,948.09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36,735,717.78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7,648,903.10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5,059,697.83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28,537,522.47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174,459,203.75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135,062,176.34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93,649,154.11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18,769,984.01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12,368,625.02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128,683,668.13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31,138,609.03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303,142,871.88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166,200,785.37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461,770,146.00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462,054,367.00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207,125,506.21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300,199,423.34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123,384,600.58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168,125,936.67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147,483,021.22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883,916,900.81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737,089,388.54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1,597,553,889.11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1,646,826,200.10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15,207,351.99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11,919,116.70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1,612,761,241.10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1,658,745,316.80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1,915,904,112.98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1,824,946,102.17</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625" w:val="left" w:leader="none"/>
        </w:tabs>
        <w:spacing w:line="240" w:lineRule="auto"/>
        <w:ind w:left="154" w:right="0"/>
        <w:jc w:val="left"/>
      </w:pPr>
      <w:r>
        <w:rPr/>
        <w:t>法定代表人：陈利浩</w:t>
        <w:tab/>
        <w:t>主管会计工作负责人：黄笑华</w:t>
        <w:tab/>
        <w:t>会计机构负责人：毛华夏</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母公司资产负债表" w:id="143"/>
      <w:bookmarkEnd w:id="14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1,044,591,393.53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977,141,588.98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1,394,529.67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16,770,811.90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62,899,116.95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339,217,852.09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247,061,497.04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5,254,359.98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46,117,610.37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130,136,833.86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25,277,089.15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1,201,982.16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1,546,067,763.19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1,464,956,678.74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236,938,848.54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203,659,195.25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117,363,127.02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112,762,321.66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5,652,683.02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7,214,991.68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21,971,228.83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13,897,429.43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6,406,537.70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7,703,897.79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389,332,425.11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347,225,388.81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1,935,400,188.30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1,812,182,067.55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57,054,474.88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25,903,965.31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7,526,506.43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5,520,410.24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66,521,944.78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57,990,148.74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18,513,443.00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36,778,254.81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12,811,858.36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5,027,733.65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28,537,522.47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192,774,211.42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133,707,854.75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93,649,154.11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18,769,984.01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12,348,419.53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128,683,668.13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31,118,403.54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321,457,879.55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164,826,258.29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461,770,146.00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462,054,367.00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207,055,417.62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300,129,334.75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123,384,600.58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168,063,759.65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147,420,844.20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900,437,586.06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737,751,263.31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1,613,942,308.75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1,647,355,809.26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1,935,400,188.30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1,812,182,067.55</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3、合并利润表" w:id="144"/>
      <w:bookmarkEnd w:id="14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816,945,465.51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9" w:right="0"/>
              <w:jc w:val="left"/>
              <w:rPr>
                <w:rFonts w:ascii="Times New Roman" w:hAnsi="Times New Roman" w:cs="Times New Roman" w:eastAsia="Times New Roman" w:hint="default"/>
                <w:sz w:val="18"/>
                <w:szCs w:val="18"/>
              </w:rPr>
            </w:pPr>
            <w:r>
              <w:rPr>
                <w:rFonts w:ascii="Times New Roman"/>
                <w:sz w:val="18"/>
              </w:rPr>
              <w:t>929,206,635.61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662.019958pt;width:157.7pt;height:19.650pt;mso-position-horizontal-relative:page;mso-position-vertical-relative:page;z-index:-903088" coordorigin="4245,13240" coordsize="3154,393">
            <v:shape style="position:absolute;left:4245;top:13240;width:3154;height:393" coordorigin="4245,13240" coordsize="3154,393" path="m4245,13633l7399,13633,7399,13240,4245,13240,4245,136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816,945,465.51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929,206,635.61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670,215,199.76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612,791,898.75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217,957,794.01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195,511,562.00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7,034,516.12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7,808,830.17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120,899,834.85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111,976,661.58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337,316,538.65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301,052,339.66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-22,534,135.73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-17,187,586.26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9,540,651.86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13,630,091.60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-2,705,491.02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25,998,398.94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41,546,902.84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12,829,653.29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33,512,884.71</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172,679,134.38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355,256,148.68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21,201,012.45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18,600,712.22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298,008.24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548,138.03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274,187.31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158,622.22</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193,582,138.59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373,308,722.87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15,751,173.92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33,185,533.31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177,830,964.67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340,123,189.56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190,570,344.02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340,954,072.86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-12,739,379.35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-830,883.30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177,830,964.67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340,123,189.56</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190,570,344.02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340,954,072.86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-12,739,379.35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-830,883.30</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0.7396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0.7396</w:t>
            </w:r>
          </w:p>
        </w:tc>
      </w:tr>
    </w:tbl>
    <w:p>
      <w:pPr>
        <w:pStyle w:val="BodyText"/>
        <w:tabs>
          <w:tab w:pos="3574" w:val="left" w:leader="none"/>
          <w:tab w:pos="7625" w:val="left" w:leader="none"/>
        </w:tabs>
        <w:spacing w:line="624" w:lineRule="auto" w:before="51"/>
        <w:ind w:right="1319"/>
        <w:jc w:val="left"/>
      </w:pPr>
      <w:r>
        <w:rPr/>
        <w:t>本期发生同一控制下企业合并的，被合并方在合并前实现的净利润为：元，上期被合并方实现的净利润为：元。 法定代表人：陈利浩</w:t>
        <w:tab/>
        <w:t>主管会计工作负责人：黄笑华</w:t>
        <w:tab/>
        <w:t>会计机构负责人：毛华夏</w:t>
      </w:r>
    </w:p>
    <w:p>
      <w:pPr>
        <w:pStyle w:val="Heading6"/>
        <w:spacing w:line="240" w:lineRule="auto" w:before="63"/>
        <w:ind w:right="0"/>
        <w:jc w:val="left"/>
        <w:rPr>
          <w:b w:val="0"/>
          <w:bCs w:val="0"/>
        </w:rPr>
      </w:pPr>
      <w:bookmarkStart w:name="4、母公司利润表" w:id="145"/>
      <w:bookmarkEnd w:id="14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827,991,487.76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929,206,635.61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236,667,699.71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195,511,562.00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6,621,190.08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7,808,830.17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116,751,382.42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111,416,897.03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303,999,030.86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299,963,704.98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-22,382,769.60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-17,181,938.00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8,540,653.38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13,510,688.48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31,291.67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-2,680,798.00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25,400,635.80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41,241,653.84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12,829,653.29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33,512,884.71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203,226,228.38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356,737,746.79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20,505,502.38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18,600,712.22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945,339.91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822,691.50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294,716.70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548,138.03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273,532.28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158,622.22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223,437,014.06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374,790,320.98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17,007,859.56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33,131,257.27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206,429,154.50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341,659,063.71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206,429,154.50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341,659,063.71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0.7411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0.7411</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5、合并现金流量表" w:id="146"/>
      <w:bookmarkEnd w:id="14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829,057,442.25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836,051,578.59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13,014,769.66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8,970,852.80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38,537,062.77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24,216,935.14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880,609,274.68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869,239,366.53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72,862,962.44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59,164,335.37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441,462,140.14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350,382,604.82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88,330,510.95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80,355,493.15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146,102,616.33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117,790,996.64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748,758,229.86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607,693,429.98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131,851,044.82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261,545,936.55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457,778,836.00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353,722,430.00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13,169,135.93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15,253,969.13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184,919.50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109,351.93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471,132,891.43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369,085,751.06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74,697,781.21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81,034,583.41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345,282,074.00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431,505,144.00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3,790,439.41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423,770,294.62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512,539,727.41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47,362,596.81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-143,453,976.35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131,395,913.78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131,395,913.78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23,778,796.80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89,863,618.20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97,081,514.52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445,558.60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120,860,311.32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90,309,176.80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-113,418,711.32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41,086,736.98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65,794,930.31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159,178,697.18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999,644,141.93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840,465,444.75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1,065,439,072.24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999,644,141.93</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6、母公司现金流量表" w:id="147"/>
      <w:bookmarkEnd w:id="14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821,791,593.28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836,051,578.59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12,911,424.26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8,970,852.80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32,543,844.16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24,208,665.48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867,246,861.70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869,231,096.87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57,041,136.88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59,164,335.37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417,187,135.51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350,352,411.36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88,114,241.15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80,324,715.27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144,917,650.69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132,817,872.05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707,260,164.23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622,659,334.05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159,986,697.47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246,571,762.82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349,534,144.00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12,570,982.51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15,228,769.13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184,919.50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109,351.93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437,213,902.01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364,872,265.06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64,039,245.61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77,330,690.31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323,261,238.00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425,755,144.00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408,890,483.61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503,085,834.31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28,323,418.40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-138,213,569.25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118,645,913.78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118,645,913.78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23,778,796.80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89,863,618.20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97,081,514.52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445,558.60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120,860,311.32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90,309,176.80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-120,860,311.32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28,336,736.98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67,449,804.55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136,694,930.55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977,141,588.98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840,446,658.43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1,044,591,393.53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977,141,588.98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合并所有者权益变动表" w:id="148"/>
      <w:bookmarkEnd w:id="14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6810"/>
        <w:gridCol w:w="665"/>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3"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462,05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4,367.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300,199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,423.34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,021.22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737,089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,388.54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116.70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462,05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4,367.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300,199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,423.34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,021.22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737,089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,388.54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116.70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-93,073,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917.13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146,827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,512.27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3,288,2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-45,984,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075.70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190,570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,344.02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-12,739,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177,830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,964.67</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21.00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-93,073,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917.13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16,027,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614.64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-284,2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-1,890,0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16,027,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13,853,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364.15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2,525,4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2,525,4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52.39</w:t>
            </w: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-93,709,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340.03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3,940.6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-43,742,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831.75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916.30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915.45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915.45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916.30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916.30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461,77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0,146.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207,125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,506.21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123,384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168,125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,936.67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883,916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,900.81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15,207,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351.99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61,241.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443,18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3,150.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159,523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,224.54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113,317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,114.85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522,652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,182.25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443,18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3,150.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159,523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,224.54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113,317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,114.85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522,652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,182.25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140,676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34,165,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214,437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,206.29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116.70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420,069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,645.16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340,954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,072.86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-830,88</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3.30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340,123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,189.56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140,676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12,750,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172,297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,415.80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104,071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,497.15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12,750,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135,692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,714.15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36,604,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701.65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36,604,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701.65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34,165,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6,866.5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-92,350,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960.20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34,165,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-34,165,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906.37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-92,350,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960.20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-92,350,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960.20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462,05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4,367.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300,199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,423.34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737,089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,388.54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11,919,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116.70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8、母公司所有者权益变动表" w:id="149"/>
      <w:bookmarkEnd w:id="14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462,054,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300,129,3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34.75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147,420,8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44.20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737,751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,263.31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1,647,355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,809.26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462,054,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300,129,3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34.75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147,420,8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44.20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737,751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,263.31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1,647,355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,809.26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-284,22</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-93,073,9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162,686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,322.75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-33,413,5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00.51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206,429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,154.50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54.50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-284,22</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-93,073,9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-216,742,</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738.71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-284,22</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-1,890,02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-2,174,25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0.49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2,525,452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2,525,452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-93,709,3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-217,093,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940.61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-43,742,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831.75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-23,099,9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20,642,91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-20,642,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915.45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916.30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-23,099,9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461,770,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207,055,4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123,384,6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168,063,7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900,437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,586.06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1,613,942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,308.75</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443,183,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159,453,1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35.95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113,254,9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37.83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522,609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,066.17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1,238,500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,289.95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443,183,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159,453,1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113,254,9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522,609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1,238,500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35.95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37.83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 w:right="0"/>
              <w:jc w:val="center"/>
              <w:rPr>
                <w:rFonts w:ascii="Times New Roman" w:hAnsi="Times New Roman" w:cs="Times New Roman" w:eastAsia="Times New Roman" w:hint="default"/>
                <w:sz w:val="18"/>
                <w:szCs w:val="18"/>
              </w:rPr>
            </w:pPr>
            <w:r>
              <w:rPr>
                <w:rFonts w:ascii="Times New Roman"/>
                <w:sz w:val="18"/>
              </w:rPr>
              <w:t>,066.17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,289.95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18,871,2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140,676,1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34,165,90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215,142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,197.14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408,855,5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341,659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,063.71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341,659,0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18,871,2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140,676,1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159,547,4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18,871,2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104,071,4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122,942,7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36,604,70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36,604,70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34,165,90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6,866.5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-92,350,9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34,165,90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-34,165,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906.37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-92,350,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960.20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-92,350,9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462,054,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300,129,3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147,420,8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737,751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1,647,355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367.00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34.75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44.20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,263.31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,809.26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50"/>
      <w:bookmarkEnd w:id="15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7"/>
        <w:spacing w:line="259" w:lineRule="auto" w:before="0"/>
        <w:ind w:right="1162" w:firstLine="411"/>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日经广东省人民政府办公厅粤办函</w:t>
      </w:r>
      <w:r>
        <w:rPr>
          <w:rFonts w:ascii="Times New Roman" w:hAnsi="Times New Roman" w:cs="Times New Roman" w:eastAsia="Times New Roman" w:hint="default"/>
          <w:spacing w:val="2"/>
        </w:rPr>
        <w:t>[2001]366</w:t>
      </w:r>
      <w:r>
        <w:rPr>
          <w:spacing w:val="2"/>
        </w:rPr>
        <w:t>号</w:t>
      </w:r>
      <w:r>
        <w:rPr>
          <w:rFonts w:ascii="Times New Roman" w:hAnsi="Times New Roman" w:cs="Times New Roman" w:eastAsia="Times New Roman" w:hint="default"/>
          <w:spacing w:val="2"/>
        </w:rPr>
        <w:t>“</w:t>
      </w:r>
      <w:r>
        <w:rPr>
          <w:spacing w:val="2"/>
        </w:rPr>
        <w:t>关于同意变更设立广东远光软件股份有</w:t>
      </w:r>
      <w:r>
        <w:rPr>
          <w:spacing w:val="3"/>
        </w:rPr>
        <w:t> </w:t>
      </w:r>
      <w:r>
        <w:rPr/>
        <w:t>限公司的复函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日经广东省经济贸易委员会粤经贸监督</w:t>
      </w:r>
      <w:r>
        <w:rPr>
          <w:rFonts w:ascii="Times New Roman" w:hAnsi="Times New Roman" w:cs="Times New Roman" w:eastAsia="Times New Roman" w:hint="default"/>
        </w:rPr>
        <w:t>[2001]556</w:t>
      </w:r>
      <w:r>
        <w:rPr/>
        <w:t>号</w:t>
      </w:r>
      <w:r>
        <w:rPr>
          <w:rFonts w:ascii="Times New Roman" w:hAnsi="Times New Roman" w:cs="Times New Roman" w:eastAsia="Times New Roman" w:hint="default"/>
        </w:rPr>
        <w:t>“</w:t>
      </w:r>
      <w:r>
        <w:rPr/>
        <w:t>关于同意变更设立广东</w:t>
      </w:r>
      <w:r>
        <w:rPr>
          <w:spacing w:val="-75"/>
        </w:rPr>
        <w:t> </w:t>
      </w:r>
      <w:r>
        <w:rPr>
          <w:spacing w:val="-75"/>
        </w:rPr>
      </w:r>
      <w:r>
        <w:rPr>
          <w:spacing w:val="-1"/>
        </w:rPr>
        <w:t>远光软件股份有限公司的批复</w:t>
      </w:r>
      <w:r>
        <w:rPr>
          <w:rFonts w:ascii="Times New Roman" w:hAnsi="Times New Roman" w:cs="Times New Roman" w:eastAsia="Times New Roman" w:hint="default"/>
          <w:spacing w:val="-1"/>
        </w:rPr>
        <w:t>”</w:t>
      </w:r>
      <w:r>
        <w:rPr>
          <w:spacing w:val="-1"/>
        </w:rPr>
        <w:t>文件批准，由珠海市东区荣光软件有限公司</w:t>
      </w:r>
      <w:r>
        <w:rPr>
          <w:rFonts w:ascii="Times New Roman" w:hAnsi="Times New Roman" w:cs="Times New Roman" w:eastAsia="Times New Roman" w:hint="default"/>
          <w:spacing w:val="-1"/>
        </w:rPr>
        <w:t>(</w:t>
      </w:r>
      <w:r>
        <w:rPr>
          <w:spacing w:val="-1"/>
        </w:rPr>
        <w:t>后更名为林芝地区东区荣光科</w:t>
      </w:r>
      <w:r>
        <w:rPr>
          <w:spacing w:val="-69"/>
        </w:rPr>
        <w:t> </w:t>
      </w:r>
      <w:r>
        <w:rPr/>
        <w:t>技有限公司</w:t>
      </w:r>
      <w:r>
        <w:rPr>
          <w:rFonts w:ascii="Times New Roman" w:hAnsi="Times New Roman" w:cs="Times New Roman" w:eastAsia="Times New Roman" w:hint="default"/>
        </w:rPr>
        <w:t>)</w:t>
      </w:r>
      <w:r>
        <w:rPr/>
        <w:t>、国电电力发展股份有限公司、陈利浩、吉林省电力有限公司、福建省电力有限公司、广东</w:t>
      </w:r>
      <w:r>
        <w:rPr>
          <w:spacing w:val="-34"/>
        </w:rPr>
        <w:t> </w:t>
      </w:r>
      <w:r>
        <w:rPr>
          <w:spacing w:val="-34"/>
        </w:rPr>
      </w:r>
      <w:r>
        <w:rPr>
          <w:spacing w:val="-2"/>
        </w:rPr>
        <w:t>太平洋技术创业有限公司、浙江华能投资有限公司（后更名为浙江嘉汇集团有限公司）等七个发起人，以</w:t>
      </w:r>
      <w:r>
        <w:rPr>
          <w:spacing w:val="-73"/>
        </w:rPr>
        <w:t> </w:t>
      </w:r>
      <w:r>
        <w:rPr>
          <w:spacing w:val="-73"/>
        </w:rPr>
      </w:r>
      <w:r>
        <w:rPr/>
        <w:t>其在珠海远光新纪元软件产业有限公司的出资额整体变更设立广东远光软件股份有限公司（以下简称</w:t>
      </w:r>
      <w:r>
        <w:rPr>
          <w:rFonts w:ascii="Times New Roman" w:hAnsi="Times New Roman" w:cs="Times New Roman" w:eastAsia="Times New Roman" w:hint="default"/>
        </w:rPr>
        <w:t>“</w:t>
      </w:r>
      <w:r>
        <w:rPr/>
        <w:t>公</w:t>
      </w:r>
      <w:r>
        <w:rPr>
          <w:spacing w:val="-48"/>
        </w:rPr>
        <w:t> </w:t>
      </w:r>
      <w:r>
        <w:rPr/>
        <w:t>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）。变更设立的股份有限公司股份总数为</w:t>
      </w:r>
      <w:r>
        <w:rPr>
          <w:rFonts w:ascii="Times New Roman" w:hAnsi="Times New Roman" w:cs="Times New Roman" w:eastAsia="Times New Roman" w:hint="default"/>
        </w:rPr>
        <w:t>3,000</w:t>
      </w:r>
      <w:r>
        <w:rPr/>
        <w:t>万股。该注册资本由利安达信隆会计师事务</w:t>
      </w:r>
      <w:r>
        <w:rPr>
          <w:spacing w:val="-76"/>
        </w:rPr>
        <w:t> </w:t>
      </w:r>
      <w:r>
        <w:rPr>
          <w:spacing w:val="-76"/>
        </w:rPr>
      </w:r>
      <w:r>
        <w:rPr/>
        <w:t>所利安达验字</w:t>
      </w:r>
      <w:r>
        <w:rPr>
          <w:rFonts w:ascii="Times New Roman" w:hAnsi="Times New Roman" w:cs="Times New Roman" w:eastAsia="Times New Roman" w:hint="default"/>
        </w:rPr>
        <w:t>[2001]B-1036</w:t>
      </w:r>
      <w:r>
        <w:rPr/>
        <w:t>号验资报告验证确认。</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日，广东省工商行政管理局核发注册号为</w:t>
      </w:r>
      <w:r>
        <w:rPr>
          <w:spacing w:val="-3"/>
        </w:rPr>
        <w:t> </w:t>
      </w:r>
      <w:r>
        <w:rPr>
          <w:spacing w:val="-3"/>
        </w:rPr>
      </w:r>
      <w:r>
        <w:rPr>
          <w:rFonts w:ascii="Times New Roman" w:hAnsi="Times New Roman" w:cs="Times New Roman" w:eastAsia="Times New Roman" w:hint="default"/>
        </w:rPr>
        <w:t>4400001009932</w:t>
      </w:r>
      <w:r>
        <w:rPr/>
        <w:t>号营业执照。</w:t>
      </w:r>
    </w:p>
    <w:p>
      <w:pPr>
        <w:pStyle w:val="Heading7"/>
        <w:spacing w:line="261" w:lineRule="auto" w:before="2"/>
        <w:ind w:right="1164" w:firstLine="411"/>
        <w:jc w:val="both"/>
      </w:pP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22</w:t>
      </w:r>
      <w:r>
        <w:rPr>
          <w:spacing w:val="-4"/>
        </w:rPr>
        <w:t>日，本公司</w:t>
      </w:r>
      <w:r>
        <w:rPr>
          <w:rFonts w:ascii="Times New Roman" w:hAnsi="Times New Roman" w:cs="Times New Roman" w:eastAsia="Times New Roman" w:hint="default"/>
          <w:spacing w:val="-4"/>
        </w:rPr>
        <w:t>2001</w:t>
      </w:r>
      <w:r>
        <w:rPr>
          <w:spacing w:val="-4"/>
        </w:rPr>
        <w:t>年度股东大会会议决议通过，并经广东省人民政府办公厅粤府函</w:t>
      </w:r>
      <w:r>
        <w:rPr>
          <w:rFonts w:ascii="Times New Roman" w:hAnsi="Times New Roman" w:cs="Times New Roman" w:eastAsia="Times New Roman" w:hint="default"/>
          <w:spacing w:val="-4"/>
        </w:rPr>
        <w:t>[2002]346</w:t>
      </w:r>
      <w:r>
        <w:rPr>
          <w:rFonts w:ascii="Times New Roman" w:hAnsi="Times New Roman" w:cs="Times New Roman" w:eastAsia="Times New Roman" w:hint="default"/>
        </w:rPr>
        <w:t> </w:t>
      </w:r>
      <w:r>
        <w:rPr>
          <w:spacing w:val="-2"/>
        </w:rPr>
        <w:t>号《关于同意广东远光软件股份有限公司以任意公积金分派新股的批复》及广东省经济贸易委员会粤经贸</w:t>
      </w:r>
      <w:r>
        <w:rPr>
          <w:spacing w:val="-69"/>
        </w:rPr>
        <w:t> </w:t>
      </w:r>
      <w:r>
        <w:rPr>
          <w:spacing w:val="-69"/>
        </w:rPr>
      </w:r>
      <w:r>
        <w:rPr>
          <w:spacing w:val="-2"/>
        </w:rPr>
        <w:t>监督</w:t>
      </w:r>
      <w:r>
        <w:rPr>
          <w:rFonts w:ascii="Times New Roman" w:hAnsi="Times New Roman" w:cs="Times New Roman" w:eastAsia="Times New Roman" w:hint="default"/>
          <w:spacing w:val="-2"/>
        </w:rPr>
        <w:t>[2002]449</w:t>
      </w:r>
      <w:r>
        <w:rPr>
          <w:spacing w:val="-2"/>
        </w:rPr>
        <w:t>号《关于同意广东远光软件股份有限公司转增新股的批复》文件批准，公司以任意盈余公积</w:t>
      </w:r>
      <w:r>
        <w:rPr>
          <w:spacing w:val="-99"/>
        </w:rPr>
        <w:t> </w:t>
      </w:r>
      <w:r>
        <w:rPr>
          <w:spacing w:val="-99"/>
        </w:rPr>
      </w:r>
      <w:r>
        <w:rPr/>
        <w:t>金</w:t>
      </w:r>
      <w:r>
        <w:rPr>
          <w:rFonts w:ascii="Times New Roman" w:hAnsi="Times New Roman" w:cs="Times New Roman" w:eastAsia="Times New Roman" w:hint="default"/>
        </w:rPr>
        <w:t>1,116</w:t>
      </w:r>
      <w:r>
        <w:rPr/>
        <w:t>万元转增股本。转增后，公司注册资本增至</w:t>
      </w:r>
      <w:r>
        <w:rPr>
          <w:rFonts w:ascii="Times New Roman" w:hAnsi="Times New Roman" w:cs="Times New Roman" w:eastAsia="Times New Roman" w:hint="default"/>
        </w:rPr>
        <w:t>4,116</w:t>
      </w:r>
      <w:r>
        <w:rPr/>
        <w:t>万元。此次增资已由利安达信隆会计师事务所利</w:t>
      </w:r>
      <w:r>
        <w:rPr>
          <w:spacing w:val="-62"/>
        </w:rPr>
        <w:t> </w:t>
      </w:r>
      <w:r>
        <w:rPr>
          <w:spacing w:val="-62"/>
        </w:rPr>
      </w:r>
      <w:r>
        <w:rPr/>
        <w:t>安达验字</w:t>
      </w:r>
      <w:r>
        <w:rPr>
          <w:rFonts w:ascii="Times New Roman" w:hAnsi="Times New Roman" w:cs="Times New Roman" w:eastAsia="Times New Roman" w:hint="default"/>
        </w:rPr>
        <w:t>[2002]B-1025</w:t>
      </w:r>
      <w:r>
        <w:rPr/>
        <w:t>号验资报告验证确认。</w:t>
      </w:r>
    </w:p>
    <w:p>
      <w:pPr>
        <w:pStyle w:val="Heading7"/>
        <w:spacing w:line="256" w:lineRule="auto" w:before="0"/>
        <w:ind w:right="1164" w:firstLine="411"/>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日，经本公司第二届董事会第十三次会议决议、</w:t>
      </w:r>
      <w:r>
        <w:rPr>
          <w:rFonts w:ascii="Times New Roman" w:hAnsi="Times New Roman" w:cs="Times New Roman" w:eastAsia="Times New Roman" w:hint="default"/>
          <w:spacing w:val="-2"/>
        </w:rPr>
        <w:t>2005</w:t>
      </w:r>
      <w:r>
        <w:rPr>
          <w:spacing w:val="-2"/>
        </w:rPr>
        <w:t>年度股东大会会议决议通过，公司以</w:t>
      </w:r>
      <w:r>
        <w:rPr/>
        <w:t> 未分配利润增加注册资本</w:t>
      </w:r>
      <w:r>
        <w:rPr>
          <w:rFonts w:ascii="Times New Roman" w:hAnsi="Times New Roman" w:cs="Times New Roman" w:eastAsia="Times New Roman" w:hint="default"/>
        </w:rPr>
        <w:t>4,116</w:t>
      </w:r>
      <w:r>
        <w:rPr/>
        <w:t>万元。转增后，公司注册资本增至</w:t>
      </w:r>
      <w:r>
        <w:rPr>
          <w:rFonts w:ascii="Times New Roman" w:hAnsi="Times New Roman" w:cs="Times New Roman" w:eastAsia="Times New Roman" w:hint="default"/>
        </w:rPr>
        <w:t>8,232</w:t>
      </w:r>
      <w:r>
        <w:rPr/>
        <w:t>万元，并于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日在广东省</w:t>
      </w:r>
      <w:r>
        <w:rPr>
          <w:spacing w:val="-65"/>
        </w:rPr>
        <w:t> </w:t>
      </w:r>
      <w:r>
        <w:rPr>
          <w:spacing w:val="-65"/>
        </w:rPr>
      </w:r>
      <w:r>
        <w:rPr/>
        <w:t>工商行政管理局办理了变更登记。此次增资已由利安达信隆会计师事务所利安达验字</w:t>
      </w:r>
      <w:r>
        <w:rPr>
          <w:rFonts w:ascii="Times New Roman" w:hAnsi="Times New Roman" w:cs="Times New Roman" w:eastAsia="Times New Roman" w:hint="default"/>
        </w:rPr>
        <w:t>[2006]B-1019</w:t>
      </w:r>
      <w:r>
        <w:rPr/>
        <w:t>号验资</w:t>
      </w:r>
      <w:r>
        <w:rPr>
          <w:spacing w:val="-94"/>
        </w:rPr>
        <w:t> </w:t>
      </w:r>
      <w:r>
        <w:rPr/>
        <w:t>报告验证确认。</w:t>
      </w:r>
    </w:p>
    <w:p>
      <w:pPr>
        <w:pStyle w:val="Heading7"/>
        <w:spacing w:line="256" w:lineRule="auto" w:before="23"/>
        <w:ind w:right="1060" w:firstLine="411"/>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日，经中国证券监督管理委员会证监发行字</w:t>
      </w:r>
      <w:r>
        <w:rPr>
          <w:rFonts w:ascii="Times New Roman" w:hAnsi="Times New Roman" w:cs="Times New Roman" w:eastAsia="Times New Roman" w:hint="default"/>
        </w:rPr>
        <w:t>[2006]51</w:t>
      </w:r>
      <w:r>
        <w:rPr/>
        <w:t>号文核准，本公司发行普通股</w:t>
      </w:r>
      <w:r>
        <w:rPr>
          <w:rFonts w:ascii="Times New Roman" w:hAnsi="Times New Roman" w:cs="Times New Roman" w:eastAsia="Times New Roman" w:hint="default"/>
        </w:rPr>
        <w:t>2,750 </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日在深圳证券交易所上市交易。公司发行后总股本为</w:t>
      </w:r>
      <w:r>
        <w:rPr>
          <w:rFonts w:ascii="Times New Roman" w:hAnsi="Times New Roman" w:cs="Times New Roman" w:eastAsia="Times New Roman" w:hint="default"/>
        </w:rPr>
        <w:t>10,982</w:t>
      </w:r>
      <w:r>
        <w:rPr/>
        <w:t>万元，</w:t>
      </w:r>
      <w:r>
        <w:rPr>
          <w:spacing w:val="-12"/>
        </w:rPr>
        <w:t> </w:t>
      </w:r>
      <w:r>
        <w:rPr>
          <w:spacing w:val="-12"/>
        </w:rPr>
      </w:r>
      <w:r>
        <w:rPr/>
        <w:t>此次增资已由利安达信隆会计师事务所利安达验字</w:t>
      </w:r>
      <w:r>
        <w:rPr>
          <w:rFonts w:ascii="Times New Roman" w:hAnsi="Times New Roman" w:cs="Times New Roman" w:eastAsia="Times New Roman" w:hint="default"/>
        </w:rPr>
        <w:t>[2006]B-1032</w:t>
      </w:r>
      <w:r>
        <w:rPr/>
        <w:t>号验资报告验证确认，并于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45"/>
        </w:rPr>
        <w:t> </w:t>
      </w:r>
      <w:r>
        <w:rPr/>
        <w:t>日在广东省工商行政管理局办理了变更登记，变更后注册资本为</w:t>
      </w:r>
      <w:r>
        <w:rPr>
          <w:rFonts w:ascii="Times New Roman" w:hAnsi="Times New Roman" w:cs="Times New Roman" w:eastAsia="Times New Roman" w:hint="default"/>
        </w:rPr>
        <w:t>10,982</w:t>
      </w:r>
      <w:r>
        <w:rPr/>
        <w:t>万元。</w:t>
      </w:r>
    </w:p>
    <w:p>
      <w:pPr>
        <w:pStyle w:val="Heading7"/>
        <w:spacing w:line="240" w:lineRule="auto" w:before="5"/>
        <w:ind w:left="565" w:right="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日，公司企业法人营业执照注册号由</w:t>
      </w:r>
      <w:r>
        <w:rPr>
          <w:rFonts w:ascii="Times New Roman" w:hAnsi="Times New Roman" w:cs="Times New Roman" w:eastAsia="Times New Roman" w:hint="default"/>
        </w:rPr>
        <w:t>4400001009932</w:t>
      </w:r>
      <w:r>
        <w:rPr/>
        <w:t>变更为</w:t>
      </w:r>
      <w:r>
        <w:rPr>
          <w:rFonts w:ascii="Times New Roman" w:hAnsi="Times New Roman" w:cs="Times New Roman" w:eastAsia="Times New Roman" w:hint="default"/>
        </w:rPr>
        <w:t>440000000039294</w:t>
      </w:r>
      <w:r>
        <w:rPr/>
        <w:t>。</w:t>
      </w:r>
    </w:p>
    <w:p>
      <w:pPr>
        <w:pStyle w:val="Heading7"/>
        <w:spacing w:line="256" w:lineRule="auto" w:before="21"/>
        <w:ind w:right="1164" w:firstLine="411"/>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日，经广东省工商行政管理局核准，公司名称由</w:t>
      </w:r>
      <w:r>
        <w:rPr>
          <w:rFonts w:ascii="Times New Roman" w:hAnsi="Times New Roman" w:cs="Times New Roman" w:eastAsia="Times New Roman" w:hint="default"/>
        </w:rPr>
        <w:t>“</w:t>
      </w:r>
      <w:r>
        <w:rPr/>
        <w:t>广东远光软件股份有限公司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 光软件股份有限公司</w:t>
      </w:r>
      <w:r>
        <w:rPr>
          <w:rFonts w:ascii="Times New Roman" w:hAnsi="Times New Roman" w:cs="Times New Roman" w:eastAsia="Times New Roman" w:hint="default"/>
        </w:rPr>
        <w:t>”</w:t>
      </w:r>
      <w:r>
        <w:rPr/>
        <w:t>。</w:t>
      </w:r>
    </w:p>
    <w:p>
      <w:pPr>
        <w:pStyle w:val="Heading7"/>
        <w:spacing w:line="256" w:lineRule="auto" w:before="5"/>
        <w:ind w:right="1167" w:firstLine="411"/>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日，经本公司第三届董事会第十七次会议决议、</w:t>
      </w:r>
      <w:r>
        <w:rPr>
          <w:rFonts w:ascii="Times New Roman" w:hAnsi="Times New Roman" w:cs="Times New Roman" w:eastAsia="Times New Roman" w:hint="default"/>
        </w:rPr>
        <w:t>2008</w:t>
      </w:r>
      <w:r>
        <w:rPr/>
        <w:t>年度股东大会会议决议通过，公司 以资本公积转增注册资本</w:t>
      </w:r>
      <w:r>
        <w:rPr>
          <w:rFonts w:ascii="Times New Roman" w:hAnsi="Times New Roman" w:cs="Times New Roman" w:eastAsia="Times New Roman" w:hint="default"/>
        </w:rPr>
        <w:t>8,785.6</w:t>
      </w:r>
      <w:r>
        <w:rPr/>
        <w:t>万元。转增后，公司注册资本增至</w:t>
      </w:r>
      <w:r>
        <w:rPr>
          <w:rFonts w:ascii="Times New Roman" w:hAnsi="Times New Roman" w:cs="Times New Roman" w:eastAsia="Times New Roman" w:hint="default"/>
        </w:rPr>
        <w:t>19,767.6</w:t>
      </w:r>
      <w:r>
        <w:rPr/>
        <w:t>万元。此次增资已由利安达会</w:t>
      </w:r>
      <w:r>
        <w:rPr>
          <w:spacing w:val="-66"/>
        </w:rPr>
        <w:t> </w:t>
      </w:r>
      <w:r>
        <w:rPr>
          <w:spacing w:val="-66"/>
        </w:rPr>
      </w:r>
      <w:r>
        <w:rPr/>
        <w:t>计师事务所利安达验字</w:t>
      </w:r>
      <w:r>
        <w:rPr>
          <w:rFonts w:ascii="Times New Roman" w:hAnsi="Times New Roman" w:cs="Times New Roman" w:eastAsia="Times New Roman" w:hint="default"/>
        </w:rPr>
        <w:t>[2009]B-1021</w:t>
      </w:r>
      <w:r>
        <w:rPr/>
        <w:t>号验资报告验证确认，并于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日办理了变更登记。</w:t>
      </w:r>
    </w:p>
    <w:p>
      <w:pPr>
        <w:pStyle w:val="Heading7"/>
        <w:spacing w:line="256" w:lineRule="auto" w:before="5"/>
        <w:ind w:right="0" w:firstLine="411"/>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日，经本公司第三届董事会第二十八次会议决议、</w:t>
      </w:r>
      <w:r>
        <w:rPr>
          <w:rFonts w:ascii="Times New Roman" w:hAnsi="Times New Roman" w:cs="Times New Roman" w:eastAsia="Times New Roman" w:hint="default"/>
        </w:rPr>
        <w:t>2009</w:t>
      </w:r>
      <w:r>
        <w:rPr/>
        <w:t>年度股东大会会议决议通过，公 司以资本公积转增注册资本</w:t>
      </w:r>
      <w:r>
        <w:rPr>
          <w:rFonts w:ascii="Times New Roman" w:hAnsi="Times New Roman" w:cs="Times New Roman" w:eastAsia="Times New Roman" w:hint="default"/>
        </w:rPr>
        <w:t>1,976.76 </w:t>
      </w:r>
      <w:r>
        <w:rPr/>
        <w:t>万元，以未分配利润转增注册资本</w:t>
      </w:r>
      <w:r>
        <w:rPr>
          <w:rFonts w:ascii="Times New Roman" w:hAnsi="Times New Roman" w:cs="Times New Roman" w:eastAsia="Times New Roman" w:hint="default"/>
        </w:rPr>
        <w:t>3,953.52</w:t>
      </w:r>
      <w:r>
        <w:rPr>
          <w:rFonts w:ascii="Times New Roman" w:hAnsi="Times New Roman" w:cs="Times New Roman" w:eastAsia="Times New Roman" w:hint="default"/>
          <w:spacing w:val="2"/>
        </w:rPr>
        <w:t> </w:t>
      </w:r>
      <w:r>
        <w:rPr/>
        <w:t>万元，转增后，公司注册 </w:t>
      </w:r>
      <w:r>
        <w:rPr>
          <w:spacing w:val="-2"/>
        </w:rPr>
        <w:t>资本增至</w:t>
      </w:r>
      <w:r>
        <w:rPr>
          <w:rFonts w:ascii="Times New Roman" w:hAnsi="Times New Roman" w:cs="Times New Roman" w:eastAsia="Times New Roman" w:hint="default"/>
          <w:spacing w:val="-2"/>
        </w:rPr>
        <w:t>25,697.88</w:t>
      </w:r>
      <w:r>
        <w:rPr>
          <w:spacing w:val="-2"/>
        </w:rPr>
        <w:t>万元。此次增资已由利安达会计师事务所利安达验字</w:t>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1051</w:t>
      </w:r>
      <w:r>
        <w:rPr>
          <w:rFonts w:ascii="Times New Roman" w:hAnsi="Times New Roman" w:cs="Times New Roman" w:eastAsia="Times New Roman" w:hint="default"/>
        </w:rPr>
        <w:t> </w:t>
      </w:r>
      <w:r>
        <w:rPr/>
        <w:t>号验资报告验证确认，</w:t>
      </w:r>
      <w:r>
        <w:rPr>
          <w:spacing w:val="-104"/>
        </w:rPr>
        <w:t> </w:t>
      </w:r>
      <w:r>
        <w:rPr/>
        <w:t>并办理了工商变更登记。</w:t>
      </w:r>
    </w:p>
    <w:p>
      <w:pPr>
        <w:pStyle w:val="Heading7"/>
        <w:spacing w:line="261" w:lineRule="auto" w:before="22"/>
        <w:ind w:right="1165" w:firstLine="411"/>
        <w:jc w:val="both"/>
      </w:pPr>
      <w:r>
        <w:rPr>
          <w:spacing w:val="-2"/>
        </w:rPr>
        <w:t>根据公司股票期权激励计划规定，经公司董事会申请、深圳证券交易所确认、中国证券登记结算有限</w:t>
      </w:r>
      <w:r>
        <w:rPr/>
        <w:t> </w:t>
      </w:r>
      <w:r>
        <w:rPr>
          <w:spacing w:val="-2"/>
        </w:rPr>
        <w:t>责任公司深圳分公司核准登记，以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日为股票行权登记日，对本次提出申请行权的</w:t>
      </w:r>
      <w:r>
        <w:rPr>
          <w:rFonts w:ascii="Times New Roman" w:hAnsi="Times New Roman" w:cs="Times New Roman" w:eastAsia="Times New Roman" w:hint="default"/>
          <w:spacing w:val="-2"/>
        </w:rPr>
        <w:t>91</w:t>
      </w:r>
      <w:r>
        <w:rPr>
          <w:spacing w:val="-2"/>
        </w:rPr>
        <w:t>名激励对</w:t>
      </w:r>
      <w:r>
        <w:rPr>
          <w:spacing w:val="-63"/>
        </w:rPr>
        <w:t> </w:t>
      </w:r>
      <w:r>
        <w:rPr>
          <w:spacing w:val="-2"/>
        </w:rPr>
        <w:t>象的</w:t>
      </w:r>
      <w:r>
        <w:rPr>
          <w:rFonts w:ascii="Times New Roman" w:hAnsi="Times New Roman" w:cs="Times New Roman" w:eastAsia="Times New Roman" w:hint="default"/>
          <w:spacing w:val="-2"/>
        </w:rPr>
        <w:t>1,573,603</w:t>
      </w:r>
      <w:r>
        <w:rPr>
          <w:spacing w:val="-2"/>
        </w:rPr>
        <w:t>份股票期权予以行权。行权后公司注册资本变更为</w:t>
      </w:r>
      <w:r>
        <w:rPr>
          <w:rFonts w:ascii="Times New Roman" w:hAnsi="Times New Roman" w:cs="Times New Roman" w:eastAsia="Times New Roman" w:hint="default"/>
          <w:spacing w:val="-2"/>
        </w:rPr>
        <w:t>25,855.24</w:t>
      </w:r>
      <w:r>
        <w:rPr>
          <w:spacing w:val="-2"/>
        </w:rPr>
        <w:t>万元。此次增资已由利安达会计</w:t>
      </w:r>
      <w:r>
        <w:rPr>
          <w:spacing w:val="-55"/>
        </w:rPr>
        <w:t> </w:t>
      </w:r>
      <w:r>
        <w:rPr>
          <w:spacing w:val="-55"/>
        </w:rPr>
      </w:r>
      <w:r>
        <w:rPr/>
        <w:t>师事务所利安达验字</w:t>
      </w:r>
      <w:r>
        <w:rPr>
          <w:rFonts w:ascii="Times New Roman" w:hAnsi="Times New Roman" w:cs="Times New Roman" w:eastAsia="Times New Roman" w:hint="default"/>
        </w:rPr>
        <w:t>[2010]1081</w:t>
      </w:r>
      <w:r>
        <w:rPr/>
        <w:t>号验资报告验证确认，并办理了工商变更登记。</w:t>
      </w:r>
    </w:p>
    <w:p>
      <w:pPr>
        <w:pStyle w:val="Heading7"/>
        <w:spacing w:line="261" w:lineRule="auto" w:before="0"/>
        <w:ind w:right="1164" w:firstLine="411"/>
        <w:jc w:val="both"/>
      </w:pPr>
      <w:r>
        <w:rPr>
          <w:spacing w:val="-2"/>
        </w:rPr>
        <w:t>根据公司股票期权激励计划规定，经公司董事会申请、深圳证券交易所确认、中国证券登记结算有限</w:t>
      </w:r>
      <w:r>
        <w:rPr/>
        <w:t> 责任公司深圳分公司核准登记，以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日为股票行权登记日，对本次提出申请行权的激励对象的</w:t>
      </w:r>
      <w:r>
        <w:rPr>
          <w:spacing w:val="-68"/>
        </w:rPr>
        <w:t> </w:t>
      </w:r>
      <w:r>
        <w:rPr>
          <w:spacing w:val="-68"/>
        </w:rPr>
      </w:r>
      <w:r>
        <w:rPr>
          <w:rFonts w:ascii="Times New Roman" w:hAnsi="Times New Roman" w:cs="Times New Roman" w:eastAsia="Times New Roman" w:hint="default"/>
          <w:spacing w:val="-2"/>
        </w:rPr>
        <w:t>1,257,680</w:t>
      </w:r>
      <w:r>
        <w:rPr>
          <w:spacing w:val="-2"/>
        </w:rPr>
        <w:t>份股票期权予以行权。行权后公司注册资本变更为</w:t>
      </w:r>
      <w:r>
        <w:rPr>
          <w:rFonts w:ascii="Times New Roman" w:hAnsi="Times New Roman" w:cs="Times New Roman" w:eastAsia="Times New Roman" w:hint="default"/>
          <w:spacing w:val="-2"/>
        </w:rPr>
        <w:t>25,981.01</w:t>
      </w:r>
      <w:r>
        <w:rPr>
          <w:spacing w:val="-2"/>
        </w:rPr>
        <w:t>万元。此次增资已由利安达会计师事</w:t>
      </w:r>
      <w:r>
        <w:rPr>
          <w:spacing w:val="-52"/>
        </w:rPr>
        <w:t> </w:t>
      </w:r>
      <w:r>
        <w:rPr>
          <w:spacing w:val="-52"/>
        </w:rPr>
      </w:r>
      <w:r>
        <w:rPr/>
        <w:t>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1016</w:t>
      </w:r>
      <w:r>
        <w:rPr/>
        <w:t>号验资报告验证确认，并办理了工商变更登记。</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56" w:lineRule="auto" w:before="35"/>
        <w:ind w:right="1166" w:firstLine="411"/>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日，经本公司第四届董事会第六次会议决议、</w:t>
      </w:r>
      <w:r>
        <w:rPr>
          <w:rFonts w:ascii="Times New Roman" w:hAnsi="Times New Roman" w:cs="Times New Roman" w:eastAsia="Times New Roman" w:hint="default"/>
        </w:rPr>
        <w:t>2010</w:t>
      </w:r>
      <w:r>
        <w:rPr/>
        <w:t>年度股东大会会议决议通过，公司以 未分配利润转增注册资本</w:t>
      </w:r>
      <w:r>
        <w:rPr>
          <w:rFonts w:ascii="Times New Roman" w:hAnsi="Times New Roman" w:cs="Times New Roman" w:eastAsia="Times New Roman" w:hint="default"/>
        </w:rPr>
        <w:t>7,756.57</w:t>
      </w:r>
      <w:r>
        <w:rPr/>
        <w:t>万元，转增后，公司注册资本增至</w:t>
      </w:r>
      <w:r>
        <w:rPr>
          <w:rFonts w:ascii="Times New Roman" w:hAnsi="Times New Roman" w:cs="Times New Roman" w:eastAsia="Times New Roman" w:hint="default"/>
        </w:rPr>
        <w:t>33,737.58</w:t>
      </w:r>
      <w:r>
        <w:rPr/>
        <w:t>万元。此次增资已由利安达</w:t>
      </w:r>
      <w:r>
        <w:rPr>
          <w:spacing w:val="-65"/>
        </w:rPr>
        <w:t> </w:t>
      </w:r>
      <w:r>
        <w:rPr>
          <w:spacing w:val="-65"/>
        </w:rPr>
      </w:r>
      <w:r>
        <w:rPr/>
        <w:t>会计师事务所利安达验字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1094</w:t>
      </w:r>
      <w:r>
        <w:rPr/>
        <w:t>号验资报告验证确认，并办理了工商变更登记。</w:t>
      </w:r>
    </w:p>
    <w:p>
      <w:pPr>
        <w:pStyle w:val="Heading7"/>
        <w:spacing w:line="261" w:lineRule="auto" w:before="5"/>
        <w:ind w:right="1165" w:firstLine="411"/>
        <w:jc w:val="both"/>
      </w:pPr>
      <w:r>
        <w:rPr>
          <w:spacing w:val="-2"/>
        </w:rPr>
        <w:t>根据公司股票期权激励计划规定，经公司董事会申请、深圳证券交易所确认、中国证券登记结算有限</w:t>
      </w:r>
      <w:r>
        <w:rPr/>
        <w:t> </w:t>
      </w:r>
      <w:r>
        <w:rPr>
          <w:spacing w:val="-2"/>
        </w:rPr>
        <w:t>责任公司深圳分公司核准登记，以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日为股票行权登记日，对本次提出申请行权的激励对象的</w:t>
      </w:r>
      <w:r>
        <w:rPr>
          <w:spacing w:val="-64"/>
        </w:rPr>
        <w:t> </w:t>
      </w:r>
      <w:r>
        <w:rPr>
          <w:spacing w:val="-64"/>
        </w:rPr>
      </w:r>
      <w:r>
        <w:rPr>
          <w:rFonts w:ascii="Times New Roman" w:hAnsi="Times New Roman" w:cs="Times New Roman" w:eastAsia="Times New Roman" w:hint="default"/>
          <w:spacing w:val="-2"/>
        </w:rPr>
        <w:t>2,549,823</w:t>
      </w:r>
      <w:r>
        <w:rPr>
          <w:spacing w:val="-2"/>
        </w:rPr>
        <w:t>份股票期权予以行权，本次行权于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日完成验资，</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日在中国证券登记结算</w:t>
      </w:r>
      <w:r>
        <w:rPr>
          <w:spacing w:val="-55"/>
        </w:rPr>
        <w:t> </w:t>
      </w:r>
      <w:r>
        <w:rPr>
          <w:spacing w:val="-55"/>
        </w:rPr>
      </w:r>
      <w:r>
        <w:rPr>
          <w:spacing w:val="-2"/>
        </w:rPr>
        <w:t>有限责任公司深圳分公司完成核准登记。行权后注册资本变更为</w:t>
      </w:r>
      <w:r>
        <w:rPr>
          <w:rFonts w:ascii="Times New Roman" w:hAnsi="Times New Roman" w:cs="Times New Roman" w:eastAsia="Times New Roman" w:hint="default"/>
          <w:spacing w:val="-2"/>
        </w:rPr>
        <w:t>33,992.56</w:t>
      </w:r>
      <w:r>
        <w:rPr>
          <w:spacing w:val="-2"/>
        </w:rPr>
        <w:t>万元。此次增资已由利安达会计</w:t>
      </w:r>
      <w:r>
        <w:rPr>
          <w:spacing w:val="-62"/>
        </w:rPr>
        <w:t> </w:t>
      </w:r>
      <w:r>
        <w:rPr>
          <w:spacing w:val="-62"/>
        </w:rPr>
      </w:r>
      <w:r>
        <w:rPr/>
        <w:t>师事务所有限责任公司利安达验字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1107</w:t>
      </w:r>
      <w:r>
        <w:rPr/>
        <w:t>号验资报告验证确认，并办理了工商变更登记。</w:t>
      </w:r>
    </w:p>
    <w:p>
      <w:pPr>
        <w:pStyle w:val="Heading7"/>
        <w:spacing w:line="256" w:lineRule="auto" w:before="0"/>
        <w:ind w:right="0" w:firstLine="411"/>
        <w:jc w:val="left"/>
      </w:pPr>
      <w:r>
        <w:rPr/>
        <w:t>根据公司</w:t>
      </w:r>
      <w:r>
        <w:rPr>
          <w:rFonts w:ascii="Times New Roman" w:hAnsi="Times New Roman" w:cs="Times New Roman" w:eastAsia="Times New Roman" w:hint="default"/>
        </w:rPr>
        <w:t>2011</w:t>
      </w:r>
      <w:r>
        <w:rPr/>
        <w:t>年度股东会决议和修改后的章程规定，公司以未分配利润转增注册资本</w:t>
      </w:r>
      <w:r>
        <w:rPr>
          <w:rFonts w:ascii="Times New Roman" w:hAnsi="Times New Roman" w:cs="Times New Roman" w:eastAsia="Times New Roman" w:hint="default"/>
        </w:rPr>
        <w:t>10,197.77</w:t>
      </w:r>
      <w:r>
        <w:rPr/>
        <w:t>万元，</w:t>
      </w:r>
      <w:r>
        <w:rPr>
          <w:spacing w:val="1"/>
        </w:rPr>
        <w:t> </w:t>
      </w:r>
      <w:r>
        <w:rPr/>
        <w:t>转增基准日期为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日，转增后，公司注册资本增至</w:t>
      </w:r>
      <w:r>
        <w:rPr>
          <w:rFonts w:ascii="Times New Roman" w:hAnsi="Times New Roman" w:cs="Times New Roman" w:eastAsia="Times New Roman" w:hint="default"/>
        </w:rPr>
        <w:t>44,190.33</w:t>
      </w:r>
      <w:r>
        <w:rPr/>
        <w:t>万元。此次增资已由利安达会计师</w:t>
      </w:r>
      <w:r>
        <w:rPr>
          <w:spacing w:val="-64"/>
        </w:rPr>
        <w:t> </w:t>
      </w:r>
      <w:r>
        <w:rPr/>
        <w:t>事务所利安达验字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1046</w:t>
      </w:r>
      <w:r>
        <w:rPr/>
        <w:t>号验资报告验证确认，并办理了工商变更登记。</w:t>
      </w:r>
    </w:p>
    <w:p>
      <w:pPr>
        <w:pStyle w:val="Heading7"/>
        <w:spacing w:line="261" w:lineRule="auto" w:before="5"/>
        <w:ind w:right="1163" w:firstLine="411"/>
        <w:jc w:val="both"/>
      </w:pPr>
      <w:r>
        <w:rPr>
          <w:spacing w:val="-2"/>
        </w:rPr>
        <w:t>根据公司股票期权激励计划规定，经公司董事会申请、深圳证券交易所确认、中国证券登记结算有限</w:t>
      </w:r>
      <w:r>
        <w:rPr/>
        <w:t> 责任公司深圳分公司核准登记，以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日为股票行权登记日，对本次提出申请行权的激励对象的</w:t>
      </w:r>
      <w:r>
        <w:rPr>
          <w:spacing w:val="-68"/>
        </w:rPr>
        <w:t> </w:t>
      </w:r>
      <w:r>
        <w:rPr>
          <w:spacing w:val="-68"/>
        </w:rPr>
      </w:r>
      <w:r>
        <w:rPr>
          <w:rFonts w:ascii="Times New Roman" w:hAnsi="Times New Roman" w:cs="Times New Roman" w:eastAsia="Times New Roman" w:hint="default"/>
        </w:rPr>
        <w:t>1,279,860</w:t>
      </w:r>
      <w:r>
        <w:rPr/>
        <w:t>份股票期权予以行权，本次行权于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日完成验资，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日在中国证券登记结</w:t>
      </w:r>
      <w:r>
        <w:rPr>
          <w:spacing w:val="-67"/>
        </w:rPr>
        <w:t> </w:t>
      </w:r>
      <w:r>
        <w:rPr>
          <w:spacing w:val="-2"/>
        </w:rPr>
        <w:t>算有限责任公司深圳分公司完成核准登记。行权后注册资本变更为</w:t>
      </w:r>
      <w:r>
        <w:rPr>
          <w:rFonts w:ascii="Times New Roman" w:hAnsi="Times New Roman" w:cs="Times New Roman" w:eastAsia="Times New Roman" w:hint="default"/>
          <w:spacing w:val="-2"/>
        </w:rPr>
        <w:t>44,318.32</w:t>
      </w:r>
      <w:r>
        <w:rPr>
          <w:spacing w:val="-2"/>
        </w:rPr>
        <w:t>万元。此次增资已由利安达会</w:t>
      </w:r>
      <w:r>
        <w:rPr>
          <w:spacing w:val="-61"/>
        </w:rPr>
        <w:t> </w:t>
      </w:r>
      <w:r>
        <w:rPr>
          <w:spacing w:val="-61"/>
        </w:rPr>
      </w:r>
      <w:r>
        <w:rPr/>
        <w:t>计师事务所有限责任公司利安达验字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1080</w:t>
      </w:r>
      <w:r>
        <w:rPr/>
        <w:t>号验资报告验证确认，并办理了工商变更登记。</w:t>
      </w:r>
    </w:p>
    <w:p>
      <w:pPr>
        <w:pStyle w:val="Heading7"/>
        <w:spacing w:line="261" w:lineRule="auto" w:before="0"/>
        <w:ind w:right="1164" w:firstLine="411"/>
        <w:jc w:val="both"/>
      </w:pPr>
      <w:r>
        <w:rPr>
          <w:spacing w:val="-2"/>
        </w:rPr>
        <w:t>根据公司股票期权激励计划规定，经公司董事会申请、深圳证券交易所确认、中国证券登记结算有限</w:t>
      </w:r>
      <w:r>
        <w:rPr/>
        <w:t> </w:t>
      </w:r>
      <w:r>
        <w:rPr>
          <w:spacing w:val="-2"/>
        </w:rPr>
        <w:t>责任公司深圳分公司核准登记，对本次提出申请行权的激励对象的</w:t>
      </w:r>
      <w:r>
        <w:rPr>
          <w:rFonts w:ascii="Times New Roman" w:hAnsi="Times New Roman" w:cs="Times New Roman" w:eastAsia="Times New Roman" w:hint="default"/>
          <w:spacing w:val="-2"/>
        </w:rPr>
        <w:t>6,077,001</w:t>
      </w:r>
      <w:r>
        <w:rPr>
          <w:spacing w:val="-2"/>
        </w:rPr>
        <w:t>份股票期权予以行权，本次行</w:t>
      </w:r>
      <w:r>
        <w:rPr>
          <w:spacing w:val="-62"/>
        </w:rPr>
        <w:t> </w:t>
      </w:r>
      <w:r>
        <w:rPr>
          <w:spacing w:val="-62"/>
        </w:rPr>
      </w:r>
      <w:r>
        <w:rPr>
          <w:spacing w:val="-2"/>
        </w:rPr>
        <w:t>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日完成验资，中国证券登记结算有限责任公司深圳分公司已完成核准登记。行权后注册资</w:t>
      </w:r>
      <w:r>
        <w:rPr>
          <w:spacing w:val="-67"/>
        </w:rPr>
        <w:t> </w:t>
      </w:r>
      <w:r>
        <w:rPr>
          <w:spacing w:val="-67"/>
        </w:rPr>
      </w:r>
      <w:r>
        <w:rPr>
          <w:spacing w:val="12"/>
        </w:rPr>
        <w:t>本变更为</w:t>
      </w:r>
      <w:r>
        <w:rPr>
          <w:spacing w:val="-80"/>
        </w:rPr>
        <w:t> </w:t>
      </w:r>
      <w:r>
        <w:rPr>
          <w:rFonts w:ascii="Times New Roman" w:hAnsi="Times New Roman" w:cs="Times New Roman" w:eastAsia="Times New Roman" w:hint="default"/>
          <w:spacing w:val="11"/>
        </w:rPr>
        <w:t>44,926.02</w:t>
      </w:r>
      <w:r>
        <w:rPr>
          <w:spacing w:val="11"/>
        </w:rPr>
        <w:t>万元。此次增资已由国富浩华会计师事务所（特殊普通合伙）国浩验字</w:t>
      </w:r>
      <w:r>
        <w:rPr>
          <w:rFonts w:ascii="Times New Roman" w:hAnsi="Times New Roman" w:cs="Times New Roman" w:eastAsia="Times New Roman" w:hint="default"/>
          <w:spacing w:val="11"/>
        </w:rPr>
        <w:t>[2013]</w:t>
      </w:r>
      <w:r>
        <w:rPr>
          <w:rFonts w:ascii="Times New Roman" w:hAnsi="Times New Roman" w:cs="Times New Roman" w:eastAsia="Times New Roman" w:hint="default"/>
          <w:spacing w:val="-28"/>
        </w:rPr>
        <w:t> </w:t>
      </w:r>
      <w:r>
        <w:rPr/>
        <w:t>第</w:t>
      </w:r>
      <w:r>
        <w:rPr>
          <w:spacing w:val="-91"/>
        </w:rPr>
        <w:t> </w:t>
      </w:r>
      <w:r>
        <w:rPr>
          <w:rFonts w:ascii="Times New Roman" w:hAnsi="Times New Roman" w:cs="Times New Roman" w:eastAsia="Times New Roman" w:hint="default"/>
        </w:rPr>
        <w:t>016A80001</w:t>
      </w:r>
      <w:r>
        <w:rPr/>
        <w:t>号验资报告验证确认，并办理了工商变更登记。</w:t>
      </w:r>
    </w:p>
    <w:p>
      <w:pPr>
        <w:pStyle w:val="Heading7"/>
        <w:spacing w:line="256" w:lineRule="auto" w:before="0"/>
        <w:ind w:right="1165" w:firstLine="411"/>
        <w:jc w:val="both"/>
      </w:pPr>
      <w:r>
        <w:rPr>
          <w:spacing w:val="-2"/>
        </w:rPr>
        <w:t>根据公司</w:t>
      </w:r>
      <w:r>
        <w:rPr>
          <w:rFonts w:ascii="Times New Roman" w:hAnsi="Times New Roman" w:cs="Times New Roman" w:eastAsia="Times New Roman" w:hint="default"/>
          <w:spacing w:val="-2"/>
        </w:rPr>
        <w:t>2012</w:t>
      </w:r>
      <w:r>
        <w:rPr>
          <w:spacing w:val="-2"/>
        </w:rPr>
        <w:t>年度第三次临时股东大会审议通过的《远光软件股份有限公司限制性股票激励计划（修</w:t>
      </w:r>
      <w:r>
        <w:rPr/>
        <w:t> </w:t>
      </w:r>
      <w:r>
        <w:rPr>
          <w:spacing w:val="-2"/>
        </w:rPr>
        <w:t>订稿）及其摘要》及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日第四届董事会第二十五次会议决议，本次由</w:t>
      </w:r>
      <w:r>
        <w:rPr>
          <w:rFonts w:ascii="Times New Roman" w:hAnsi="Times New Roman" w:cs="Times New Roman" w:eastAsia="Times New Roman" w:hint="default"/>
          <w:spacing w:val="-2"/>
        </w:rPr>
        <w:t>295</w:t>
      </w:r>
      <w:r>
        <w:rPr>
          <w:spacing w:val="-2"/>
        </w:rPr>
        <w:t>名限制性股票激励对象</w:t>
      </w:r>
      <w:r>
        <w:rPr>
          <w:spacing w:val="-66"/>
        </w:rPr>
        <w:t> </w:t>
      </w:r>
      <w:r>
        <w:rPr>
          <w:spacing w:val="-2"/>
        </w:rPr>
        <w:t>行权，实际行权数量为</w:t>
      </w:r>
      <w:r>
        <w:rPr>
          <w:rFonts w:ascii="Times New Roman" w:hAnsi="Times New Roman" w:cs="Times New Roman" w:eastAsia="Times New Roman" w:hint="default"/>
          <w:spacing w:val="-2"/>
        </w:rPr>
        <w:t>12,494,650</w:t>
      </w:r>
      <w:r>
        <w:rPr>
          <w:spacing w:val="-2"/>
        </w:rPr>
        <w:t>份，本次行权于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日完成验资，中国证券登记结算有限责任公</w:t>
      </w:r>
      <w:r>
        <w:rPr>
          <w:spacing w:val="-61"/>
        </w:rPr>
        <w:t> </w:t>
      </w:r>
      <w:r>
        <w:rPr>
          <w:spacing w:val="-61"/>
        </w:rPr>
      </w:r>
      <w:r>
        <w:rPr>
          <w:spacing w:val="-2"/>
        </w:rPr>
        <w:t>司深圳分公司已完成核准登记。行权后注册资本变更为</w:t>
      </w:r>
      <w:r>
        <w:rPr>
          <w:rFonts w:ascii="Times New Roman" w:hAnsi="Times New Roman" w:cs="Times New Roman" w:eastAsia="Times New Roman" w:hint="default"/>
          <w:spacing w:val="-2"/>
        </w:rPr>
        <w:t>46,175.48</w:t>
      </w:r>
      <w:r>
        <w:rPr>
          <w:spacing w:val="-2"/>
        </w:rPr>
        <w:t>万元。此次增资已由国富浩华会计师事务</w:t>
      </w:r>
      <w:r>
        <w:rPr>
          <w:spacing w:val="-61"/>
        </w:rPr>
        <w:t> </w:t>
      </w:r>
      <w:r>
        <w:rPr>
          <w:spacing w:val="-61"/>
        </w:rPr>
      </w:r>
      <w:r>
        <w:rPr/>
        <w:t>所（特殊普通合伙）国浩验字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016A0002</w:t>
      </w:r>
      <w:r>
        <w:rPr/>
        <w:t>号验资报告验证确认，并办理了工商变更登记。</w:t>
      </w:r>
    </w:p>
    <w:p>
      <w:pPr>
        <w:pStyle w:val="Heading7"/>
        <w:spacing w:line="256" w:lineRule="auto" w:before="5"/>
        <w:ind w:right="1129" w:firstLine="411"/>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日，公司第四届董事会第三十一次会议审议通过了《关于回购注销部分限制性股票的议 案》，本次回购股份</w:t>
      </w:r>
      <w:r>
        <w:rPr>
          <w:rFonts w:ascii="Times New Roman" w:hAnsi="Times New Roman" w:cs="Times New Roman" w:eastAsia="Times New Roman" w:hint="default"/>
        </w:rPr>
        <w:t>38,360</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46,171.64</w:t>
      </w:r>
      <w:r>
        <w:rPr/>
        <w:t>万元。此次减资业</w:t>
      </w:r>
      <w:r>
        <w:rPr>
          <w:spacing w:val="-83"/>
        </w:rPr>
        <w:t> </w:t>
      </w:r>
      <w:r>
        <w:rPr>
          <w:spacing w:val="-83"/>
        </w:rPr>
      </w:r>
      <w:r>
        <w:rPr/>
        <w:t>经瑞华会计师事务所（特殊普通合伙）验证，并出具瑞华验字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845A0001</w:t>
      </w:r>
      <w:r>
        <w:rPr/>
        <w:t>号验资报告验证确认。</w:t>
      </w:r>
    </w:p>
    <w:p>
      <w:pPr>
        <w:pStyle w:val="Heading7"/>
        <w:spacing w:line="256" w:lineRule="auto" w:before="5"/>
        <w:ind w:right="1129" w:firstLine="41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日，公司第四届董事会第二十六次会议审议通过了《关于股票期权激励计划首次授予第</w:t>
      </w:r>
      <w:r>
        <w:rPr/>
        <w:t> </w:t>
      </w:r>
      <w:r>
        <w:rPr>
          <w:spacing w:val="-2"/>
        </w:rPr>
        <w:t>三个行权期（预留股票期权第二个行权期）可行权的议案》，本次实际行权数量为</w:t>
      </w:r>
      <w:r>
        <w:rPr>
          <w:rFonts w:ascii="Times New Roman" w:hAnsi="Times New Roman" w:cs="Times New Roman" w:eastAsia="Times New Roman" w:hint="default"/>
          <w:spacing w:val="-2"/>
        </w:rPr>
        <w:t>357,506</w:t>
      </w:r>
      <w:r>
        <w:rPr>
          <w:spacing w:val="-2"/>
        </w:rPr>
        <w:t>份，行权价格为</w:t>
      </w:r>
      <w:r>
        <w:rPr>
          <w:spacing w:val="-83"/>
        </w:rPr>
        <w:t> </w:t>
      </w:r>
      <w:r>
        <w:rPr>
          <w:spacing w:val="-83"/>
        </w:rPr>
      </w:r>
      <w:r>
        <w:rPr>
          <w:rFonts w:ascii="Times New Roman" w:hAnsi="Times New Roman" w:cs="Times New Roman" w:eastAsia="Times New Roman" w:hint="default"/>
        </w:rPr>
        <w:t>16.86</w:t>
      </w:r>
      <w:r>
        <w:rPr/>
        <w:t>元</w:t>
      </w:r>
      <w:r>
        <w:rPr>
          <w:rFonts w:ascii="Times New Roman" w:hAnsi="Times New Roman" w:cs="Times New Roman" w:eastAsia="Times New Roman" w:hint="default"/>
        </w:rPr>
        <w:t>/</w:t>
      </w:r>
      <w:r>
        <w:rPr/>
        <w:t>股。变更后贵公司总股本由人民币</w:t>
      </w:r>
      <w:r>
        <w:rPr>
          <w:rFonts w:ascii="Times New Roman" w:hAnsi="Times New Roman" w:cs="Times New Roman" w:eastAsia="Times New Roman" w:hint="default"/>
        </w:rPr>
        <w:t>46,171.64</w:t>
      </w:r>
      <w:r>
        <w:rPr/>
        <w:t>万元增加至人民币</w:t>
      </w:r>
      <w:r>
        <w:rPr>
          <w:rFonts w:ascii="Times New Roman" w:hAnsi="Times New Roman" w:cs="Times New Roman" w:eastAsia="Times New Roman" w:hint="default"/>
        </w:rPr>
        <w:t>46,207.39</w:t>
      </w:r>
      <w:r>
        <w:rPr/>
        <w:t>万元。此次增资业经瑞华</w:t>
      </w:r>
      <w:r>
        <w:rPr>
          <w:spacing w:val="-37"/>
        </w:rPr>
        <w:t> </w:t>
      </w:r>
      <w:r>
        <w:rPr>
          <w:spacing w:val="-37"/>
        </w:rPr>
      </w:r>
      <w:r>
        <w:rPr>
          <w:spacing w:val="-2"/>
        </w:rPr>
        <w:t>会计师事务所（特殊普通合伙）验证，于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日出具瑞华验字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845A0002</w:t>
      </w:r>
      <w:r>
        <w:rPr>
          <w:spacing w:val="-2"/>
        </w:rPr>
        <w:t>号验资报告验证确</w:t>
      </w:r>
      <w:r>
        <w:rPr>
          <w:spacing w:val="-102"/>
        </w:rPr>
        <w:t> </w:t>
      </w:r>
      <w:r>
        <w:rPr/>
        <w:t>认。</w:t>
      </w:r>
    </w:p>
    <w:p>
      <w:pPr>
        <w:pStyle w:val="Heading7"/>
        <w:spacing w:line="256" w:lineRule="auto" w:before="22"/>
        <w:ind w:right="1129" w:firstLine="411"/>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日，公司第四届董事会第三十三次会议审议通过了《关于回购注销部分限制性股票的议</w:t>
      </w:r>
      <w:r>
        <w:rPr/>
        <w:t> 案》，本次回购股份</w:t>
      </w:r>
      <w:r>
        <w:rPr>
          <w:rFonts w:ascii="Times New Roman" w:hAnsi="Times New Roman" w:cs="Times New Roman" w:eastAsia="Times New Roman" w:hint="default"/>
        </w:rPr>
        <w:t>19,580</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46,205.44</w:t>
      </w:r>
      <w:r>
        <w:rPr/>
        <w:t>万元。此次减资业</w:t>
      </w:r>
      <w:r>
        <w:rPr>
          <w:spacing w:val="-83"/>
        </w:rPr>
        <w:t> </w:t>
      </w:r>
      <w:r>
        <w:rPr>
          <w:spacing w:val="-83"/>
        </w:rPr>
      </w:r>
      <w:r>
        <w:rPr/>
        <w:t>经瑞华会计师事务所（特殊普通合伙）验证，并出具瑞华验字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845A0003</w:t>
      </w:r>
      <w:r>
        <w:rPr/>
        <w:t>号验资报告验证确认。</w:t>
      </w:r>
    </w:p>
    <w:p>
      <w:pPr>
        <w:pStyle w:val="Heading7"/>
        <w:spacing w:line="256" w:lineRule="auto" w:before="5"/>
        <w:ind w:right="1129" w:firstLine="411"/>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日，公司第五届董事会第三次会议审议通过了《关于回购注销部分限制性股票的议案》，</w:t>
      </w:r>
      <w:r>
        <w:rPr/>
        <w:t> 本次回购股份</w:t>
      </w:r>
      <w:r>
        <w:rPr>
          <w:rFonts w:ascii="Times New Roman" w:hAnsi="Times New Roman" w:cs="Times New Roman" w:eastAsia="Times New Roman" w:hint="default"/>
        </w:rPr>
        <w:t>56,041</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46,199.83</w:t>
      </w:r>
      <w:r>
        <w:rPr/>
        <w:t>万元。此次减资业经瑞华</w:t>
      </w:r>
      <w:r>
        <w:rPr>
          <w:spacing w:val="-83"/>
        </w:rPr>
        <w:t> </w:t>
      </w:r>
      <w:r>
        <w:rPr>
          <w:spacing w:val="-83"/>
        </w:rPr>
      </w:r>
      <w:r>
        <w:rPr/>
        <w:t>会计师事务所（特殊普通合伙）验证，并出具瑞华验字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40030003</w:t>
      </w:r>
      <w:r>
        <w:rPr/>
        <w:t>号验资报告验证确认。</w:t>
      </w:r>
    </w:p>
    <w:p>
      <w:pPr>
        <w:pStyle w:val="Heading7"/>
        <w:spacing w:line="256" w:lineRule="auto" w:before="5"/>
        <w:ind w:right="1130" w:firstLine="411"/>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日，公司第五届董事会第十次会议审议通过了《关于回购注销</w:t>
      </w:r>
      <w:r>
        <w:rPr>
          <w:rFonts w:ascii="Times New Roman" w:hAnsi="Times New Roman" w:cs="Times New Roman" w:eastAsia="Times New Roman" w:hint="default"/>
        </w:rPr>
        <w:t>2012</w:t>
      </w:r>
      <w:r>
        <w:rPr/>
        <w:t>年限制性股票激励计 </w:t>
      </w:r>
      <w:r>
        <w:rPr>
          <w:spacing w:val="6"/>
        </w:rPr>
        <w:t>划部分限制性股票的议案》，本次回购股份</w:t>
      </w:r>
      <w:r>
        <w:rPr>
          <w:rFonts w:ascii="Times New Roman" w:hAnsi="Times New Roman" w:cs="Times New Roman" w:eastAsia="Times New Roman" w:hint="default"/>
          <w:spacing w:val="6"/>
        </w:rPr>
        <w:t>228,180</w:t>
      </w:r>
      <w:r>
        <w:rPr>
          <w:spacing w:val="6"/>
        </w:rPr>
        <w:t>份，回购价格为</w:t>
      </w:r>
      <w:r>
        <w:rPr>
          <w:rFonts w:ascii="Times New Roman" w:hAnsi="Times New Roman" w:cs="Times New Roman" w:eastAsia="Times New Roman" w:hint="default"/>
          <w:spacing w:val="6"/>
        </w:rPr>
        <w:t>7.64</w:t>
      </w:r>
      <w:r>
        <w:rPr>
          <w:spacing w:val="6"/>
        </w:rPr>
        <w:t>元</w:t>
      </w:r>
      <w:r>
        <w:rPr>
          <w:rFonts w:ascii="Times New Roman" w:hAnsi="Times New Roman" w:cs="Times New Roman" w:eastAsia="Times New Roman" w:hint="default"/>
          <w:spacing w:val="6"/>
        </w:rPr>
        <w:t>/</w:t>
      </w:r>
      <w:r>
        <w:rPr>
          <w:spacing w:val="6"/>
        </w:rPr>
        <w:t>股。回购后的股本为人民币</w:t>
      </w:r>
      <w:r>
        <w:rPr>
          <w:spacing w:val="-89"/>
        </w:rPr>
        <w:t> </w:t>
      </w:r>
      <w:r>
        <w:rPr>
          <w:spacing w:val="-89"/>
        </w:rPr>
      </w:r>
      <w:r>
        <w:rPr>
          <w:rFonts w:ascii="Times New Roman" w:hAnsi="Times New Roman" w:cs="Times New Roman" w:eastAsia="Times New Roman" w:hint="default"/>
          <w:spacing w:val="-3"/>
        </w:rPr>
        <w:t>46,177.01</w:t>
      </w:r>
      <w:r>
        <w:rPr>
          <w:spacing w:val="-3"/>
        </w:rPr>
        <w:t>万元。此次减资业经瑞华会计师事务所（特殊普通合伙）验证，并出具瑞华验字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40030007</w:t>
      </w:r>
      <w:r>
        <w:rPr>
          <w:rFonts w:ascii="Times New Roman" w:hAnsi="Times New Roman" w:cs="Times New Roman" w:eastAsia="Times New Roman" w:hint="default"/>
          <w:spacing w:val="-41"/>
        </w:rPr>
        <w:t> </w:t>
      </w:r>
      <w:r>
        <w:rPr/>
        <w:t>号验资报告验证确认。</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4" w:lineRule="auto" w:before="35"/>
        <w:ind w:left="154" w:right="1132" w:firstLine="411"/>
        <w:jc w:val="both"/>
        <w:rPr>
          <w:sz w:val="23"/>
          <w:szCs w:val="23"/>
        </w:rPr>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日，公司</w:t>
      </w:r>
      <w:r>
        <w:rPr>
          <w:rFonts w:ascii="Times New Roman" w:hAnsi="Times New Roman" w:cs="Times New Roman" w:eastAsia="Times New Roman" w:hint="default"/>
          <w:spacing w:val="-1"/>
        </w:rPr>
        <w:t>2014</w:t>
      </w:r>
      <w:r>
        <w:rPr>
          <w:spacing w:val="-1"/>
        </w:rPr>
        <w:t>年第一次临时股东大会审议通过了《</w:t>
      </w:r>
      <w:r>
        <w:rPr>
          <w:rFonts w:ascii="Times New Roman" w:hAnsi="Times New Roman" w:cs="Times New Roman" w:eastAsia="Times New Roman" w:hint="default"/>
          <w:spacing w:val="-1"/>
        </w:rPr>
        <w:t>2014</w:t>
      </w:r>
      <w:r>
        <w:rPr>
          <w:spacing w:val="-1"/>
        </w:rPr>
        <w:t>年限制性股票激励计划（草案修</w:t>
      </w:r>
      <w:r>
        <w:rPr/>
        <w:t> 订稿）及其摘要》，公司自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日共回购</w:t>
      </w:r>
      <w:r>
        <w:rPr>
          <w:rFonts w:ascii="Times New Roman" w:hAnsi="Times New Roman" w:cs="Times New Roman" w:eastAsia="Times New Roman" w:hint="default"/>
          <w:sz w:val="23"/>
          <w:szCs w:val="23"/>
        </w:rPr>
        <w:t>8,595,724</w:t>
      </w:r>
      <w:r>
        <w:rPr>
          <w:sz w:val="23"/>
          <w:szCs w:val="23"/>
        </w:rPr>
        <w:t>股。</w:t>
      </w:r>
    </w:p>
    <w:p>
      <w:pPr>
        <w:pStyle w:val="Heading7"/>
        <w:spacing w:line="240" w:lineRule="auto" w:before="3"/>
        <w:ind w:left="565" w:right="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日，公司第五届董事会第十四次会议决议，公司计划一次性授予激励对象限制性股票</w:t>
      </w:r>
    </w:p>
    <w:p>
      <w:pPr>
        <w:pStyle w:val="Heading7"/>
        <w:spacing w:line="256" w:lineRule="auto" w:before="21"/>
        <w:ind w:left="154" w:right="1128"/>
        <w:jc w:val="both"/>
      </w:pPr>
      <w:r>
        <w:rPr>
          <w:rFonts w:ascii="Times New Roman" w:hAnsi="Times New Roman" w:cs="Times New Roman" w:eastAsia="Times New Roman" w:hint="default"/>
          <w:spacing w:val="-2"/>
        </w:rPr>
        <w:t>8,541,124</w:t>
      </w:r>
      <w:r>
        <w:rPr>
          <w:spacing w:val="-2"/>
        </w:rPr>
        <w:t>股，授予日为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日，授予的价格为每股人民币</w:t>
      </w:r>
      <w:r>
        <w:rPr>
          <w:rFonts w:ascii="Times New Roman" w:hAnsi="Times New Roman" w:cs="Times New Roman" w:eastAsia="Times New Roman" w:hint="default"/>
          <w:spacing w:val="-2"/>
        </w:rPr>
        <w:t>10.9645</w:t>
      </w:r>
      <w:r>
        <w:rPr>
          <w:spacing w:val="-2"/>
        </w:rPr>
        <w:t>元，限制性股票来源为公司已回</w:t>
      </w:r>
      <w:r>
        <w:rPr>
          <w:spacing w:val="-69"/>
        </w:rPr>
        <w:t> </w:t>
      </w:r>
      <w:r>
        <w:rPr>
          <w:spacing w:val="-69"/>
        </w:rPr>
      </w:r>
      <w:r>
        <w:rPr/>
        <w:t>购的股份。本次限制性股票授予业经瑞华会计师事务所（特殊普通合伙）验证，并出具瑞华验字</w:t>
      </w:r>
      <w:r>
        <w:rPr>
          <w:rFonts w:ascii="Times New Roman" w:hAnsi="Times New Roman" w:cs="Times New Roman" w:eastAsia="Times New Roman" w:hint="default"/>
        </w:rPr>
        <w:t>[2014]</w:t>
      </w:r>
      <w:r>
        <w:rPr/>
        <w:t>第</w:t>
      </w:r>
      <w:r>
        <w:rPr>
          <w:spacing w:val="-63"/>
        </w:rPr>
        <w:t> </w:t>
      </w:r>
      <w:r>
        <w:rPr>
          <w:rFonts w:ascii="Times New Roman" w:hAnsi="Times New Roman" w:cs="Times New Roman" w:eastAsia="Times New Roman" w:hint="default"/>
        </w:rPr>
        <w:t>40030009</w:t>
      </w:r>
      <w:r>
        <w:rPr/>
        <w:t>号验资报告验证确认。</w:t>
      </w:r>
    </w:p>
    <w:p>
      <w:pPr>
        <w:pStyle w:val="Heading7"/>
        <w:tabs>
          <w:tab w:pos="5131" w:val="left" w:leader="none"/>
        </w:tabs>
        <w:spacing w:line="261" w:lineRule="auto" w:before="5"/>
        <w:ind w:left="489" w:right="1958" w:firstLine="75"/>
        <w:jc w:val="left"/>
      </w:pPr>
      <w:r>
        <w:rPr/>
        <w:t>公司行业性质：</w:t>
      </w:r>
      <w:r>
        <w:rPr>
          <w:rFonts w:ascii="Times New Roman" w:hAnsi="Times New Roman" w:cs="Times New Roman" w:eastAsia="Times New Roman" w:hint="default"/>
        </w:rPr>
        <w:t>IT</w:t>
      </w:r>
      <w:r>
        <w:rPr/>
        <w:t>行业。 公司经营范围：计算机软件的开发和销售，计算机软硬件系统集成，计算机技术咨询服务。 公司住所：广东省珠海市港湾大道科技一路</w:t>
      </w:r>
      <w:r>
        <w:rPr>
          <w:rFonts w:ascii="Times New Roman" w:hAnsi="Times New Roman" w:cs="Times New Roman" w:eastAsia="Times New Roman" w:hint="default"/>
        </w:rPr>
        <w:t>3</w:t>
      </w:r>
      <w:r>
        <w:rPr/>
        <w:t>号</w:t>
        <w:tab/>
        <w:t>法定代表人：陈利浩。 公司的主营业务：提供电力行业财务和管理信息化全面解决方案。</w:t>
      </w:r>
    </w:p>
    <w:p>
      <w:pPr>
        <w:pStyle w:val="Heading7"/>
        <w:spacing w:line="624" w:lineRule="exact" w:before="76"/>
        <w:ind w:left="489" w:right="1124"/>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日决议批准报出。 </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日，本公司纳入合并范围的子公司共</w:t>
      </w:r>
      <w:r>
        <w:rPr>
          <w:rFonts w:ascii="Times New Roman" w:hAnsi="Times New Roman" w:cs="Times New Roman" w:eastAsia="Times New Roman" w:hint="default"/>
          <w:spacing w:val="-2"/>
        </w:rPr>
        <w:t>6</w:t>
      </w:r>
      <w:r>
        <w:rPr>
          <w:spacing w:val="-2"/>
        </w:rPr>
        <w:t>户，详见本节</w:t>
      </w:r>
      <w:r>
        <w:rPr>
          <w:rFonts w:ascii="Times New Roman" w:hAnsi="Times New Roman" w:cs="Times New Roman" w:eastAsia="Times New Roman" w:hint="default"/>
          <w:spacing w:val="-2"/>
        </w:rPr>
        <w:t>“</w:t>
      </w:r>
      <w:r>
        <w:rPr>
          <w:spacing w:val="-2"/>
        </w:rPr>
        <w:t>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w:t>
      </w:r>
      <w:r>
        <w:rPr>
          <w:spacing w:val="-35"/>
        </w:rPr>
        <w:t> </w:t>
      </w:r>
      <w:r>
        <w:rPr/>
        <w:t>本</w:t>
      </w:r>
    </w:p>
    <w:p>
      <w:pPr>
        <w:pStyle w:val="Heading7"/>
        <w:spacing w:line="233" w:lineRule="exact" w:before="0"/>
        <w:ind w:right="0"/>
        <w:jc w:val="both"/>
      </w:pPr>
      <w:r>
        <w:rPr/>
        <w:t>公司本年度合并范围比上年度增加</w:t>
      </w:r>
      <w:r>
        <w:rPr>
          <w:rFonts w:ascii="Times New Roman" w:hAnsi="Times New Roman" w:cs="Times New Roman" w:eastAsia="Times New Roman" w:hint="default"/>
        </w:rPr>
        <w:t>3</w:t>
      </w:r>
      <w:r>
        <w:rPr/>
        <w:t>户，详见本节</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四、财务报表的编制基础" w:id="151"/>
      <w:bookmarkEnd w:id="15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编制基础" w:id="152"/>
      <w:bookmarkEnd w:id="15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7"/>
        <w:spacing w:line="261" w:lineRule="auto" w:before="0"/>
        <w:ind w:right="1126" w:firstLine="420"/>
        <w:jc w:val="both"/>
      </w:pPr>
      <w:r>
        <w:rPr>
          <w:spacing w:val="-1"/>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2"/>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7"/>
        </w:rPr>
        <w:t> </w:t>
      </w:r>
      <w:r>
        <w:rPr/>
        <w:t>的一般规定》（</w:t>
      </w:r>
      <w:r>
        <w:rPr>
          <w:rFonts w:ascii="Times New Roman" w:hAnsi="Times New Roman" w:cs="Times New Roman" w:eastAsia="Times New Roman" w:hint="default"/>
        </w:rPr>
        <w:t>2014</w:t>
      </w:r>
      <w:r>
        <w:rPr/>
        <w:t>年修订）的披露规定编制。</w:t>
      </w:r>
    </w:p>
    <w:p>
      <w:pPr>
        <w:pStyle w:val="Heading5"/>
        <w:spacing w:line="259" w:lineRule="auto"/>
        <w:ind w:right="1131"/>
        <w:jc w:val="both"/>
        <w:rPr>
          <w:i w:val="0"/>
        </w:rPr>
      </w:pPr>
      <w:r>
        <w:rPr>
          <w:spacing w:val="-1"/>
          <w:w w:val="95"/>
        </w:rPr>
        <w:t>根据企业会计准则的相关规定，本公司会计核算以权责发生制为基础。除某些金融工具外，本财务报</w:t>
      </w:r>
      <w:r>
        <w:rPr>
          <w:w w:val="95"/>
        </w:rPr>
        <w:t> </w:t>
      </w:r>
      <w:r>
        <w:rPr/>
        <w:t>表均以历史成本为计量基础。资产如果发生减值，则按照相关规定计提相应的减值准备。</w:t>
      </w:r>
      <w:r>
        <w:rPr>
          <w:i w:val="0"/>
        </w:rPr>
      </w:r>
    </w:p>
    <w:p>
      <w:pPr>
        <w:spacing w:line="240" w:lineRule="auto" w:before="0"/>
        <w:rPr>
          <w:rFonts w:ascii="宋体" w:hAnsi="宋体" w:cs="宋体" w:eastAsia="宋体" w:hint="default"/>
          <w:i/>
          <w:sz w:val="22"/>
          <w:szCs w:val="22"/>
        </w:rPr>
      </w:pPr>
    </w:p>
    <w:p>
      <w:pPr>
        <w:spacing w:line="240" w:lineRule="auto" w:before="3"/>
        <w:rPr>
          <w:rFonts w:ascii="宋体" w:hAnsi="宋体" w:cs="宋体" w:eastAsia="宋体" w:hint="default"/>
          <w:i/>
          <w:sz w:val="26"/>
          <w:szCs w:val="26"/>
        </w:rPr>
      </w:pPr>
    </w:p>
    <w:p>
      <w:pPr>
        <w:pStyle w:val="Heading6"/>
        <w:spacing w:line="240" w:lineRule="auto"/>
        <w:ind w:right="0"/>
        <w:jc w:val="both"/>
        <w:rPr>
          <w:b w:val="0"/>
          <w:bCs w:val="0"/>
        </w:rPr>
      </w:pPr>
      <w:bookmarkStart w:name="2、持续经营" w:id="153"/>
      <w:bookmarkEnd w:id="15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68" w:lineRule="auto" w:before="0"/>
        <w:ind w:right="1116"/>
        <w:jc w:val="left"/>
        <w:rPr>
          <w:sz w:val="22"/>
          <w:szCs w:val="22"/>
        </w:rPr>
      </w:pPr>
      <w:r>
        <w:rPr/>
        <w:t>本公司自报告期末起</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个月内仍具有较强的持续经营能力，未发现对公司持续经营能力产生重大影响的事项或其他重要影 响因素</w:t>
      </w:r>
      <w:r>
        <w:rPr>
          <w:sz w:val="22"/>
          <w:szCs w:val="22"/>
        </w:rPr>
        <w:t>。</w:t>
      </w:r>
    </w:p>
    <w:p>
      <w:pPr>
        <w:spacing w:line="240" w:lineRule="auto" w:before="8"/>
        <w:rPr>
          <w:rFonts w:ascii="宋体" w:hAnsi="宋体" w:cs="宋体" w:eastAsia="宋体" w:hint="default"/>
          <w:sz w:val="21"/>
          <w:szCs w:val="21"/>
        </w:rPr>
      </w:pPr>
    </w:p>
    <w:p>
      <w:pPr>
        <w:pStyle w:val="Heading2"/>
        <w:spacing w:line="240" w:lineRule="auto"/>
        <w:ind w:left="154" w:right="0"/>
        <w:jc w:val="both"/>
        <w:rPr>
          <w:b w:val="0"/>
          <w:bCs w:val="0"/>
        </w:rPr>
      </w:pPr>
      <w:bookmarkStart w:name="五、重要会计政策及会计估计" w:id="154"/>
      <w:bookmarkEnd w:id="15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具体会计政策和会计估计提示：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line="610" w:lineRule="atLeast" w:before="0"/>
        <w:ind w:left="489" w:right="1177" w:hanging="336"/>
        <w:jc w:val="left"/>
        <w:rPr>
          <w:rFonts w:ascii="宋体" w:hAnsi="宋体" w:cs="宋体" w:eastAsia="宋体" w:hint="default"/>
          <w:sz w:val="21"/>
          <w:szCs w:val="21"/>
        </w:rPr>
      </w:pPr>
      <w:bookmarkStart w:name="1、遵循企业会计准则的声明" w:id="155"/>
      <w:bookmarkEnd w:id="1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本公司编制的财务报表符合企业会计准则的要求，真实、完整地反映了本公司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日的财务</w:t>
      </w:r>
    </w:p>
    <w:p>
      <w:pPr>
        <w:pStyle w:val="Heading7"/>
        <w:spacing w:line="240" w:lineRule="auto" w:before="21"/>
        <w:ind w:right="0"/>
        <w:jc w:val="both"/>
      </w:pPr>
      <w:r>
        <w:rPr/>
        <w:t>状况及</w:t>
      </w:r>
      <w:r>
        <w:rPr>
          <w:rFonts w:ascii="Times New Roman" w:hAnsi="Times New Roman" w:cs="Times New Roman" w:eastAsia="Times New Roman" w:hint="default"/>
        </w:rPr>
        <w:t>2014</w:t>
      </w:r>
      <w:r>
        <w:rPr/>
        <w:t>年度的经营成果和现金流量等有关信息。此外，本公司的财务报表在所有重大方面符合中国证</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56" w:lineRule="auto" w:before="35"/>
        <w:ind w:right="0"/>
        <w:jc w:val="left"/>
      </w:pP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w:t>
      </w:r>
      <w:r>
        <w:rPr>
          <w:spacing w:val="-36"/>
        </w:rPr>
        <w:t> </w:t>
      </w:r>
      <w:r>
        <w:rPr>
          <w:spacing w:val="-36"/>
        </w:rPr>
      </w:r>
      <w:r>
        <w:rPr/>
        <w:t>有关财务报表及其附注的披露要求。</w:t>
      </w:r>
    </w:p>
    <w:p>
      <w:pPr>
        <w:spacing w:line="240" w:lineRule="auto" w:before="10"/>
        <w:rPr>
          <w:rFonts w:ascii="宋体" w:hAnsi="宋体" w:cs="宋体" w:eastAsia="宋体" w:hint="default"/>
          <w:sz w:val="24"/>
          <w:szCs w:val="24"/>
        </w:rPr>
      </w:pPr>
    </w:p>
    <w:p>
      <w:pPr>
        <w:pStyle w:val="Heading6"/>
        <w:spacing w:line="240" w:lineRule="auto"/>
        <w:ind w:right="0"/>
        <w:jc w:val="left"/>
        <w:rPr>
          <w:b w:val="0"/>
          <w:bCs w:val="0"/>
        </w:rPr>
      </w:pPr>
      <w:bookmarkStart w:name="2、会计期间" w:id="156"/>
      <w:bookmarkEnd w:id="15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23"/>
          <w:szCs w:val="23"/>
        </w:rPr>
      </w:pPr>
    </w:p>
    <w:p>
      <w:pPr>
        <w:pStyle w:val="Heading4"/>
        <w:spacing w:line="249" w:lineRule="auto"/>
        <w:ind w:right="0" w:firstLine="459"/>
        <w:jc w:val="left"/>
      </w:pPr>
      <w:r>
        <w:rPr>
          <w:spacing w:val="-3"/>
        </w:rPr>
        <w:t>本公司的会计期间分为年度和中期，会计中期指短于一个完整的会计年度的报告期间。本公</w:t>
      </w:r>
      <w:r>
        <w:rPr>
          <w:w w:val="100"/>
        </w:rPr>
        <w:t> </w:t>
      </w:r>
      <w:r>
        <w:rPr/>
        <w:t>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6"/>
        <w:spacing w:line="240" w:lineRule="auto"/>
        <w:ind w:right="0"/>
        <w:jc w:val="left"/>
        <w:rPr>
          <w:b w:val="0"/>
          <w:bCs w:val="0"/>
        </w:rPr>
      </w:pPr>
      <w:bookmarkStart w:name="3、营业周期" w:id="157"/>
      <w:bookmarkEnd w:id="15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3"/>
          <w:szCs w:val="23"/>
        </w:rPr>
      </w:pPr>
    </w:p>
    <w:p>
      <w:pPr>
        <w:pStyle w:val="Heading4"/>
        <w:spacing w:line="249" w:lineRule="auto"/>
        <w:ind w:right="0" w:firstLine="369"/>
        <w:jc w:val="left"/>
      </w:pPr>
      <w:r>
        <w:rPr>
          <w:spacing w:val="-1"/>
        </w:rPr>
        <w:t>正常营业周期是指本公司从购买用于加工的资产起至实现现金或现金等价物的期间。本公司</w:t>
      </w:r>
      <w:r>
        <w:rPr>
          <w:w w:val="100"/>
        </w:rPr>
        <w:t> </w:t>
      </w:r>
      <w:r>
        <w:rPr/>
        <w:t>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12"/>
        <w:rPr>
          <w:rFonts w:ascii="宋体" w:hAnsi="宋体" w:cs="宋体" w:eastAsia="宋体" w:hint="default"/>
          <w:sz w:val="22"/>
          <w:szCs w:val="22"/>
        </w:rPr>
      </w:pPr>
    </w:p>
    <w:p>
      <w:pPr>
        <w:pStyle w:val="Heading6"/>
        <w:spacing w:line="240" w:lineRule="auto"/>
        <w:ind w:right="0"/>
        <w:jc w:val="left"/>
        <w:rPr>
          <w:b w:val="0"/>
          <w:bCs w:val="0"/>
        </w:rPr>
      </w:pPr>
      <w:bookmarkStart w:name="4、记账本位币" w:id="158"/>
      <w:bookmarkEnd w:id="15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573" w:right="0"/>
        <w:jc w:val="left"/>
      </w:pPr>
      <w:r>
        <w:rPr/>
        <w:t>公司以人民币为记账本位币。</w:t>
      </w:r>
    </w:p>
    <w:p>
      <w:pPr>
        <w:spacing w:line="240" w:lineRule="auto" w:before="11"/>
        <w:rPr>
          <w:rFonts w:ascii="宋体" w:hAnsi="宋体" w:cs="宋体" w:eastAsia="宋体" w:hint="default"/>
          <w:sz w:val="26"/>
          <w:szCs w:val="26"/>
        </w:rPr>
      </w:pPr>
    </w:p>
    <w:p>
      <w:pPr>
        <w:spacing w:line="590" w:lineRule="atLeast" w:before="0"/>
        <w:ind w:left="576" w:right="0" w:hanging="423"/>
        <w:jc w:val="left"/>
        <w:rPr>
          <w:rFonts w:ascii="宋体" w:hAnsi="宋体" w:cs="宋体" w:eastAsia="宋体" w:hint="default"/>
          <w:sz w:val="21"/>
          <w:szCs w:val="21"/>
        </w:rPr>
      </w:pPr>
      <w:bookmarkStart w:name="5、同一控制下和非同一控制下企业合并的会计处理方法" w:id="159"/>
      <w:bookmarkEnd w:id="1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Heading7"/>
        <w:spacing w:line="240" w:lineRule="auto" w:before="37"/>
        <w:ind w:left="156" w:right="0"/>
        <w:jc w:val="left"/>
      </w:pPr>
      <w:r>
        <w:rPr/>
        <w:t>一控制下企业合并和非同一控制下企业合并。</w:t>
      </w:r>
    </w:p>
    <w:p>
      <w:pPr>
        <w:pStyle w:val="Heading7"/>
        <w:spacing w:line="256" w:lineRule="auto" w:before="37"/>
        <w:ind w:left="573"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w:t>
      </w:r>
    </w:p>
    <w:p>
      <w:pPr>
        <w:pStyle w:val="Heading7"/>
        <w:spacing w:line="273" w:lineRule="auto" w:before="22"/>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Heading7"/>
        <w:spacing w:line="273" w:lineRule="auto"/>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Heading7"/>
        <w:spacing w:line="240" w:lineRule="auto"/>
        <w:ind w:left="573" w:right="0"/>
        <w:jc w:val="left"/>
      </w:pPr>
      <w:r>
        <w:rPr/>
        <w:t>合并方为进行企业合并发生的各项直接费用，于发生时计入当期损益。</w:t>
      </w:r>
    </w:p>
    <w:p>
      <w:pPr>
        <w:pStyle w:val="Heading7"/>
        <w:spacing w:line="256" w:lineRule="auto" w:before="37"/>
        <w:ind w:left="573"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w:t>
      </w:r>
    </w:p>
    <w:p>
      <w:pPr>
        <w:pStyle w:val="Heading7"/>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Heading7"/>
        <w:spacing w:line="271" w:lineRule="auto"/>
        <w:ind w:right="0" w:firstLine="420"/>
        <w:jc w:val="left"/>
      </w:pPr>
      <w:r>
        <w:rPr>
          <w:spacing w:val="-1"/>
        </w:rPr>
        <w:t>对于非同一控制下的企业合并，合并成本包含购买日购买方为取得对被购买方的控制权而付出的资产、</w:t>
      </w:r>
      <w:r>
        <w:rPr/>
        <w:t>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rFonts w:ascii="Times New Roman" w:hAnsi="Times New Roman" w:cs="Times New Roman" w:eastAsia="Times New Roman" w:hint="default"/>
        </w:rPr>
        <w:t>12</w:t>
      </w:r>
      <w:r>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68" w:lineRule="auto" w:before="35"/>
        <w:ind w:right="83" w:firstLine="420"/>
        <w:jc w:val="left"/>
      </w:pPr>
      <w:r>
        <w:rPr>
          <w:spacing w:val="-1"/>
        </w:rPr>
        <w:t>购买方取得被购买方的可抵扣暂时性差异，在购买日因不符合递延所得税资产确认条件而未予确认的，</w:t>
      </w:r>
      <w:r>
        <w:rPr/>
        <w:t> 在购买日后</w:t>
      </w:r>
      <w:r>
        <w:rPr>
          <w:rFonts w:ascii="Times New Roman" w:hAnsi="Times New Roman" w:cs="Times New Roman" w:eastAsia="Times New Roman" w:hint="default"/>
        </w:rPr>
        <w:t>12</w:t>
      </w:r>
      <w:r>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Heading7"/>
        <w:spacing w:line="256" w:lineRule="auto" w:before="12"/>
        <w:ind w:right="1128" w:firstLine="42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的判断标准（参见本附注四、（五）），判断该多次交易是否属于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84"/>
        </w:rPr>
        <w:t> </w:t>
      </w:r>
      <w:r>
        <w:rPr/>
        <w:t>参考本部分前面各段描述及本节五、（十四）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w:t>
      </w:r>
      <w:r>
        <w:rPr>
          <w:spacing w:val="-83"/>
        </w:rPr>
        <w:t> </w:t>
      </w:r>
      <w:r>
        <w:rPr/>
        <w:t>分个别财务报表和合并财务报表进行相关会计处理：</w:t>
      </w:r>
    </w:p>
    <w:p>
      <w:pPr>
        <w:pStyle w:val="Heading7"/>
        <w:spacing w:line="273" w:lineRule="auto" w:before="22"/>
        <w:ind w:left="154" w:right="0" w:firstLine="420"/>
        <w:jc w:val="left"/>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Heading7"/>
        <w:spacing w:line="273" w:lineRule="auto"/>
        <w:ind w:left="154"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54" w:right="0"/>
        <w:jc w:val="both"/>
        <w:rPr>
          <w:b w:val="0"/>
          <w:bCs w:val="0"/>
        </w:rPr>
      </w:pPr>
      <w:bookmarkStart w:name="6、合并财务报表的编制方法" w:id="160"/>
      <w:bookmarkEnd w:id="16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7"/>
        <w:spacing w:line="256" w:lineRule="auto" w:before="0"/>
        <w:ind w:left="574" w:right="0"/>
        <w:jc w:val="left"/>
      </w:pP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w:t>
      </w:r>
    </w:p>
    <w:p>
      <w:pPr>
        <w:pStyle w:val="Heading7"/>
        <w:spacing w:line="273" w:lineRule="auto" w:before="22"/>
        <w:ind w:left="154"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Heading7"/>
        <w:spacing w:line="240" w:lineRule="auto"/>
        <w:ind w:left="574" w:right="0"/>
        <w:jc w:val="left"/>
      </w:pPr>
      <w:r>
        <w:rPr/>
        <w:t>一旦相关事实和情况的变化导致上述控制定义涉及的相关要素发生了变化，本公司将进行重新评估。</w:t>
      </w:r>
    </w:p>
    <w:p>
      <w:pPr>
        <w:pStyle w:val="Heading7"/>
        <w:spacing w:line="256" w:lineRule="auto" w:before="37"/>
        <w:ind w:left="57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w:t>
      </w:r>
    </w:p>
    <w:p>
      <w:pPr>
        <w:pStyle w:val="Heading7"/>
        <w:spacing w:line="273" w:lineRule="auto" w:before="22"/>
        <w:ind w:left="154"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Heading7"/>
        <w:spacing w:line="273" w:lineRule="auto"/>
        <w:ind w:left="154"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Heading7"/>
        <w:spacing w:line="273" w:lineRule="auto" w:before="8"/>
        <w:ind w:left="573"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Heading7"/>
        <w:spacing w:line="273"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left="573" w:right="0" w:hanging="420"/>
        <w:jc w:val="left"/>
      </w:pPr>
      <w:r>
        <w:rPr/>
        <w:t>该子公司期初股东权益中所享有的份额，冲减少数股东权益。 </w:t>
      </w:r>
      <w:r>
        <w:rPr>
          <w:spacing w:val="-2"/>
        </w:rPr>
        <w:t>当因处置部分股权投资或其他原因丧失了对原有子公司的控制权时，对于剩余股权，按照其在丧失控</w:t>
      </w:r>
    </w:p>
    <w:p>
      <w:pPr>
        <w:pStyle w:val="Heading7"/>
        <w:spacing w:line="268" w:lineRule="auto"/>
        <w:ind w:right="0"/>
        <w:jc w:val="left"/>
      </w:pPr>
      <w:r>
        <w:rPr/>
        <w:t>制权日的公允价值进行重新计量。处置股权取得的对价与剩余股权公允价值之和，减去按原持股比例计算 应享有原有子公司自购买日开始持续计算的净资产的份额之间的差额，计入丧失控制权当期的投资收益。</w:t>
      </w:r>
      <w:r>
        <w:rPr>
          <w:spacing w:val="-67"/>
        </w:rPr>
        <w:t> </w:t>
      </w:r>
      <w:r>
        <w:rPr>
          <w:spacing w:val="-67"/>
        </w:rPr>
      </w:r>
      <w:r>
        <w:rPr/>
        <w:t>与原有子公司股权投资相关的其他综合收益，在丧失控制权时采用与被购买方直接处置相关资产或负债相</w:t>
      </w:r>
      <w:r>
        <w:rPr/>
        <w:t> </w:t>
      </w:r>
      <w:r>
        <w:rPr>
          <w:spacing w:val="-4"/>
        </w:rPr>
        <w:t>同的基础进行会计处理（即，除了在该原有子公司重新计量设定受益计划净负债或净资产导致的变动以外，</w:t>
      </w:r>
      <w:r>
        <w:rPr>
          <w:spacing w:val="-79"/>
        </w:rPr>
        <w:t> </w:t>
      </w:r>
      <w:r>
        <w:rPr>
          <w:spacing w:val="-79"/>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spacing w:val="-64"/>
        </w:rPr>
        <w:t> </w:t>
      </w:r>
      <w:r>
        <w:rPr>
          <w:spacing w:val="-64"/>
        </w:rPr>
      </w:r>
      <w:r>
        <w:rPr/>
        <w:t>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w:t>
      </w:r>
    </w:p>
    <w:p>
      <w:pPr>
        <w:pStyle w:val="Heading7"/>
        <w:spacing w:line="268" w:lineRule="auto" w:before="0"/>
        <w:ind w:right="1117" w:firstLine="42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公司的长期股权投资</w:t>
      </w:r>
      <w:r>
        <w:rPr>
          <w:rFonts w:ascii="Times New Roman" w:hAnsi="Times New Roman" w:cs="Times New Roman" w:eastAsia="Times New Roman" w:hint="default"/>
        </w:rPr>
        <w:t>”</w:t>
      </w:r>
      <w:r>
        <w:rPr/>
        <w:t>（详见本节、（十四））和</w:t>
      </w:r>
      <w:r>
        <w:rPr>
          <w:rFonts w:ascii="Times New Roman" w:hAnsi="Times New Roman" w:cs="Times New Roman" w:eastAsia="Times New Roman" w:hint="default"/>
        </w:rPr>
        <w:t>“</w:t>
      </w:r>
      <w:r>
        <w:rPr/>
        <w:t>因处置部分股权投资或其他原因丧失了对原有子公司的 控制权</w:t>
      </w:r>
      <w:r>
        <w:rPr>
          <w:rFonts w:ascii="Times New Roman" w:hAnsi="Times New Roman" w:cs="Times New Roman" w:eastAsia="Times New Roman" w:hint="default"/>
        </w:rPr>
        <w:t>”</w:t>
      </w:r>
      <w:r>
        <w:rPr/>
        <w:t>（详见前段）适用的原则进行会计处理。处置对子公司股权投资直至丧失控制权的各项交易属于 </w:t>
      </w:r>
      <w:r>
        <w:rPr>
          <w:spacing w:val="-1"/>
        </w:rPr>
        <w:t>一揽子交易的，将各项交易作为一项处置子公司并丧失控制权的交易进行会计处理；但是，在丧失控制权</w:t>
      </w:r>
      <w:r>
        <w:rPr>
          <w:spacing w:val="-83"/>
        </w:rPr>
        <w:t> </w:t>
      </w:r>
      <w:r>
        <w:rPr>
          <w:spacing w:val="-83"/>
        </w:rPr>
      </w:r>
      <w:r>
        <w:rPr>
          <w:spacing w:val="-1"/>
        </w:rPr>
        <w:t>之前每一次处置价款与处置投资对应的享有该子公司净资产份额的差额，在合并财务报表中确认为其他综</w:t>
      </w:r>
      <w:r>
        <w:rPr>
          <w:spacing w:val="-81"/>
        </w:rPr>
        <w:t> </w:t>
      </w:r>
      <w:r>
        <w:rPr>
          <w:spacing w:val="-81"/>
        </w:rPr>
      </w:r>
      <w:r>
        <w:rPr/>
        <w:t>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6"/>
        <w:spacing w:line="240" w:lineRule="auto"/>
        <w:ind w:right="0"/>
        <w:jc w:val="left"/>
        <w:rPr>
          <w:b w:val="0"/>
          <w:bCs w:val="0"/>
        </w:rPr>
      </w:pPr>
      <w:bookmarkStart w:name="7、合营安排分类及共同经营会计处理方法" w:id="161"/>
      <w:bookmarkEnd w:id="16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3"/>
        <w:ind w:left="573" w:right="0" w:hanging="420"/>
        <w:jc w:val="left"/>
        <w:rPr>
          <w:rFonts w:ascii="宋体" w:hAnsi="宋体" w:cs="宋体" w:eastAsia="宋体" w:hint="default"/>
          <w:sz w:val="21"/>
          <w:szCs w:val="21"/>
        </w:rPr>
      </w:pPr>
      <w:bookmarkStart w:name="8、现金及现金等价物的确定标准" w:id="162"/>
      <w:bookmarkEnd w:id="16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Heading7"/>
        <w:spacing w:line="240" w:lineRule="auto" w:before="37"/>
        <w:ind w:right="0"/>
        <w:jc w:val="left"/>
      </w:pP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9、外币业务和外币报表折算" w:id="163"/>
      <w:bookmarkEnd w:id="16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7"/>
        <w:spacing w:line="256" w:lineRule="auto" w:before="0"/>
        <w:ind w:left="573" w:right="0" w:hanging="9"/>
        <w:jc w:val="left"/>
      </w:pPr>
      <w:r>
        <w:rPr/>
        <w:t>（</w:t>
      </w:r>
      <w:r>
        <w:rPr>
          <w:rFonts w:ascii="Times New Roman" w:hAnsi="Times New Roman" w:cs="Times New Roman" w:eastAsia="Times New Roman" w:hint="default"/>
        </w:rPr>
        <w:t>1</w:t>
      </w:r>
      <w:r>
        <w:rPr/>
        <w:t>）外币交易 </w:t>
      </w:r>
      <w:r>
        <w:rPr>
          <w:spacing w:val="-1"/>
        </w:rPr>
        <w:t>本公司发生的外币交易在初始确认时，按交易日的即期汇率（通常指中国人民银行公布的当日外汇牌</w:t>
      </w:r>
    </w:p>
    <w:p>
      <w:pPr>
        <w:pStyle w:val="Heading7"/>
        <w:spacing w:line="273" w:lineRule="auto" w:before="22"/>
        <w:ind w:right="0"/>
        <w:jc w:val="left"/>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Heading7"/>
        <w:spacing w:line="256" w:lineRule="auto"/>
        <w:ind w:left="573" w:right="0" w:hanging="252"/>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Heading7"/>
        <w:spacing w:line="240" w:lineRule="auto" w:before="22"/>
        <w:ind w:right="0"/>
        <w:jc w:val="left"/>
      </w:pPr>
      <w:r>
        <w:rPr/>
        <w:t>属于与购建符合资本化条件的资产相关的外币专门借款产生的汇兑差额按照借款费用资本化的原则处理；</w:t>
      </w:r>
    </w:p>
    <w:p>
      <w:pPr>
        <w:pStyle w:val="Heading7"/>
        <w:spacing w:line="273" w:lineRule="auto" w:before="37"/>
        <w:ind w:right="1303"/>
        <w:jc w:val="left"/>
      </w:pPr>
      <w:r>
        <w:rPr/>
        <w:t>②可供出售的外币货币性项目除摊余成本之外的其他账面余额变动产生的汇兑差额计入其他综合收益之 外，均计入当期损益。</w:t>
      </w:r>
    </w:p>
    <w:p>
      <w:pPr>
        <w:pStyle w:val="Heading7"/>
        <w:spacing w:line="273" w:lineRule="auto" w:before="8"/>
        <w:ind w:right="1131"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spacing w:val="-1"/>
        </w:rPr>
        <w:t>记账本位币金额的差额，作为公允价值变动（含汇率变动）处理，计入当期损益或确认为其他综合收益并</w:t>
      </w:r>
      <w:r>
        <w:rPr>
          <w:spacing w:val="-86"/>
        </w:rPr>
        <w:t> </w:t>
      </w:r>
      <w:r>
        <w:rPr>
          <w:spacing w:val="-86"/>
        </w:rPr>
      </w:r>
      <w:r>
        <w:rPr/>
        <w:t>计入资本公积。</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56" w:lineRule="auto" w:before="35"/>
        <w:ind w:left="573" w:right="0" w:hanging="9"/>
        <w:jc w:val="left"/>
      </w:pPr>
      <w:r>
        <w:rPr/>
        <w:t>（</w:t>
      </w:r>
      <w:r>
        <w:rPr>
          <w:rFonts w:ascii="Times New Roman" w:hAnsi="Times New Roman" w:cs="Times New Roman" w:eastAsia="Times New Roman" w:hint="default"/>
        </w:rPr>
        <w:t>3</w:t>
      </w:r>
      <w:r>
        <w:rPr/>
        <w:t>）外币财务报表的折算 </w:t>
      </w:r>
      <w:r>
        <w:rPr>
          <w:spacing w:val="-1"/>
        </w:rPr>
        <w:t>编制合并财务报表涉及境外经营的，如有实质上构成对境外经营净投资的外币货币性项目，因汇率变</w:t>
      </w:r>
    </w:p>
    <w:p>
      <w:pPr>
        <w:pStyle w:val="Heading7"/>
        <w:spacing w:line="256" w:lineRule="auto" w:before="22"/>
        <w:ind w:left="154" w:right="1116"/>
        <w:jc w:val="left"/>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Heading7"/>
        <w:spacing w:line="271" w:lineRule="auto" w:before="23"/>
        <w:ind w:right="1130" w:firstLine="420"/>
        <w:jc w:val="both"/>
      </w:pPr>
      <w:r>
        <w:rPr>
          <w:spacing w:val="-1"/>
        </w:rPr>
        <w:t>境外经营的外币财务报表按以下方法折算为人民币报表：资产负债表中的资产和负债项目，采用资产</w:t>
      </w:r>
      <w:r>
        <w:rPr/>
        <w:t> </w:t>
      </w:r>
      <w:r>
        <w:rPr>
          <w:spacing w:val="-5"/>
          <w:w w:val="100"/>
        </w:rPr>
        <w:t>负债表日的即期汇率折算；股东权益类项目除</w:t>
      </w:r>
      <w:r>
        <w:rPr>
          <w:rFonts w:ascii="Times New Roman" w:hAnsi="Times New Roman" w:cs="Times New Roman" w:eastAsia="Times New Roman" w:hint="default"/>
          <w:spacing w:val="-5"/>
          <w:w w:val="100"/>
        </w:rPr>
        <w:t>“</w:t>
      </w:r>
      <w:r>
        <w:rPr>
          <w:spacing w:val="-5"/>
          <w:w w:val="100"/>
        </w:rPr>
        <w:t>未分配利润</w:t>
      </w:r>
      <w:r>
        <w:rPr>
          <w:rFonts w:ascii="Times New Roman" w:hAnsi="Times New Roman" w:cs="Times New Roman" w:eastAsia="Times New Roman" w:hint="default"/>
          <w:spacing w:val="-5"/>
          <w:w w:val="100"/>
        </w:rPr>
        <w:t>”</w:t>
      </w:r>
      <w:r>
        <w:rPr>
          <w:spacing w:val="-5"/>
          <w:w w:val="100"/>
        </w:rPr>
        <w:t>项目外，其他项目采用发生时的即期汇率折算。</w:t>
      </w:r>
      <w:r>
        <w:rPr>
          <w:spacing w:val="-76"/>
          <w:w w:val="100"/>
        </w:rPr>
        <w:t> </w:t>
      </w:r>
      <w:r>
        <w:rPr>
          <w:spacing w:val="-76"/>
          <w:w w:val="100"/>
        </w:rPr>
      </w:r>
      <w:r>
        <w:rPr>
          <w:spacing w:val="-1"/>
        </w:rPr>
        <w:t>利润表中的收入和费用项目，采用交易发生日的即期汇率折算。年初未分配利润为上一年折算后的年末未</w:t>
      </w:r>
      <w:r>
        <w:rPr>
          <w:spacing w:val="-81"/>
        </w:rPr>
        <w:t> </w:t>
      </w:r>
      <w:r>
        <w:rPr>
          <w:spacing w:val="-81"/>
        </w:rPr>
      </w:r>
      <w:r>
        <w:rPr>
          <w:spacing w:val="-1"/>
        </w:rPr>
        <w:t>分配利润；年末未分配利润按折算后的利润分配各项目计算列示；折算后资产类项目与负债类项目和股东</w:t>
      </w:r>
      <w:r>
        <w:rPr>
          <w:spacing w:val="-81"/>
        </w:rPr>
        <w:t> </w:t>
      </w:r>
      <w:r>
        <w:rPr>
          <w:spacing w:val="-81"/>
        </w:rPr>
      </w:r>
      <w:r>
        <w:rPr>
          <w:spacing w:val="-5"/>
        </w:rPr>
        <w:t>权益类项目合计数的差额，作为外币报表折算差额，确认为其他综合收益。处置境外经营并丧失控制权时，</w:t>
      </w:r>
      <w:r>
        <w:rPr>
          <w:spacing w:val="-101"/>
        </w:rPr>
        <w:t> </w:t>
      </w:r>
      <w:r>
        <w:rPr>
          <w:spacing w:val="-101"/>
        </w:rPr>
      </w:r>
      <w:r>
        <w:rPr>
          <w:spacing w:val="-1"/>
        </w:rPr>
        <w:t>将资产负债表中股东权益项目下列示的、与该境外经营相关的外币报表折算差额，全部或按处置该境外经</w:t>
      </w:r>
      <w:r>
        <w:rPr>
          <w:spacing w:val="-81"/>
        </w:rPr>
        <w:t> </w:t>
      </w:r>
      <w:r>
        <w:rPr>
          <w:spacing w:val="-81"/>
        </w:rPr>
      </w:r>
      <w:r>
        <w:rPr/>
        <w:t>营的比例转入处置当期损益。</w:t>
      </w:r>
    </w:p>
    <w:p>
      <w:pPr>
        <w:pStyle w:val="Heading7"/>
        <w:spacing w:line="273" w:lineRule="auto" w:before="10"/>
        <w:ind w:left="154" w:right="1131" w:firstLine="420"/>
        <w:jc w:val="both"/>
      </w:pPr>
      <w:r>
        <w:rPr>
          <w:spacing w:val="-1"/>
        </w:rPr>
        <w:t>外币现金流量以及境外子公司的现金流量，采用现金流量发生日的即期汇率折算。汇率变动对现金的</w:t>
      </w:r>
      <w:r>
        <w:rPr/>
        <w:t> 影响额作为调节项目，在现金流量表中单独列报。</w:t>
      </w:r>
    </w:p>
    <w:p>
      <w:pPr>
        <w:pStyle w:val="Heading7"/>
        <w:spacing w:line="273" w:lineRule="auto"/>
        <w:ind w:left="573" w:right="0"/>
        <w:jc w:val="left"/>
      </w:pPr>
      <w:r>
        <w:rPr/>
        <w:t>年初数和上年实际数按照上年财务报表折算后的数额列示。 </w:t>
      </w:r>
      <w:r>
        <w:rPr>
          <w:spacing w:val="3"/>
        </w:rPr>
        <w:t>在处置本公司在境外经营的全部所有者权益或因处置部分股权投资或其他原因丧失了对境外经营控</w:t>
      </w:r>
    </w:p>
    <w:p>
      <w:pPr>
        <w:pStyle w:val="Heading7"/>
        <w:spacing w:line="273" w:lineRule="auto"/>
        <w:ind w:right="0"/>
        <w:jc w:val="left"/>
      </w:pPr>
      <w:r>
        <w:rPr>
          <w:spacing w:val="-1"/>
        </w:rPr>
        <w:t>制权时，将资产负债表中股东权益项目下列示的、与该境外经营相关的归属于母公司所有者权益的外币报</w:t>
      </w:r>
      <w:r>
        <w:rPr>
          <w:spacing w:val="-81"/>
        </w:rPr>
        <w:t> </w:t>
      </w:r>
      <w:r>
        <w:rPr>
          <w:spacing w:val="-81"/>
        </w:rPr>
      </w:r>
      <w:r>
        <w:rPr/>
        <w:t>表折算差额，全部转入处置当期损益。</w:t>
      </w:r>
    </w:p>
    <w:p>
      <w:pPr>
        <w:pStyle w:val="Heading7"/>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0、金融工具" w:id="164"/>
      <w:bookmarkEnd w:id="16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154"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Heading7"/>
        <w:spacing w:line="256" w:lineRule="auto"/>
        <w:ind w:left="573" w:right="0"/>
        <w:jc w:val="left"/>
      </w:pPr>
      <w:r>
        <w:rPr/>
        <w:t>（</w:t>
      </w:r>
      <w:r>
        <w:rPr>
          <w:rFonts w:ascii="Times New Roman" w:hAnsi="Times New Roman" w:cs="Times New Roman" w:eastAsia="Times New Roman"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Heading7"/>
        <w:spacing w:line="273" w:lineRule="auto" w:before="22"/>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Heading7"/>
        <w:spacing w:line="256" w:lineRule="auto"/>
        <w:ind w:left="57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w:t>
      </w:r>
    </w:p>
    <w:p>
      <w:pPr>
        <w:pStyle w:val="Heading7"/>
        <w:spacing w:line="273" w:lineRule="auto" w:before="22"/>
        <w:ind w:left="154" w:right="0"/>
        <w:jc w:val="left"/>
      </w:pPr>
      <w:r>
        <w:rPr/>
        <w:t>价值计量且其变动计入当期损益的金融资产、持有至到期投资、贷款和应收款项以及可供出售金融资产。</w:t>
      </w:r>
      <w:r>
        <w:rPr>
          <w:spacing w:val="-38"/>
        </w:rPr>
        <w:t> </w:t>
      </w:r>
      <w:r>
        <w:rPr>
          <w:spacing w:val="-38"/>
        </w:rPr>
      </w:r>
      <w:r>
        <w:rPr/>
        <w:t>初始确认金融资产，以公允价值计量。对于以公允价值计量且其变动计入当期损益的金融资产，相关的交</w:t>
      </w:r>
      <w:r>
        <w:rPr/>
        <w:t> 易费用直接计入当期损益，对于其他类别的金融资产，相关交易费用计入初始确认金额。</w:t>
      </w:r>
    </w:p>
    <w:p>
      <w:pPr>
        <w:pStyle w:val="Heading7"/>
        <w:spacing w:line="273" w:lineRule="auto" w:before="8"/>
        <w:ind w:left="573"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取得该金融资产的目的，主要是为了近期内出</w:t>
      </w:r>
    </w:p>
    <w:p>
      <w:pPr>
        <w:pStyle w:val="Heading7"/>
        <w:spacing w:line="279" w:lineRule="exact" w:before="0"/>
        <w:ind w:right="0"/>
        <w:jc w:val="left"/>
      </w:pPr>
      <w:r>
        <w:rPr/>
        <w:t>售；</w:t>
      </w:r>
      <w:r>
        <w:rPr>
          <w:rFonts w:ascii="Times New Roman" w:hAnsi="Times New Roman" w:cs="Times New Roman" w:eastAsia="Times New Roman" w:hint="default"/>
        </w:rPr>
        <w:t>B.</w:t>
      </w:r>
      <w:r>
        <w:rPr/>
        <w:t>属于进行集中管理的可辨认金融工具组合的一部分，且有客观证据表明本公司近期采用短期获利方</w:t>
      </w:r>
    </w:p>
    <w:p>
      <w:pPr>
        <w:spacing w:after="0" w:line="279"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64" w:lineRule="auto" w:before="35"/>
        <w:ind w:right="1131"/>
        <w:jc w:val="both"/>
      </w:pP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5"/>
        </w:rPr>
        <w:t> </w:t>
      </w:r>
      <w:r>
        <w:rPr>
          <w:spacing w:val="-6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Heading7"/>
        <w:spacing w:line="261" w:lineRule="auto" w:before="16"/>
        <w:ind w:left="154"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spacing w:val="-1"/>
        </w:rPr>
        <w:t>量方面不一致的情况；</w:t>
      </w:r>
      <w:r>
        <w:rPr>
          <w:rFonts w:ascii="Times New Roman" w:hAnsi="Times New Roman" w:cs="Times New Roman" w:eastAsia="Times New Roman" w:hint="default"/>
          <w:spacing w:val="-1"/>
        </w:rPr>
        <w:t>B.</w:t>
      </w:r>
      <w:r>
        <w:rPr>
          <w:spacing w:val="-1"/>
        </w:rPr>
        <w:t>本公司风险管理或投资策略的正式书面文件已载明，对该金融资产所在的金融资</w:t>
      </w:r>
      <w:r>
        <w:rPr>
          <w:spacing w:val="-63"/>
        </w:rPr>
        <w:t> </w:t>
      </w:r>
      <w:r>
        <w:rPr>
          <w:spacing w:val="-63"/>
        </w:rPr>
      </w:r>
      <w:r>
        <w:rPr/>
        <w:t>产组合或金融资产和金融负债组合以公允价值为基础进行管理、评价并向关键管理人员报告。</w:t>
      </w:r>
    </w:p>
    <w:p>
      <w:pPr>
        <w:pStyle w:val="Heading7"/>
        <w:spacing w:line="273" w:lineRule="auto" w:before="18"/>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Heading7"/>
        <w:spacing w:line="273" w:lineRule="auto"/>
        <w:ind w:left="573" w:right="1018"/>
        <w:jc w:val="left"/>
      </w:pPr>
      <w:r>
        <w:rPr/>
        <w:t>②持有至到期投资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Heading7"/>
        <w:spacing w:line="273" w:lineRule="auto"/>
        <w:ind w:left="573" w:right="0" w:hanging="420"/>
        <w:jc w:val="left"/>
      </w:pPr>
      <w:r>
        <w:rPr/>
        <w:t>利得或损失，计入当期损益。 </w:t>
      </w:r>
      <w:r>
        <w:rPr>
          <w:spacing w:val="-1"/>
        </w:rPr>
        <w:t>实际利率法是指按照金融资产或金融负债（含一组金融资产或金融负债）的实际利率计算其摊余成本</w:t>
      </w:r>
    </w:p>
    <w:p>
      <w:pPr>
        <w:pStyle w:val="Heading7"/>
        <w:spacing w:line="273" w:lineRule="auto"/>
        <w:ind w:right="1131"/>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Heading7"/>
        <w:spacing w:line="240" w:lineRule="auto"/>
        <w:ind w:left="573" w:right="0"/>
        <w:jc w:val="left"/>
      </w:pPr>
      <w:r>
        <w:rPr/>
        <w:t>在计算实际利率时，本公司将在考虑金融资产或金融负债所有合同条款的基础上预计未来现金流量</w:t>
      </w:r>
    </w:p>
    <w:p>
      <w:pPr>
        <w:pStyle w:val="Heading7"/>
        <w:spacing w:line="273" w:lineRule="auto" w:before="37"/>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Heading7"/>
        <w:spacing w:line="273" w:lineRule="auto"/>
        <w:ind w:left="573" w:right="0"/>
        <w:jc w:val="left"/>
      </w:pPr>
      <w:r>
        <w:rPr/>
        <w:t>③贷款和应收款项 </w:t>
      </w:r>
      <w:r>
        <w:rPr>
          <w:spacing w:val="-1"/>
        </w:rPr>
        <w:t>是指在活跃市场中没有报价、回收金额固定或可确定的非衍生金融资产。本公司划分为贷款和应收款</w:t>
      </w:r>
    </w:p>
    <w:p>
      <w:pPr>
        <w:pStyle w:val="Heading7"/>
        <w:spacing w:line="273" w:lineRule="auto"/>
        <w:ind w:left="573"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Heading7"/>
        <w:spacing w:line="240" w:lineRule="auto"/>
        <w:ind w:right="0"/>
        <w:jc w:val="left"/>
      </w:pPr>
      <w:r>
        <w:rPr/>
        <w:t>利得或损失，计入当期损益。</w:t>
      </w:r>
    </w:p>
    <w:p>
      <w:pPr>
        <w:pStyle w:val="Heading7"/>
        <w:spacing w:line="273" w:lineRule="auto" w:before="37"/>
        <w:ind w:left="573" w:right="0"/>
        <w:jc w:val="left"/>
      </w:pPr>
      <w:r>
        <w:rPr/>
        <w:t>④可供出售金融资产 </w:t>
      </w:r>
      <w:r>
        <w:rPr>
          <w:spacing w:val="-1"/>
        </w:rPr>
        <w:t>包括初始确认时即被指定为可供出售的非衍生金融资产，以及除了以公允价值计量且其变动计入当期</w:t>
      </w:r>
    </w:p>
    <w:p>
      <w:pPr>
        <w:pStyle w:val="Heading7"/>
        <w:spacing w:line="273" w:lineRule="auto"/>
        <w:ind w:left="573" w:right="0" w:hanging="420"/>
        <w:jc w:val="left"/>
      </w:pPr>
      <w:r>
        <w:rPr/>
        <w:t>损益的金融资产、贷款和应收款项、持有至到期投资以外的金融资产。 </w:t>
      </w:r>
      <w:r>
        <w:rPr>
          <w:spacing w:val="-1"/>
        </w:rPr>
        <w:t>可供出售债务工具投资的期末成本按照其摊余成本法确定，即初始确认金额扣除已偿还的本金，加上</w:t>
      </w:r>
    </w:p>
    <w:p>
      <w:pPr>
        <w:pStyle w:val="Heading7"/>
        <w:spacing w:line="273" w:lineRule="auto"/>
        <w:ind w:right="1132"/>
        <w:jc w:val="both"/>
      </w:pP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pStyle w:val="Heading7"/>
        <w:spacing w:line="273"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Heading7"/>
        <w:spacing w:line="240" w:lineRule="auto"/>
        <w:ind w:left="573" w:right="0"/>
        <w:jc w:val="left"/>
      </w:pPr>
      <w:r>
        <w:rPr/>
        <w:t>可供出售金融资产持有期间取得的利息及被投资单位宣告发放的现金股利，计入投资收益。</w:t>
      </w:r>
    </w:p>
    <w:p>
      <w:pPr>
        <w:pStyle w:val="Heading7"/>
        <w:spacing w:line="256" w:lineRule="auto" w:before="37"/>
        <w:ind w:left="573"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w:t>
      </w:r>
    </w:p>
    <w:p>
      <w:pPr>
        <w:pStyle w:val="Heading7"/>
        <w:spacing w:line="273" w:lineRule="auto" w:before="22"/>
        <w:ind w:left="573" w:right="0" w:hanging="420"/>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Heading7"/>
        <w:spacing w:line="240" w:lineRule="auto"/>
        <w:ind w:right="0"/>
        <w:jc w:val="left"/>
      </w:pPr>
      <w:r>
        <w:rPr/>
        <w:t>测试或包括在具有类似信用风险特征的金融资产组合中进行减值测试。单独测试未发生减值的金融资产</w:t>
      </w:r>
    </w:p>
    <w:p>
      <w:pPr>
        <w:pStyle w:val="Heading7"/>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Heading7"/>
        <w:spacing w:line="273" w:lineRule="auto"/>
        <w:ind w:left="573" w:right="0"/>
        <w:jc w:val="left"/>
      </w:pPr>
      <w:r>
        <w:rPr/>
        <w:t>①持有至到期投资、贷款和应收款项减值 </w:t>
      </w:r>
      <w:r>
        <w:rPr>
          <w:spacing w:val="-1"/>
        </w:rPr>
        <w:t>以成本或摊余成本计量的金融资产将其账面价值减记至预计未来现金流量现值，减记金额确认为减值</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Heading7"/>
        <w:spacing w:line="273" w:lineRule="auto"/>
        <w:ind w:left="573" w:right="0"/>
        <w:jc w:val="left"/>
      </w:pPr>
      <w:r>
        <w:rPr/>
        <w:t>②可供出售金融资产减值 </w:t>
      </w:r>
      <w:r>
        <w:rPr>
          <w:spacing w:val="-1"/>
        </w:rPr>
        <w:t>当综合相关因素判断可供出售权益工具投资公允价值下跌是严重或非暂时性下跌时，表明该可供出售</w:t>
      </w:r>
    </w:p>
    <w:p>
      <w:pPr>
        <w:pStyle w:val="Heading7"/>
        <w:spacing w:line="273" w:lineRule="auto"/>
        <w:ind w:left="573" w:right="0" w:hanging="420"/>
        <w:jc w:val="left"/>
      </w:pPr>
      <w:r>
        <w:rPr/>
        <w:t>权益工具投资发生减值。 </w:t>
      </w:r>
      <w:r>
        <w:rPr>
          <w:spacing w:val="-1"/>
        </w:rPr>
        <w:t>可供出售金融资产发生减值时，将原计入资本公积的因公允价值下降形成的累计损失予以转出并计入</w:t>
      </w:r>
    </w:p>
    <w:p>
      <w:pPr>
        <w:pStyle w:val="Heading7"/>
        <w:spacing w:line="273" w:lineRule="auto"/>
        <w:ind w:right="1131"/>
        <w:jc w:val="both"/>
      </w:pPr>
      <w:r>
        <w:rPr>
          <w:spacing w:val="-1"/>
        </w:rPr>
        <w:t>当期损益，该转出的累计损失为该资产初始取得成本扣除已收回本金和已摊销金额、当前公允价值和原已</w:t>
      </w:r>
      <w:r>
        <w:rPr>
          <w:spacing w:val="-81"/>
        </w:rPr>
        <w:t> </w:t>
      </w:r>
      <w:r>
        <w:rPr>
          <w:spacing w:val="-81"/>
        </w:rPr>
      </w:r>
      <w:r>
        <w:rPr/>
        <w:t>计入损益的减值损失后的余额。</w:t>
      </w:r>
    </w:p>
    <w:p>
      <w:pPr>
        <w:pStyle w:val="Heading7"/>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Heading7"/>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Heading7"/>
        <w:spacing w:line="256" w:lineRule="auto"/>
        <w:ind w:left="573" w:right="0"/>
        <w:jc w:val="left"/>
      </w:pPr>
      <w:r>
        <w:rPr/>
        <w:t>（</w:t>
      </w:r>
      <w:r>
        <w:rPr>
          <w:rFonts w:ascii="Times New Roman" w:hAnsi="Times New Roman" w:cs="Times New Roman" w:eastAsia="Times New Roman" w:hint="default"/>
        </w:rPr>
        <w:t>4</w:t>
      </w:r>
      <w:r>
        <w:rPr/>
        <w:t>）金融资产转移的确认依据和计量方法 </w:t>
      </w:r>
      <w:r>
        <w:rPr>
          <w:spacing w:val="-1"/>
        </w:rPr>
        <w:t>满足下列条件之一的金融资产，予以终止确认：①收取该金融资产现金流量的合同权利终止；②该金</w:t>
      </w:r>
    </w:p>
    <w:p>
      <w:pPr>
        <w:pStyle w:val="Heading7"/>
        <w:spacing w:line="273" w:lineRule="auto" w:before="22"/>
        <w:ind w:right="1131"/>
        <w:jc w:val="both"/>
      </w:pP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Heading7"/>
        <w:spacing w:line="273" w:lineRule="auto"/>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Heading7"/>
        <w:spacing w:line="273" w:lineRule="auto"/>
        <w:ind w:right="1132" w:firstLine="420"/>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Heading7"/>
        <w:spacing w:line="273" w:lineRule="auto"/>
        <w:ind w:right="1131"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Heading7"/>
        <w:spacing w:line="273" w:lineRule="auto"/>
        <w:ind w:right="0" w:firstLine="420"/>
        <w:jc w:val="left"/>
      </w:pPr>
      <w:r>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w:t>
      </w:r>
      <w:r>
        <w:rPr>
          <w:spacing w:val="-38"/>
        </w:rPr>
        <w:t> </w:t>
      </w:r>
      <w:r>
        <w:rPr>
          <w:spacing w:val="-38"/>
        </w:rPr>
      </w:r>
      <w:r>
        <w:rPr/>
        <w:t>既没有转移也没有保留金融资产所有权上几乎所有的风险和报酬的，则继续判断企业是否对该资产保留了</w:t>
      </w:r>
      <w:r>
        <w:rPr/>
        <w:t> 控制，并根据前面各段所述的原则进行会计处理。</w:t>
      </w:r>
    </w:p>
    <w:p>
      <w:pPr>
        <w:pStyle w:val="Heading7"/>
        <w:spacing w:line="256" w:lineRule="auto"/>
        <w:ind w:left="574"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Heading7"/>
        <w:spacing w:line="273" w:lineRule="auto" w:before="22"/>
        <w:ind w:left="154" w:right="1131"/>
        <w:jc w:val="both"/>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Heading7"/>
        <w:spacing w:line="273" w:lineRule="auto"/>
        <w:ind w:left="574" w:right="1302"/>
        <w:jc w:val="left"/>
      </w:pPr>
      <w:r>
        <w:rPr/>
        <w:t>①以公允价值计量且其变动计入当期损益的金融负债 分类为交易性金融负债和在初始确认时指定为以公允价值计量且其变动计入当期损益的金融负债的</w:t>
      </w:r>
    </w:p>
    <w:p>
      <w:pPr>
        <w:pStyle w:val="Heading7"/>
        <w:spacing w:line="273" w:lineRule="auto"/>
        <w:ind w:left="154" w:right="1302"/>
        <w:jc w:val="left"/>
      </w:pPr>
      <w:r>
        <w:rPr/>
        <w:t>条件与分类为交易性金融资产和在初始确认时指定为以公允价值计量且其变动计入当期损益的金融资产 的条件一致。</w:t>
      </w:r>
    </w:p>
    <w:p>
      <w:pPr>
        <w:pStyle w:val="Heading7"/>
        <w:spacing w:line="273" w:lineRule="auto"/>
        <w:ind w:left="154" w:right="1132"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Heading7"/>
        <w:spacing w:line="240" w:lineRule="auto"/>
        <w:ind w:left="573" w:right="0"/>
        <w:jc w:val="left"/>
      </w:pPr>
      <w:r>
        <w:rPr/>
        <w:t>②其他金融负债</w:t>
      </w:r>
    </w:p>
    <w:p>
      <w:pPr>
        <w:pStyle w:val="Heading5"/>
        <w:spacing w:line="259" w:lineRule="auto" w:before="25"/>
        <w:ind w:right="1132"/>
        <w:jc w:val="both"/>
        <w:rPr>
          <w:i w:val="0"/>
        </w:rPr>
      </w:pPr>
      <w:r>
        <w:rPr>
          <w:spacing w:val="-1"/>
          <w:w w:val="95"/>
        </w:rPr>
        <w:t>与在活跃市场中没有报价、公允价值不能可靠计量的权益工具挂钩并须通过交付该权益工具结算的衍</w:t>
      </w:r>
      <w:r>
        <w:rPr>
          <w:w w:val="95"/>
        </w:rPr>
        <w:t> </w:t>
      </w:r>
      <w:r>
        <w:rPr>
          <w:spacing w:val="-1"/>
          <w:w w:val="95"/>
        </w:rPr>
        <w:t>生金融负债，按照成本进行后续计量。其他金融负债采用实际利率法，按摊余成本进行后续计量，终止确</w:t>
      </w:r>
      <w:r>
        <w:rPr>
          <w:i w:val="0"/>
          <w:spacing w:val="-1"/>
        </w:rPr>
      </w:r>
    </w:p>
    <w:p>
      <w:pPr>
        <w:spacing w:after="0" w:line="259" w:lineRule="auto"/>
        <w:jc w:val="both"/>
        <w:sectPr>
          <w:pgSz w:w="11910" w:h="16840"/>
          <w:pgMar w:header="747" w:footer="979" w:top="1060" w:bottom="1160" w:left="980" w:right="0"/>
        </w:sectPr>
      </w:pPr>
    </w:p>
    <w:p>
      <w:pPr>
        <w:spacing w:line="240" w:lineRule="auto" w:before="12"/>
        <w:rPr>
          <w:rFonts w:ascii="宋体" w:hAnsi="宋体" w:cs="宋体" w:eastAsia="宋体" w:hint="default"/>
          <w:i/>
          <w:sz w:val="23"/>
          <w:szCs w:val="23"/>
        </w:rPr>
      </w:pPr>
    </w:p>
    <w:p>
      <w:pPr>
        <w:pStyle w:val="Heading5"/>
        <w:spacing w:line="240" w:lineRule="auto" w:before="33"/>
        <w:ind w:left="154" w:right="0" w:firstLine="0"/>
        <w:jc w:val="left"/>
        <w:rPr>
          <w:i w:val="0"/>
        </w:rPr>
      </w:pPr>
      <w:r>
        <w:rPr/>
        <w:t>认或摊销产生的利得或损失计入当期损益。</w:t>
      </w:r>
      <w:r>
        <w:rPr>
          <w:i w:val="0"/>
        </w:rPr>
      </w:r>
    </w:p>
    <w:p>
      <w:pPr>
        <w:pStyle w:val="Heading7"/>
        <w:spacing w:line="273" w:lineRule="auto" w:before="35"/>
        <w:ind w:left="574" w:right="0"/>
        <w:jc w:val="left"/>
      </w:pPr>
      <w:r>
        <w:rPr/>
        <w:t>③财务担保合同及贷款承诺 </w:t>
      </w:r>
      <w:r>
        <w:rPr>
          <w:spacing w:val="-1"/>
        </w:rPr>
        <w:t>不属于指定为以公允价值计量且其变动计入当期损益的金融负债的财务担保合同，或没有指定为以公</w:t>
      </w:r>
    </w:p>
    <w:p>
      <w:pPr>
        <w:pStyle w:val="Heading7"/>
        <w:spacing w:line="273" w:lineRule="auto"/>
        <w:ind w:left="154" w:right="0"/>
        <w:jc w:val="left"/>
      </w:pPr>
      <w:r>
        <w:rPr>
          <w:spacing w:val="-1"/>
        </w:rPr>
        <w:t>允价值计量且其变动计入损益并将以低于市场利率贷款的贷款承诺，以公允价值进行初始确认，在初始确</w:t>
      </w:r>
      <w:r>
        <w:rPr>
          <w:spacing w:val="-81"/>
        </w:rPr>
        <w:t> </w:t>
      </w:r>
      <w:r>
        <w:rPr>
          <w:spacing w:val="-81"/>
        </w:rPr>
      </w:r>
      <w:r>
        <w:rPr>
          <w:spacing w:val="-1"/>
        </w:rPr>
        <w:t>认后按照《企业会计准则第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或有事项》确定的金额和初始确认金额扣除按照《企业会计准则第</w:t>
      </w:r>
      <w:r>
        <w:rPr>
          <w:rFonts w:ascii="Times New Roman" w:hAnsi="Times New Roman" w:cs="Times New Roman" w:eastAsia="Times New Roman" w:hint="default"/>
          <w:spacing w:val="-1"/>
        </w:rPr>
        <w:t>14</w:t>
      </w:r>
      <w:r>
        <w:rPr>
          <w:spacing w:val="-1"/>
        </w:rPr>
        <w:t>号</w:t>
      </w:r>
    </w:p>
    <w:p>
      <w:pPr>
        <w:pStyle w:val="Heading7"/>
        <w:spacing w:line="279" w:lineRule="exact" w:before="0"/>
        <w:ind w:right="0"/>
        <w:jc w:val="left"/>
      </w:pPr>
      <w:r>
        <w:rPr>
          <w:rFonts w:ascii="Times New Roman" w:hAnsi="Times New Roman" w:cs="Times New Roman" w:eastAsia="Times New Roman" w:hint="default"/>
        </w:rPr>
        <w:t>—</w:t>
      </w:r>
      <w:r>
        <w:rPr/>
        <w:t>收入》的原则确定的累计摊销额后的余额之中的较高者进行后续计量。</w:t>
      </w:r>
    </w:p>
    <w:p>
      <w:pPr>
        <w:pStyle w:val="Heading7"/>
        <w:spacing w:line="256" w:lineRule="auto" w:before="21"/>
        <w:ind w:left="573" w:right="0"/>
        <w:jc w:val="left"/>
      </w:pPr>
      <w:r>
        <w:rPr/>
        <w:t>（</w:t>
      </w:r>
      <w:r>
        <w:rPr>
          <w:rFonts w:ascii="Times New Roman" w:hAnsi="Times New Roman" w:cs="Times New Roman" w:eastAsia="Times New Roman" w:hint="default"/>
        </w:rPr>
        <w:t>6</w:t>
      </w:r>
      <w:r>
        <w:rPr/>
        <w:t>）金融负债的终止确认 </w:t>
      </w:r>
      <w:r>
        <w:rPr>
          <w:spacing w:val="-6"/>
        </w:rPr>
        <w:t>金融负债的现时义务全部或部分已经解除的，才能终止确认该金融负债或其一部分。本公司（债务人）</w:t>
      </w:r>
    </w:p>
    <w:p>
      <w:pPr>
        <w:pStyle w:val="Heading7"/>
        <w:spacing w:line="273" w:lineRule="auto" w:before="22"/>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Heading7"/>
        <w:spacing w:line="273" w:lineRule="auto"/>
        <w:ind w:right="0"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Heading7"/>
        <w:spacing w:line="256" w:lineRule="auto"/>
        <w:ind w:left="57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w:t>
      </w:r>
    </w:p>
    <w:p>
      <w:pPr>
        <w:pStyle w:val="Heading7"/>
        <w:spacing w:line="273" w:lineRule="auto" w:before="22"/>
        <w:ind w:left="154" w:right="0"/>
        <w:jc w:val="left"/>
      </w:pP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Heading7"/>
        <w:spacing w:line="273" w:lineRule="auto"/>
        <w:ind w:right="0" w:firstLine="420"/>
        <w:jc w:val="left"/>
      </w:pPr>
      <w:r>
        <w:rPr/>
        <w:t>对包含嵌入衍生工具的混合工具，如未指定为以公允价值计量且其变动计入当期损益的金融资产或金 融负债，嵌入衍生工具与该主合同在经济特征及风险方面不存在紧密关系，且与嵌入衍生工具条件相同，</w:t>
      </w:r>
      <w:r>
        <w:rPr>
          <w:spacing w:val="-38"/>
        </w:rPr>
        <w:t> </w:t>
      </w:r>
      <w:r>
        <w:rPr>
          <w:spacing w:val="-38"/>
        </w:rPr>
      </w:r>
      <w:r>
        <w:rPr/>
        <w:t>单独存在的工具符合衍生工具定义的，嵌入衍生工具从混合工具中分拆，作为单独的衍生金融工具处理。</w:t>
      </w:r>
      <w:r>
        <w:rPr>
          <w:spacing w:val="-38"/>
        </w:rPr>
        <w:t> </w:t>
      </w:r>
      <w:r>
        <w:rPr>
          <w:spacing w:val="-38"/>
        </w:rPr>
      </w:r>
      <w:r>
        <w:rPr/>
        <w:t>如果无法在取得时或后续的资产负债表日对嵌入衍生工具进行单独计量，则将混合工具整体指定为以公允</w:t>
      </w:r>
      <w:r>
        <w:rPr/>
        <w:t> 价值计量且其变动计入当期损益的金融资产或金融负债。</w:t>
      </w:r>
    </w:p>
    <w:p>
      <w:pPr>
        <w:pStyle w:val="Heading7"/>
        <w:spacing w:line="256" w:lineRule="auto"/>
        <w:ind w:left="574"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w:t>
      </w:r>
    </w:p>
    <w:p>
      <w:pPr>
        <w:pStyle w:val="Heading7"/>
        <w:spacing w:line="273" w:lineRule="auto" w:before="22"/>
        <w:ind w:left="154"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Heading7"/>
        <w:spacing w:line="256" w:lineRule="auto"/>
        <w:ind w:left="573" w:right="0"/>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w:t>
      </w:r>
    </w:p>
    <w:p>
      <w:pPr>
        <w:pStyle w:val="Heading7"/>
        <w:spacing w:line="273" w:lineRule="auto" w:before="22"/>
        <w:ind w:right="0"/>
        <w:jc w:val="left"/>
      </w:pPr>
      <w:r>
        <w:rPr>
          <w:spacing w:val="-1"/>
        </w:rPr>
        <w:t>资）、回购、出售或注销权益工具作为权益的变动处理。权益工具，在发行时收到的对价扣除交易费用后</w:t>
      </w:r>
      <w:r>
        <w:rPr>
          <w:spacing w:val="-83"/>
        </w:rPr>
        <w:t> </w:t>
      </w:r>
      <w:r>
        <w:rPr>
          <w:spacing w:val="-83"/>
        </w:rPr>
      </w:r>
      <w:r>
        <w:rPr/>
        <w:t>增加股东权益。</w:t>
      </w:r>
    </w:p>
    <w:p>
      <w:pPr>
        <w:pStyle w:val="Heading7"/>
        <w:spacing w:line="273" w:lineRule="auto"/>
        <w:ind w:right="0" w:firstLine="420"/>
        <w:jc w:val="left"/>
      </w:pPr>
      <w:r>
        <w:rPr>
          <w:spacing w:val="-1"/>
        </w:rPr>
        <w:t>本公司对权益工具持有方的各种分配（不包括股票股利），减少股东权益。本公司不确认权益工具的</w:t>
      </w:r>
      <w:r>
        <w:rPr/>
        <w:t> 公允价值变动额。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54" w:right="0"/>
        <w:jc w:val="left"/>
        <w:rPr>
          <w:b w:val="0"/>
          <w:bCs w:val="0"/>
        </w:rPr>
      </w:pPr>
      <w:bookmarkStart w:name="11、应收款项" w:id="165"/>
      <w:bookmarkEnd w:id="16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单项金额重大并单独计提坏账准备的应收款项" w:id="166"/>
      <w:bookmarkEnd w:id="16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独进行减值测试未发生减值的，参照信用风险组合以账龄分 析法计提坏账准备。</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2）按信用风险特征组合计提坏账准备的应收款项" w:id="167"/>
      <w:bookmarkEnd w:id="16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单项金额上重大但单独计提坏账准备的应收款项" w:id="168"/>
      <w:bookmarkEnd w:id="16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以单项金额不重大且账龄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年以上为确认依据</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值的差额计提坏账准备，如果无法准确预计其未来现金流量 现值的，参照信用风险组合以账龄分析法计提坏账准备。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12、存货" w:id="169"/>
      <w:bookmarkEnd w:id="16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7"/>
        <w:spacing w:line="264" w:lineRule="auto" w:before="0"/>
        <w:ind w:left="154" w:right="1167" w:firstLine="420"/>
        <w:jc w:val="both"/>
      </w:pPr>
      <w:r>
        <w:rPr/>
        <w:t>（</w:t>
      </w:r>
      <w:r>
        <w:rPr>
          <w:rFonts w:ascii="Times New Roman" w:hAnsi="Times New Roman" w:cs="Times New Roman" w:eastAsia="Times New Roman" w:hint="default"/>
        </w:rPr>
        <w:t>1</w:t>
      </w:r>
      <w:r>
        <w:rPr/>
        <w:t>）存货包括在生产经营过程中为销售或耗用而储备的原材料、低值易耗品及提供劳务过程中所耗 </w:t>
      </w:r>
      <w:r>
        <w:rPr>
          <w:spacing w:val="-2"/>
        </w:rPr>
        <w:t>用的人工成本等。公司存货主要为制作软件所耗用的光盘、软件保护卡等低值易耗品、定制软件的实施成</w:t>
      </w:r>
      <w:r>
        <w:rPr>
          <w:spacing w:val="-73"/>
        </w:rPr>
        <w:t> </w:t>
      </w:r>
      <w:r>
        <w:rPr>
          <w:spacing w:val="-73"/>
        </w:rPr>
      </w:r>
      <w:r>
        <w:rPr/>
        <w:t>本、系统集成的硬件采购成本、技术开发的项目实施成本及硬件成本。</w:t>
      </w:r>
    </w:p>
    <w:p>
      <w:pPr>
        <w:pStyle w:val="Heading7"/>
        <w:spacing w:line="256" w:lineRule="auto" w:before="16"/>
        <w:ind w:right="1171" w:firstLine="420"/>
        <w:jc w:val="both"/>
      </w:pPr>
      <w:r>
        <w:rPr/>
        <w:t>（</w:t>
      </w:r>
      <w:r>
        <w:rPr>
          <w:rFonts w:ascii="Times New Roman" w:hAnsi="Times New Roman" w:cs="Times New Roman" w:eastAsia="Times New Roman" w:hint="default"/>
        </w:rPr>
        <w:t>2</w:t>
      </w:r>
      <w:r>
        <w:rPr/>
        <w:t>）存货在取得时按实际成本计价，系统集成的硬件采购成本发出采用个别认定法，其他存货发出 采用加权平均法核算。低值易耗品在领用时采用一次摊销法核算。</w:t>
      </w:r>
    </w:p>
    <w:p>
      <w:pPr>
        <w:pStyle w:val="Heading7"/>
        <w:spacing w:line="264" w:lineRule="auto" w:before="22"/>
        <w:ind w:right="1165" w:firstLine="420"/>
        <w:jc w:val="both"/>
      </w:pPr>
      <w:r>
        <w:rPr/>
        <w:t>（</w:t>
      </w:r>
      <w:r>
        <w:rPr>
          <w:rFonts w:ascii="Times New Roman" w:hAnsi="Times New Roman" w:cs="Times New Roman" w:eastAsia="Times New Roman" w:hint="default"/>
        </w:rPr>
        <w:t>3</w:t>
      </w:r>
      <w:r>
        <w:rPr/>
        <w:t>）对由于存货遭受损毁、陈旧过时和销售价格低于成本等原因造成的存货成本不可收回部分提取 </w:t>
      </w:r>
      <w:r>
        <w:rPr>
          <w:spacing w:val="-2"/>
        </w:rPr>
        <w:t>存货跌价准备。存货跌价准备按单个存货项目的成本高于其可变现净值的差额提取。可变现净值按正常经</w:t>
      </w:r>
      <w:r>
        <w:rPr>
          <w:spacing w:val="-69"/>
        </w:rPr>
        <w:t> </w:t>
      </w:r>
      <w:r>
        <w:rPr>
          <w:spacing w:val="-69"/>
        </w:rPr>
      </w:r>
      <w:r>
        <w:rPr/>
        <w:t>营过程中，估计售价减去估计完工成本及销售所必须的估计费用后的价值确定。</w:t>
      </w:r>
    </w:p>
    <w:p>
      <w:pPr>
        <w:pStyle w:val="Heading7"/>
        <w:spacing w:line="240" w:lineRule="auto" w:before="16"/>
        <w:ind w:left="573" w:right="0"/>
        <w:jc w:val="left"/>
      </w:pPr>
      <w:r>
        <w:rPr/>
        <w:t>（</w:t>
      </w:r>
      <w:r>
        <w:rPr>
          <w:rFonts w:ascii="Times New Roman" w:hAnsi="Times New Roman" w:cs="Times New Roman" w:eastAsia="Times New Roman" w:hint="default"/>
        </w:rPr>
        <w:t>4</w:t>
      </w:r>
      <w:r>
        <w:rPr/>
        <w:t>）存货数量的盘存方法：永续盘存制。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6"/>
        <w:spacing w:line="240" w:lineRule="auto"/>
        <w:ind w:right="0"/>
        <w:jc w:val="left"/>
        <w:rPr>
          <w:b w:val="0"/>
          <w:bCs w:val="0"/>
        </w:rPr>
      </w:pPr>
      <w:bookmarkStart w:name="13、划分为持有待售资产" w:id="170"/>
      <w:bookmarkEnd w:id="170"/>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9"/>
        <w:rPr>
          <w:rFonts w:ascii="宋体" w:hAnsi="宋体" w:cs="宋体" w:eastAsia="宋体" w:hint="default"/>
          <w:b/>
          <w:bCs/>
          <w:sz w:val="24"/>
          <w:szCs w:val="24"/>
        </w:rPr>
      </w:pPr>
    </w:p>
    <w:p>
      <w:pPr>
        <w:pStyle w:val="Heading7"/>
        <w:spacing w:line="506" w:lineRule="auto" w:before="0"/>
        <w:ind w:left="574" w:right="0" w:hanging="420"/>
        <w:jc w:val="left"/>
      </w:pPr>
      <w:bookmarkStart w:name="14、长期股权投资" w:id="171"/>
      <w:bookmarkEnd w:id="171"/>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1"/>
        </w:rPr>
        <w:t>本部分所指的长期股权投资是指本公司对被投资单位具有控制、共同控制或重大影响的长期股权投资。</w:t>
      </w:r>
    </w:p>
    <w:p>
      <w:pPr>
        <w:spacing w:after="0" w:line="50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1131"/>
        <w:jc w:val="both"/>
      </w:pPr>
      <w:r>
        <w:rPr>
          <w:spacing w:val="-1"/>
        </w:rPr>
        <w:t>本公司对被投资单位不具有控制、共同控制或重大影响的长期股权投资，作为可供出售金融资产或以公允</w:t>
      </w:r>
      <w:r>
        <w:rPr>
          <w:spacing w:val="-81"/>
        </w:rPr>
        <w:t> </w:t>
      </w:r>
      <w:r>
        <w:rPr>
          <w:spacing w:val="-81"/>
        </w:rPr>
      </w:r>
      <w:r>
        <w:rPr/>
        <w:t>价值计量且其变动计入当期损益的金融资产核算，其会计政策详见附注四、（八）</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Heading7"/>
        <w:spacing w:line="273" w:lineRule="auto" w:before="0"/>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Heading7"/>
        <w:spacing w:line="256" w:lineRule="auto"/>
        <w:ind w:left="573"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w:t>
      </w:r>
    </w:p>
    <w:p>
      <w:pPr>
        <w:pStyle w:val="Heading7"/>
        <w:spacing w:line="268" w:lineRule="auto" w:before="22"/>
        <w:ind w:right="1130"/>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整留存收益。以发行权益性证券作为合并对价的，在合并日按照被合并方所有者权益在最终控制方合并财</w:t>
      </w:r>
      <w:r>
        <w:rPr>
          <w:spacing w:val="-81"/>
        </w:rPr>
        <w:t> </w:t>
      </w:r>
      <w:r>
        <w:rPr>
          <w:spacing w:val="-81"/>
        </w:rPr>
      </w:r>
      <w:r>
        <w:rPr>
          <w:spacing w:val="-1"/>
        </w:rPr>
        <w:t>务报表中的账面价值的份额作为长期股权投资的初始投资成本，按照发行股份的面值总额作为股本，长期</w:t>
      </w:r>
      <w:r>
        <w:rPr>
          <w:spacing w:val="-81"/>
        </w:rPr>
        <w:t> </w:t>
      </w:r>
      <w:r>
        <w:rPr>
          <w:spacing w:val="-81"/>
        </w:rPr>
      </w:r>
      <w:r>
        <w:rPr>
          <w:spacing w:val="-1"/>
        </w:rPr>
        <w:t>股权投资初始投资成本与所发行股份面值总额之间的差额，调整资本公积；资本公积不足冲减的，调整留</w:t>
      </w:r>
      <w:r>
        <w:rPr>
          <w:spacing w:val="-83"/>
        </w:rPr>
        <w:t> </w:t>
      </w:r>
      <w:r>
        <w:rPr>
          <w:spacing w:val="-83"/>
        </w:rPr>
      </w:r>
      <w:r>
        <w:rPr>
          <w:spacing w:val="-1"/>
        </w:rPr>
        <w:t>存收益。通过多次交易分步取得同一控制下被合并方的股权，最终形成同一控制下企业合并的，应分别是</w:t>
      </w:r>
      <w:r>
        <w:rPr>
          <w:spacing w:val="-83"/>
        </w:rPr>
        <w:t> </w:t>
      </w:r>
      <w:r>
        <w:rPr>
          <w:spacing w:val="-83"/>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 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的，在合并日按照应享有被合并方所有者权益在最终控制方合并财务报表中的账 </w:t>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0"/>
        </w:rPr>
        <w:t> </w:t>
      </w:r>
      <w:r>
        <w:rPr>
          <w:spacing w:val="-80"/>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Heading7"/>
        <w:spacing w:line="266" w:lineRule="auto" w:before="12"/>
        <w:ind w:right="0" w:firstLine="420"/>
        <w:jc w:val="left"/>
      </w:pPr>
      <w:r>
        <w:rPr/>
        <w:t>对于非同一控制下的企业合并取得的长期股权投资，在购买日按照合并成本作为长期股权投资的初始 </w:t>
      </w:r>
      <w:r>
        <w:rPr>
          <w:spacing w:val="-5"/>
        </w:rPr>
        <w:t>投资成本，合并成本包括包括购买方付出的资产、发生或承担的负债、发行的权益性证券的公允价值之和。</w:t>
      </w:r>
      <w:r>
        <w:rPr>
          <w:spacing w:val="-101"/>
        </w:rPr>
        <w:t> </w:t>
      </w:r>
      <w:r>
        <w:rPr>
          <w:spacing w:val="-101"/>
        </w:rPr>
      </w:r>
      <w:r>
        <w:rPr/>
        <w:t>通过多次交易分步取得被购买方的股权，最终形成非同一控制下的企业合并的，应分别是否属于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的，按照原持有被购买方的股权投资账面价值加上新增投资成本之和，作为改按成本法核算的 长期股权投资的初始投资成本。原持有的股权采用权益法核算的，相关其他综合收益暂不进行会计处理。</w:t>
      </w:r>
      <w:r>
        <w:rPr>
          <w:spacing w:val="-38"/>
        </w:rPr>
        <w:t> </w:t>
      </w:r>
      <w:r>
        <w:rPr>
          <w:spacing w:val="-38"/>
        </w:rPr>
      </w:r>
      <w:r>
        <w:rPr/>
        <w:t>原持有股权投资为可供出售金融资产的，其公允价值与账面价值之间的差额，以及原计入其他综合收益的</w:t>
      </w:r>
      <w:r>
        <w:rPr/>
        <w:t> 累计公允价值变动转入当期损益。</w:t>
      </w:r>
    </w:p>
    <w:p>
      <w:pPr>
        <w:pStyle w:val="Heading7"/>
        <w:spacing w:line="273" w:lineRule="auto" w:before="14"/>
        <w:ind w:left="154" w:right="0" w:firstLine="420"/>
        <w:jc w:val="left"/>
      </w:pPr>
      <w:r>
        <w:rPr>
          <w:spacing w:val="-1"/>
        </w:rPr>
        <w:t>合并方或购买方为企业合并发生的审计、法律服务、评估咨询等中介费用以及其他相关管理费用，于</w:t>
      </w:r>
      <w:r>
        <w:rPr/>
        <w:t> 发生时计入当期损益。</w:t>
      </w:r>
    </w:p>
    <w:p>
      <w:pPr>
        <w:pStyle w:val="Heading7"/>
        <w:spacing w:line="271" w:lineRule="auto"/>
        <w:ind w:left="154" w:right="1039" w:firstLine="420"/>
        <w:jc w:val="left"/>
      </w:pPr>
      <w:r>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w:t>
      </w:r>
      <w:r>
        <w:rPr>
          <w:spacing w:val="-35"/>
        </w:rPr>
        <w:t> </w:t>
      </w:r>
      <w:r>
        <w:rPr>
          <w:spacing w:val="-35"/>
        </w:rPr>
      </w:r>
      <w:r>
        <w:rPr/>
        <w:t>对于因追加投资能够对被投资单位实施重大影响或实施共同控制但不构成控制的，长期股权投资成本为按</w:t>
      </w:r>
      <w:r>
        <w:rPr/>
        <w:t> 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金融工具确认和计量》确定的原持有股权投资的公允价值加上新增投资成本 之和。</w:t>
      </w:r>
    </w:p>
    <w:p>
      <w:pPr>
        <w:pStyle w:val="Heading7"/>
        <w:spacing w:line="256" w:lineRule="auto" w:before="10"/>
        <w:ind w:left="574" w:right="0"/>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Heading7"/>
        <w:spacing w:line="240" w:lineRule="auto" w:before="22"/>
        <w:ind w:left="154" w:right="0"/>
        <w:jc w:val="both"/>
      </w:pPr>
      <w:r>
        <w:rPr/>
        <w:t>此外，公司财务报表采用成本法核算能够对被投资单位实施控制的长期股权投资。</w:t>
      </w:r>
    </w:p>
    <w:p>
      <w:pPr>
        <w:pStyle w:val="Heading7"/>
        <w:spacing w:line="273" w:lineRule="auto" w:before="37"/>
        <w:ind w:left="573" w:right="0"/>
        <w:jc w:val="left"/>
      </w:pPr>
      <w:r>
        <w:rPr/>
        <w:t>①成本法核算的长期股权投资 采用成本法核算时，长期股权投资按初始投资成本计价，追加或收回投资调整长期股权投资的成本。</w:t>
      </w:r>
    </w:p>
    <w:p>
      <w:pPr>
        <w:pStyle w:val="Heading7"/>
        <w:spacing w:line="273" w:lineRule="auto"/>
        <w:ind w:right="1132"/>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Heading7"/>
        <w:spacing w:line="240" w:lineRule="auto"/>
        <w:ind w:left="574" w:right="0"/>
        <w:jc w:val="left"/>
      </w:pPr>
      <w:r>
        <w:rPr/>
        <w:t>②权益法核算的长期股权投资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1130" w:firstLine="420"/>
        <w:jc w:val="both"/>
      </w:pPr>
      <w:r>
        <w:rPr>
          <w:spacing w:val="-1"/>
        </w:rPr>
        <w:t>采用权益法核算时，长期股权投资的初始投资成本大于投资时应享有被投资单位可辨认净资产公允价</w:t>
      </w:r>
      <w:r>
        <w:rPr/>
        <w:t> </w:t>
      </w: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Heading7"/>
        <w:spacing w:line="271" w:lineRule="auto"/>
        <w:ind w:right="1130"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0"/>
        </w:rPr>
        <w:t> </w:t>
      </w:r>
      <w:r>
        <w:rPr>
          <w:spacing w:val="-80"/>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Heading7"/>
        <w:spacing w:line="273" w:lineRule="auto" w:before="10"/>
        <w:ind w:left="154"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Heading7"/>
        <w:spacing w:line="273" w:lineRule="auto" w:before="8"/>
        <w:ind w:left="574" w:right="0"/>
        <w:jc w:val="left"/>
      </w:pPr>
      <w:r>
        <w:rPr/>
        <w:t>③收购少数股权 </w:t>
      </w:r>
      <w:r>
        <w:rPr>
          <w:spacing w:val="-1"/>
        </w:rPr>
        <w:t>在编制合并财务报表时，因购买少数股权新增的长期股权投资与按照新增持股比例计算应享有子公司</w:t>
      </w:r>
    </w:p>
    <w:p>
      <w:pPr>
        <w:pStyle w:val="Heading7"/>
        <w:spacing w:line="273" w:lineRule="auto"/>
        <w:ind w:left="154" w:right="0"/>
        <w:jc w:val="left"/>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Heading7"/>
        <w:spacing w:line="273" w:lineRule="auto"/>
        <w:ind w:left="574" w:right="0"/>
        <w:jc w:val="left"/>
      </w:pPr>
      <w:r>
        <w:rPr/>
        <w:t>④处置长期股权投资 </w:t>
      </w:r>
      <w:r>
        <w:rPr>
          <w:spacing w:val="-1"/>
        </w:rPr>
        <w:t>在合并财务报表中，母公司在不丧失控制权的情况下部分处置对子公司的长期股权投资，处置价款与</w:t>
      </w:r>
    </w:p>
    <w:p>
      <w:pPr>
        <w:pStyle w:val="Heading7"/>
        <w:spacing w:line="264" w:lineRule="auto"/>
        <w:ind w:left="0" w:right="1131"/>
        <w:jc w:val="right"/>
      </w:pPr>
      <w:r>
        <w:rPr>
          <w:spacing w:val="-1"/>
        </w:rPr>
        <w:t>处置长期股权投资相对应享有子公司净资产的差额计入股东权益；母公司部分处置对子公司的长期股权投</w:t>
      </w:r>
      <w:r>
        <w:rPr>
          <w:spacing w:val="-88"/>
        </w:rPr>
        <w:t> </w:t>
      </w:r>
      <w:r>
        <w:rPr>
          <w:spacing w:val="-88"/>
        </w:rPr>
      </w:r>
      <w:r>
        <w:rPr>
          <w:spacing w:val="-5"/>
          <w:w w:val="100"/>
        </w:rPr>
        <w:t>资导致丧失对子公司控制权的，按本节五、（六）</w:t>
      </w:r>
      <w:r>
        <w:rPr>
          <w:rFonts w:ascii="Times New Roman" w:hAnsi="Times New Roman" w:cs="Times New Roman" w:eastAsia="Times New Roman" w:hint="default"/>
          <w:spacing w:val="-5"/>
          <w:w w:val="100"/>
        </w:rPr>
        <w:t>“</w:t>
      </w:r>
      <w:r>
        <w:rPr>
          <w:spacing w:val="-5"/>
          <w:w w:val="100"/>
        </w:rPr>
        <w:t>合并财务报表编制的方法</w:t>
      </w:r>
      <w:r>
        <w:rPr>
          <w:rFonts w:ascii="Times New Roman" w:hAnsi="Times New Roman" w:cs="Times New Roman" w:eastAsia="Times New Roman" w:hint="default"/>
          <w:spacing w:val="-5"/>
          <w:w w:val="100"/>
        </w:rPr>
        <w:t>”</w:t>
      </w:r>
      <w:r>
        <w:rPr>
          <w:spacing w:val="-5"/>
          <w:w w:val="100"/>
        </w:rPr>
        <w:t>中所述的相关会计政策处理。</w:t>
      </w:r>
      <w:r>
        <w:rPr>
          <w:spacing w:val="-84"/>
          <w:w w:val="100"/>
        </w:rPr>
        <w:t> </w:t>
      </w:r>
      <w:r>
        <w:rPr>
          <w:spacing w:val="-1"/>
        </w:rPr>
        <w:t>其他情形下的长期股权投资处置，对于处置的股权，其账面价值与实际取得价款的差额，计入当期损</w:t>
      </w:r>
    </w:p>
    <w:p>
      <w:pPr>
        <w:pStyle w:val="Heading7"/>
        <w:spacing w:line="240" w:lineRule="auto" w:before="16"/>
        <w:ind w:left="154" w:right="0"/>
        <w:jc w:val="left"/>
      </w:pPr>
      <w:r>
        <w:rPr/>
        <w:t>益。</w:t>
      </w:r>
    </w:p>
    <w:p>
      <w:pPr>
        <w:pStyle w:val="Heading7"/>
        <w:spacing w:line="273" w:lineRule="auto" w:before="37"/>
        <w:ind w:left="154"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Heading7"/>
        <w:spacing w:line="273" w:lineRule="auto"/>
        <w:ind w:left="154"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Heading7"/>
        <w:spacing w:line="273" w:lineRule="auto" w:before="8"/>
        <w:ind w:right="1131"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1131"/>
        <w:jc w:val="both"/>
      </w:pP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Heading7"/>
        <w:spacing w:line="273" w:lineRule="auto"/>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Heading7"/>
        <w:spacing w:line="273" w:lineRule="auto"/>
        <w:ind w:right="0" w:firstLine="420"/>
        <w:jc w:val="left"/>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both"/>
        <w:rPr>
          <w:b w:val="0"/>
          <w:bCs w:val="0"/>
        </w:rPr>
      </w:pPr>
      <w:bookmarkStart w:name="15、投资性房地产" w:id="172"/>
      <w:bookmarkEnd w:id="17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6"/>
        <w:spacing w:line="240" w:lineRule="auto"/>
        <w:ind w:left="154" w:right="0"/>
        <w:jc w:val="both"/>
        <w:rPr>
          <w:b w:val="0"/>
          <w:bCs w:val="0"/>
        </w:rPr>
      </w:pPr>
      <w:bookmarkStart w:name="16、固定资产" w:id="173"/>
      <w:bookmarkEnd w:id="17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both"/>
        <w:rPr>
          <w:b w:val="0"/>
          <w:bCs w:val="0"/>
        </w:rPr>
      </w:pPr>
      <w:bookmarkStart w:name="（1）确认条件" w:id="174"/>
      <w:bookmarkEnd w:id="17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54" w:right="1132" w:firstLine="630"/>
        <w:jc w:val="both"/>
      </w:pPr>
      <w:r>
        <w:rPr/>
        <w:t>固定资产是指为生产商品、提供劳务、出租或经营管理而持有的，使用寿命超过一个会计年度的有形资产。固定资 </w:t>
      </w:r>
      <w:r>
        <w:rPr>
          <w:spacing w:val="-2"/>
        </w:rPr>
        <w:t>产仅在与其有关的经济利益很可能流入本公司，且其成本能够可靠地计量时才予以确认。固定资产按成本并考虑预计弃置费</w:t>
      </w:r>
      <w:r>
        <w:rPr>
          <w:spacing w:val="-64"/>
        </w:rPr>
        <w:t> </w:t>
      </w:r>
      <w:r>
        <w:rPr>
          <w:spacing w:val="-64"/>
        </w:rPr>
      </w:r>
      <w:r>
        <w:rPr/>
        <w:t>用因素的影响进行初始计量。</w:t>
      </w:r>
    </w:p>
    <w:p>
      <w:pPr>
        <w:spacing w:line="240" w:lineRule="auto" w:before="3"/>
        <w:rPr>
          <w:rFonts w:ascii="宋体" w:hAnsi="宋体" w:cs="宋体" w:eastAsia="宋体" w:hint="default"/>
          <w:sz w:val="22"/>
          <w:szCs w:val="22"/>
        </w:rPr>
      </w:pPr>
    </w:p>
    <w:p>
      <w:pPr>
        <w:pStyle w:val="Heading6"/>
        <w:spacing w:line="240" w:lineRule="auto"/>
        <w:ind w:left="154" w:right="0"/>
        <w:jc w:val="both"/>
        <w:rPr>
          <w:b w:val="0"/>
          <w:bCs w:val="0"/>
        </w:rPr>
      </w:pPr>
      <w:bookmarkStart w:name="（2）折旧方法" w:id="175"/>
      <w:bookmarkEnd w:id="17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3"/>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3）融资租入固定资产的认定依据、计价和折旧方法" w:id="176"/>
      <w:bookmarkEnd w:id="17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4" w:right="0" w:firstLine="540"/>
        <w:jc w:val="left"/>
      </w:pPr>
      <w:r>
        <w:rPr>
          <w:spacing w:val="-2"/>
        </w:rPr>
        <w:t>融资租赁为实质上转移了与资产所有权有关的全部风险和报酬的租赁，其所有权最终可能转移，也可能不转移。以融</w:t>
      </w:r>
      <w:r>
        <w:rPr/>
        <w:t> </w:t>
      </w:r>
      <w:r>
        <w:rPr>
          <w:spacing w:val="-2"/>
        </w:rPr>
        <w:t>资租赁方式租入的固定资产采用与自有固定资产一致的政策计提租赁资产折旧。能够合理确定租赁期届满时取得租赁资产所</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ind w:right="0"/>
        <w:jc w:val="left"/>
      </w:pPr>
      <w:r>
        <w:rPr>
          <w:spacing w:val="-2"/>
        </w:rPr>
        <w:t>有权的在租赁资产使用寿命内计提折旧，无法合理确定租赁期届满能够取得租赁资产所有权的，在租赁期与租赁资产使用寿</w:t>
      </w:r>
      <w:r>
        <w:rPr>
          <w:spacing w:val="-64"/>
        </w:rPr>
        <w:t> </w:t>
      </w:r>
      <w:r>
        <w:rPr>
          <w:spacing w:val="-64"/>
        </w:rPr>
      </w:r>
      <w:r>
        <w:rPr/>
        <w:t>命两者中较短的期间内计提折旧。</w:t>
      </w:r>
    </w:p>
    <w:p>
      <w:pPr>
        <w:spacing w:line="240" w:lineRule="auto" w:before="3"/>
        <w:rPr>
          <w:rFonts w:ascii="宋体" w:hAnsi="宋体" w:cs="宋体" w:eastAsia="宋体" w:hint="default"/>
          <w:sz w:val="22"/>
          <w:szCs w:val="22"/>
        </w:rPr>
      </w:pPr>
    </w:p>
    <w:p>
      <w:pPr>
        <w:pStyle w:val="Heading6"/>
        <w:spacing w:line="240" w:lineRule="auto"/>
        <w:ind w:right="0"/>
        <w:jc w:val="left"/>
        <w:rPr>
          <w:b w:val="0"/>
          <w:bCs w:val="0"/>
        </w:rPr>
      </w:pPr>
      <w:bookmarkStart w:name="17、在建工程" w:id="177"/>
      <w:bookmarkEnd w:id="17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4"/>
          <w:szCs w:val="24"/>
        </w:rPr>
      </w:pPr>
    </w:p>
    <w:p>
      <w:pPr>
        <w:pStyle w:val="Heading7"/>
        <w:spacing w:line="273" w:lineRule="auto" w:before="0"/>
        <w:ind w:left="154" w:right="113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Heading7"/>
        <w:spacing w:line="240" w:lineRule="auto"/>
        <w:ind w:left="573" w:right="0"/>
        <w:jc w:val="left"/>
      </w:pPr>
      <w:r>
        <w:rPr/>
        <w:t>在建工程的减值测试方法和减值准备计提方法详见本节五、（二十二）</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right="0"/>
        <w:jc w:val="left"/>
        <w:rPr>
          <w:b w:val="0"/>
          <w:bCs w:val="0"/>
        </w:rPr>
      </w:pPr>
      <w:bookmarkStart w:name="18、借款费用" w:id="178"/>
      <w:bookmarkEnd w:id="17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154"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Heading7"/>
        <w:spacing w:line="273" w:lineRule="auto"/>
        <w:ind w:left="15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Heading7"/>
        <w:spacing w:line="273" w:lineRule="auto"/>
        <w:ind w:left="574" w:right="0"/>
        <w:jc w:val="left"/>
      </w:pPr>
      <w:r>
        <w:rPr/>
        <w:t>资本化期间内，外币专门借款的汇兑差额全部予以资本化；外币一般借款的汇兑差额计入当期损益。</w:t>
      </w:r>
      <w:r>
        <w:rPr>
          <w:spacing w:val="-38"/>
        </w:rPr>
        <w:t> </w:t>
      </w:r>
      <w:r>
        <w:rPr>
          <w:spacing w:val="-38"/>
        </w:rPr>
      </w:r>
      <w:r>
        <w:rPr/>
        <w:t>符合资本化条件的资产指需要经过相当长时间的购建或者生产活动才能达到预定可使用或可销售状</w:t>
      </w:r>
    </w:p>
    <w:p>
      <w:pPr>
        <w:pStyle w:val="Heading7"/>
        <w:spacing w:line="273" w:lineRule="auto"/>
        <w:ind w:left="574" w:right="0" w:hanging="42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Heading7"/>
        <w:spacing w:line="264" w:lineRule="exact" w:before="0"/>
        <w:ind w:right="0"/>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19、生物资产" w:id="179"/>
      <w:bookmarkEnd w:id="17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0、油气资产" w:id="180"/>
      <w:bookmarkEnd w:id="18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1、无形资产" w:id="181"/>
      <w:bookmarkEnd w:id="18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计价方法、使用寿命、减值测试" w:id="182"/>
      <w:bookmarkEnd w:id="18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3"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Heading7"/>
        <w:spacing w:line="273" w:lineRule="auto"/>
        <w:ind w:left="573" w:right="0"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Heading7"/>
        <w:spacing w:line="273" w:lineRule="auto" w:before="8"/>
        <w:ind w:right="0"/>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Heading7"/>
        <w:spacing w:line="273" w:lineRule="auto"/>
        <w:ind w:right="1132" w:firstLine="420"/>
        <w:jc w:val="both"/>
      </w:pPr>
      <w:r>
        <w:rPr>
          <w:spacing w:val="-1"/>
        </w:rPr>
        <w:t>使用寿命有限的无形资产自可供使用时起，对其原值减去已计提的减值准备累计金额在其预计使用寿</w:t>
      </w:r>
      <w:r>
        <w:rPr/>
        <w:t> 命内采用直线法分期平均摊销。使用寿命不确定的无形资产不予摊销。</w:t>
      </w:r>
    </w:p>
    <w:p>
      <w:pPr>
        <w:pStyle w:val="Heading7"/>
        <w:spacing w:line="240" w:lineRule="auto"/>
        <w:ind w:left="573" w:right="0"/>
        <w:jc w:val="left"/>
      </w:pPr>
      <w:r>
        <w:rPr/>
        <w:t>期末，对使用寿命有限的无形资产的使用寿命和摊销方法进行复核，如发生变更则作为会计估计变更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0"/>
        <w:jc w:val="left"/>
      </w:pPr>
      <w:r>
        <w:rPr/>
        <w:t>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48"/>
        <w:ind w:right="0"/>
        <w:jc w:val="left"/>
        <w:rPr>
          <w:b w:val="0"/>
          <w:bCs w:val="0"/>
        </w:rPr>
      </w:pPr>
      <w:bookmarkStart w:name="（2）内部研究开发支出会计政策" w:id="183"/>
      <w:bookmarkEnd w:id="18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573" w:right="1118"/>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Heading7"/>
        <w:spacing w:line="240" w:lineRule="auto"/>
        <w:ind w:right="0"/>
        <w:jc w:val="left"/>
      </w:pPr>
      <w:r>
        <w:rPr/>
        <w:t>期损益：</w:t>
      </w:r>
    </w:p>
    <w:p>
      <w:pPr>
        <w:pStyle w:val="Heading7"/>
        <w:spacing w:line="240" w:lineRule="auto" w:before="37"/>
        <w:ind w:left="573" w:right="0"/>
        <w:jc w:val="left"/>
      </w:pPr>
      <w:r>
        <w:rPr/>
        <w:t>①完成该无形资产以使其能够使用或出售在技术上具有可行性；</w:t>
      </w:r>
    </w:p>
    <w:p>
      <w:pPr>
        <w:pStyle w:val="Heading7"/>
        <w:spacing w:line="240" w:lineRule="auto" w:before="37"/>
        <w:ind w:left="573" w:right="0"/>
        <w:jc w:val="left"/>
      </w:pPr>
      <w:r>
        <w:rPr/>
        <w:t>②具有完成该无形资产并使用或出售的意图；</w:t>
      </w:r>
    </w:p>
    <w:p>
      <w:pPr>
        <w:pStyle w:val="Heading7"/>
        <w:spacing w:line="273" w:lineRule="auto" w:before="37"/>
        <w:ind w:right="0" w:firstLine="420"/>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Heading7"/>
        <w:spacing w:line="273" w:lineRule="auto"/>
        <w:ind w:right="1118" w:firstLine="420"/>
        <w:jc w:val="left"/>
      </w:pPr>
      <w:r>
        <w:rPr>
          <w:spacing w:val="-1"/>
        </w:rPr>
        <w:t>④有足够的技术、财务资源和其他资源支持，以完成该无形资产的开发，并有能力使用或出售该无形</w:t>
      </w:r>
      <w:r>
        <w:rPr/>
        <w:t> 资产；</w:t>
      </w:r>
    </w:p>
    <w:p>
      <w:pPr>
        <w:pStyle w:val="Heading7"/>
        <w:spacing w:line="273" w:lineRule="auto"/>
        <w:ind w:left="573" w:right="2773"/>
        <w:jc w:val="left"/>
      </w:pPr>
      <w:r>
        <w:rPr/>
        <w:t>⑤归属于该无形资产开发阶段的支出能够可靠地计量。 无法区分研究阶段支出和开发阶段支出的，将发生的研发支出全部计入当期损益。 </w:t>
      </w:r>
      <w:r>
        <w:rPr>
          <w:rFonts w:ascii="Times New Roman" w:hAnsi="Times New Roman" w:cs="Times New Roman" w:eastAsia="Times New Roman" w:hint="default"/>
        </w:rPr>
        <w:t>3</w:t>
      </w:r>
      <w:r>
        <w:rPr/>
        <w:t>、无形资产的减值测试方法及减值准备计提方法</w:t>
      </w:r>
    </w:p>
    <w:p>
      <w:pPr>
        <w:pStyle w:val="Heading7"/>
        <w:spacing w:line="279" w:lineRule="exact" w:before="0"/>
        <w:ind w:right="0"/>
        <w:jc w:val="left"/>
      </w:pPr>
      <w:r>
        <w:rPr/>
        <w:t>无形资产的减值测试方法和减值准备计提方法详见附注五、（二十二）</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5"/>
          <w:szCs w:val="25"/>
        </w:rPr>
      </w:pPr>
    </w:p>
    <w:p>
      <w:pPr>
        <w:pStyle w:val="Heading7"/>
        <w:spacing w:line="590" w:lineRule="atLeast" w:before="0"/>
        <w:ind w:left="574" w:right="0" w:hanging="420"/>
        <w:jc w:val="left"/>
      </w:pPr>
      <w:bookmarkStart w:name="22、长期资产减值" w:id="184"/>
      <w:bookmarkEnd w:id="184"/>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Heading7"/>
        <w:spacing w:line="273" w:lineRule="auto" w:before="37"/>
        <w:ind w:left="154"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Heading7"/>
        <w:spacing w:line="273" w:lineRule="auto"/>
        <w:ind w:right="0" w:firstLine="420"/>
        <w:jc w:val="left"/>
      </w:pPr>
      <w:r>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w:t>
      </w:r>
      <w:r>
        <w:rPr>
          <w:spacing w:val="-35"/>
        </w:rPr>
        <w:t> </w:t>
      </w:r>
      <w:r>
        <w:rPr>
          <w:spacing w:val="-35"/>
        </w:rPr>
      </w:r>
      <w:r>
        <w:rPr/>
        <w:t>资产组是能够独立产生现金流入的最小资产组合。</w:t>
      </w:r>
    </w:p>
    <w:p>
      <w:pPr>
        <w:pStyle w:val="Heading7"/>
        <w:spacing w:line="273" w:lineRule="auto"/>
        <w:ind w:left="154"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Heading7"/>
        <w:spacing w:line="240" w:lineRule="auto"/>
        <w:ind w:left="574" w:right="0"/>
        <w:jc w:val="left"/>
      </w:pPr>
      <w:r>
        <w:rPr/>
        <w:t>上述资产减值损失一经确认，以后期间不予转回价值得以恢复的部分。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506" w:lineRule="auto" w:before="0"/>
        <w:ind w:left="565" w:right="3411" w:hanging="412"/>
        <w:jc w:val="left"/>
        <w:rPr>
          <w:rFonts w:ascii="宋体" w:hAnsi="宋体" w:cs="宋体" w:eastAsia="宋体" w:hint="default"/>
          <w:sz w:val="21"/>
          <w:szCs w:val="21"/>
        </w:rPr>
      </w:pPr>
      <w:bookmarkStart w:name="23、长期待摊费用" w:id="185"/>
      <w:bookmarkEnd w:id="185"/>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长期待摊费用按实际发生额核算，在费用项目的受益期限内分期平均摊销。</w:t>
      </w:r>
    </w:p>
    <w:p>
      <w:pPr>
        <w:spacing w:line="240" w:lineRule="auto" w:before="0"/>
        <w:rPr>
          <w:rFonts w:ascii="宋体" w:hAnsi="宋体" w:cs="宋体" w:eastAsia="宋体" w:hint="default"/>
          <w:sz w:val="20"/>
          <w:szCs w:val="20"/>
        </w:rPr>
      </w:pPr>
    </w:p>
    <w:p>
      <w:pPr>
        <w:pStyle w:val="Heading6"/>
        <w:spacing w:line="240" w:lineRule="auto" w:before="155"/>
        <w:ind w:left="154" w:right="0"/>
        <w:jc w:val="both"/>
        <w:rPr>
          <w:b w:val="0"/>
          <w:bCs w:val="0"/>
        </w:rPr>
      </w:pPr>
      <w:bookmarkStart w:name="24、职工薪酬" w:id="186"/>
      <w:bookmarkEnd w:id="186"/>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Heading7"/>
        <w:spacing w:line="273" w:lineRule="auto" w:before="37"/>
        <w:ind w:left="154"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离职后福利的会计处理方法"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离职后福利主要包括设定提存计划及设定受益计划。其中设定提存计划主要包括基本养老保险、失业</w:t>
      </w:r>
    </w:p>
    <w:p>
      <w:pPr>
        <w:pStyle w:val="Heading7"/>
        <w:spacing w:line="273" w:lineRule="auto" w:before="37"/>
        <w:ind w:left="154" w:right="1130"/>
        <w:jc w:val="both"/>
      </w:pPr>
      <w:r>
        <w:rPr>
          <w:spacing w:val="-1"/>
        </w:rPr>
        <w:t>保险以及年金等，相应的应缴存金额于发生时计入相关资产成本或当期损益。本公司聘请独立精算师根据</w:t>
      </w:r>
      <w:r>
        <w:rPr>
          <w:spacing w:val="-80"/>
        </w:rPr>
        <w:t> </w:t>
      </w:r>
      <w:r>
        <w:rPr>
          <w:spacing w:val="-80"/>
        </w:rPr>
      </w:r>
      <w:r>
        <w:rPr>
          <w:spacing w:val="-1"/>
        </w:rPr>
        <w:t>预期累计福利单位法，采用无偏且相互一致的精算假设对有关人口统计变量和财务变量等作出估计，计量</w:t>
      </w:r>
      <w:r>
        <w:rPr>
          <w:spacing w:val="-81"/>
        </w:rPr>
        <w:t> </w:t>
      </w:r>
      <w:r>
        <w:rPr>
          <w:spacing w:val="-81"/>
        </w:rPr>
      </w:r>
      <w:r>
        <w:rPr>
          <w:spacing w:val="-1"/>
        </w:rPr>
        <w:t>设定受益计划所产生的义务，并确定相关义务的归属期间。于资产负债表日，本公司将设定受益计划所产</w:t>
      </w:r>
      <w:r>
        <w:rPr>
          <w:spacing w:val="-83"/>
        </w:rPr>
        <w:t> </w:t>
      </w:r>
      <w:r>
        <w:rPr>
          <w:spacing w:val="-83"/>
        </w:rPr>
      </w:r>
      <w:r>
        <w:rPr/>
        <w:t>生的义务按现值列示，并将当期服务成本计入当期损益。</w:t>
      </w:r>
    </w:p>
    <w:p>
      <w:pPr>
        <w:spacing w:line="240" w:lineRule="auto" w:before="8"/>
        <w:rPr>
          <w:rFonts w:ascii="宋体" w:hAnsi="宋体" w:cs="宋体" w:eastAsia="宋体" w:hint="default"/>
          <w:sz w:val="24"/>
          <w:szCs w:val="24"/>
        </w:rPr>
      </w:pPr>
    </w:p>
    <w:p>
      <w:pPr>
        <w:spacing w:line="590" w:lineRule="atLeast" w:before="0"/>
        <w:ind w:left="573" w:right="0" w:hanging="420"/>
        <w:jc w:val="left"/>
        <w:rPr>
          <w:rFonts w:ascii="宋体" w:hAnsi="宋体" w:cs="宋体" w:eastAsia="宋体" w:hint="default"/>
          <w:sz w:val="21"/>
          <w:szCs w:val="21"/>
        </w:rPr>
      </w:pPr>
      <w:bookmarkStart w:name="（3）辞退福利的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在职工劳动合同到期之前解除与职工的劳动关系，或为鼓励职工自愿接受裁减而提出给予补偿的建议，</w:t>
      </w:r>
    </w:p>
    <w:p>
      <w:pPr>
        <w:pStyle w:val="Heading7"/>
        <w:spacing w:line="273" w:lineRule="auto" w:before="37"/>
        <w:ind w:right="1131"/>
        <w:jc w:val="both"/>
      </w:pPr>
      <w:r>
        <w:rPr>
          <w:spacing w:val="-1"/>
        </w:rPr>
        <w:t>在本公司不能单方面撤回因解除劳动关系计划或裁减建议所提供的辞退福利时，和本公司确认与涉及支付</w:t>
      </w:r>
      <w:r>
        <w:rPr>
          <w:spacing w:val="-81"/>
        </w:rPr>
        <w:t> </w:t>
      </w:r>
      <w:r>
        <w:rPr>
          <w:spacing w:val="-81"/>
        </w:rPr>
      </w:r>
      <w:r>
        <w:rPr>
          <w:spacing w:val="-1"/>
        </w:rPr>
        <w:t>辞退福利的重组相关的成本两者孰早日，确认辞退福利产生的职工薪酬负债，并计入当期损益。但辞退福</w:t>
      </w:r>
      <w:r>
        <w:rPr>
          <w:spacing w:val="-83"/>
        </w:rPr>
        <w:t> </w:t>
      </w:r>
      <w:r>
        <w:rPr>
          <w:spacing w:val="-83"/>
        </w:rPr>
      </w:r>
      <w:r>
        <w:rPr/>
        <w:t>利预期在年度报告期结束后十二个月不能完全支付的，按照其他长期职工薪酬处理。</w:t>
      </w:r>
    </w:p>
    <w:p>
      <w:pPr>
        <w:pStyle w:val="Heading7"/>
        <w:spacing w:line="273" w:lineRule="auto"/>
        <w:ind w:right="1130"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2"/>
        </w:rPr>
        <w:t> </w:t>
      </w:r>
      <w:r>
        <w:rPr>
          <w:spacing w:val="-82"/>
        </w:rPr>
      </w:r>
      <w:r>
        <w:rPr/>
        <w:t>福利）。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90" w:lineRule="atLeast" w:before="0"/>
        <w:ind w:left="574" w:right="0" w:hanging="420"/>
        <w:jc w:val="left"/>
        <w:rPr>
          <w:rFonts w:ascii="宋体" w:hAnsi="宋体" w:cs="宋体" w:eastAsia="宋体" w:hint="default"/>
          <w:sz w:val="21"/>
          <w:szCs w:val="21"/>
        </w:rPr>
      </w:pPr>
      <w:bookmarkStart w:name="（4）其他长期职工福利的会计处理方法"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本公司向职工提供的其他长期职工福利，符合设定提存计划的，按照设定提存计划进行会计处理，除</w:t>
      </w:r>
    </w:p>
    <w:p>
      <w:pPr>
        <w:pStyle w:val="Heading7"/>
        <w:spacing w:line="240" w:lineRule="auto" w:before="37"/>
        <w:ind w:left="154" w:right="0"/>
        <w:jc w:val="both"/>
      </w:pPr>
      <w:r>
        <w:rPr/>
        <w:t>此之外按照设定收益计划进行会计处理。</w:t>
      </w:r>
    </w:p>
    <w:p>
      <w:pPr>
        <w:spacing w:after="0" w:line="240" w:lineRule="auto"/>
        <w:jc w:val="both"/>
        <w:sectPr>
          <w:footerReference w:type="default" r:id="rId13"/>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both"/>
        <w:rPr>
          <w:b w:val="0"/>
          <w:bCs w:val="0"/>
        </w:rPr>
      </w:pPr>
      <w:bookmarkStart w:name="25、预计负债" w:id="191"/>
      <w:bookmarkEnd w:id="19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7"/>
        <w:spacing w:line="256" w:lineRule="auto" w:before="0"/>
        <w:ind w:right="1215" w:firstLine="42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Heading7"/>
        <w:spacing w:line="273" w:lineRule="auto" w:before="5"/>
        <w:ind w:right="1131"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Heading7"/>
        <w:spacing w:line="273" w:lineRule="auto"/>
        <w:ind w:left="154"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pStyle w:val="Heading7"/>
        <w:spacing w:line="256" w:lineRule="auto"/>
        <w:ind w:left="573" w:right="0"/>
        <w:jc w:val="left"/>
      </w:pP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w:t>
      </w:r>
    </w:p>
    <w:p>
      <w:pPr>
        <w:pStyle w:val="Heading7"/>
        <w:spacing w:line="273" w:lineRule="auto" w:before="22"/>
        <w:ind w:right="1132"/>
        <w:jc w:val="both"/>
      </w:pPr>
      <w:r>
        <w:rPr>
          <w:spacing w:val="-1"/>
        </w:rPr>
        <w:t>且该亏损合同产生的义务满足上述预计负债的确认条件的，将合同预计损失超过合同标的资产已确认的减</w:t>
      </w:r>
      <w:r>
        <w:rPr>
          <w:spacing w:val="-81"/>
        </w:rPr>
        <w:t> </w:t>
      </w:r>
      <w:r>
        <w:rPr>
          <w:spacing w:val="-81"/>
        </w:rPr>
      </w:r>
      <w:r>
        <w:rPr/>
        <w:t>值损失（如有）的部分，确认为预计负债。</w:t>
      </w:r>
    </w:p>
    <w:p>
      <w:pPr>
        <w:pStyle w:val="Heading7"/>
        <w:spacing w:line="256" w:lineRule="auto"/>
        <w:ind w:left="573" w:right="1118"/>
        <w:jc w:val="left"/>
      </w:pP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w:t>
      </w:r>
    </w:p>
    <w:p>
      <w:pPr>
        <w:pStyle w:val="Heading7"/>
        <w:spacing w:line="240" w:lineRule="auto" w:before="22"/>
        <w:ind w:right="0"/>
        <w:jc w:val="both"/>
      </w:pPr>
      <w:r>
        <w:rPr/>
        <w:t>重组有关的直接支出确定预计负债金额。对于出售部分业务的重组义务，只有在本公司承诺出售部分业务</w:t>
      </w:r>
    </w:p>
    <w:p>
      <w:pPr>
        <w:pStyle w:val="Heading7"/>
        <w:spacing w:line="240" w:lineRule="auto" w:before="37"/>
        <w:ind w:right="0"/>
        <w:jc w:val="both"/>
      </w:pPr>
      <w:r>
        <w:rPr/>
        <w:t>（即签订了约束性出售协议时），才确认与重组相关的义务。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both"/>
        <w:rPr>
          <w:b w:val="0"/>
          <w:bCs w:val="0"/>
        </w:rPr>
      </w:pPr>
      <w:bookmarkStart w:name="26、股份支付" w:id="192"/>
      <w:bookmarkEnd w:id="19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7"/>
        <w:spacing w:line="256" w:lineRule="auto" w:before="0"/>
        <w:ind w:left="574" w:right="1302"/>
        <w:jc w:val="left"/>
      </w:pP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pStyle w:val="Heading7"/>
        <w:spacing w:line="240" w:lineRule="auto" w:before="23"/>
        <w:ind w:left="154" w:right="0"/>
        <w:jc w:val="both"/>
      </w:pPr>
      <w:r>
        <w:rPr/>
        <w:t>的交易。股份支付分为以权益结算的股份支付和以现金结算的股份支付。</w:t>
      </w:r>
    </w:p>
    <w:p>
      <w:pPr>
        <w:pStyle w:val="Heading7"/>
        <w:spacing w:line="273" w:lineRule="auto" w:before="37"/>
        <w:ind w:left="573" w:right="0"/>
        <w:jc w:val="left"/>
      </w:pPr>
      <w:r>
        <w:rPr/>
        <w:t>①以权益结算的股份支付 </w:t>
      </w:r>
      <w:r>
        <w:rPr>
          <w:spacing w:val="-1"/>
        </w:rPr>
        <w:t>用以换取职工提供的服务的权益结算的股份支付，以授予职工权益工具在授予日的公允价值计量。该</w:t>
      </w:r>
    </w:p>
    <w:p>
      <w:pPr>
        <w:pStyle w:val="Heading7"/>
        <w:spacing w:line="264" w:lineRule="auto"/>
        <w:ind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2"/>
        </w:rPr>
        <w:t>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w:t>
      </w:r>
      <w:r>
        <w:rPr>
          <w:spacing w:val="-95"/>
        </w:rPr>
        <w:t> </w:t>
      </w:r>
      <w:r>
        <w:rPr>
          <w:spacing w:val="-95"/>
        </w:rPr>
      </w:r>
      <w:r>
        <w:rPr/>
        <w:t>相关成本或费用，相应增加资本公积。</w:t>
      </w:r>
    </w:p>
    <w:p>
      <w:pPr>
        <w:pStyle w:val="Heading7"/>
        <w:spacing w:line="273" w:lineRule="auto" w:before="16"/>
        <w:ind w:right="0" w:firstLine="420"/>
        <w:jc w:val="left"/>
      </w:pPr>
      <w:r>
        <w:rPr>
          <w:spacing w:val="-1"/>
        </w:rPr>
        <w:t>在等待期内每个资产负债表日，本公司根据最新取得的可行权职工人数变动等后续信息做出最佳估计，</w:t>
      </w:r>
      <w:r>
        <w:rPr/>
        <w:t> 修正预计可行权的权益工具数量。上述估计的影响计入当期相关成本或费用，并相应调整资本公积。</w:t>
      </w:r>
    </w:p>
    <w:p>
      <w:pPr>
        <w:pStyle w:val="Heading7"/>
        <w:spacing w:line="273" w:lineRule="auto"/>
        <w:ind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Heading7"/>
        <w:spacing w:line="273" w:lineRule="auto"/>
        <w:ind w:left="573" w:right="0"/>
        <w:jc w:val="left"/>
      </w:pPr>
      <w:r>
        <w:rPr/>
        <w:t>②以现金结算的股份支付 </w:t>
      </w:r>
      <w:r>
        <w:rPr>
          <w:spacing w:val="-1"/>
        </w:rPr>
        <w:t>以现金结算的股份支付，按照本公司承担的以股份或其他权益工具为基础确定的负债的公允价值计量。</w:t>
      </w:r>
    </w:p>
    <w:p>
      <w:pPr>
        <w:pStyle w:val="Heading7"/>
        <w:spacing w:line="273" w:lineRule="auto"/>
        <w:ind w:right="1130"/>
        <w:jc w:val="both"/>
      </w:pPr>
      <w:r>
        <w:rPr>
          <w:spacing w:val="-1"/>
        </w:rPr>
        <w:t>如授予后立即可行权，在授予日计入相关成本或费用，相应增加负债；如须完成等待期内的服务或达到规</w:t>
      </w:r>
      <w:r>
        <w:rPr>
          <w:spacing w:val="-83"/>
        </w:rPr>
        <w:t> </w:t>
      </w:r>
      <w:r>
        <w:rPr>
          <w:spacing w:val="-83"/>
        </w:rPr>
      </w:r>
      <w:r>
        <w:rPr>
          <w:spacing w:val="-1"/>
        </w:rPr>
        <w:t>定业绩条件以后才可行权，在等待期的每个资产负债表日，以对可行权情况的最佳估计为基础，按照本公</w:t>
      </w:r>
      <w:r>
        <w:rPr>
          <w:spacing w:val="-83"/>
        </w:rPr>
        <w:t> </w:t>
      </w:r>
      <w:r>
        <w:rPr>
          <w:spacing w:val="-83"/>
        </w:rPr>
      </w:r>
      <w:r>
        <w:rPr/>
        <w:t>司承担负债的公允价值金额，将当期取得的服务计入成本或费用，相应增加负债。</w:t>
      </w:r>
    </w:p>
    <w:p>
      <w:pPr>
        <w:pStyle w:val="Heading7"/>
        <w:spacing w:line="273" w:lineRule="auto"/>
        <w:ind w:right="1131" w:firstLine="420"/>
        <w:jc w:val="both"/>
      </w:pPr>
      <w:r>
        <w:rPr>
          <w:spacing w:val="-1"/>
        </w:rPr>
        <w:t>在相关负债结算前的每个资产负债表日以及结算日，对负债的公允价值重新计量，其变动计入当期损</w:t>
      </w:r>
      <w:r>
        <w:rPr/>
        <w:t> 益。</w:t>
      </w:r>
    </w:p>
    <w:p>
      <w:pPr>
        <w:pStyle w:val="Heading7"/>
        <w:spacing w:line="256" w:lineRule="auto" w:before="8"/>
        <w:ind w:left="574" w:right="0"/>
        <w:jc w:val="left"/>
      </w:pP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Heading7"/>
        <w:spacing w:line="273" w:lineRule="auto" w:before="22"/>
        <w:ind w:left="154"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p>
    <w:p>
      <w:pPr>
        <w:spacing w:after="0" w:line="273" w:lineRule="auto"/>
        <w:jc w:val="both"/>
        <w:sectPr>
          <w:footerReference w:type="default" r:id="rId14"/>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Heading7"/>
        <w:spacing w:line="273" w:lineRule="auto" w:before="35"/>
        <w:ind w:left="573" w:right="0" w:hanging="420"/>
        <w:jc w:val="left"/>
      </w:pPr>
      <w:r>
        <w:rPr/>
        <w:t>服务进行会计处理，视同该变更从未发生，除非本公司取消了部分或全部已授予的权益工具。 </w:t>
      </w:r>
      <w:r>
        <w:rPr>
          <w:spacing w:val="-1"/>
        </w:rPr>
        <w:t>在等待期内，如果取消了授予的权益工具，本公司对取消所授予的权益性工具作为加速行权处理，将</w:t>
      </w:r>
    </w:p>
    <w:p>
      <w:pPr>
        <w:pStyle w:val="Heading7"/>
        <w:spacing w:line="273" w:lineRule="auto"/>
        <w:ind w:right="0"/>
        <w:jc w:val="left"/>
      </w:pP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Heading7"/>
        <w:spacing w:line="256" w:lineRule="auto" w:before="8"/>
        <w:ind w:left="573" w:right="0"/>
        <w:jc w:val="left"/>
      </w:pPr>
      <w:r>
        <w:rPr>
          <w:rFonts w:ascii="Times New Roman" w:hAnsi="Times New Roman" w:cs="Times New Roman" w:eastAsia="Times New Roman"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w:t>
      </w:r>
    </w:p>
    <w:p>
      <w:pPr>
        <w:pStyle w:val="Heading7"/>
        <w:spacing w:line="240" w:lineRule="auto" w:before="22"/>
        <w:ind w:right="0"/>
        <w:jc w:val="left"/>
      </w:pPr>
      <w:r>
        <w:rPr/>
        <w:t>另一在本公司外的，在本公司合并财务报表中按照以下规定进行会计处理：</w:t>
      </w:r>
    </w:p>
    <w:p>
      <w:pPr>
        <w:pStyle w:val="Heading7"/>
        <w:spacing w:line="273" w:lineRule="auto" w:before="37"/>
        <w:ind w:right="1032" w:firstLine="420"/>
        <w:jc w:val="both"/>
      </w:pPr>
      <w:r>
        <w:rPr/>
        <w:t>①结算企业以其本身权益工具结算的，将该股份支付交易作为权益结算的股份支付处理；除此之外， 作为现金结算的股份支付处理。</w:t>
      </w:r>
    </w:p>
    <w:p>
      <w:pPr>
        <w:pStyle w:val="Heading7"/>
        <w:spacing w:line="273" w:lineRule="auto"/>
        <w:ind w:left="154" w:right="1132" w:firstLine="420"/>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Heading7"/>
        <w:spacing w:line="273" w:lineRule="auto"/>
        <w:ind w:right="1130" w:firstLine="420"/>
        <w:jc w:val="both"/>
      </w:pPr>
      <w:r>
        <w:rPr>
          <w:spacing w:val="-1"/>
        </w:rPr>
        <w:t>②接受服务企业没有结算义务或授予本企业职工的是其本身权益工具的，将该股份支付交易作为权益</w:t>
      </w:r>
      <w:r>
        <w:rPr/>
        <w:t> </w:t>
      </w:r>
      <w:r>
        <w:rPr>
          <w:spacing w:val="-1"/>
        </w:rPr>
        <w:t>结算的股份支付处理；接受服务企业具有结算义务且授予本企业职工的并非其本身权益工具的，将该股份</w:t>
      </w:r>
      <w:r>
        <w:rPr>
          <w:spacing w:val="-80"/>
        </w:rPr>
        <w:t> </w:t>
      </w:r>
      <w:r>
        <w:rPr>
          <w:spacing w:val="-80"/>
        </w:rPr>
      </w:r>
      <w:r>
        <w:rPr/>
        <w:t>支付交易作为现金结算的股份支付处理。</w:t>
      </w:r>
    </w:p>
    <w:p>
      <w:pPr>
        <w:pStyle w:val="Heading7"/>
        <w:spacing w:line="273" w:lineRule="auto"/>
        <w:ind w:right="1131" w:firstLine="420"/>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7、优先股、永续债等其他金融工具" w:id="193"/>
      <w:bookmarkEnd w:id="19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28、收入" w:id="194"/>
      <w:bookmarkEnd w:id="194"/>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7"/>
        <w:spacing w:line="266" w:lineRule="auto" w:before="0"/>
        <w:ind w:left="573" w:right="0"/>
        <w:jc w:val="left"/>
      </w:pPr>
      <w:r>
        <w:rPr>
          <w:rFonts w:ascii="Times New Roman" w:hAnsi="Times New Roman" w:cs="Times New Roman" w:eastAsia="Times New Roman" w:hint="default"/>
        </w:rPr>
        <w:t>1</w:t>
      </w:r>
      <w:r>
        <w:rPr/>
        <w:t>、自行开发研制的软件产品销售收入的确认原则及方法： 自行开发研制的软件产品是指拥有自主知识产权，无差异化、可批量复制的软件产品。 </w:t>
      </w:r>
      <w:r>
        <w:rPr>
          <w:spacing w:val="-2"/>
        </w:rPr>
        <w:t>其收入确认原则及方法为：软件产品所有权上的重要风险和报酬转移给买方，公司不再对该软件产品</w:t>
      </w:r>
    </w:p>
    <w:p>
      <w:pPr>
        <w:pStyle w:val="Heading7"/>
        <w:spacing w:line="273" w:lineRule="auto" w:before="14"/>
        <w:ind w:right="0"/>
        <w:jc w:val="left"/>
      </w:pPr>
      <w:r>
        <w:rPr>
          <w:spacing w:val="-2"/>
        </w:rPr>
        <w:t>实施继续管理权和实际控制权，相关的收入已经收到或取得了收款的证据，并且与销售该软件产品有关的</w:t>
      </w:r>
      <w:r>
        <w:rPr>
          <w:spacing w:val="-69"/>
        </w:rPr>
        <w:t> </w:t>
      </w:r>
      <w:r>
        <w:rPr>
          <w:spacing w:val="-69"/>
        </w:rPr>
      </w:r>
      <w:r>
        <w:rPr/>
        <w:t>成本能够可靠地计量时，确认销售收入。</w:t>
      </w:r>
    </w:p>
    <w:p>
      <w:pPr>
        <w:pStyle w:val="Heading7"/>
        <w:spacing w:line="256" w:lineRule="auto"/>
        <w:ind w:left="573" w:right="0"/>
        <w:jc w:val="left"/>
      </w:pPr>
      <w:r>
        <w:rPr>
          <w:rFonts w:ascii="Times New Roman" w:hAnsi="Times New Roman" w:cs="Times New Roman" w:eastAsia="Times New Roman" w:hint="default"/>
        </w:rPr>
        <w:t>2</w:t>
      </w:r>
      <w:r>
        <w:rPr/>
        <w:t>、技术开发收入的确认原则及方法： </w:t>
      </w:r>
      <w:r>
        <w:rPr>
          <w:spacing w:val="-2"/>
        </w:rPr>
        <w:t>技术开发是指根据与客户签订的技术开发、技术转让合同，对用户的业务进行充分实地调查，并根据</w:t>
      </w:r>
    </w:p>
    <w:p>
      <w:pPr>
        <w:pStyle w:val="Heading7"/>
        <w:spacing w:line="273" w:lineRule="auto" w:before="22"/>
        <w:ind w:right="0"/>
        <w:jc w:val="left"/>
      </w:pPr>
      <w:r>
        <w:rPr>
          <w:spacing w:val="-2"/>
        </w:rPr>
        <w:t>用户的实际需求进行专门的软件设计与开发及硬件安装，由此开发出来的项目不具有通用性。其收入确认</w:t>
      </w:r>
      <w:r>
        <w:rPr>
          <w:spacing w:val="-69"/>
        </w:rPr>
        <w:t> </w:t>
      </w:r>
      <w:r>
        <w:rPr>
          <w:spacing w:val="-69"/>
        </w:rPr>
      </w:r>
      <w:r>
        <w:rPr/>
        <w:t>原则及方法为：</w:t>
      </w:r>
    </w:p>
    <w:p>
      <w:pPr>
        <w:pStyle w:val="Heading7"/>
        <w:spacing w:line="273" w:lineRule="auto"/>
        <w:ind w:right="1164" w:firstLine="420"/>
        <w:jc w:val="both"/>
      </w:pPr>
      <w:r>
        <w:rPr>
          <w:spacing w:val="-2"/>
        </w:rPr>
        <w:t>①技术开发项目在同一会计年度内开始并完成的，在技术开发成果的使用权已经提供，收到价款或取</w:t>
      </w:r>
      <w:r>
        <w:rPr/>
        <w:t> 得收取款项的证据时，确认收入。</w:t>
      </w:r>
    </w:p>
    <w:p>
      <w:pPr>
        <w:pStyle w:val="Heading7"/>
        <w:spacing w:line="273" w:lineRule="auto"/>
        <w:ind w:right="1165" w:firstLine="420"/>
        <w:jc w:val="both"/>
      </w:pPr>
      <w:r>
        <w:rPr>
          <w:spacing w:val="-2"/>
        </w:rPr>
        <w:t>②技术开发项目的开始和完成分属不同的会计年度的，在合同的总收入、项目的完成程度能够可靠地</w:t>
      </w:r>
      <w:r>
        <w:rPr/>
        <w:t> 确定，与项目有关的价款能够流入</w:t>
      </w:r>
      <w:r>
        <w:rPr>
          <w:spacing w:val="28"/>
        </w:rPr>
        <w:t> </w:t>
      </w:r>
      <w:r>
        <w:rPr/>
        <w:t>，已经发生的成本和完成该项技术开发将要发生的成本能够可靠地计</w:t>
      </w:r>
      <w:r>
        <w:rPr>
          <w:spacing w:val="-96"/>
        </w:rPr>
        <w:t> </w:t>
      </w:r>
      <w:r>
        <w:rPr>
          <w:spacing w:val="-96"/>
        </w:rPr>
      </w:r>
      <w:r>
        <w:rPr/>
        <w:t>量时，在资产负债表日按完工百分比法（工程完工进度）确认软件收入。</w:t>
      </w:r>
    </w:p>
    <w:p>
      <w:pPr>
        <w:pStyle w:val="Heading7"/>
        <w:spacing w:line="273" w:lineRule="auto"/>
        <w:ind w:right="1167" w:firstLine="420"/>
        <w:jc w:val="both"/>
      </w:pPr>
      <w:r>
        <w:rPr/>
        <w:t>③对在资产负债表日劳务交易结果不能可靠估计的技术开发项目，</w:t>
      </w:r>
      <w:r>
        <w:rPr>
          <w:spacing w:val="37"/>
        </w:rPr>
        <w:t> </w:t>
      </w:r>
      <w:r>
        <w:rPr/>
        <w:t>如果已经发生的成本预计能够得</w:t>
      </w:r>
      <w:r>
        <w:rPr/>
        <w:t> 到补偿，应按能够得到补偿的收入金额确认收入，并按相同的金额结转成本；</w:t>
      </w:r>
      <w:r>
        <w:rPr>
          <w:spacing w:val="35"/>
        </w:rPr>
        <w:t> </w:t>
      </w:r>
      <w:r>
        <w:rPr/>
        <w:t>如果已经发生的成本预计</w:t>
      </w:r>
      <w:r>
        <w:rPr>
          <w:spacing w:val="-99"/>
        </w:rPr>
        <w:t> </w:t>
      </w:r>
      <w:r>
        <w:rPr>
          <w:spacing w:val="-99"/>
        </w:rPr>
      </w:r>
      <w:r>
        <w:rPr>
          <w:spacing w:val="-2"/>
        </w:rPr>
        <w:t>不能全部得到补偿，应按能够得到补偿的收入金额确认收入，并按已发生的成本结转成本，确认的收入金</w:t>
      </w:r>
      <w:r>
        <w:rPr>
          <w:spacing w:val="-73"/>
        </w:rPr>
        <w:t> </w:t>
      </w:r>
      <w:r>
        <w:rPr>
          <w:spacing w:val="-73"/>
        </w:rPr>
      </w:r>
      <w:r>
        <w:rPr/>
        <w:t>额小于已经发生的成本的差额，确认为损失；</w:t>
      </w:r>
      <w:r>
        <w:rPr>
          <w:spacing w:val="-21"/>
        </w:rPr>
        <w:t> </w:t>
      </w:r>
      <w:r>
        <w:rPr/>
        <w:t>如果已发生的成本全部不能得到补偿，则不应确认收入，</w:t>
      </w:r>
      <w:r>
        <w:rPr/>
        <w:t> 但应将已发生的成本确认为费用。</w:t>
      </w:r>
    </w:p>
    <w:p>
      <w:pPr>
        <w:pStyle w:val="Heading7"/>
        <w:spacing w:line="256" w:lineRule="auto" w:before="8"/>
        <w:ind w:left="574" w:right="0"/>
        <w:jc w:val="left"/>
      </w:pPr>
      <w:r>
        <w:rPr>
          <w:rFonts w:ascii="Times New Roman" w:hAnsi="Times New Roman" w:cs="Times New Roman" w:eastAsia="Times New Roman" w:hint="default"/>
        </w:rPr>
        <w:t>3</w:t>
      </w:r>
      <w:r>
        <w:rPr/>
        <w:t>、软件服务收入的确认原则及方法： </w:t>
      </w:r>
      <w:r>
        <w:rPr>
          <w:spacing w:val="-2"/>
        </w:rPr>
        <w:t>软件服务是指公司为客户提供软件应用等技术服务实现的收入。包括但不限于：免费服务期后的系统</w:t>
      </w:r>
    </w:p>
    <w:p>
      <w:pPr>
        <w:pStyle w:val="Heading7"/>
        <w:spacing w:line="240" w:lineRule="auto" w:before="22"/>
        <w:ind w:left="154" w:right="0"/>
        <w:jc w:val="left"/>
      </w:pPr>
      <w:r>
        <w:rPr/>
        <w:t>维护、数据修复、技术业务咨询服务、技术支持、应用培训等技术服务；二次开发服务业务；其他为客户</w:t>
      </w:r>
    </w:p>
    <w:p>
      <w:pPr>
        <w:pStyle w:val="Heading7"/>
        <w:spacing w:line="240" w:lineRule="auto" w:before="37"/>
        <w:ind w:left="154" w:right="0"/>
        <w:jc w:val="left"/>
      </w:pPr>
      <w:r>
        <w:rPr/>
        <w:t>（包括使用非公司产品）进行的技术支持、技术应用及技术咨询等服务。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1118" w:firstLine="420"/>
        <w:jc w:val="left"/>
      </w:pPr>
      <w:r>
        <w:rPr>
          <w:spacing w:val="-2"/>
        </w:rPr>
        <w:t>软件服务收入的确认原则及方法为：在劳务已经提供，收到价款或取得收取款项的证据时，确认劳务</w:t>
      </w:r>
      <w:r>
        <w:rPr/>
        <w:t> 收入。</w:t>
      </w:r>
    </w:p>
    <w:p>
      <w:pPr>
        <w:pStyle w:val="Heading7"/>
        <w:spacing w:line="266" w:lineRule="auto"/>
        <w:ind w:left="573" w:right="0"/>
        <w:jc w:val="left"/>
      </w:pPr>
      <w:r>
        <w:rPr>
          <w:rFonts w:ascii="Times New Roman" w:hAnsi="Times New Roman" w:cs="Times New Roman" w:eastAsia="Times New Roman" w:hint="default"/>
        </w:rPr>
        <w:t>4</w:t>
      </w:r>
      <w:r>
        <w:rPr/>
        <w:t>、系统集成收入的确认原则及方法： 系统集成收入是公司为客户实施软件项目时，应客户要求代其外购软硬件系统所获得的收入。 系统集成收入的确认原则及方法：系统集成项目软硬件系统所有权上的重要风险和报酬转移给买方，</w:t>
      </w:r>
    </w:p>
    <w:p>
      <w:pPr>
        <w:pStyle w:val="Heading7"/>
        <w:spacing w:line="273" w:lineRule="auto" w:before="14"/>
        <w:ind w:right="0"/>
        <w:jc w:val="left"/>
      </w:pPr>
      <w:r>
        <w:rPr>
          <w:spacing w:val="-2"/>
        </w:rPr>
        <w:t>公司不再对其实施继续管理权和实际控制权，相关的收入已经收到或取得了收款的证据，与销售该软硬件</w:t>
      </w:r>
      <w:r>
        <w:rPr>
          <w:spacing w:val="-69"/>
        </w:rPr>
        <w:t> </w:t>
      </w:r>
      <w:r>
        <w:rPr>
          <w:spacing w:val="-69"/>
        </w:rPr>
      </w:r>
      <w:r>
        <w:rPr/>
        <w:t>系统有关的成本能够可靠地计量时，确认销售收入。</w:t>
      </w:r>
    </w:p>
    <w:p>
      <w:pPr>
        <w:pStyle w:val="Heading7"/>
        <w:spacing w:line="266" w:lineRule="auto"/>
        <w:ind w:right="0" w:firstLine="420"/>
        <w:jc w:val="left"/>
      </w:pPr>
      <w:r>
        <w:rPr>
          <w:rFonts w:ascii="Times New Roman" w:hAnsi="Times New Roman" w:cs="Times New Roman" w:eastAsia="Times New Roman" w:hint="default"/>
        </w:rPr>
        <w:t>5</w:t>
      </w:r>
      <w:r>
        <w:rPr/>
        <w:t>、让渡资产使用权收入的确认原则及方法： </w:t>
      </w:r>
      <w:r>
        <w:rPr>
          <w:spacing w:val="-1"/>
        </w:rPr>
        <w:t>让渡无形资产（如商标权、专利权、专营权、软件、版权等），以及其他非现金资产的使用权而形成的使</w:t>
      </w:r>
      <w:r>
        <w:rPr>
          <w:spacing w:val="-85"/>
        </w:rPr>
        <w:t> </w:t>
      </w:r>
      <w:r>
        <w:rPr>
          <w:spacing w:val="-85"/>
        </w:rPr>
      </w:r>
      <w:r>
        <w:rPr>
          <w:spacing w:val="-1"/>
        </w:rPr>
        <w:t>用费收入，按有关合同或协议规定的收费时间和方法计算确定。上述收入的确定并应同时满足：①与交易</w:t>
      </w:r>
      <w:r>
        <w:rPr>
          <w:spacing w:val="-83"/>
        </w:rPr>
        <w:t> </w:t>
      </w:r>
      <w:r>
        <w:rPr>
          <w:spacing w:val="-83"/>
        </w:rPr>
      </w:r>
      <w:r>
        <w:rPr/>
        <w:t>相关的经济利益能够流入公司；②收入金额能够可靠地计量。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6"/>
        <w:spacing w:line="240" w:lineRule="auto"/>
        <w:ind w:right="0"/>
        <w:jc w:val="left"/>
        <w:rPr>
          <w:b w:val="0"/>
          <w:bCs w:val="0"/>
        </w:rPr>
      </w:pPr>
      <w:bookmarkStart w:name="29、政府补助" w:id="195"/>
      <w:bookmarkEnd w:id="195"/>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574" w:right="0" w:hanging="420"/>
        <w:jc w:val="left"/>
        <w:rPr>
          <w:rFonts w:ascii="宋体" w:hAnsi="宋体" w:cs="宋体" w:eastAsia="宋体" w:hint="default"/>
          <w:sz w:val="21"/>
          <w:szCs w:val="21"/>
        </w:rPr>
      </w:pPr>
      <w:bookmarkStart w:name="（1）与资产相关的政府补助判断依据及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政府补助是指本公司从政府无偿取得货币性资产和非货币性资产，不包括政府作为所有者投入的资本。</w:t>
      </w:r>
    </w:p>
    <w:p>
      <w:pPr>
        <w:pStyle w:val="Heading7"/>
        <w:spacing w:line="273" w:lineRule="auto" w:before="37"/>
        <w:ind w:left="573" w:right="0" w:hanging="420"/>
        <w:jc w:val="left"/>
      </w:pPr>
      <w:r>
        <w:rPr/>
        <w:t>政府补助分为与资产相关的政府补助和与收益相关的政府补助。 </w:t>
      </w:r>
      <w:r>
        <w:rPr>
          <w:spacing w:val="-1"/>
        </w:rPr>
        <w:t>本公司将所取得的用于购建或以其他方式形成长期资产的政府补助界定为与资产相关的政府补助；其</w:t>
      </w:r>
    </w:p>
    <w:p>
      <w:pPr>
        <w:pStyle w:val="Heading7"/>
        <w:spacing w:line="264" w:lineRule="auto"/>
        <w:ind w:right="0"/>
        <w:jc w:val="left"/>
      </w:pPr>
      <w:r>
        <w:rPr>
          <w:spacing w:val="-1"/>
        </w:rPr>
        <w:t>余政府补助界定为与收益相关的政府补助。若政府文件未明确规定补助对象，则采用以下方式将补助款划</w:t>
      </w:r>
      <w:r>
        <w:rPr>
          <w:spacing w:val="-81"/>
        </w:rPr>
        <w:t> </w:t>
      </w:r>
      <w:r>
        <w:rPr>
          <w:spacing w:val="-81"/>
        </w:rPr>
      </w:r>
      <w:r>
        <w:rPr/>
        <w:t>分为与收益相关的政府补助和与资产相关的政府补助：（</w:t>
      </w:r>
      <w:r>
        <w:rPr>
          <w:rFonts w:ascii="Times New Roman" w:hAnsi="Times New Roman" w:cs="Times New Roman" w:eastAsia="Times New Roman" w:hint="default"/>
        </w:rPr>
        <w:t>1</w:t>
      </w:r>
      <w:r>
        <w:rPr/>
        <w:t>）政府文件明确了补助所针对的特定项目的， </w:t>
      </w:r>
      <w:r>
        <w:rPr>
          <w:spacing w:val="-1"/>
        </w:rPr>
        <w:t>根据该特定项目的预算中将形成资产的支出金额和计入费用的支出金额的相对比例进行划分，对该划分比</w:t>
      </w:r>
      <w:r>
        <w:rPr>
          <w:spacing w:val="-81"/>
        </w:rPr>
        <w:t> </w:t>
      </w:r>
      <w:r>
        <w:rPr>
          <w:spacing w:val="-81"/>
        </w:rPr>
      </w:r>
      <w:r>
        <w:rPr/>
        <w:t>例需在每个资产负债表日进行复核，必要时进行变更；（</w:t>
      </w:r>
      <w:r>
        <w:rPr>
          <w:rFonts w:ascii="Times New Roman" w:hAnsi="Times New Roman" w:cs="Times New Roman" w:eastAsia="Times New Roman" w:hint="default"/>
        </w:rPr>
        <w:t>2</w:t>
      </w:r>
      <w:r>
        <w:rPr/>
        <w:t>）政府文件中对用途仅作一般性表述，没有指 明特定项目的，作为与收益相关的政府补助。</w:t>
      </w:r>
    </w:p>
    <w:p>
      <w:pPr>
        <w:pStyle w:val="Heading7"/>
        <w:spacing w:line="273" w:lineRule="auto" w:before="16"/>
        <w:ind w:left="154" w:right="1131" w:firstLine="420"/>
        <w:jc w:val="both"/>
      </w:pPr>
      <w:r>
        <w:rPr>
          <w:spacing w:val="-1"/>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6"/>
        </w:rPr>
        <w:t> </w:t>
      </w:r>
      <w:r>
        <w:rPr>
          <w:spacing w:val="-86"/>
        </w:rPr>
      </w:r>
      <w:r>
        <w:rPr/>
        <w:t>益。</w:t>
      </w:r>
    </w:p>
    <w:p>
      <w:pPr>
        <w:pStyle w:val="Heading7"/>
        <w:spacing w:line="264" w:lineRule="auto"/>
        <w:ind w:right="0" w:firstLine="42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 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r>
        <w:rPr>
          <w:rFonts w:ascii="Times New Roman" w:hAnsi="Times New Roman" w:cs="Times New Roman" w:eastAsia="Times New Roman" w:hint="default"/>
        </w:rPr>
        <w:t>4</w:t>
      </w:r>
      <w:r>
        <w:rPr/>
        <w:t>）根据本公司和该补助事项的具体情况，应 满足的其他相关条件（如有）。</w:t>
      </w:r>
    </w:p>
    <w:p>
      <w:pPr>
        <w:pStyle w:val="Heading7"/>
        <w:spacing w:line="240" w:lineRule="auto" w:before="16"/>
        <w:ind w:left="574" w:right="0"/>
        <w:jc w:val="left"/>
      </w:pPr>
      <w:r>
        <w:rPr/>
        <w:t>与资产相关的政府补助，确认为递延收益，并在相关资产的使用寿命内平均分配计入当期损益。</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2）与收益相关的政府补助判断依据及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与收益相关的政府补助，用于补偿以后期间的相关费用和损失的，确认为递延收益，并在确认相关费</w:t>
      </w:r>
    </w:p>
    <w:p>
      <w:pPr>
        <w:pStyle w:val="Heading7"/>
        <w:spacing w:line="240" w:lineRule="auto" w:before="37"/>
        <w:ind w:left="154" w:right="0"/>
        <w:jc w:val="left"/>
      </w:pPr>
      <w:r>
        <w:rPr/>
        <w:t>用的期间计入当期损益；用于补偿已经发生的相关费用和损失的，直接计入当期损益。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0" w:firstLine="420"/>
        <w:jc w:val="left"/>
      </w:pPr>
      <w:r>
        <w:rPr>
          <w:spacing w:val="-1"/>
        </w:rPr>
        <w:t>已确认的政府补助需要返还时，存在相关递延收益余额的，冲减相关递延收益账面余额，超出部分计</w:t>
      </w:r>
      <w:r>
        <w:rPr/>
        <w:t> 入当期损益；不存在相关递延收益的，直接计入当期损益。 </w:t>
      </w:r>
      <w:r>
        <w:rPr>
          <w:spacing w:val="-1"/>
        </w:rPr>
        <w:t>本公司因城镇整体规划、库区建设、棚户区改造、沉陷区治理等公共利益进行搬迁，收到政府从财政预算</w:t>
      </w:r>
      <w:r>
        <w:rPr>
          <w:spacing w:val="-86"/>
        </w:rPr>
        <w:t> </w:t>
      </w:r>
      <w:r>
        <w:rPr>
          <w:spacing w:val="-86"/>
        </w:rPr>
      </w:r>
      <w:r>
        <w:rPr>
          <w:spacing w:val="-1"/>
        </w:rPr>
        <w:t>直接拨付的搬迁补偿款，作为专项应付款处理。其中，属于对本公司在搬迁和重建过程中发生的固定资产</w:t>
      </w:r>
      <w:r>
        <w:rPr>
          <w:spacing w:val="-83"/>
        </w:rPr>
        <w:t> </w:t>
      </w:r>
      <w:r>
        <w:rPr>
          <w:spacing w:val="-83"/>
        </w:rPr>
      </w:r>
      <w:r>
        <w:rPr>
          <w:spacing w:val="-1"/>
        </w:rPr>
        <w:t>和无形资产损失、有关费用性支出、停工损失及搬迁后拟新建资产进行补偿的，自专项应付款转入递延收</w:t>
      </w:r>
      <w:r>
        <w:rPr>
          <w:spacing w:val="-83"/>
        </w:rPr>
        <w:t> </w:t>
      </w:r>
      <w:r>
        <w:rPr>
          <w:spacing w:val="-83"/>
        </w:rPr>
      </w:r>
      <w:r>
        <w:rPr>
          <w:spacing w:val="-1"/>
        </w:rPr>
        <w:t>益，并根据其性质按照与资产相关的政府补助和与收益相关的政府补助核算，取得的搬迁补偿款扣除转入</w:t>
      </w:r>
      <w:r>
        <w:rPr>
          <w:spacing w:val="-81"/>
        </w:rPr>
        <w:t> </w:t>
      </w:r>
      <w:r>
        <w:rPr>
          <w:spacing w:val="-81"/>
        </w:rPr>
      </w:r>
      <w:r>
        <w:rPr/>
        <w:t>递延收益的金额后如有结余的，确认为资本公积。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30、递延所得税资产/递延所得税负债" w:id="198"/>
      <w:bookmarkEnd w:id="19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7"/>
        <w:spacing w:line="256" w:lineRule="auto" w:before="0"/>
        <w:ind w:left="573" w:right="0"/>
        <w:jc w:val="left"/>
      </w:pP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w:t>
      </w:r>
    </w:p>
    <w:p>
      <w:pPr>
        <w:pStyle w:val="Heading7"/>
        <w:spacing w:line="273" w:lineRule="auto" w:before="22"/>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Heading7"/>
        <w:spacing w:line="256" w:lineRule="auto"/>
        <w:ind w:left="574" w:right="0"/>
        <w:jc w:val="left"/>
      </w:pP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w:t>
      </w:r>
    </w:p>
    <w:p>
      <w:pPr>
        <w:pStyle w:val="Heading7"/>
        <w:spacing w:line="273" w:lineRule="auto" w:before="22"/>
        <w:ind w:left="154"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Heading7"/>
        <w:spacing w:line="273" w:lineRule="auto"/>
        <w:ind w:left="154"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Heading7"/>
        <w:spacing w:line="273" w:lineRule="auto"/>
        <w:ind w:right="1131"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Heading7"/>
        <w:spacing w:line="273" w:lineRule="auto"/>
        <w:ind w:left="154" w:right="0" w:firstLine="420"/>
        <w:jc w:val="left"/>
      </w:pPr>
      <w:r>
        <w:rPr>
          <w:spacing w:val="-1"/>
        </w:rPr>
        <w:t>对于能够结转以后年度的可抵扣亏损和税款抵减，以很可能获得用来抵扣可抵扣亏损和税款抵减的未</w:t>
      </w:r>
      <w:r>
        <w:rPr/>
        <w:t> 来应纳税所得额为限，确认相应的递延所得税资产。</w:t>
      </w:r>
    </w:p>
    <w:p>
      <w:pPr>
        <w:pStyle w:val="Heading7"/>
        <w:spacing w:line="273" w:lineRule="auto"/>
        <w:ind w:left="154" w:right="0" w:firstLine="420"/>
        <w:jc w:val="left"/>
      </w:pPr>
      <w:r>
        <w:rPr>
          <w:spacing w:val="-1"/>
        </w:rPr>
        <w:t>资产负债表日，对于递延所得税资产和递延所得税负债，根据税法规定，按照预期收回相关资产或清</w:t>
      </w:r>
      <w:r>
        <w:rPr/>
        <w:t> 偿相关负债期间的适用税率计量。</w:t>
      </w:r>
    </w:p>
    <w:p>
      <w:pPr>
        <w:pStyle w:val="Heading7"/>
        <w:spacing w:line="273" w:lineRule="auto"/>
        <w:ind w:left="154"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Heading7"/>
        <w:spacing w:line="256" w:lineRule="auto"/>
        <w:ind w:left="574" w:right="6342"/>
        <w:jc w:val="left"/>
      </w:pPr>
      <w:r>
        <w:rPr>
          <w:rFonts w:ascii="Times New Roman" w:hAnsi="Times New Roman" w:cs="Times New Roman" w:eastAsia="Times New Roman" w:hint="default"/>
        </w:rPr>
        <w:t>3</w:t>
      </w:r>
      <w:r>
        <w:rPr/>
        <w:t>、所得税费用 所得税费用包括当期所得税和递延所得税。</w:t>
      </w:r>
    </w:p>
    <w:p>
      <w:pPr>
        <w:pStyle w:val="Heading7"/>
        <w:spacing w:line="273" w:lineRule="auto" w:before="22"/>
        <w:ind w:left="154" w:right="0"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Heading7"/>
        <w:spacing w:line="256" w:lineRule="auto"/>
        <w:ind w:left="574" w:right="0"/>
        <w:jc w:val="left"/>
      </w:pP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0"/>
        <w:jc w:val="left"/>
      </w:pPr>
      <w:r>
        <w:rPr/>
        <w:t>得税资产及当期所得税负债以抵销后的净额列报。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31、租赁" w:id="199"/>
      <w:bookmarkEnd w:id="199"/>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pStyle w:val="Heading7"/>
        <w:spacing w:line="240" w:lineRule="auto" w:before="37"/>
        <w:ind w:left="154" w:right="0"/>
        <w:jc w:val="left"/>
      </w:pPr>
      <w:r>
        <w:rPr/>
        <w:t>能不转移。融资租赁以外的其他租赁为经营租赁。</w:t>
      </w:r>
    </w:p>
    <w:p>
      <w:pPr>
        <w:pStyle w:val="Heading7"/>
        <w:spacing w:line="256" w:lineRule="auto" w:before="37"/>
        <w:ind w:left="57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w:t>
      </w:r>
    </w:p>
    <w:p>
      <w:pPr>
        <w:pStyle w:val="Heading7"/>
        <w:spacing w:line="240" w:lineRule="auto" w:before="22"/>
        <w:ind w:left="154" w:right="0"/>
        <w:jc w:val="left"/>
      </w:pPr>
      <w:r>
        <w:rPr/>
        <w:t>入当期损益。或有租金于实际发生时计入当期损益。</w:t>
      </w:r>
    </w:p>
    <w:p>
      <w:pPr>
        <w:pStyle w:val="Heading7"/>
        <w:spacing w:line="256" w:lineRule="auto" w:before="37"/>
        <w:ind w:left="574"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w:t>
      </w:r>
    </w:p>
    <w:p>
      <w:pPr>
        <w:pStyle w:val="Heading7"/>
        <w:spacing w:line="273" w:lineRule="auto" w:before="22"/>
        <w:ind w:left="154" w:right="0"/>
        <w:jc w:val="left"/>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90" w:lineRule="atLeast" w:before="0"/>
        <w:ind w:left="574" w:right="6972" w:hanging="420"/>
        <w:jc w:val="left"/>
        <w:rPr>
          <w:rFonts w:ascii="宋体" w:hAnsi="宋体" w:cs="宋体" w:eastAsia="宋体" w:hint="default"/>
          <w:sz w:val="21"/>
          <w:szCs w:val="21"/>
        </w:rPr>
      </w:pPr>
      <w:bookmarkStart w:name="（2）融资租赁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本公司作为承租人记录融资租赁业务</w:t>
      </w:r>
    </w:p>
    <w:p>
      <w:pPr>
        <w:pStyle w:val="Heading7"/>
        <w:spacing w:line="273" w:lineRule="auto" w:before="37"/>
        <w:ind w:left="154" w:right="1131" w:firstLine="420"/>
        <w:jc w:val="both"/>
      </w:pPr>
      <w:r>
        <w:rPr>
          <w:spacing w:val="-1"/>
        </w:rPr>
        <w:t>于租赁期开始日，将租赁开始日租赁资产的公允价值与最低租赁付款额现值两者中较低者作为租入资</w:t>
      </w:r>
      <w:r>
        <w:rPr/>
        <w:t> </w:t>
      </w: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Heading7"/>
        <w:spacing w:line="273" w:lineRule="auto"/>
        <w:ind w:left="154" w:right="1132" w:firstLine="420"/>
        <w:jc w:val="both"/>
      </w:pPr>
      <w:r>
        <w:rPr>
          <w:spacing w:val="-1"/>
        </w:rPr>
        <w:t>未确认融资费用在租赁期内采用实际利率法计算确认当期的融资费用。或有租金于实际发生时计入当</w:t>
      </w:r>
      <w:r>
        <w:rPr/>
        <w:t> 期损益。</w:t>
      </w:r>
    </w:p>
    <w:p>
      <w:pPr>
        <w:pStyle w:val="Heading7"/>
        <w:spacing w:line="273" w:lineRule="auto"/>
        <w:ind w:left="574" w:right="0"/>
        <w:jc w:val="left"/>
      </w:pPr>
      <w:r>
        <w:rPr/>
        <w:t>本公司作为出租人记录融资租赁业务 </w:t>
      </w:r>
      <w:r>
        <w:rPr>
          <w:spacing w:val="-1"/>
        </w:rPr>
        <w:t>于租赁期开始日，将租赁开始日最低租赁收款额与初始直接费用之和作为应收融资租赁款的入账价值，</w:t>
      </w:r>
    </w:p>
    <w:p>
      <w:pPr>
        <w:pStyle w:val="Heading7"/>
        <w:spacing w:line="273" w:lineRule="auto"/>
        <w:ind w:left="154" w:right="0"/>
        <w:jc w:val="left"/>
      </w:pPr>
      <w:r>
        <w:rPr/>
        <w:t>同时记录未担保余值；将最低租赁收款额、初始直接费用及未担保余值之和与其现值之和的差额确认为未 </w:t>
      </w:r>
      <w:r>
        <w:rPr>
          <w:spacing w:val="-1"/>
        </w:rPr>
        <w:t>实现融资收益。应收融资租赁款扣除未实现融资收益后的余额分别长期债权和一年内到期的长期债权列示。</w:t>
      </w:r>
    </w:p>
    <w:p>
      <w:pPr>
        <w:pStyle w:val="Heading7"/>
        <w:spacing w:line="273" w:lineRule="auto"/>
        <w:ind w:left="154" w:right="1132" w:firstLine="420"/>
        <w:jc w:val="both"/>
      </w:pPr>
      <w:r>
        <w:rPr>
          <w:spacing w:val="-1"/>
        </w:rPr>
        <w:t>未实现融资收益在租赁期内采用实际利率法计算确认当期的融资收入。或有租金于实际发生时计入当</w:t>
      </w:r>
      <w:r>
        <w:rPr/>
        <w:t> 期损益。</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2、其他重要的会计政策和会计估计" w:id="202"/>
      <w:bookmarkEnd w:id="20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33、重要会计政策和会计估计变更" w:id="203"/>
      <w:bookmarkEnd w:id="20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04"/>
      <w:bookmarkEnd w:id="20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pict>
          <v:shape style="position:absolute;margin-left:183.320007pt;margin-top:37.631725pt;width:192.15pt;height:171.6pt;mso-position-horizontal-relative:page;mso-position-vertical-relative:paragraph;z-index:-9030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left="0" w:right="0"/>
                    <w:jc w:val="left"/>
                  </w:pPr>
                  <w:r>
                    <w:rPr/>
                    <w:t>的通知》</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根据《关于印发〈企业会计准则第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432" w:lineRule="exact"/>
              <w:ind w:right="-50"/>
              <w:jc w:val="left"/>
              <w:rPr>
                <w:rFonts w:ascii="宋体" w:hAnsi="宋体" w:cs="宋体" w:eastAsia="宋体" w:hint="default"/>
                <w:sz w:val="20"/>
                <w:szCs w:val="20"/>
              </w:rPr>
            </w:pPr>
            <w:r>
              <w:rPr>
                <w:rFonts w:ascii="宋体" w:hAnsi="宋体" w:cs="宋体" w:eastAsia="宋体" w:hint="default"/>
                <w:position w:val="-68"/>
                <w:sz w:val="20"/>
                <w:szCs w:val="20"/>
              </w:rPr>
              <w:pict>
                <v:group style="width:159pt;height:171.6pt;mso-position-horizontal-relative:char;mso-position-vertical-relative:line" coordorigin="0,0" coordsize="3180,3432">
                  <v:group style="position:absolute;left:0;top:0;width:3180;height:3432" coordorigin="0,0" coordsize="3180,3432">
                    <v:shape style="position:absolute;left:0;top:0;width:3180;height:3432" coordorigin="0,0" coordsize="3180,3432" path="m0,3432l3179,3432,3179,0,0,0,0,3432xe" filled="true" fillcolor="#ffffff" stroked="false">
                      <v:path arrowok="t"/>
                      <v:fill type="solid"/>
                    </v:shape>
                  </v:group>
                </v:group>
              </w:pict>
            </w:r>
            <w:r>
              <w:rPr>
                <w:rFonts w:ascii="宋体" w:hAnsi="宋体" w:cs="宋体" w:eastAsia="宋体" w:hint="default"/>
                <w:position w:val="-6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3189" w:type="dxa"/>
            <w:vMerge w:val="restart"/>
            <w:tcBorders>
              <w:top w:val="single" w:sz="4" w:space="0" w:color="000000"/>
              <w:left w:val="single" w:sz="4" w:space="0" w:color="000000"/>
              <w:right w:val="single" w:sz="4" w:space="0" w:color="000000"/>
            </w:tcBorders>
          </w:tcPr>
          <w:p>
            <w:pPr/>
          </w:p>
        </w:tc>
      </w:tr>
      <w:tr>
        <w:trPr>
          <w:trHeight w:val="31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公允价值计量〉的通知</w:t>
            </w:r>
            <w:r>
              <w:rPr>
                <w:rFonts w:ascii="宋体" w:hAnsi="宋体" w:cs="宋体" w:eastAsia="宋体" w:hint="default"/>
                <w:spacing w:val="-90"/>
                <w:sz w:val="18"/>
                <w:szCs w:val="18"/>
              </w:rPr>
              <w:t>》</w:t>
            </w:r>
            <w:r>
              <w:rPr>
                <w:rFonts w:ascii="宋体" w:hAnsi="宋体" w:cs="宋体" w:eastAsia="宋体" w:hint="default"/>
                <w:sz w:val="18"/>
                <w:szCs w:val="18"/>
              </w:rPr>
              <w:t>（财会</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[2014</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6</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90"/>
                <w:w w:val="99"/>
                <w:sz w:val="18"/>
                <w:szCs w:val="18"/>
              </w:rPr>
              <w:t>）、</w:t>
            </w:r>
            <w:r>
              <w:rPr>
                <w:rFonts w:ascii="宋体" w:hAnsi="宋体" w:cs="宋体" w:eastAsia="宋体" w:hint="default"/>
                <w:spacing w:val="1"/>
                <w:w w:val="99"/>
                <w:sz w:val="18"/>
                <w:szCs w:val="18"/>
              </w:rPr>
              <w:t>《</w:t>
            </w:r>
            <w:r>
              <w:rPr>
                <w:rFonts w:ascii="宋体" w:hAnsi="宋体" w:cs="宋体" w:eastAsia="宋体" w:hint="default"/>
                <w:w w:val="99"/>
                <w:sz w:val="18"/>
                <w:szCs w:val="18"/>
              </w:rPr>
              <w:t>关于印发修订〈企业会计</w:t>
            </w:r>
            <w:r>
              <w:rPr>
                <w:rFonts w:ascii="宋体" w:hAnsi="宋体" w:cs="宋体" w:eastAsia="宋体" w:hint="default"/>
                <w:sz w:val="18"/>
                <w:szCs w:val="18"/>
              </w:rPr>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《关于印发修订〈企</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职工薪酬〉的通</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知</w:t>
            </w:r>
            <w:r>
              <w:rPr>
                <w:rFonts w:ascii="宋体" w:hAnsi="宋体" w:cs="宋体" w:eastAsia="宋体" w:hint="default"/>
                <w:spacing w:val="-180"/>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80"/>
                <w:sz w:val="18"/>
                <w:szCs w:val="18"/>
              </w:rPr>
              <w:t>、</w:t>
            </w:r>
            <w:r>
              <w:rPr>
                <w:rFonts w:ascii="宋体" w:hAnsi="宋体" w:cs="宋体" w:eastAsia="宋体" w:hint="default"/>
                <w:sz w:val="18"/>
                <w:szCs w:val="18"/>
              </w:rPr>
              <w:t>《关于印发修</w:t>
            </w:r>
            <w:r>
              <w:rPr>
                <w:rFonts w:ascii="宋体" w:hAnsi="宋体" w:cs="宋体" w:eastAsia="宋体" w:hint="default"/>
                <w:spacing w:val="-90"/>
                <w:sz w:val="18"/>
                <w:szCs w:val="18"/>
              </w:rPr>
              <w:t>订</w:t>
            </w:r>
            <w:r>
              <w:rPr>
                <w:rFonts w:ascii="宋体" w:hAnsi="宋体" w:cs="宋体" w:eastAsia="宋体" w:hint="default"/>
                <w:sz w:val="18"/>
                <w:szCs w:val="18"/>
              </w:rPr>
              <w:t>〈企</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的通知</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《关于印发</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的通知</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《关于印发</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修订〈企业会计准则第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权投资</w:t>
            </w:r>
            <w:r>
              <w:rPr>
                <w:rFonts w:ascii="宋体" w:hAnsi="宋体" w:cs="宋体" w:eastAsia="宋体" w:hint="default"/>
                <w:spacing w:val="-60"/>
                <w:sz w:val="18"/>
                <w:szCs w:val="18"/>
              </w:rPr>
              <w:t>〉</w:t>
            </w:r>
            <w:r>
              <w:rPr>
                <w:rFonts w:ascii="宋体" w:hAnsi="宋体" w:cs="宋体" w:eastAsia="宋体" w:hint="default"/>
                <w:sz w:val="18"/>
                <w:szCs w:val="18"/>
              </w:rPr>
              <w:t>的通知</w:t>
            </w:r>
            <w:r>
              <w:rPr>
                <w:rFonts w:ascii="宋体" w:hAnsi="宋体" w:cs="宋体" w:eastAsia="宋体" w:hint="default"/>
                <w:spacing w:val="-150"/>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50"/>
                <w:sz w:val="18"/>
                <w:szCs w:val="18"/>
              </w:rPr>
              <w:t>、</w:t>
            </w:r>
            <w:r>
              <w:rPr>
                <w:rFonts w:ascii="宋体" w:hAnsi="宋体" w:cs="宋体" w:eastAsia="宋体" w:hint="default"/>
                <w:sz w:val="18"/>
                <w:szCs w:val="18"/>
              </w:rPr>
              <w:t>《关</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于印发〈企业会计准则第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他主体中权益的披露〉的通知</w:t>
            </w:r>
            <w:r>
              <w:rPr>
                <w:rFonts w:ascii="宋体" w:hAnsi="宋体" w:cs="宋体" w:eastAsia="宋体" w:hint="default"/>
                <w:spacing w:val="-90"/>
                <w:sz w:val="18"/>
                <w:szCs w:val="18"/>
              </w:rPr>
              <w:t>》</w:t>
            </w:r>
            <w:r>
              <w:rPr>
                <w:rFonts w:ascii="宋体" w:hAnsi="宋体" w:cs="宋体" w:eastAsia="宋体" w:hint="default"/>
                <w:sz w:val="18"/>
                <w:szCs w:val="18"/>
              </w:rPr>
              <w:t>（财会</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[2014]16</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号）的规定，经本公司第五届董</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事会第七次会议决议，本公司自</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8"/>
                <w:sz w:val="18"/>
                <w:szCs w:val="18"/>
              </w:rPr>
              <w:t>项会计准则。同时</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财政部以财会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w:t>
            </w:r>
            <w:r>
              <w:rPr>
                <w:rFonts w:ascii="宋体" w:hAnsi="宋体" w:cs="宋体" w:eastAsia="宋体" w:hint="default"/>
                <w:spacing w:val="1"/>
                <w:sz w:val="18"/>
                <w:szCs w:val="18"/>
              </w:rPr>
              <w:t>布</w:t>
            </w:r>
            <w:r>
              <w:rPr>
                <w:rFonts w:ascii="宋体" w:hAnsi="宋体" w:cs="宋体" w:eastAsia="宋体" w:hint="default"/>
                <w:spacing w:val="-90"/>
                <w:sz w:val="18"/>
                <w:szCs w:val="18"/>
              </w:rPr>
              <w:t>了</w:t>
            </w:r>
            <w:r>
              <w:rPr>
                <w:rFonts w:ascii="宋体" w:hAnsi="宋体" w:cs="宋体" w:eastAsia="宋体" w:hint="default"/>
                <w:sz w:val="18"/>
                <w:szCs w:val="18"/>
              </w:rPr>
              <w:t>《企业会</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Times New Roman" w:hAnsi="Times New Roman" w:cs="Times New Roman" w:eastAsia="Times New Roman" w:hint="default"/>
                <w:sz w:val="18"/>
                <w:szCs w:val="18"/>
              </w:rPr>
              <w:t>2014</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度及以后期</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0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间的财务报告中按照该准则的要求对金</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57"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融工具进行列报。</w:t>
            </w:r>
          </w:p>
        </w:tc>
        <w:tc>
          <w:tcPr>
            <w:tcW w:w="3190" w:type="dxa"/>
            <w:vMerge/>
            <w:tcBorders>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pStyle w:val="Heading7"/>
        <w:spacing w:line="276" w:lineRule="exact" w:before="0"/>
        <w:ind w:left="574" w:right="0"/>
        <w:jc w:val="left"/>
      </w:pPr>
      <w:r>
        <w:rPr/>
        <w:t>（</w:t>
      </w:r>
      <w:r>
        <w:rPr>
          <w:rFonts w:ascii="Times New Roman" w:hAnsi="Times New Roman" w:cs="Times New Roman" w:eastAsia="Times New Roman" w:hint="default"/>
        </w:rPr>
        <w:t>1</w:t>
      </w:r>
      <w:r>
        <w:rPr/>
        <w:t>）合并报表</w:t>
      </w:r>
    </w:p>
    <w:p>
      <w:pPr>
        <w:pStyle w:val="Heading7"/>
        <w:spacing w:line="240" w:lineRule="auto" w:before="21"/>
        <w:ind w:left="0" w:right="1339"/>
        <w:jc w:val="right"/>
      </w:pPr>
      <w:r>
        <w:rPr/>
        <w:t>单位：元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97"/>
        <w:gridCol w:w="1556"/>
        <w:gridCol w:w="3135"/>
        <w:gridCol w:w="3402"/>
      </w:tblGrid>
      <w:tr>
        <w:trPr>
          <w:trHeight w:val="667" w:hRule="exact"/>
        </w:trPr>
        <w:tc>
          <w:tcPr>
            <w:tcW w:w="1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3135"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1"/>
              <w:ind w:left="929" w:right="43" w:hanging="885"/>
              <w:jc w:val="left"/>
              <w:rPr>
                <w:rFonts w:ascii="宋体" w:hAnsi="宋体" w:cs="宋体" w:eastAsia="宋体" w:hint="default"/>
                <w:sz w:val="18"/>
                <w:szCs w:val="18"/>
              </w:rPr>
            </w:pPr>
            <w:r>
              <w:rPr>
                <w:rFonts w:ascii="宋体" w:hAnsi="宋体" w:cs="宋体" w:eastAsia="宋体" w:hint="default"/>
                <w:sz w:val="18"/>
                <w:szCs w:val="18"/>
              </w:rPr>
              <w:t>采用会计准则（《企业会计准则</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 期股权投资》）</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063"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52"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53"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185309195.25</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184,309,195.25</w:t>
            </w:r>
          </w:p>
        </w:tc>
      </w:tr>
      <w:tr>
        <w:trPr>
          <w:trHeight w:val="664"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采用会计准则《企业会计准则第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p>
            <w:pPr>
              <w:pStyle w:val="TableParagraph"/>
              <w:spacing w:line="240" w:lineRule="auto" w:before="63"/>
              <w:ind w:left="1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52"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18,769,984.01</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18,769,984.01</w:t>
            </w:r>
          </w:p>
        </w:tc>
      </w:tr>
      <w:tr>
        <w:trPr>
          <w:trHeight w:val="353" w:hRule="exact"/>
        </w:trPr>
        <w:tc>
          <w:tcPr>
            <w:tcW w:w="17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18,769,984.01</w:t>
            </w:r>
          </w:p>
        </w:tc>
        <w:tc>
          <w:tcPr>
            <w:tcW w:w="3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-18,769,984.01</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bl>
    <w:p>
      <w:pPr>
        <w:pStyle w:val="Heading7"/>
        <w:spacing w:line="276" w:lineRule="exact" w:before="0"/>
        <w:ind w:left="574" w:right="0"/>
        <w:jc w:val="left"/>
      </w:pPr>
      <w:r>
        <w:rPr/>
        <w:t>（</w:t>
      </w:r>
      <w:r>
        <w:rPr>
          <w:rFonts w:ascii="Times New Roman" w:hAnsi="Times New Roman" w:cs="Times New Roman" w:eastAsia="Times New Roman" w:hint="default"/>
        </w:rPr>
        <w:t>2</w:t>
      </w:r>
      <w:r>
        <w:rPr/>
        <w:t>）公司报表</w:t>
      </w:r>
    </w:p>
    <w:p>
      <w:pPr>
        <w:pStyle w:val="Heading7"/>
        <w:spacing w:line="240" w:lineRule="auto" w:before="21"/>
        <w:ind w:left="0" w:right="1131"/>
        <w:jc w:val="right"/>
      </w:pPr>
      <w:r>
        <w:rPr>
          <w:spacing w:val="-5"/>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10"/>
        <w:gridCol w:w="1560"/>
        <w:gridCol w:w="4394"/>
        <w:gridCol w:w="1559"/>
      </w:tblGrid>
      <w:tr>
        <w:trPr>
          <w:trHeight w:val="355" w:hRule="exact"/>
        </w:trPr>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43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42"/>
              <w:jc w:val="right"/>
              <w:rPr>
                <w:rFonts w:ascii="宋体" w:hAnsi="宋体" w:cs="宋体" w:eastAsia="宋体" w:hint="default"/>
                <w:sz w:val="18"/>
                <w:szCs w:val="18"/>
              </w:rPr>
            </w:pPr>
            <w:r>
              <w:rPr>
                <w:rFonts w:ascii="宋体" w:hAnsi="宋体" w:cs="宋体" w:eastAsia="宋体" w:hint="default"/>
                <w:sz w:val="18"/>
                <w:szCs w:val="18"/>
              </w:rPr>
              <w:t>采用会计准则（《企业会计准则</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5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665"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204,659,195.25</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pacing w:val="-1"/>
                <w:sz w:val="18"/>
              </w:rPr>
              <w:t>203,659,195.25</w:t>
            </w:r>
          </w:p>
        </w:tc>
      </w:tr>
      <w:tr>
        <w:trPr>
          <w:trHeight w:val="66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采用前年初余额</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采用会计准则《企业会计准则第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采用后年初余额</w:t>
            </w:r>
          </w:p>
        </w:tc>
      </w:tr>
      <w:tr>
        <w:trPr>
          <w:trHeight w:val="35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0.00</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18,769,984.01</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53" w:right="0"/>
              <w:jc w:val="left"/>
              <w:rPr>
                <w:rFonts w:ascii="Times New Roman" w:hAnsi="Times New Roman" w:cs="Times New Roman" w:eastAsia="Times New Roman" w:hint="default"/>
                <w:sz w:val="18"/>
                <w:szCs w:val="18"/>
              </w:rPr>
            </w:pPr>
            <w:r>
              <w:rPr>
                <w:rFonts w:ascii="Times New Roman"/>
                <w:sz w:val="18"/>
              </w:rPr>
              <w:t>18,769,984.01</w:t>
            </w:r>
          </w:p>
        </w:tc>
      </w:tr>
      <w:tr>
        <w:trPr>
          <w:trHeight w:val="353"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18,769,984.01</w:t>
            </w:r>
          </w:p>
        </w:tc>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-18,769,984.01</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75"/>
        <w:ind w:left="154" w:right="0"/>
        <w:jc w:val="left"/>
        <w:rPr>
          <w:b w:val="0"/>
          <w:bCs w:val="0"/>
        </w:rPr>
      </w:pPr>
      <w:bookmarkStart w:name="（2）重要会计估计变更" w:id="205"/>
      <w:bookmarkEnd w:id="20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06"/>
      <w:bookmarkEnd w:id="20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07"/>
      <w:bookmarkEnd w:id="20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08"/>
      <w:bookmarkEnd w:id="20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ind w:left="0" w:right="1138"/>
        <w:jc w:val="right"/>
      </w:pPr>
      <w:r>
        <w:rPr/>
        <w:pict>
          <v:shape style="position:absolute;margin-left:56.459999pt;margin-top:-20.948286pt;width:479.25pt;height:152.3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 w:right="95"/>
                          <w:jc w:val="left"/>
                          <w:rPr>
                            <w:rFonts w:ascii="宋体" w:hAnsi="宋体" w:cs="宋体" w:eastAsia="宋体" w:hint="default"/>
                            <w:sz w:val="18"/>
                            <w:szCs w:val="18"/>
                          </w:rPr>
                        </w:pPr>
                        <w:r>
                          <w:rPr>
                            <w:rFonts w:ascii="宋体" w:hAnsi="宋体" w:cs="宋体" w:eastAsia="宋体" w:hint="default"/>
                            <w:sz w:val="18"/>
                            <w:szCs w:val="18"/>
                          </w:rPr>
                          <w:t>软件销售收入、系统集成收入、软件服 务收入、技术开发收入</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的税率计算销项税</w:t>
                        </w:r>
                        <w:r>
                          <w:rPr>
                            <w:rFonts w:ascii="宋体" w:hAnsi="宋体" w:cs="宋体" w:eastAsia="宋体" w:hint="default"/>
                            <w:spacing w:val="-87"/>
                            <w:sz w:val="18"/>
                            <w:szCs w:val="18"/>
                          </w:rPr>
                          <w:t> </w:t>
                        </w:r>
                        <w:r>
                          <w:rPr>
                            <w:rFonts w:ascii="宋体" w:hAnsi="宋体" w:cs="宋体" w:eastAsia="宋体" w:hint="default"/>
                            <w:sz w:val="18"/>
                            <w:szCs w:val="18"/>
                          </w:rPr>
                          <w:t>并按扣除当期允许抵扣的进项税额后的 差额计缴增值税</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珠海横琴新区集睿思信息技术有限公司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北京远光非凡软件有限公司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7"/>
        <w:spacing w:line="256" w:lineRule="auto" w:before="0"/>
        <w:ind w:left="647" w:right="1118" w:hanging="72"/>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3"/>
        </w:rPr>
        <w:t>根据财政部、国家税务总局下发财税</w:t>
      </w:r>
      <w:r>
        <w:rPr>
          <w:rFonts w:ascii="Times New Roman" w:hAnsi="Times New Roman" w:cs="Times New Roman" w:eastAsia="Times New Roman" w:hint="default"/>
          <w:spacing w:val="-3"/>
        </w:rPr>
        <w:t>[2011]100</w:t>
      </w:r>
      <w:r>
        <w:rPr>
          <w:spacing w:val="-3"/>
        </w:rPr>
        <w:t>号文《财政部、国家税务总局关于软件产品增值税政</w:t>
      </w:r>
    </w:p>
    <w:p>
      <w:pPr>
        <w:pStyle w:val="Heading7"/>
        <w:spacing w:line="256" w:lineRule="auto" w:before="5"/>
        <w:ind w:left="227" w:right="0"/>
        <w:jc w:val="left"/>
      </w:pPr>
      <w:r>
        <w:rPr>
          <w:spacing w:val="-3"/>
        </w:rPr>
        <w:t>策的通知》，公司自行开发研制软件产品销售按</w:t>
      </w:r>
      <w:r>
        <w:rPr>
          <w:rFonts w:ascii="Times New Roman" w:hAnsi="Times New Roman" w:cs="Times New Roman" w:eastAsia="Times New Roman" w:hint="default"/>
          <w:spacing w:val="-3"/>
        </w:rPr>
        <w:t>17%</w:t>
      </w:r>
      <w:r>
        <w:rPr>
          <w:spacing w:val="-3"/>
        </w:rPr>
        <w:t>的法定税率计缴增值税，实际税负超过</w:t>
      </w:r>
      <w:r>
        <w:rPr>
          <w:rFonts w:ascii="Times New Roman" w:hAnsi="Times New Roman" w:cs="Times New Roman" w:eastAsia="Times New Roman" w:hint="default"/>
          <w:spacing w:val="-3"/>
        </w:rPr>
        <w:t>3%</w:t>
      </w:r>
      <w:r>
        <w:rPr>
          <w:spacing w:val="-3"/>
        </w:rPr>
        <w:t>部分经主</w:t>
      </w:r>
      <w:r>
        <w:rPr>
          <w:spacing w:val="-67"/>
        </w:rPr>
        <w:t> </w:t>
      </w:r>
      <w:r>
        <w:rPr>
          <w:spacing w:val="-67"/>
        </w:rPr>
      </w:r>
      <w:r>
        <w:rPr/>
        <w:t>管国家税务局审核后实行即征即退政策。</w:t>
      </w:r>
    </w:p>
    <w:p>
      <w:pPr>
        <w:pStyle w:val="Heading7"/>
        <w:spacing w:line="256" w:lineRule="auto" w:before="142"/>
        <w:ind w:left="573" w:right="0" w:firstLine="2"/>
        <w:jc w:val="left"/>
      </w:pPr>
      <w:r>
        <w:rPr>
          <w:rFonts w:ascii="Times New Roman" w:hAnsi="Times New Roman" w:cs="Times New Roman" w:eastAsia="Times New Roman" w:hint="default"/>
          <w:b/>
          <w:bCs/>
        </w:rPr>
        <w:t>*2</w:t>
      </w:r>
      <w:r>
        <w:rPr>
          <w:rFonts w:ascii="宋体" w:hAnsi="宋体" w:cs="宋体" w:eastAsia="宋体" w:hint="default"/>
          <w:b/>
          <w:bCs/>
        </w:rPr>
        <w:t>、企业所得税</w:t>
      </w:r>
      <w:r>
        <w:rPr>
          <w:rFonts w:ascii="宋体" w:hAnsi="宋体" w:cs="宋体" w:eastAsia="宋体" w:hint="default"/>
          <w:b/>
          <w:bCs/>
          <w:w w:val="99"/>
        </w:rPr>
        <w:t> </w:t>
      </w:r>
      <w:r>
        <w:rPr>
          <w:spacing w:val="-1"/>
        </w:rPr>
        <w:t>截止</w:t>
      </w:r>
      <w:r>
        <w:rPr>
          <w:rFonts w:ascii="Times New Roman" w:hAnsi="Times New Roman" w:cs="Times New Roman" w:eastAsia="Times New Roman" w:hint="default"/>
          <w:spacing w:val="-1"/>
        </w:rPr>
        <w:t>2014</w:t>
      </w:r>
      <w:r>
        <w:rPr>
          <w:spacing w:val="-1"/>
        </w:rPr>
        <w:t>年度，本公司已连续十二年被国家发展和改革委员会、工业和信息部、财政部、商务部、国</w:t>
      </w:r>
    </w:p>
    <w:p>
      <w:pPr>
        <w:pStyle w:val="Heading7"/>
        <w:spacing w:line="240" w:lineRule="auto" w:before="5"/>
        <w:ind w:right="0"/>
        <w:jc w:val="left"/>
      </w:pPr>
      <w:r>
        <w:rPr/>
        <w:t>家税务总局联合审核认定为国家规划布局内重点软件企业，按</w:t>
      </w:r>
      <w:r>
        <w:rPr>
          <w:rFonts w:ascii="Times New Roman" w:hAnsi="Times New Roman" w:cs="Times New Roman" w:eastAsia="Times New Roman" w:hint="default"/>
        </w:rPr>
        <w:t>10%</w:t>
      </w:r>
      <w:r>
        <w:rPr/>
        <w:t>的税率计缴企业所得税。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spacing w:line="487" w:lineRule="auto" w:before="0"/>
        <w:ind w:left="153" w:right="7333" w:firstLine="0"/>
        <w:jc w:val="left"/>
        <w:rPr>
          <w:rFonts w:ascii="宋体" w:hAnsi="宋体" w:cs="宋体" w:eastAsia="宋体" w:hint="default"/>
          <w:sz w:val="21"/>
          <w:szCs w:val="21"/>
        </w:rPr>
      </w:pPr>
      <w:bookmarkStart w:name="3、其他" w:id="210"/>
      <w:bookmarkEnd w:id="2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1"/>
      <w:bookmarkEnd w:id="21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2"/>
      <w:bookmarkEnd w:id="21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74,743.92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88,949.25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1,063,858,056.69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964,177,109.80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1,506,271.63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35,378,082.88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999,644,141.93</w:t>
            </w:r>
          </w:p>
        </w:tc>
      </w:tr>
    </w:tbl>
    <w:p>
      <w:pPr>
        <w:pStyle w:val="BodyText"/>
        <w:spacing w:line="240" w:lineRule="auto" w:before="51"/>
        <w:ind w:left="154" w:right="0"/>
        <w:jc w:val="left"/>
      </w:pPr>
      <w:r>
        <w:rPr/>
        <w:t>其他说明</w:t>
      </w:r>
    </w:p>
    <w:p>
      <w:pPr>
        <w:pStyle w:val="Heading7"/>
        <w:spacing w:line="240" w:lineRule="auto" w:before="90"/>
        <w:ind w:left="558" w:right="0"/>
        <w:jc w:val="left"/>
      </w:pPr>
      <w:r>
        <w:rPr/>
        <w:t>（</w:t>
      </w:r>
      <w:r>
        <w:rPr>
          <w:rFonts w:ascii="Times New Roman" w:hAnsi="Times New Roman" w:cs="Times New Roman" w:eastAsia="Times New Roman" w:hint="default"/>
        </w:rPr>
        <w:t>1</w:t>
      </w:r>
      <w:r>
        <w:rPr/>
        <w:t>）其他货币资金为存出投资款及外埠存款。</w:t>
      </w:r>
    </w:p>
    <w:p>
      <w:pPr>
        <w:pStyle w:val="Heading7"/>
        <w:spacing w:line="240" w:lineRule="auto" w:before="21"/>
        <w:ind w:left="574" w:right="0"/>
        <w:jc w:val="left"/>
      </w:pPr>
      <w:r>
        <w:rPr/>
        <w:t>（</w:t>
      </w:r>
      <w:r>
        <w:rPr>
          <w:rFonts w:ascii="Times New Roman" w:hAnsi="Times New Roman" w:cs="Times New Roman" w:eastAsia="Times New Roman" w:hint="default"/>
        </w:rPr>
        <w:t>2</w:t>
      </w:r>
      <w:r>
        <w:rPr/>
        <w:t>）期末余额中无因抵押、质押或冻结等对使用有限制、存放在境外、有潜在回收风险的款项。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left="154" w:right="0"/>
        <w:jc w:val="left"/>
        <w:rPr>
          <w:b w:val="0"/>
          <w:bCs w:val="0"/>
        </w:rPr>
      </w:pPr>
      <w:bookmarkStart w:name="2、以公允价值计量且其变动计入当期损益的金融资产" w:id="213"/>
      <w:bookmarkEnd w:id="21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1,394,529.67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124,780,821.98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1,394,529.67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124,780,821.98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1,394,529.67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124,780,821.98</w:t>
            </w:r>
          </w:p>
        </w:tc>
      </w:tr>
    </w:tbl>
    <w:p>
      <w:pPr>
        <w:pStyle w:val="BodyText"/>
        <w:spacing w:line="240" w:lineRule="auto" w:before="51"/>
        <w:ind w:left="154" w:right="0"/>
        <w:jc w:val="left"/>
      </w:pPr>
      <w:r>
        <w:rPr/>
        <w:t>其他说明：</w:t>
      </w:r>
    </w:p>
    <w:p>
      <w:pPr>
        <w:spacing w:line="240" w:lineRule="auto" w:before="1"/>
        <w:rPr>
          <w:rFonts w:ascii="宋体" w:hAnsi="宋体" w:cs="宋体" w:eastAsia="宋体" w:hint="default"/>
          <w:sz w:val="13"/>
          <w:szCs w:val="13"/>
        </w:rPr>
      </w:pPr>
    </w:p>
    <w:p>
      <w:pPr>
        <w:spacing w:line="273" w:lineRule="auto" w:before="0"/>
        <w:ind w:left="489" w:right="3907" w:hanging="156"/>
        <w:jc w:val="left"/>
        <w:rPr>
          <w:rFonts w:ascii="宋体" w:hAnsi="宋体" w:cs="宋体" w:eastAsia="宋体" w:hint="default"/>
          <w:sz w:val="21"/>
          <w:szCs w:val="21"/>
        </w:rPr>
      </w:pP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股票二级市场资产负债表日收盘价以及基金在资产负债日公布的净值。</w:t>
      </w:r>
    </w:p>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衍生金融资产" w:id="214"/>
      <w:bookmarkEnd w:id="21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应收票据" w:id="215"/>
      <w:bookmarkEnd w:id="21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17,570,811.90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62,899,116.95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17,570,811.90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62,899,116.95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公司已质押的应收票据" w:id="217"/>
      <w:bookmarkEnd w:id="217"/>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公司已背书或贴现且在资产负债表日尚未到期的应收票据" w:id="218"/>
      <w:bookmarkEnd w:id="218"/>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期末公司因出票人未履约而将其转应收账款的票据" w:id="219"/>
      <w:bookmarkEnd w:id="219"/>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pStyle w:val="Heading7"/>
        <w:spacing w:line="240" w:lineRule="auto" w:before="90"/>
        <w:ind w:left="574" w:right="0"/>
        <w:jc w:val="left"/>
      </w:pPr>
      <w:r>
        <w:rPr/>
        <w:t>（</w:t>
      </w:r>
      <w:r>
        <w:rPr>
          <w:rFonts w:ascii="Times New Roman" w:hAnsi="Times New Roman" w:cs="Times New Roman" w:eastAsia="Times New Roman" w:hint="default"/>
        </w:rPr>
        <w:t>5</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日止，公司无已经背书给他方但尚未到期的票据。</w:t>
      </w:r>
    </w:p>
    <w:p>
      <w:pPr>
        <w:pStyle w:val="Heading7"/>
        <w:spacing w:line="240" w:lineRule="auto" w:before="21"/>
        <w:ind w:left="574" w:right="0"/>
        <w:jc w:val="left"/>
      </w:pPr>
      <w:r>
        <w:rPr/>
        <w:t>（</w:t>
      </w:r>
      <w:r>
        <w:rPr>
          <w:rFonts w:ascii="Times New Roman" w:hAnsi="Times New Roman" w:cs="Times New Roman" w:eastAsia="Times New Roman" w:hint="default"/>
        </w:rPr>
        <w:t>6</w:t>
      </w:r>
      <w:r>
        <w:rPr/>
        <w:t>）年末公司无因出票人无力履约而将票据转为应收账款的票据。</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left="154" w:right="0"/>
        <w:jc w:val="left"/>
        <w:rPr>
          <w:b w:val="0"/>
          <w:bCs w:val="0"/>
        </w:rPr>
      </w:pPr>
      <w:bookmarkStart w:name="5、应收账款" w:id="220"/>
      <w:bookmarkEnd w:id="220"/>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369,077,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683.60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43,775,9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325,301,7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37.09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281,729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34,667,74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247,061,49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369,077,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683.60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43,775,9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325,301,7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37.09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281,729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34,667,74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247,061,49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296,694,869.44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14,834,743.47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41,346,234.31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4,134,623.43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7,787,500.30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1,557,500.06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23,249,079.55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23,249,079.55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369,077,683.60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43,775,946.51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11.86%</w:t>
            </w:r>
          </w:p>
        </w:tc>
      </w:tr>
    </w:tbl>
    <w:p>
      <w:pPr>
        <w:pStyle w:val="BodyText"/>
        <w:spacing w:line="240" w:lineRule="auto" w:before="51"/>
        <w:ind w:left="154" w:right="0"/>
        <w:jc w:val="left"/>
      </w:pPr>
      <w:r>
        <w:rPr/>
        <w:t>确定该组合依据的说明：</w:t>
      </w:r>
    </w:p>
    <w:p>
      <w:pPr>
        <w:pStyle w:val="Heading7"/>
        <w:spacing w:line="240" w:lineRule="auto" w:before="89"/>
        <w:ind w:left="574" w:right="0"/>
        <w:jc w:val="left"/>
      </w:pPr>
      <w:r>
        <w:rPr/>
        <w:t>（</w:t>
      </w:r>
      <w:r>
        <w:rPr>
          <w:rFonts w:ascii="Times New Roman" w:hAnsi="Times New Roman" w:cs="Times New Roman" w:eastAsia="Times New Roman" w:hint="default"/>
        </w:rPr>
        <w:t>2</w:t>
      </w:r>
      <w:r>
        <w:rPr/>
        <w:t>）本年计提坏账准备金额</w:t>
      </w:r>
      <w:r>
        <w:rPr>
          <w:rFonts w:ascii="Times New Roman" w:hAnsi="Times New Roman" w:cs="Times New Roman" w:eastAsia="Times New Roman" w:hint="default"/>
        </w:rPr>
        <w:t>9,108,199.91</w:t>
      </w:r>
      <w:r>
        <w:rPr/>
        <w:t>元。</w:t>
      </w:r>
    </w:p>
    <w:p>
      <w:pPr>
        <w:pStyle w:val="Heading7"/>
        <w:spacing w:line="240" w:lineRule="auto" w:before="21"/>
        <w:ind w:left="574" w:right="0"/>
        <w:jc w:val="left"/>
      </w:pPr>
      <w:r>
        <w:rPr/>
        <w:t>（</w:t>
      </w:r>
      <w:r>
        <w:rPr>
          <w:rFonts w:ascii="Times New Roman" w:hAnsi="Times New Roman" w:cs="Times New Roman" w:eastAsia="Times New Roman" w:hint="default"/>
        </w:rPr>
        <w:t>3</w:t>
      </w:r>
      <w:r>
        <w:rPr/>
        <w:t>）本年无实际核销的大额应收账款。</w:t>
      </w:r>
    </w:p>
    <w:p>
      <w:pPr>
        <w:pStyle w:val="Heading7"/>
        <w:spacing w:line="256" w:lineRule="auto" w:before="21"/>
        <w:ind w:left="154" w:right="0" w:firstLine="420"/>
        <w:jc w:val="left"/>
      </w:pPr>
      <w:r>
        <w:rPr>
          <w:spacing w:val="-2"/>
        </w:rPr>
        <w:t>（</w:t>
      </w:r>
      <w:r>
        <w:rPr>
          <w:rFonts w:ascii="Times New Roman" w:hAnsi="Times New Roman" w:cs="Times New Roman" w:eastAsia="Times New Roman" w:hint="default"/>
          <w:spacing w:val="-2"/>
        </w:rPr>
        <w:t>4</w:t>
      </w:r>
      <w:r>
        <w:rPr>
          <w:spacing w:val="-2"/>
        </w:rPr>
        <w:t>）本公司本年按欠款方归集的年末余额前五名应收账款汇总金额为</w:t>
      </w:r>
      <w:r>
        <w:rPr>
          <w:rFonts w:ascii="Times New Roman" w:hAnsi="Times New Roman" w:cs="Times New Roman" w:eastAsia="Times New Roman" w:hint="default"/>
          <w:spacing w:val="-2"/>
        </w:rPr>
        <w:t>56,013,365.20</w:t>
      </w:r>
      <w:r>
        <w:rPr>
          <w:spacing w:val="-2"/>
        </w:rPr>
        <w:t>元，占应收账款年</w:t>
      </w:r>
      <w:r>
        <w:rPr/>
        <w:t> 末余额合计数的比例为</w:t>
      </w:r>
      <w:r>
        <w:rPr>
          <w:rFonts w:ascii="Times New Roman" w:hAnsi="Times New Roman" w:cs="Times New Roman" w:eastAsia="Times New Roman" w:hint="default"/>
        </w:rPr>
        <w:t>15.18%</w:t>
      </w:r>
      <w:r>
        <w:rPr/>
        <w:t>，相应计提的坏账准备年末余额汇总金额为</w:t>
      </w:r>
      <w:r>
        <w:rPr>
          <w:rFonts w:ascii="Times New Roman" w:hAnsi="Times New Roman" w:cs="Times New Roman" w:eastAsia="Times New Roman" w:hint="default"/>
        </w:rPr>
        <w:t>2,800,668.26</w:t>
      </w:r>
      <w:r>
        <w:rPr/>
        <w:t>元。</w:t>
      </w:r>
    </w:p>
    <w:p>
      <w:pPr>
        <w:spacing w:line="240" w:lineRule="auto" w:before="4"/>
        <w:rPr>
          <w:rFonts w:ascii="宋体" w:hAnsi="宋体" w:cs="宋体" w:eastAsia="宋体" w:hint="default"/>
          <w:sz w:val="29"/>
          <w:szCs w:val="29"/>
        </w:rPr>
      </w:pPr>
    </w:p>
    <w:p>
      <w:pPr>
        <w:pStyle w:val="BodyText"/>
        <w:spacing w:line="240" w:lineRule="auto" w:before="0"/>
        <w:ind w:left="15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ind w:right="-12"/>
        <w:jc w:val="left"/>
      </w:pPr>
      <w:r>
        <w:rPr/>
        <w:t>本期计提坏账准备金额</w:t>
      </w:r>
      <w:r>
        <w:rPr>
          <w:spacing w:val="-47"/>
        </w:rPr>
        <w:t> </w:t>
      </w:r>
      <w:r>
        <w:rPr>
          <w:rFonts w:ascii="Times New Roman" w:hAnsi="Times New Roman" w:cs="Times New Roman" w:eastAsia="Times New Roman" w:hint="default"/>
        </w:rPr>
        <w:t>9,108,199.91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按欠款方归集的期末余额前五吊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859" w:right="0"/>
        <w:jc w:val="left"/>
      </w:pPr>
      <w:r>
        <w:rPr/>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934"/>
        <w:gridCol w:w="2387"/>
        <w:gridCol w:w="986"/>
        <w:gridCol w:w="1364"/>
        <w:gridCol w:w="1778"/>
      </w:tblGrid>
      <w:tr>
        <w:trPr>
          <w:trHeight w:val="979" w:hRule="exact"/>
        </w:trPr>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6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4" w:right="43"/>
              <w:jc w:val="center"/>
              <w:rPr>
                <w:rFonts w:ascii="宋体" w:hAnsi="宋体" w:cs="宋体" w:eastAsia="宋体" w:hint="default"/>
                <w:sz w:val="18"/>
                <w:szCs w:val="18"/>
              </w:rPr>
            </w:pPr>
            <w:r>
              <w:rPr>
                <w:rFonts w:ascii="宋体" w:hAnsi="宋体" w:cs="宋体" w:eastAsia="宋体" w:hint="default"/>
                <w:sz w:val="18"/>
                <w:szCs w:val="18"/>
              </w:rPr>
              <w:t>占应收款年末余 额合计数的比例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8"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520" w:right="527"/>
              <w:jc w:val="left"/>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352" w:hRule="exact"/>
        </w:trPr>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14,183,200.00</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3.84%</w:t>
            </w:r>
          </w:p>
        </w:tc>
        <w:tc>
          <w:tcPr>
            <w:tcW w:w="17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709,160.00</w:t>
            </w:r>
          </w:p>
        </w:tc>
      </w:tr>
      <w:tr>
        <w:trPr>
          <w:trHeight w:val="353" w:hRule="exact"/>
        </w:trPr>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10,575,856.00</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2.87%</w:t>
            </w:r>
          </w:p>
        </w:tc>
        <w:tc>
          <w:tcPr>
            <w:tcW w:w="17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528,792.80</w:t>
            </w:r>
          </w:p>
        </w:tc>
      </w:tr>
      <w:tr>
        <w:trPr>
          <w:trHeight w:val="352" w:hRule="exact"/>
        </w:trPr>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10,220,640.00</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2.77%</w:t>
            </w:r>
          </w:p>
        </w:tc>
        <w:tc>
          <w:tcPr>
            <w:tcW w:w="17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511,032.00</w:t>
            </w:r>
          </w:p>
        </w:tc>
      </w:tr>
      <w:tr>
        <w:trPr>
          <w:trHeight w:val="352" w:hRule="exact"/>
        </w:trPr>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9,934,769.20</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2.69%</w:t>
            </w:r>
          </w:p>
        </w:tc>
        <w:tc>
          <w:tcPr>
            <w:tcW w:w="17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496,738.46</w:t>
            </w:r>
          </w:p>
        </w:tc>
      </w:tr>
      <w:tr>
        <w:trPr>
          <w:trHeight w:val="353" w:hRule="exact"/>
        </w:trPr>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11,098,900.00</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3.01%</w:t>
            </w:r>
          </w:p>
        </w:tc>
        <w:tc>
          <w:tcPr>
            <w:tcW w:w="17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554,945.00</w:t>
            </w:r>
          </w:p>
        </w:tc>
      </w:tr>
      <w:tr>
        <w:trPr>
          <w:trHeight w:val="352" w:hRule="exact"/>
        </w:trPr>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56,013,365.20</w:t>
            </w:r>
          </w:p>
        </w:tc>
        <w:tc>
          <w:tcPr>
            <w:tcW w:w="986" w:type="dxa"/>
            <w:tcBorders>
              <w:top w:val="single" w:sz="12" w:space="0" w:color="000000"/>
              <w:left w:val="single" w:sz="6" w:space="0" w:color="000000"/>
              <w:bottom w:val="single" w:sz="12" w:space="0" w:color="000000"/>
              <w:right w:val="single" w:sz="6" w:space="0" w:color="000000"/>
            </w:tcBorders>
          </w:tcPr>
          <w:p>
            <w:pP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15.18%</w:t>
            </w:r>
          </w:p>
        </w:tc>
        <w:tc>
          <w:tcPr>
            <w:tcW w:w="17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2,800,668.26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506" w:lineRule="auto" w:before="35"/>
        <w:ind w:left="154" w:right="6342" w:firstLine="0"/>
        <w:jc w:val="left"/>
        <w:rPr>
          <w:rFonts w:ascii="宋体" w:hAnsi="宋体" w:cs="宋体" w:eastAsia="宋体" w:hint="default"/>
          <w:sz w:val="21"/>
          <w:szCs w:val="21"/>
        </w:rPr>
      </w:pPr>
      <w:bookmarkStart w:name="（5）因金融资产转移而终止确认的应收账款"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本公司无因金融资产转移而终止确认的应收账款</w:t>
      </w:r>
    </w:p>
    <w:p>
      <w:pPr>
        <w:pStyle w:val="Heading6"/>
        <w:spacing w:line="240" w:lineRule="auto" w:before="105"/>
        <w:ind w:left="154" w:right="0"/>
        <w:jc w:val="left"/>
        <w:rPr>
          <w:b w:val="0"/>
          <w:bCs w:val="0"/>
        </w:rPr>
      </w:pPr>
      <w:bookmarkStart w:name="（6）转移应收账款且继续涉入形成的资产、负债金额" w:id="226"/>
      <w:bookmarkEnd w:id="22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left="154" w:right="0"/>
        <w:jc w:val="left"/>
      </w:pPr>
      <w:r>
        <w:rPr/>
        <w:t>本公司无转移应收账款且继续涉入形成的资产、负债金额。</w:t>
      </w:r>
    </w:p>
    <w:p>
      <w:pPr>
        <w:pStyle w:val="BodyText"/>
        <w:spacing w:line="240" w:lineRule="auto" w:before="103"/>
        <w:ind w:right="0"/>
        <w:jc w:val="left"/>
      </w:pPr>
      <w:r>
        <w:rPr/>
        <w:t>其他说明：</w:t>
      </w:r>
    </w:p>
    <w:p>
      <w:pPr>
        <w:pStyle w:val="Heading7"/>
        <w:spacing w:line="240" w:lineRule="auto" w:before="90"/>
        <w:ind w:left="574" w:right="0"/>
        <w:jc w:val="left"/>
      </w:pPr>
      <w:r>
        <w:rPr/>
        <w:t>期末无单项金额重大并单独计提坏账准备的应收账款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6、预付款项" w:id="227"/>
      <w:bookmarkEnd w:id="227"/>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13,760,840.22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48,571,858.85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1,646,656.50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63,011.33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15,407,496.72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48,634,870.18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按预付对象归集的期末余额前五吊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53" w:type="dxa"/>
        <w:tblLayout w:type="fixed"/>
        <w:tblCellMar>
          <w:top w:w="0" w:type="dxa"/>
          <w:left w:w="0" w:type="dxa"/>
          <w:bottom w:w="0" w:type="dxa"/>
          <w:right w:w="0" w:type="dxa"/>
        </w:tblCellMar>
        <w:tblLook w:val="01E0"/>
      </w:tblPr>
      <w:tblGrid>
        <w:gridCol w:w="1410"/>
        <w:gridCol w:w="2193"/>
        <w:gridCol w:w="2377"/>
      </w:tblGrid>
      <w:tr>
        <w:trPr>
          <w:trHeight w:val="578" w:hRule="exact"/>
        </w:trPr>
        <w:tc>
          <w:tcPr>
            <w:tcW w:w="1410"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93" w:type="dxa"/>
            <w:tcBorders>
              <w:top w:val="nil" w:sz="6" w:space="0" w:color="auto"/>
              <w:left w:val="nil" w:sz="6" w:space="0" w:color="auto"/>
              <w:bottom w:val="single" w:sz="8" w:space="0" w:color="000000"/>
              <w:right w:val="nil" w:sz="6" w:space="0" w:color="auto"/>
            </w:tcBorders>
          </w:tcPr>
          <w:p>
            <w:pPr>
              <w:pStyle w:val="TableParagraph"/>
              <w:spacing w:line="180" w:lineRule="exact"/>
              <w:ind w:left="68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77" w:type="dxa"/>
            <w:tcBorders>
              <w:top w:val="nil" w:sz="6" w:space="0" w:color="auto"/>
              <w:left w:val="nil" w:sz="6" w:space="0" w:color="auto"/>
              <w:bottom w:val="single" w:sz="8" w:space="0" w:color="000000"/>
              <w:right w:val="nil" w:sz="6" w:space="0" w:color="auto"/>
            </w:tcBorders>
          </w:tcPr>
          <w:p>
            <w:pPr>
              <w:pStyle w:val="TableParagraph"/>
              <w:spacing w:line="180" w:lineRule="exact"/>
              <w:ind w:left="567" w:right="0"/>
              <w:jc w:val="left"/>
              <w:rPr>
                <w:rFonts w:ascii="宋体" w:hAnsi="宋体" w:cs="宋体" w:eastAsia="宋体" w:hint="default"/>
                <w:sz w:val="18"/>
                <w:szCs w:val="18"/>
              </w:rPr>
            </w:pPr>
            <w:r>
              <w:rPr>
                <w:rFonts w:ascii="宋体" w:hAnsi="宋体" w:cs="宋体" w:eastAsia="宋体" w:hint="default"/>
                <w:sz w:val="18"/>
                <w:szCs w:val="18"/>
              </w:rPr>
              <w:t>占预付款项年末余额合</w:t>
            </w:r>
          </w:p>
          <w:p>
            <w:pPr>
              <w:pStyle w:val="TableParagraph"/>
              <w:spacing w:line="240" w:lineRule="auto" w:before="76"/>
              <w:ind w:left="567" w:right="0"/>
              <w:jc w:val="left"/>
              <w:rPr>
                <w:rFonts w:ascii="宋体" w:hAnsi="宋体" w:cs="宋体" w:eastAsia="宋体" w:hint="default"/>
                <w:sz w:val="18"/>
                <w:szCs w:val="18"/>
              </w:rPr>
            </w:pPr>
            <w:r>
              <w:rPr>
                <w:rFonts w:ascii="宋体" w:hAnsi="宋体" w:cs="宋体" w:eastAsia="宋体" w:hint="default"/>
                <w:sz w:val="18"/>
                <w:szCs w:val="18"/>
              </w:rPr>
              <w:t>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1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80" w:right="0"/>
              <w:jc w:val="left"/>
              <w:rPr>
                <w:rFonts w:ascii="Times New Roman" w:hAnsi="Times New Roman" w:cs="Times New Roman" w:eastAsia="Times New Roman" w:hint="default"/>
                <w:sz w:val="18"/>
                <w:szCs w:val="18"/>
              </w:rPr>
            </w:pPr>
            <w:r>
              <w:rPr>
                <w:rFonts w:ascii="Times New Roman"/>
                <w:sz w:val="18"/>
              </w:rPr>
              <w:t>5,000,000.00</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67" w:right="0"/>
              <w:jc w:val="left"/>
              <w:rPr>
                <w:rFonts w:ascii="Times New Roman" w:hAnsi="Times New Roman" w:cs="Times New Roman" w:eastAsia="Times New Roman" w:hint="default"/>
                <w:sz w:val="18"/>
                <w:szCs w:val="18"/>
              </w:rPr>
            </w:pPr>
            <w:r>
              <w:rPr>
                <w:rFonts w:ascii="Times New Roman"/>
                <w:sz w:val="18"/>
              </w:rPr>
              <w:t>32.45%</w:t>
            </w:r>
          </w:p>
        </w:tc>
      </w:tr>
      <w:tr>
        <w:trPr>
          <w:trHeight w:val="342"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1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80" w:right="0"/>
              <w:jc w:val="left"/>
              <w:rPr>
                <w:rFonts w:ascii="Times New Roman" w:hAnsi="Times New Roman" w:cs="Times New Roman" w:eastAsia="Times New Roman" w:hint="default"/>
                <w:sz w:val="18"/>
                <w:szCs w:val="18"/>
              </w:rPr>
            </w:pPr>
            <w:r>
              <w:rPr>
                <w:rFonts w:ascii="Times New Roman"/>
                <w:sz w:val="18"/>
              </w:rPr>
              <w:t>3,000,000.00</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67" w:right="0"/>
              <w:jc w:val="left"/>
              <w:rPr>
                <w:rFonts w:ascii="Times New Roman" w:hAnsi="Times New Roman" w:cs="Times New Roman" w:eastAsia="Times New Roman" w:hint="default"/>
                <w:sz w:val="18"/>
                <w:szCs w:val="18"/>
              </w:rPr>
            </w:pPr>
            <w:r>
              <w:rPr>
                <w:rFonts w:ascii="Times New Roman"/>
                <w:sz w:val="18"/>
              </w:rPr>
              <w:t>19.47%</w:t>
            </w:r>
          </w:p>
        </w:tc>
      </w:tr>
      <w:tr>
        <w:trPr>
          <w:trHeight w:val="342"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1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80" w:right="0"/>
              <w:jc w:val="left"/>
              <w:rPr>
                <w:rFonts w:ascii="Times New Roman" w:hAnsi="Times New Roman" w:cs="Times New Roman" w:eastAsia="Times New Roman" w:hint="default"/>
                <w:sz w:val="18"/>
                <w:szCs w:val="18"/>
              </w:rPr>
            </w:pPr>
            <w:r>
              <w:rPr>
                <w:rFonts w:ascii="Times New Roman"/>
                <w:sz w:val="18"/>
              </w:rPr>
              <w:t>700,000.00</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67" w:right="0"/>
              <w:jc w:val="left"/>
              <w:rPr>
                <w:rFonts w:ascii="Times New Roman" w:hAnsi="Times New Roman" w:cs="Times New Roman" w:eastAsia="Times New Roman" w:hint="default"/>
                <w:sz w:val="18"/>
                <w:szCs w:val="18"/>
              </w:rPr>
            </w:pPr>
            <w:r>
              <w:rPr>
                <w:rFonts w:ascii="Times New Roman"/>
                <w:sz w:val="18"/>
              </w:rPr>
              <w:t>4.54%</w:t>
            </w:r>
          </w:p>
        </w:tc>
      </w:tr>
      <w:tr>
        <w:trPr>
          <w:trHeight w:val="342"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1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80" w:right="0"/>
              <w:jc w:val="left"/>
              <w:rPr>
                <w:rFonts w:ascii="Times New Roman" w:hAnsi="Times New Roman" w:cs="Times New Roman" w:eastAsia="Times New Roman" w:hint="default"/>
                <w:sz w:val="18"/>
                <w:szCs w:val="18"/>
              </w:rPr>
            </w:pPr>
            <w:r>
              <w:rPr>
                <w:rFonts w:ascii="Times New Roman"/>
                <w:sz w:val="18"/>
              </w:rPr>
              <w:t>495,000.00</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67" w:right="0"/>
              <w:jc w:val="left"/>
              <w:rPr>
                <w:rFonts w:ascii="Times New Roman" w:hAnsi="Times New Roman" w:cs="Times New Roman" w:eastAsia="Times New Roman" w:hint="default"/>
                <w:sz w:val="18"/>
                <w:szCs w:val="18"/>
              </w:rPr>
            </w:pPr>
            <w:r>
              <w:rPr>
                <w:rFonts w:ascii="Times New Roman"/>
                <w:sz w:val="18"/>
              </w:rPr>
              <w:t>3.21%</w:t>
            </w:r>
          </w:p>
        </w:tc>
      </w:tr>
      <w:tr>
        <w:trPr>
          <w:trHeight w:val="342"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1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80" w:right="0"/>
              <w:jc w:val="left"/>
              <w:rPr>
                <w:rFonts w:ascii="Times New Roman" w:hAnsi="Times New Roman" w:cs="Times New Roman" w:eastAsia="Times New Roman" w:hint="default"/>
                <w:sz w:val="18"/>
                <w:szCs w:val="18"/>
              </w:rPr>
            </w:pPr>
            <w:r>
              <w:rPr>
                <w:rFonts w:ascii="Times New Roman"/>
                <w:sz w:val="18"/>
              </w:rPr>
              <w:t>429,000.00</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67" w:right="0"/>
              <w:jc w:val="left"/>
              <w:rPr>
                <w:rFonts w:ascii="Times New Roman" w:hAnsi="Times New Roman" w:cs="Times New Roman" w:eastAsia="Times New Roman" w:hint="default"/>
                <w:sz w:val="18"/>
                <w:szCs w:val="18"/>
              </w:rPr>
            </w:pPr>
            <w:r>
              <w:rPr>
                <w:rFonts w:ascii="Times New Roman"/>
                <w:sz w:val="18"/>
              </w:rPr>
              <w:t>2.78%</w:t>
            </w:r>
          </w:p>
        </w:tc>
      </w:tr>
      <w:tr>
        <w:trPr>
          <w:trHeight w:val="342" w:hRule="exact"/>
        </w:trPr>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80" w:right="0"/>
              <w:jc w:val="left"/>
              <w:rPr>
                <w:rFonts w:ascii="Times New Roman" w:hAnsi="Times New Roman" w:cs="Times New Roman" w:eastAsia="Times New Roman" w:hint="default"/>
                <w:sz w:val="18"/>
                <w:szCs w:val="18"/>
              </w:rPr>
            </w:pPr>
            <w:r>
              <w:rPr>
                <w:rFonts w:ascii="Times New Roman"/>
                <w:sz w:val="18"/>
              </w:rPr>
              <w:t>9,624,000.00</w:t>
            </w:r>
          </w:p>
        </w:tc>
        <w:tc>
          <w:tcPr>
            <w:tcW w:w="2377"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567" w:right="0"/>
              <w:jc w:val="left"/>
              <w:rPr>
                <w:rFonts w:ascii="Times New Roman" w:hAnsi="Times New Roman" w:cs="Times New Roman" w:eastAsia="Times New Roman" w:hint="default"/>
                <w:sz w:val="18"/>
                <w:szCs w:val="18"/>
              </w:rPr>
            </w:pPr>
            <w:r>
              <w:rPr>
                <w:rFonts w:ascii="Times New Roman"/>
                <w:sz w:val="18"/>
              </w:rPr>
              <w:t>62.45%</w:t>
            </w:r>
          </w:p>
        </w:tc>
      </w:tr>
    </w:tbl>
    <w:p>
      <w:pPr>
        <w:spacing w:line="240" w:lineRule="auto" w:before="5"/>
        <w:rPr>
          <w:rFonts w:ascii="宋体" w:hAnsi="宋体" w:cs="宋体" w:eastAsia="宋体" w:hint="default"/>
          <w:b/>
          <w:bCs/>
          <w:sz w:val="24"/>
          <w:szCs w:val="24"/>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应收利息" w:id="230"/>
      <w:bookmarkEnd w:id="230"/>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利息分类" w:id="231"/>
      <w:bookmarkEnd w:id="23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逾期利息" w:id="232"/>
      <w:bookmarkEnd w:id="232"/>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8、应收股利" w:id="233"/>
      <w:bookmarkEnd w:id="233"/>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股利" w:id="234"/>
      <w:bookmarkEnd w:id="234"/>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的账龄超过1年的应收股利" w:id="235"/>
      <w:bookmarkEnd w:id="235"/>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1"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9、其他应收款" w:id="236"/>
      <w:bookmarkEnd w:id="236"/>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237"/>
      <w:bookmarkEnd w:id="23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37,517,8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4,543,01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12.11%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32,974,78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12,494,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920.08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2,630,555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9,864,364.3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37,517,8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04.19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4,543,01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12.11%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32,974,78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12,494,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920.08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9,864,364.3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25,850,448.74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1,292,522.44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9,171,362.61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917,136.26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203,296.00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40,659.20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2,292,696.84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2,292,696.84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37,517,804.19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4,543,014.74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12.11%</w:t>
            </w:r>
          </w:p>
        </w:tc>
      </w:tr>
    </w:tbl>
    <w:p>
      <w:pPr>
        <w:pStyle w:val="BodyText"/>
        <w:spacing w:line="240" w:lineRule="auto" w:before="51"/>
        <w:ind w:left="154" w:right="0"/>
        <w:jc w:val="left"/>
      </w:pPr>
      <w:r>
        <w:rPr/>
        <w:t>确定该组合依据的说明：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spacing w:line="240" w:lineRule="auto" w:before="0"/>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17"/>
        <w:jc w:val="left"/>
      </w:pPr>
      <w:r>
        <w:rPr/>
        <w:t>本期计提坏账准备金额</w:t>
      </w:r>
      <w:r>
        <w:rPr>
          <w:spacing w:val="-46"/>
        </w:rPr>
        <w:t> </w:t>
      </w:r>
      <w:r>
        <w:rPr>
          <w:rFonts w:ascii="Times New Roman" w:hAnsi="Times New Roman" w:cs="Times New Roman" w:eastAsia="Times New Roman" w:hint="default"/>
        </w:rPr>
        <w:t>432,451.95</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其他应收款情况" w:id="239"/>
      <w:bookmarkEnd w:id="23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其他应收款按款项性质分类情况" w:id="240"/>
      <w:bookmarkEnd w:id="24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17,110,933.92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7,009,568.79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6,129,930.00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3,308,166.41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2,621,940.27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2,177,184.88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37,517,804.19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12,494,920.08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吊的其他应收款情况" w:id="241"/>
      <w:bookmarkEnd w:id="24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15,675,000.00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1,116,250.00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6）涉及政府补助的应收款项" w:id="242"/>
      <w:bookmarkEnd w:id="24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line="506" w:lineRule="auto" w:before="35"/>
        <w:ind w:left="154" w:right="6132" w:firstLine="0"/>
        <w:jc w:val="left"/>
        <w:rPr>
          <w:rFonts w:ascii="宋体" w:hAnsi="宋体" w:cs="宋体" w:eastAsia="宋体" w:hint="default"/>
          <w:sz w:val="21"/>
          <w:szCs w:val="21"/>
        </w:rPr>
      </w:pPr>
      <w:bookmarkStart w:name="（7）因金融资产转移而终止确认的其他应收款"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本公司无因金融资产转移而终止确认的其他应收款</w:t>
      </w:r>
    </w:p>
    <w:p>
      <w:pPr>
        <w:pStyle w:val="Heading6"/>
        <w:spacing w:line="240" w:lineRule="auto" w:before="105"/>
        <w:ind w:left="154" w:right="0"/>
        <w:jc w:val="left"/>
        <w:rPr>
          <w:b w:val="0"/>
          <w:bCs w:val="0"/>
        </w:rPr>
      </w:pPr>
      <w:bookmarkStart w:name="（8）转移其他应收款且继续涉入形成的资产、负债金额" w:id="244"/>
      <w:bookmarkEnd w:id="24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7"/>
        <w:spacing w:line="240" w:lineRule="auto" w:before="0"/>
        <w:ind w:right="0"/>
        <w:jc w:val="left"/>
      </w:pPr>
      <w:r>
        <w:rPr/>
        <w:t>本公司无转移其他应收款且继续涉入形成的资产、负债金额</w:t>
      </w:r>
    </w:p>
    <w:p>
      <w:pPr>
        <w:pStyle w:val="BodyText"/>
        <w:spacing w:line="240" w:lineRule="auto" w:before="103"/>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0、存货" w:id="245"/>
      <w:bookmarkEnd w:id="245"/>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167,365.23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167,365.23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6,954,243.20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6,954,243.20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1,201,982.16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1,201,982.16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8,323,590.59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8,323,590.59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6"/>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存货期末余额含有借款费用资本化金额的说明" w:id="248"/>
      <w:bookmarkEnd w:id="24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期末建造合同形成的已完工未结算资产情况" w:id="249"/>
      <w:bookmarkEnd w:id="24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11、划分为持有待售的资产" w:id="250"/>
      <w:bookmarkEnd w:id="250"/>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2、一年内到期的非流动资产" w:id="251"/>
      <w:bookmarkEnd w:id="251"/>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3、其他流动资产" w:id="252"/>
      <w:bookmarkEnd w:id="252"/>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一年内到期的持有至到期投资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7,589.99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10,007,589.99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4、可供出售金融资产" w:id="253"/>
      <w:bookmarkEnd w:id="253"/>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按公允价值计量的可供出售金融资产" w:id="255"/>
      <w:bookmarkEnd w:id="25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期末按成本计量的可供出售金融资产" w:id="256"/>
      <w:bookmarkEnd w:id="25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北京天润 坤泽财务 管理咨询 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报告期内可供出售金融资产减值的变动情况" w:id="257"/>
      <w:bookmarkEnd w:id="25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可供出售权益工具期末公允价值严重下跌或非暂时性下跌但未计提减值准备的相关说" w:id="258"/>
      <w:bookmarkEnd w:id="25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5、持有至到期投资" w:id="259"/>
      <w:bookmarkEnd w:id="259"/>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持有至到期投资情况" w:id="260"/>
      <w:bookmarkEnd w:id="26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重要的持有至到期投资" w:id="261"/>
      <w:bookmarkEnd w:id="26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本期重分类的持有至到期投资" w:id="262"/>
      <w:bookmarkEnd w:id="26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6、长期应收款" w:id="263"/>
      <w:bookmarkEnd w:id="26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长期应收款情况" w:id="264"/>
      <w:bookmarkEnd w:id="26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因金融资产转移而终止确认的长期应收款" w:id="265"/>
      <w:bookmarkEnd w:id="26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3）转移长期应收款且继续涉入形成的资产、负债金额" w:id="266"/>
      <w:bookmarkEnd w:id="26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7、长期股权投资" w:id="267"/>
      <w:bookmarkEnd w:id="26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184,309,1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12,829,65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184,309,1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12,829,65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184,309,1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12,829,65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8、投资性房地产" w:id="268"/>
      <w:bookmarkEnd w:id="26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采用成本计量模式的投资性房地产" w:id="269"/>
      <w:bookmarkEnd w:id="26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采用公允价值计量模式的投资性房地产" w:id="270"/>
      <w:bookmarkEnd w:id="27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未办妥产权证书的投资性房地产情况" w:id="271"/>
      <w:bookmarkEnd w:id="27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9、固定资产" w:id="272"/>
      <w:bookmarkEnd w:id="27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108,395,166.73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44,678,413.78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5,819,805.91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6,088,716.13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164,982,102.55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83,010,789.00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23,412,195.26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1,847,788.44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2,919,038.26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111,189,810.96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83,010,789.00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22,114,767.96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1,847,788.44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2,045,787.09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109,019,132.49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1,297,427.30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873,251.17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2,170,678.47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9,842,186.68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1,909,800.00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281,718.53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12,033,705.21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9,842,186.68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1,909,800.00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281,718.53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12,033,705.21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191,405,955.73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58,248,422.36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5,757,794.35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8,726,035.86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264,138,208.30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14,124,804.63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29,704,768.39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3,681,461.94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3,984,391.85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51,495,426.81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3,987,761.44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9,584,917.86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421,435.46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984,045.97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14,978,160.73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3,987,761.44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9,584,917.86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421,435.46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984,045.97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14,978,160.73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4,082,700.39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620,575.78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268,329.34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4,971,605.51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4,082,700.39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620,575.78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268,329.34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4,971,605.51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18,112,566.07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35,206,985.86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3,482,321.62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4,700,108.48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61,501,982.03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173,293,389.66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23,041,436.50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2,275,472.73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4,025,927.38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202,636,226.27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94,270,362.10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14,973,645.39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2,138,343.97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2,104,324.28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113,486,675.74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暂时闲置的固定资产情况" w:id="274"/>
      <w:bookmarkEnd w:id="27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通过融资租赁租入的固定资产情况" w:id="275"/>
      <w:bookmarkEnd w:id="27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4）通过经营租赁租出的固定资产" w:id="276"/>
      <w:bookmarkEnd w:id="27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5）未办妥产权证书的固定资产情况" w:id="277"/>
      <w:bookmarkEnd w:id="27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82,563,453.08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0、在建工程" w:id="278"/>
      <w:bookmarkEnd w:id="27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在建工程情况" w:id="279"/>
      <w:bookmarkEnd w:id="27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数据中心机房建 设工程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478,712.00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478,712.00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办公楼装修工程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508,841.00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508,841.00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987,553.00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重要在建工程项目本期变动情况" w:id="280"/>
      <w:bookmarkEnd w:id="28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数据中 心机房 建设工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1,037,88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办公楼 装修工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12,424,9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2,170,67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10,763,1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12,984,1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2,170,67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11,801,0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02.80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计提在建工程减值准备情况" w:id="281"/>
      <w:bookmarkEnd w:id="28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1、工程物资" w:id="282"/>
      <w:bookmarkEnd w:id="282"/>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2、固定资产清理" w:id="283"/>
      <w:bookmarkEnd w:id="283"/>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23、生产性生物资产" w:id="284"/>
      <w:bookmarkEnd w:id="28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生产性生物资产" w:id="285"/>
      <w:bookmarkEnd w:id="28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采用公允价值计量模式的生产性生物资产" w:id="286"/>
      <w:bookmarkEnd w:id="28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4、油气资产" w:id="287"/>
      <w:bookmarkEnd w:id="28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5、无形资产" w:id="288"/>
      <w:bookmarkEnd w:id="28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无形资产情况" w:id="289"/>
      <w:bookmarkEnd w:id="28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2,911,652.93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7,200,795.39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10,112,448.32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3,454,268.39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3,454,268.39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3,454,268.39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3,454,268.39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2,911,652.93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10,655,063.78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13,566,716.71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428,106.88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2,067,579.11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2,495,685.99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58,233.00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5,154,688.96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5,212,921.96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58,233.00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5,154,688.96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5,212,921.96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486,339.88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7,222,268.07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7,708,607.95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2,425,313.05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3,432,795.71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5,858,108.76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2,483,546.05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5,133,216.28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7,616,762.33</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未办妥产权证书的土地使用权情况" w:id="290"/>
      <w:bookmarkEnd w:id="29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6、开发支出" w:id="291"/>
      <w:bookmarkEnd w:id="291"/>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7、商誉" w:id="292"/>
      <w:bookmarkEnd w:id="292"/>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商誉账面原值" w:id="293"/>
      <w:bookmarkEnd w:id="29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48" w:right="47"/>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1,263,535.79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商誉减值准备" w:id="294"/>
      <w:bookmarkEnd w:id="29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2"/>
        <w:ind w:left="154"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6"/>
        <w:spacing w:line="240" w:lineRule="auto"/>
        <w:ind w:left="154" w:right="0"/>
        <w:jc w:val="left"/>
        <w:rPr>
          <w:b w:val="0"/>
          <w:bCs w:val="0"/>
        </w:rPr>
      </w:pPr>
      <w:bookmarkStart w:name="28、长期待摊费用" w:id="295"/>
      <w:bookmarkEnd w:id="29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13,897,429.43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17,099,749.96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7,870,919.19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23,126,260.20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13,897,429.43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17,099,749.96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7,870,919.19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23,126,260.20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9、递延所得税资产/递延所得税负债" w:id="296"/>
      <w:bookmarkEnd w:id="29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297"/>
      <w:bookmarkEnd w:id="29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47,915,750.95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5,121,004.84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37,178,899.26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3,717,889.93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6,023,713.92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1,505,928.48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18,345,824.38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1,834,582.44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39,860,078.59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3,986,007.86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72,285,289.25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8,461,515.76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77,038,977.85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7,703,897.79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未经抵销的递延所得税负债" w:id="298"/>
      <w:bookmarkEnd w:id="29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长期股权投资权益法核 算产生的应纳税暂时性 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128,813,848.54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12,881,384.85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123,484,195.25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12,348,419.53</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交易性金融资产公允价 值变动产生的应纳税暂 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31,291.67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80,821.96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20,205.49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128,845,140.21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123,565,017.21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12,368,625.02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以抵销后净额列示的递延所得税资产或负债" w:id="299"/>
      <w:bookmarkEnd w:id="29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8,461,515.76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7,703,897.79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12,368,625.02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未确认递延所得税资产明细" w:id="300"/>
      <w:bookmarkEnd w:id="30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403,210.29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119,403.12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25,382,761.24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1,689,252.25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25,785,971.53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1,808,655.37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未确认递延所得税资产的可抵扣亏损将于以下年度到期" w:id="301"/>
      <w:bookmarkEnd w:id="30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1,689,252.25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1,689,252.25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23,693,508.99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25,382,761.24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1,689,252.25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0、其他非流动资产" w:id="302"/>
      <w:bookmarkEnd w:id="30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1、短期借款" w:id="303"/>
      <w:bookmarkEnd w:id="30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短期借款分类" w:id="304"/>
      <w:bookmarkEnd w:id="30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短期借款分类的说明：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已逾期未偿还的短期借款情况" w:id="305"/>
      <w:bookmarkEnd w:id="30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2、以公允价值计量且其变动计入当期损益的金融负债" w:id="306"/>
      <w:bookmarkEnd w:id="306"/>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3、衍生金融负债" w:id="307"/>
      <w:bookmarkEnd w:id="30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4、应付票据" w:id="308"/>
      <w:bookmarkEnd w:id="30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35、应付账款" w:id="309"/>
      <w:bookmarkEnd w:id="30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账款列示" w:id="310"/>
      <w:bookmarkEnd w:id="31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26,656,053.34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19,937,918.17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5,599,976.00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909,074.79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1,805,193.46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5,180,593.46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34,612,972.80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26,113,736.42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应付账款"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1,494,411.00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792,105.00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6,225,416.00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6、预收款项" w:id="312"/>
      <w:bookmarkEnd w:id="31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预收款项列示" w:id="313"/>
      <w:bookmarkEnd w:id="31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7,528,286.43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5,520,410.24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7,528,286.43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5,520,410.24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预收款项"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期末建造合同形成的已结算未完工项目情况" w:id="315"/>
      <w:bookmarkEnd w:id="31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pStyle w:val="Heading7"/>
        <w:spacing w:line="240" w:lineRule="auto" w:before="89"/>
        <w:ind w:left="568" w:right="0"/>
        <w:jc w:val="left"/>
      </w:pPr>
      <w:r>
        <w:rPr/>
        <w:t>（</w:t>
      </w:r>
      <w:r>
        <w:rPr>
          <w:rFonts w:ascii="Times New Roman" w:hAnsi="Times New Roman" w:cs="Times New Roman" w:eastAsia="Times New Roman" w:hint="default"/>
        </w:rPr>
        <w:t>2</w:t>
      </w:r>
      <w:r>
        <w:rPr/>
        <w:t>）年末前五名合计金额为</w:t>
      </w:r>
      <w:r>
        <w:rPr>
          <w:rFonts w:ascii="Times New Roman" w:hAnsi="Times New Roman" w:cs="Times New Roman" w:eastAsia="Times New Roman" w:hint="default"/>
        </w:rPr>
        <w:t>2,169,100.00</w:t>
      </w:r>
      <w:r>
        <w:rPr/>
        <w:t>元，占年末余额的比例为</w:t>
      </w:r>
      <w:r>
        <w:rPr>
          <w:rFonts w:ascii="Times New Roman" w:hAnsi="Times New Roman" w:cs="Times New Roman" w:eastAsia="Times New Roman" w:hint="default"/>
        </w:rPr>
        <w:t>28.81%</w:t>
      </w:r>
      <w:r>
        <w:rPr/>
        <w:t>。</w:t>
      </w:r>
    </w:p>
    <w:p>
      <w:pPr>
        <w:pStyle w:val="Heading7"/>
        <w:spacing w:line="240" w:lineRule="auto" w:before="21"/>
        <w:ind w:left="553" w:right="0"/>
        <w:jc w:val="left"/>
      </w:pPr>
      <w:r>
        <w:rPr/>
        <w:t>（</w:t>
      </w:r>
      <w:r>
        <w:rPr>
          <w:rFonts w:ascii="Times New Roman" w:hAnsi="Times New Roman" w:cs="Times New Roman" w:eastAsia="Times New Roman" w:hint="default"/>
        </w:rPr>
        <w:t>3</w:t>
      </w:r>
      <w:r>
        <w:rPr/>
        <w:t>）本公司年末无账龄超过一年的大额预收款项。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7、应付职工薪酬" w:id="316"/>
      <w:bookmarkEnd w:id="31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职工薪酬列示" w:id="317"/>
      <w:bookmarkEnd w:id="31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59,048,041.10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426,548,279.94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413,789,886.99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71,806,434.05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27,653,582.04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27,562,137.70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188,675.31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110,115.45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110,115.45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59,145,272.07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454,311,977.43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441,462,140.14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71,995,109.36</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短期薪酬列示" w:id="318"/>
      <w:bookmarkEnd w:id="31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43,518,983.17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371,896,284.12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366,525,691.38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48,889,575.91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11,056,786.79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11,056,786.79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60,027.18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17,100,556.24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17,043,936.12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116,647.30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50,727.19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14,446,635.84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14,398,790.57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98,572.46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962,213.97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959,023.33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6,572.46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5,918.17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1,691,706.43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1,686,122.22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11,502.38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42,606.36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14,552,175.66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14,513,664.18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81,117.84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15,426,424.39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11,942,477.13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4,649,808.52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22,719,093.00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59,048,041.10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426,548,279.94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413,789,886.99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71,806,434.05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设定提存计划列示" w:id="319"/>
      <w:bookmarkEnd w:id="31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84,545.31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24,050,873.91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23,971,324.68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164,094.54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3,602,708.13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3,590,813.02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24,580.77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27,653,582.04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27,562,137.70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188,675.31</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8、应交税费" w:id="320"/>
      <w:bookmarkEnd w:id="32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14,784,521.13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17,005,838.71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320,353.02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316,336.28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3,952,461.53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15,965,607.70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1,225,194.81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941,846.44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1,074,405.48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1,210,061.28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161,088.77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70,820.47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809,923.35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854,248.03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349,458.87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22,327,948.09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36,735,717.78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9、应付利息" w:id="321"/>
      <w:bookmarkEnd w:id="32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0、应付股利" w:id="322"/>
      <w:bookmarkEnd w:id="32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1,808,461.50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1,808,461.50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2,487,342.00</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1、其他应付款" w:id="323"/>
      <w:bookmarkEnd w:id="32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其他应付款" w:id="324"/>
      <w:bookmarkEnd w:id="32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1,918,037.89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2,220,341.06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1,941,847.48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3,510,524.15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3,117,850.35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7,648,903.10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5,059,697.83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账龄超过1年的重要其他应付款" w:id="325"/>
      <w:bookmarkEnd w:id="32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2、划分为持有待售的负债" w:id="326"/>
      <w:bookmarkEnd w:id="326"/>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3、一年内到期的非流动负债" w:id="327"/>
      <w:bookmarkEnd w:id="32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4、其他流动负债" w:id="328"/>
      <w:bookmarkEnd w:id="328"/>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28,537,522.47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28,537,522.47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5、长期借款" w:id="329"/>
      <w:bookmarkEnd w:id="329"/>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长期借款分类" w:id="330"/>
      <w:bookmarkEnd w:id="33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4" w:right="859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6"/>
        <w:spacing w:line="240" w:lineRule="auto"/>
        <w:ind w:left="154" w:right="0"/>
        <w:jc w:val="left"/>
        <w:rPr>
          <w:b w:val="0"/>
          <w:bCs w:val="0"/>
        </w:rPr>
      </w:pPr>
      <w:bookmarkStart w:name="46、应付债券" w:id="331"/>
      <w:bookmarkEnd w:id="33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债券" w:id="332"/>
      <w:bookmarkEnd w:id="33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债券的增减变动（上包括划分为金融负债的优先股、永续债等其他金融工具）" w:id="333"/>
      <w:bookmarkEnd w:id="33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可转换公司债券的转股条件、转股时间说明" w:id="334"/>
      <w:bookmarkEnd w:id="33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划分为金融负债的其他金融工具说明" w:id="335"/>
      <w:bookmarkEnd w:id="33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ind w:left="154"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4"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6"/>
        <w:spacing w:line="240" w:lineRule="auto"/>
        <w:ind w:left="154" w:right="0"/>
        <w:jc w:val="left"/>
        <w:rPr>
          <w:b w:val="0"/>
          <w:bCs w:val="0"/>
        </w:rPr>
      </w:pPr>
      <w:bookmarkStart w:name="47、长期应付款" w:id="336"/>
      <w:bookmarkEnd w:id="33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长期应付款" w:id="337"/>
      <w:bookmarkEnd w:id="33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93,649,154.11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pStyle w:val="Heading7"/>
        <w:spacing w:line="240" w:lineRule="auto" w:before="89"/>
        <w:ind w:right="0"/>
        <w:jc w:val="left"/>
      </w:pPr>
      <w:r>
        <w:rPr/>
        <w:t>公司本期限制性股票激励计划回购义务确认的负债金额为人民币</w:t>
      </w:r>
      <w:r>
        <w:rPr>
          <w:rFonts w:ascii="Times New Roman" w:hAnsi="Times New Roman" w:cs="Times New Roman" w:eastAsia="Times New Roman" w:hint="default"/>
        </w:rPr>
        <w:t>93,649,154.11</w:t>
      </w:r>
      <w:r>
        <w:rPr/>
        <w:t>元，详见附注十三</w:t>
      </w:r>
    </w:p>
    <w:p>
      <w:pPr>
        <w:spacing w:line="240" w:lineRule="auto" w:before="8"/>
        <w:rPr>
          <w:rFonts w:ascii="宋体" w:hAnsi="宋体" w:cs="宋体" w:eastAsia="宋体" w:hint="default"/>
          <w:sz w:val="24"/>
          <w:szCs w:val="24"/>
        </w:rPr>
      </w:pPr>
    </w:p>
    <w:p>
      <w:pPr>
        <w:pStyle w:val="Heading6"/>
        <w:spacing w:line="240" w:lineRule="auto"/>
        <w:ind w:right="0"/>
        <w:jc w:val="left"/>
        <w:rPr>
          <w:b w:val="0"/>
          <w:bCs w:val="0"/>
        </w:rPr>
      </w:pPr>
      <w:bookmarkStart w:name="48、长期应付职工薪酬" w:id="338"/>
      <w:bookmarkEnd w:id="338"/>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长期应付职工薪酬表" w:id="339"/>
      <w:bookmarkEnd w:id="33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设定受益计划变动情况" w:id="340"/>
      <w:bookmarkEnd w:id="34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9、专项应付款" w:id="341"/>
      <w:bookmarkEnd w:id="341"/>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0、预计负债" w:id="342"/>
      <w:bookmarkEnd w:id="34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51、递延收益" w:id="343"/>
      <w:bookmarkEnd w:id="34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18,769,984.01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4,089,984.01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18,769,984.01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4,089,984.01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面向电力行业信 息化的云计算服 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集团企业资源集 约化管理系统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2,589,984.01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2,589,984.01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远光燃料管理信 息系统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基于移动云计算 的新型智能巡检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面向电力行业信 息集成的分布式 事务管理中间件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软件工程国家重 点实验室</w:t>
            </w:r>
            <w:r>
              <w:rPr>
                <w:rFonts w:ascii="Times New Roman" w:hAnsi="Times New Roman" w:cs="Times New Roman" w:eastAsia="Times New Roman" w:hint="default"/>
                <w:sz w:val="18"/>
                <w:szCs w:val="18"/>
              </w:rPr>
              <w:t>(</w:t>
            </w:r>
            <w:r>
              <w:rPr>
                <w:rFonts w:ascii="宋体" w:hAnsi="宋体" w:cs="宋体" w:eastAsia="宋体" w:hint="default"/>
                <w:sz w:val="18"/>
                <w:szCs w:val="18"/>
              </w:rPr>
              <w:t>武汉 大学</w:t>
            </w:r>
            <w:r>
              <w:rPr>
                <w:rFonts w:ascii="Times New Roman" w:hAnsi="Times New Roman" w:cs="Times New Roman" w:eastAsia="Times New Roman" w:hint="default"/>
                <w:sz w:val="18"/>
                <w:szCs w:val="18"/>
              </w:rPr>
              <w:t>)</w:t>
            </w:r>
            <w:r>
              <w:rPr>
                <w:rFonts w:ascii="宋体" w:hAnsi="宋体" w:cs="宋体" w:eastAsia="宋体" w:hint="default"/>
                <w:sz w:val="18"/>
                <w:szCs w:val="18"/>
              </w:rPr>
              <w:t>珠海研发 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集约化项目市科 技局配套资金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高新区博士后科 研工作站远光分 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国家科技支撑计 划信息产业与现 代服务业技术领 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电力基础工程财 务风险内控信息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面向电力行业的 云计算服务系统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与管理平台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面向集团企业的 风险管控系统专 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面向智能电网的 安全运行管理平 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18,769,984.01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4,089,984.01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2、其他非流动负债" w:id="344"/>
      <w:bookmarkEnd w:id="34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3、股本" w:id="345"/>
      <w:bookmarkEnd w:id="345"/>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462,054,367.00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-284,221.00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-284,221.00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461,770,146.00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4、其他权益工具" w:id="346"/>
      <w:bookmarkEnd w:id="34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期末发行在外的优先股、永续债等其他金融工具基本情况" w:id="347"/>
      <w:bookmarkEnd w:id="34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期末发行在外的优先股、永续债等金融工具变动情况表" w:id="348"/>
      <w:bookmarkEnd w:id="34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55、资本公积" w:id="349"/>
      <w:bookmarkEnd w:id="34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236,524,376.12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23,658,672.83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95,599,369.52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164,583,679.43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63,675,047.22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2,525,452.39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23,658,672.83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42,541,826.78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300,199,423.34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26,184,125.22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119,258,042.35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207,125,506.21</w:t>
            </w:r>
          </w:p>
        </w:tc>
      </w:tr>
    </w:tbl>
    <w:p>
      <w:pPr>
        <w:pStyle w:val="BodyText"/>
        <w:spacing w:line="240" w:lineRule="auto" w:before="51"/>
        <w:ind w:left="154" w:right="0"/>
        <w:jc w:val="left"/>
      </w:pPr>
      <w:r>
        <w:rPr/>
        <w:t>其他说明，包括本期增减变动情况、变动原因说明：</w:t>
      </w:r>
    </w:p>
    <w:p>
      <w:pPr>
        <w:pStyle w:val="Heading7"/>
        <w:spacing w:line="256" w:lineRule="auto" w:before="90"/>
        <w:ind w:right="1131" w:firstLine="420"/>
        <w:jc w:val="both"/>
      </w:pPr>
      <w:r>
        <w:rPr>
          <w:rFonts w:ascii="Times New Roman" w:hAnsi="Times New Roman" w:cs="Times New Roman" w:eastAsia="Times New Roman" w:hint="default"/>
          <w:spacing w:val="-7"/>
        </w:rPr>
        <w:t>1</w:t>
      </w:r>
      <w:r>
        <w:rPr>
          <w:spacing w:val="-7"/>
        </w:rPr>
        <w:t>、股本溢价本年减少原因为：（</w:t>
      </w:r>
      <w:r>
        <w:rPr>
          <w:rFonts w:ascii="Times New Roman" w:hAnsi="Times New Roman" w:cs="Times New Roman" w:eastAsia="Times New Roman" w:hint="default"/>
          <w:spacing w:val="-7"/>
        </w:rPr>
        <w:t>1</w:t>
      </w:r>
      <w:r>
        <w:rPr>
          <w:spacing w:val="-7"/>
        </w:rPr>
        <w:t>）本期回购限制性股票减少股本</w:t>
      </w:r>
      <w:r>
        <w:rPr>
          <w:rFonts w:ascii="Times New Roman" w:hAnsi="Times New Roman" w:cs="Times New Roman" w:eastAsia="Times New Roman" w:hint="default"/>
          <w:spacing w:val="-7"/>
        </w:rPr>
        <w:t>284,221</w:t>
      </w:r>
      <w:r>
        <w:rPr>
          <w:spacing w:val="-7"/>
        </w:rPr>
        <w:t>元，减少资本公积</w:t>
      </w:r>
      <w:r>
        <w:rPr>
          <w:rFonts w:ascii="Times New Roman" w:hAnsi="Times New Roman" w:cs="Times New Roman" w:eastAsia="Times New Roman" w:hint="default"/>
          <w:spacing w:val="-7"/>
        </w:rPr>
        <w:t>1,890,029.49</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2</w:t>
      </w:r>
      <w:r>
        <w:rPr/>
        <w:t>）本期减少为根据公司</w:t>
      </w:r>
      <w:r>
        <w:rPr>
          <w:rFonts w:ascii="Times New Roman" w:hAnsi="Times New Roman" w:cs="Times New Roman" w:eastAsia="Times New Roman" w:hint="default"/>
        </w:rPr>
        <w:t>2014</w:t>
      </w:r>
      <w:r>
        <w:rPr/>
        <w:t>年第一次临时股东大会决议，本期回购本公司股份</w:t>
      </w:r>
      <w:r>
        <w:rPr>
          <w:rFonts w:ascii="Times New Roman" w:hAnsi="Times New Roman" w:cs="Times New Roman" w:eastAsia="Times New Roman" w:hint="default"/>
        </w:rPr>
        <w:t>8,595,724</w:t>
      </w:r>
      <w:r>
        <w:rPr/>
        <w:t>股，本期</w:t>
      </w:r>
      <w:r>
        <w:rPr>
          <w:spacing w:val="-28"/>
        </w:rPr>
        <w:t> </w:t>
      </w:r>
      <w:r>
        <w:rPr>
          <w:spacing w:val="-28"/>
        </w:rPr>
      </w:r>
      <w:r>
        <w:rPr>
          <w:spacing w:val="-2"/>
        </w:rPr>
        <w:t>授予员工限制性股票</w:t>
      </w:r>
      <w:r>
        <w:rPr>
          <w:rFonts w:ascii="Times New Roman" w:hAnsi="Times New Roman" w:cs="Times New Roman" w:eastAsia="Times New Roman" w:hint="default"/>
          <w:spacing w:val="-2"/>
        </w:rPr>
        <w:t>8,541,124</w:t>
      </w:r>
      <w:r>
        <w:rPr>
          <w:spacing w:val="-2"/>
        </w:rPr>
        <w:t>股，共收取行权款</w:t>
      </w:r>
      <w:r>
        <w:rPr>
          <w:rFonts w:ascii="Times New Roman" w:hAnsi="Times New Roman" w:cs="Times New Roman" w:eastAsia="Times New Roman" w:hint="default"/>
          <w:spacing w:val="-2"/>
        </w:rPr>
        <w:t>93,649,154.11</w:t>
      </w:r>
      <w:r>
        <w:rPr>
          <w:spacing w:val="-2"/>
        </w:rPr>
        <w:t>元，回购款与行权款之间的差异</w:t>
      </w:r>
      <w:r>
        <w:rPr>
          <w:rFonts w:ascii="Times New Roman" w:hAnsi="Times New Roman" w:cs="Times New Roman" w:eastAsia="Times New Roman" w:hint="default"/>
          <w:spacing w:val="-2"/>
        </w:rPr>
        <w:t>93,709,340.03</w:t>
      </w:r>
      <w:r>
        <w:rPr>
          <w:rFonts w:ascii="Times New Roman" w:hAnsi="Times New Roman" w:cs="Times New Roman" w:eastAsia="Times New Roman" w:hint="default"/>
        </w:rPr>
        <w:t> </w:t>
      </w:r>
      <w:r>
        <w:rPr/>
        <w:t>元冲减资本公积。</w:t>
      </w:r>
    </w:p>
    <w:p>
      <w:pPr>
        <w:pStyle w:val="Heading7"/>
        <w:spacing w:line="273" w:lineRule="auto" w:before="22"/>
        <w:ind w:right="1132" w:firstLine="420"/>
        <w:jc w:val="both"/>
      </w:pPr>
      <w:r>
        <w:rPr>
          <w:spacing w:val="-1"/>
        </w:rPr>
        <w:t>股本溢价本年增加原因为公司限制性股票激励计划第一个解锁期解锁条件已成就，计提的股权激励费</w:t>
      </w:r>
      <w:r>
        <w:rPr/>
        <w:t> 用应转入股本溢价。</w:t>
      </w:r>
    </w:p>
    <w:p>
      <w:pPr>
        <w:pStyle w:val="Heading7"/>
        <w:spacing w:line="256" w:lineRule="auto"/>
        <w:ind w:right="1141" w:firstLine="420"/>
        <w:jc w:val="both"/>
      </w:pPr>
      <w:r>
        <w:rPr>
          <w:rFonts w:ascii="Times New Roman" w:hAnsi="Times New Roman" w:cs="Times New Roman" w:eastAsia="Times New Roman" w:hint="default"/>
        </w:rPr>
        <w:t>2</w:t>
      </w:r>
      <w:r>
        <w:rPr/>
        <w:t>、其他资本公积本年新增为计提的股权激励费用；本年减少为公司限制性股票激励计划第一个解锁 期解锁条件已成就，计提的股权激励费用应转入股本溢价。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62"/>
        <w:ind w:left="154" w:right="0"/>
        <w:jc w:val="left"/>
        <w:rPr>
          <w:b w:val="0"/>
          <w:bCs w:val="0"/>
        </w:rPr>
      </w:pPr>
      <w:bookmarkStart w:name="56、库存股" w:id="350"/>
      <w:bookmarkEnd w:id="35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为奖励职工而收购的本 公司股份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188,556,418.14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187,358,494.14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1,197,924.00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122,186,676.58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122,186,676.58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310,743,094.72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187,358,494.14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123,384,600.58</w:t>
            </w:r>
          </w:p>
        </w:tc>
      </w:tr>
    </w:tbl>
    <w:p>
      <w:pPr>
        <w:pStyle w:val="BodyText"/>
        <w:spacing w:line="240" w:lineRule="auto" w:before="51"/>
        <w:ind w:left="154" w:right="0"/>
        <w:jc w:val="left"/>
      </w:pPr>
      <w:r>
        <w:rPr/>
        <w:t>其他说明，包括本期增减变动情况、变动原因说明：</w:t>
      </w:r>
    </w:p>
    <w:p>
      <w:pPr>
        <w:pStyle w:val="Heading7"/>
        <w:spacing w:line="256" w:lineRule="auto" w:before="89"/>
        <w:ind w:left="154" w:right="1134"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年度本公司因实行股权激励而回购本公司股份</w:t>
      </w:r>
      <w:r>
        <w:rPr>
          <w:rFonts w:ascii="Times New Roman" w:hAnsi="Times New Roman" w:cs="Times New Roman" w:eastAsia="Times New Roman" w:hint="default"/>
        </w:rPr>
        <w:t>8,595,724</w:t>
      </w:r>
      <w:r>
        <w:rPr/>
        <w:t>股，占本公司已发行股份的总比例 为</w:t>
      </w:r>
      <w:r>
        <w:rPr>
          <w:rFonts w:ascii="Times New Roman" w:hAnsi="Times New Roman" w:cs="Times New Roman" w:eastAsia="Times New Roman" w:hint="default"/>
        </w:rPr>
        <w:t>1.86%</w:t>
      </w:r>
      <w:r>
        <w:rPr/>
        <w:t>。</w:t>
      </w:r>
    </w:p>
    <w:p>
      <w:pPr>
        <w:pStyle w:val="Heading7"/>
        <w:spacing w:line="256" w:lineRule="auto" w:before="5"/>
        <w:ind w:right="1131" w:firstLine="420"/>
        <w:jc w:val="both"/>
      </w:pPr>
      <w:r>
        <w:rPr>
          <w:spacing w:val="-1"/>
        </w:rPr>
        <w:t>（</w:t>
      </w:r>
      <w:r>
        <w:rPr>
          <w:rFonts w:ascii="Times New Roman" w:hAnsi="Times New Roman" w:cs="Times New Roman" w:eastAsia="Times New Roman" w:hint="default"/>
          <w:spacing w:val="-1"/>
        </w:rPr>
        <w:t>2</w:t>
      </w:r>
      <w:r>
        <w:rPr>
          <w:spacing w:val="-1"/>
        </w:rPr>
        <w:t>）股权激励计划回购义务主要包括：（</w:t>
      </w:r>
      <w:r>
        <w:rPr>
          <w:rFonts w:ascii="Times New Roman" w:hAnsi="Times New Roman" w:cs="Times New Roman" w:eastAsia="Times New Roman" w:hint="default"/>
          <w:spacing w:val="-1"/>
        </w:rPr>
        <w:t>1</w:t>
      </w:r>
      <w:r>
        <w:rPr>
          <w:spacing w:val="-1"/>
        </w:rPr>
        <w:t>）公司本年授予的限制性股票的回购义务全额确认一项负</w:t>
      </w:r>
      <w:r>
        <w:rPr/>
        <w:t> </w:t>
      </w:r>
      <w:r>
        <w:rPr>
          <w:spacing w:val="-1"/>
        </w:rPr>
        <w:t>债并作收购库存股处理；（</w:t>
      </w: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日授予的第三期限制性股票由于本年业绩不达标产生回购</w:t>
      </w:r>
      <w:r>
        <w:rPr>
          <w:spacing w:val="-83"/>
        </w:rPr>
        <w:t> </w:t>
      </w:r>
      <w:r>
        <w:rPr/>
        <w:t>义务，确认为一项负债。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62"/>
        <w:ind w:left="154" w:right="0"/>
        <w:jc w:val="left"/>
        <w:rPr>
          <w:b w:val="0"/>
          <w:bCs w:val="0"/>
        </w:rPr>
      </w:pPr>
      <w:bookmarkStart w:name="57、其他综合收益" w:id="351"/>
      <w:bookmarkEnd w:id="35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58、专项储备" w:id="352"/>
      <w:bookmarkEnd w:id="35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59、盈余公积" w:id="353"/>
      <w:bookmarkEnd w:id="35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147,483,021.22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20,642,915.45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168,125,936.67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147,483,021.22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20,642,915.45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168,125,936.67</w:t>
            </w:r>
          </w:p>
        </w:tc>
      </w:tr>
    </w:tbl>
    <w:p>
      <w:pPr>
        <w:pStyle w:val="BodyText"/>
        <w:spacing w:line="240" w:lineRule="auto" w:before="51"/>
        <w:ind w:left="15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0、未分配利润" w:id="354"/>
      <w:bookmarkEnd w:id="35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737,089,388.54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522,652,182.25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190,570,344.02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340,954,072.86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20,642,915.45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34,165,906.37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23,099,916.30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92,350,960.20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883,916,900.81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737,089,388.54</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61、营业收入和营业成本" w:id="355"/>
      <w:bookmarkEnd w:id="35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816,945,465.51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217,957,794.01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929,206,635.61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195,511,562.00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816,945,465.51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217,957,794.01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929,206,635.61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195,511,562.00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62、营业税金及附加" w:id="356"/>
      <w:bookmarkEnd w:id="356"/>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135,254.77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133,338.03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3,562,387.06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4,036,159.06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2,599,030.78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2,882,968.75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737,843.51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756,364.33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7,034,516.12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7,808,830.17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3、销售费用" w:id="357"/>
      <w:bookmarkEnd w:id="35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56,874,868.75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50,708,809.95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7,801,831.29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4,316,930.87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3,087,901.21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4,312,328.98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8,989,149.62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7,210,566.11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8,693,514.83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6,864,351.56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17,213,112.57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23,429,422.96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2,869,931.22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1,961,815.08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15,369,525.36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13,172,436.07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120,899,834.85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111,976,661.58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4、管理费用" w:id="358"/>
      <w:bookmarkEnd w:id="35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69,369,402.30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55,019,282.87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2,525,452.39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36,604,701.65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205,692,374.36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164,175,454.84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3,779,250.18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4,042,604.20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2,666,398.48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6,649,352.79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11,300,135.73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5,191,302.99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41,983,525.21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29,369,640.32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337,316,538.65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301,052,339.66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5、财务费用" w:id="359"/>
      <w:bookmarkEnd w:id="359"/>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22,696,104.09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17,334,233.53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161,968.36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146,647.27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-22,534,135.73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-17,187,586.26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6、资产减值损失" w:id="360"/>
      <w:bookmarkEnd w:id="360"/>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9,540,651.86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13,630,091.60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9,540,651.86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13,630,091.60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7、公允价值变动收益" w:id="361"/>
      <w:bookmarkEnd w:id="361"/>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-2,705,491.02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-49,530.31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-2,705,491.02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68、投资收益" w:id="362"/>
      <w:bookmarkEnd w:id="36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12,829,653.29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33,512,884.71</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13,168,745.65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8,034,018.13</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25,998,398.94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41,546,902.84</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69、营业外收入" w:id="363"/>
      <w:bookmarkEnd w:id="363"/>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1,111,837.20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822,691.50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1,111,837.20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18,488,572.81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17,070,766.11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5,473,803.15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1,600,602.44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707,254.61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1,600,602.44</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21,201,012.45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18,600,712.22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8,186,242.79</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13,014,769.66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8,970,852.80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远光燃料管理信息系统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集团企业资源集约化管理系 统、集约化项目市科技局配套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3,589,984.01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2,467,779.52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珠海高新技术产业开发区发 展改革和财政局财政贡献奖 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远光软件公司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年营改增 财政扶持资金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600,819.14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珠海高新区发展改革和财政 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年度新建省级工 程中心奖励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财政局拨付企业人才评价开 发支持经费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珠海市财政局拨付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珠海市名牌名标奖励资金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珠海市财政局专利申请资助 资金拨款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面向火力发电厂的燃料智能 掺配系统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18,488,572.81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11,438,632.32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Heading7"/>
        <w:spacing w:line="256" w:lineRule="auto" w:before="91"/>
        <w:ind w:left="227" w:right="1309" w:firstLine="504"/>
        <w:jc w:val="both"/>
      </w:pPr>
      <w:r>
        <w:rPr/>
        <w:t>根据财政部、国家税务总局下发财税</w:t>
      </w:r>
      <w:r>
        <w:rPr>
          <w:rFonts w:ascii="Times New Roman" w:hAnsi="Times New Roman" w:cs="Times New Roman" w:eastAsia="Times New Roman" w:hint="default"/>
        </w:rPr>
        <w:t>[2011]100</w:t>
      </w:r>
      <w:r>
        <w:rPr/>
        <w:t>号文《财政部、国家税务总局关于软件产品增值税 </w:t>
      </w:r>
      <w:r>
        <w:rPr>
          <w:spacing w:val="-3"/>
        </w:rPr>
        <w:t>政策的通知》，公司自行开发研制软件产品销售按</w:t>
      </w:r>
      <w:r>
        <w:rPr>
          <w:rFonts w:ascii="Times New Roman" w:hAnsi="Times New Roman" w:cs="Times New Roman" w:eastAsia="Times New Roman" w:hint="default"/>
          <w:spacing w:val="-3"/>
        </w:rPr>
        <w:t>17%</w:t>
      </w:r>
      <w:r>
        <w:rPr>
          <w:spacing w:val="-3"/>
        </w:rPr>
        <w:t>的法定税率计缴增值税，实际税负超过</w:t>
      </w:r>
      <w:r>
        <w:rPr>
          <w:rFonts w:ascii="Times New Roman" w:hAnsi="Times New Roman" w:cs="Times New Roman" w:eastAsia="Times New Roman" w:hint="default"/>
          <w:spacing w:val="-3"/>
        </w:rPr>
        <w:t>3%</w:t>
      </w:r>
      <w:r>
        <w:rPr>
          <w:spacing w:val="-3"/>
        </w:rPr>
        <w:t>部分经</w:t>
      </w:r>
      <w:r>
        <w:rPr>
          <w:spacing w:val="-67"/>
        </w:rPr>
        <w:t> </w:t>
      </w:r>
      <w:r>
        <w:rPr>
          <w:spacing w:val="-67"/>
        </w:rPr>
      </w:r>
      <w:r>
        <w:rPr/>
        <w:t>主管国家税务局审核后实行即征即退政策。</w:t>
      </w:r>
    </w:p>
    <w:p>
      <w:pPr>
        <w:spacing w:after="0" w:line="25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70、营业外支出" w:id="364"/>
      <w:bookmarkEnd w:id="364"/>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274,187.31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158,622.22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274,187.31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274,187.31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158,622.22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274,187.31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381,657.00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13,820.93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13,820.93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298,008.24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548,138.03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298,008.24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71、所得税费用" w:id="365"/>
      <w:bookmarkEnd w:id="365"/>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所得税费用表" w:id="366"/>
      <w:bookmarkEnd w:id="36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15,167,062.51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36,195,574.60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584,111.41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-3,010,041.29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15,751,173.92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33,185,533.31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会计利润与所得税费用调整过程" w:id="367"/>
      <w:bookmarkEnd w:id="36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193,582,138.59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19,358,213.86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-4,306,180.04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599,674.21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1,419,201.65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5,930,264.24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其他事项对所得税的影响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15,751,173.92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2、其他综合收益" w:id="368"/>
      <w:bookmarkEnd w:id="368"/>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详见附注。</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73、现金流量表项目" w:id="369"/>
      <w:bookmarkEnd w:id="369"/>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收到的其他与经营活动有关的现金" w:id="370"/>
      <w:bookmarkEnd w:id="37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22,696,145.23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17,334,233.53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9,404,589.47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6,677,450.00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6,436,328.07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205,251.61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38,537,062.77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24,216,935.14</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2）支付的其他与经营活动有关的现金" w:id="371"/>
      <w:bookmarkEnd w:id="37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163,206.86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146,647.27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销售及管理费用支付的现金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124,917,665.41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112,969,031.81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23,820.93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381,657.00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20,997,923.13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4,293,660.56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146,102,616.33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117,790,996.64</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收到的其他与投资活动有关的现金" w:id="372"/>
      <w:bookmarkEnd w:id="37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支付的其他与投资活动有关的现金" w:id="373"/>
      <w:bookmarkEnd w:id="37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7.029968pt;width:151.25pt;height:40.9pt;mso-position-horizontal-relative:page;mso-position-vertical-relative:page;z-index:-902992" coordorigin="4467,13941" coordsize="3025,818">
            <v:group style="position:absolute;left:4478;top:13952;width:2;height:393" coordorigin="4478,13952" coordsize="2,393">
              <v:shape style="position:absolute;left:4478;top:13952;width:2;height:393" coordorigin="4478,13952" coordsize="0,393" path="m4478,13952l4478,14345e" filled="false" stroked="true" strokeweight="1.140pt" strokecolor="#ffffff">
                <v:path arrowok="t"/>
              </v:shape>
            </v:group>
            <v:group style="position:absolute;left:4490;top:13952;width:3002;height:393" coordorigin="4490,13952" coordsize="3002,393">
              <v:shape style="position:absolute;left:4490;top:13952;width:3002;height:393" coordorigin="4490,13952" coordsize="3002,393" path="m4490,14345l7491,14345,7491,13952,4490,13952,4490,14345xe" filled="true" fillcolor="#ffffff" stroked="false">
                <v:path arrowok="t"/>
                <v:fill type="solid"/>
              </v:shape>
            </v:group>
            <v:group style="position:absolute;left:4478;top:14354;width:2;height:393" coordorigin="4478,14354" coordsize="2,393">
              <v:shape style="position:absolute;left:4478;top:14354;width:2;height:393" coordorigin="4478,14354" coordsize="0,393" path="m4478,14354l4478,14747e" filled="false" stroked="true" strokeweight="1.140pt" strokecolor="#ffffff">
                <v:path arrowok="t"/>
              </v:shape>
            </v:group>
            <v:group style="position:absolute;left:4490;top:14354;width:3002;height:393" coordorigin="4490,14354" coordsize="3002,393">
              <v:shape style="position:absolute;left:4490;top:14354;width:3002;height:393" coordorigin="4490,14354" coordsize="3002,393" path="m4490,14747l7491,14747,7491,14354,4490,14354,4490,1474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收到的其他与筹资活动有关的现金" w:id="374"/>
      <w:bookmarkEnd w:id="37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6）支付的其他与筹资活动有关的现金" w:id="375"/>
      <w:bookmarkEnd w:id="37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97,081,514.52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445,558.60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97,081,514.52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445,558.60</w:t>
            </w:r>
          </w:p>
        </w:tc>
      </w:tr>
    </w:tbl>
    <w:p>
      <w:pPr>
        <w:pStyle w:val="BodyText"/>
        <w:spacing w:line="357" w:lineRule="auto" w:before="51"/>
        <w:ind w:left="154" w:right="6972"/>
        <w:jc w:val="left"/>
      </w:pPr>
      <w:r>
        <w:rPr/>
        <w:t>支付的其他与筹资活动有关的现金说明： 本公司因实行股权激励而回购本公司股份金额。</w:t>
      </w:r>
    </w:p>
    <w:p>
      <w:pPr>
        <w:spacing w:line="240" w:lineRule="auto" w:before="2"/>
        <w:rPr>
          <w:rFonts w:ascii="宋体" w:hAnsi="宋体" w:cs="宋体" w:eastAsia="宋体" w:hint="default"/>
          <w:sz w:val="20"/>
          <w:szCs w:val="20"/>
        </w:rPr>
      </w:pPr>
    </w:p>
    <w:p>
      <w:pPr>
        <w:pStyle w:val="Heading6"/>
        <w:spacing w:line="240" w:lineRule="auto"/>
        <w:ind w:left="154" w:right="0"/>
        <w:jc w:val="left"/>
        <w:rPr>
          <w:b w:val="0"/>
          <w:bCs w:val="0"/>
        </w:rPr>
      </w:pPr>
      <w:bookmarkStart w:name="74、现金流量表补充资料" w:id="376"/>
      <w:bookmarkEnd w:id="376"/>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377"/>
      <w:bookmarkEnd w:id="37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177,830,964.67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340,123,189.56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9,540,651.86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13,630,091.60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14,978,160.73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13,131,500.50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5,212,921.96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2,571,282.63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7,870,919.19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3,615,047.23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-839,252.45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-664,069.28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49,530.31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2,705,491.02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-25,998,398.94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-41,546,902.84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30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68,222.42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-5,337,076.71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515,889.00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2,327,035.42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-5,263,814.34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-3,059,776.25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-67,033,151.02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-89,806,643.44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14,918,401.43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23,856,767.11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131,851,044.82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261,545,936.55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1,065,439,072.24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999,644,141.93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999,644,141.93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840,465,444.75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65,794,930.31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159,178,697.18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本期支付的取得子公司的现金净额" w:id="378"/>
      <w:bookmarkEnd w:id="37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2,974,401.89</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7,225,598.11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本期收到的处置子公司的现金净额" w:id="379"/>
      <w:bookmarkEnd w:id="37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现金和现金等价物的构成" w:id="380"/>
      <w:bookmarkEnd w:id="38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1,065,439,072.24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999,644,141.93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74,743.92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88,949.25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1,063,858,056.69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964,177,109.80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1,506,271.63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35,378,082.88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1,065,439,072.24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999,644,141.93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75、所有者权益变动表项目注释" w:id="381"/>
      <w:bookmarkEnd w:id="381"/>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82"/>
      <w:bookmarkEnd w:id="382"/>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7、外币货币性项目" w:id="383"/>
      <w:bookmarkEnd w:id="383"/>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384"/>
      <w:bookmarkEnd w:id="38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59" w:lineRule="auto"/>
        <w:ind w:right="0"/>
        <w:jc w:val="left"/>
        <w:rPr>
          <w:b w:val="0"/>
          <w:bCs w:val="0"/>
        </w:rPr>
      </w:pPr>
      <w:bookmarkStart w:name="（2）境外经营实体说明，包括对于重要的境外经营实体，应披露其境外主要经营地、记账" w:id="385"/>
      <w:bookmarkEnd w:id="38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78、套期" w:id="386"/>
      <w:bookmarkEnd w:id="386"/>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3" w:right="8329" w:firstLine="0"/>
        <w:jc w:val="left"/>
        <w:rPr>
          <w:rFonts w:ascii="宋体" w:hAnsi="宋体" w:cs="宋体" w:eastAsia="宋体" w:hint="default"/>
          <w:sz w:val="21"/>
          <w:szCs w:val="21"/>
        </w:rPr>
      </w:pPr>
      <w:bookmarkStart w:name="79、其他" w:id="387"/>
      <w:bookmarkEnd w:id="387"/>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8"/>
      <w:bookmarkEnd w:id="38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9"/>
      <w:bookmarkEnd w:id="3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3"/>
        <w:ind w:right="0"/>
        <w:jc w:val="left"/>
        <w:rPr>
          <w:b w:val="0"/>
          <w:bCs w:val="0"/>
        </w:rPr>
      </w:pPr>
      <w:bookmarkStart w:name="（1）本期发生的非同一控制下企业合并" w:id="390"/>
      <w:bookmarkEnd w:id="39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北京神航星 云科技有限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完成股权变 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-539,500.00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合并成本及商誉" w:id="391"/>
      <w:bookmarkEnd w:id="39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246"/>
        <w:gridCol w:w="4112"/>
      </w:tblGrid>
      <w:tr>
        <w:trPr>
          <w:trHeight w:val="356" w:hRule="exact"/>
        </w:trPr>
        <w:tc>
          <w:tcPr>
            <w:tcW w:w="5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1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967"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353"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10,200,000.00</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8,936,464.21</w:t>
            </w:r>
          </w:p>
        </w:tc>
      </w:tr>
      <w:tr>
        <w:trPr>
          <w:trHeight w:val="352" w:hRule="exact"/>
        </w:trPr>
        <w:tc>
          <w:tcPr>
            <w:tcW w:w="52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1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1,263,535.79</w:t>
            </w:r>
          </w:p>
        </w:tc>
      </w:tr>
    </w:tbl>
    <w:p>
      <w:pPr>
        <w:spacing w:line="240" w:lineRule="auto" w:before="5"/>
        <w:rPr>
          <w:rFonts w:ascii="宋体" w:hAnsi="宋体" w:cs="宋体" w:eastAsia="宋体" w:hint="default"/>
          <w:b/>
          <w:bCs/>
          <w:sz w:val="24"/>
          <w:szCs w:val="24"/>
        </w:rPr>
      </w:pPr>
    </w:p>
    <w:p>
      <w:pPr>
        <w:pStyle w:val="BodyText"/>
        <w:spacing w:line="360" w:lineRule="auto"/>
        <w:ind w:left="154" w:right="6072"/>
        <w:jc w:val="left"/>
      </w:pPr>
      <w:r>
        <w:rPr/>
        <w:t>合并成本公允价值的确定方法、或有对价及其变动的说明： 大额商誉形成的主要原因：</w:t>
      </w:r>
    </w:p>
    <w:p>
      <w:pPr>
        <w:pStyle w:val="BodyText"/>
        <w:spacing w:line="240" w:lineRule="auto" w:before="26"/>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3）被购买方于购买日可辨认资产、负债" w:id="392"/>
      <w:bookmarkEnd w:id="39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678"/>
        <w:gridCol w:w="2553"/>
        <w:gridCol w:w="2551"/>
      </w:tblGrid>
      <w:tr>
        <w:trPr>
          <w:trHeight w:val="355" w:hRule="exact"/>
        </w:trPr>
        <w:tc>
          <w:tcPr>
            <w:tcW w:w="467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04"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465"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r>
      <w:tr>
        <w:trPr>
          <w:trHeight w:val="353" w:hRule="exact"/>
        </w:trPr>
        <w:tc>
          <w:tcPr>
            <w:tcW w:w="4678" w:type="dxa"/>
            <w:vMerge/>
            <w:tcBorders>
              <w:left w:val="single" w:sz="6" w:space="0" w:color="000000"/>
              <w:bottom w:val="single" w:sz="12" w:space="0" w:color="000000"/>
              <w:right w:val="single" w:sz="6" w:space="0" w:color="000000"/>
            </w:tcBorders>
          </w:tcPr>
          <w:p>
            <w:pP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3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553" w:type="dxa"/>
            <w:tcBorders>
              <w:top w:val="single" w:sz="12" w:space="0" w:color="000000"/>
              <w:left w:val="single" w:sz="6" w:space="0" w:color="000000"/>
              <w:bottom w:val="single" w:sz="12" w:space="0" w:color="000000"/>
              <w:right w:val="single" w:sz="6" w:space="0" w:color="000000"/>
            </w:tcBorders>
          </w:tcPr>
          <w:p>
            <w:pPr/>
          </w:p>
        </w:tc>
        <w:tc>
          <w:tcPr>
            <w:tcW w:w="255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678"/>
        <w:gridCol w:w="2553"/>
        <w:gridCol w:w="2551"/>
      </w:tblGrid>
      <w:tr>
        <w:trPr>
          <w:trHeight w:val="355" w:hRule="exact"/>
        </w:trPr>
        <w:tc>
          <w:tcPr>
            <w:tcW w:w="4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2,974,401.89</w:t>
            </w:r>
          </w:p>
        </w:tc>
        <w:tc>
          <w:tcPr>
            <w:tcW w:w="25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2,974,401.89</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13,320,063.00</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13,320,063.00</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68,376.07</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68,376.07</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671,967.34</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671,967.34</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825,840.39</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825,840.39</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
        </w:tc>
        <w:tc>
          <w:tcPr>
            <w:tcW w:w="2553" w:type="dxa"/>
            <w:tcBorders>
              <w:top w:val="single" w:sz="12" w:space="0" w:color="000000"/>
              <w:left w:val="single" w:sz="6" w:space="0" w:color="000000"/>
              <w:bottom w:val="single" w:sz="12" w:space="0" w:color="000000"/>
              <w:right w:val="single" w:sz="6" w:space="0" w:color="000000"/>
            </w:tcBorders>
          </w:tcPr>
          <w:p>
            <w:pPr/>
          </w:p>
        </w:tc>
        <w:tc>
          <w:tcPr>
            <w:tcW w:w="255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553" w:type="dxa"/>
            <w:tcBorders>
              <w:top w:val="single" w:sz="12" w:space="0" w:color="000000"/>
              <w:left w:val="single" w:sz="6" w:space="0" w:color="000000"/>
              <w:bottom w:val="single" w:sz="12" w:space="0" w:color="000000"/>
              <w:right w:val="single" w:sz="6" w:space="0" w:color="000000"/>
            </w:tcBorders>
          </w:tcPr>
          <w:p>
            <w:pPr/>
          </w:p>
        </w:tc>
        <w:tc>
          <w:tcPr>
            <w:tcW w:w="25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313,305.13</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313,305.13</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24,864.71</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24,864.71</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
        </w:tc>
        <w:tc>
          <w:tcPr>
            <w:tcW w:w="2553" w:type="dxa"/>
            <w:tcBorders>
              <w:top w:val="single" w:sz="12" w:space="0" w:color="000000"/>
              <w:left w:val="single" w:sz="6" w:space="0" w:color="000000"/>
              <w:bottom w:val="single" w:sz="12" w:space="0" w:color="000000"/>
              <w:right w:val="single" w:sz="6" w:space="0" w:color="000000"/>
            </w:tcBorders>
          </w:tcPr>
          <w:p>
            <w:pPr/>
          </w:p>
        </w:tc>
        <w:tc>
          <w:tcPr>
            <w:tcW w:w="255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17,522,478.85</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17,522,478.85</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8,586,014.64</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8,586,014.64</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5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8,936,464.21</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8,936,464.21</w:t>
            </w:r>
          </w:p>
        </w:tc>
      </w:tr>
    </w:tbl>
    <w:p>
      <w:pPr>
        <w:spacing w:line="240" w:lineRule="auto" w:before="5"/>
        <w:rPr>
          <w:rFonts w:ascii="宋体" w:hAnsi="宋体" w:cs="宋体" w:eastAsia="宋体" w:hint="default"/>
          <w:b/>
          <w:bCs/>
          <w:sz w:val="24"/>
          <w:szCs w:val="24"/>
        </w:rPr>
      </w:pPr>
    </w:p>
    <w:p>
      <w:pPr>
        <w:pStyle w:val="BodyText"/>
        <w:spacing w:line="360" w:lineRule="auto"/>
        <w:ind w:left="154" w:right="7530"/>
        <w:jc w:val="both"/>
      </w:pPr>
      <w:r>
        <w:rPr/>
        <w:t>可辨认资产、负债公允价值的确定方法： 企业合并中承担的被购买方的或有负债： 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6"/>
        <w:spacing w:line="240" w:lineRule="auto"/>
        <w:ind w:left="154" w:right="0"/>
        <w:jc w:val="both"/>
        <w:rPr>
          <w:b w:val="0"/>
          <w:bCs w:val="0"/>
        </w:rPr>
      </w:pPr>
      <w:bookmarkStart w:name="（4）购买日之前持有的股权按照公允价值重新计量产生的利得或损失" w:id="393"/>
      <w:bookmarkEnd w:id="39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bookmarkStart w:name="（5）购买日或合并当期期末无法合理确定合并对价或被购买方可辨认资产、负债公允价值" w:id="394"/>
      <w:bookmarkEnd w:id="39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6）其他说明" w:id="395"/>
      <w:bookmarkEnd w:id="39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2、同一控制下企业合并" w:id="396"/>
      <w:bookmarkEnd w:id="39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本期发生的同一控制下企业合并" w:id="397"/>
      <w:bookmarkEnd w:id="39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合并成本" w:id="398"/>
      <w:bookmarkEnd w:id="39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593"/>
        <w:jc w:val="left"/>
      </w:pPr>
      <w:r>
        <w:rPr/>
        <w:t>或有对价及其变动的说明： 其他说明：</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bookmarkStart w:name="（3）合并日被合并方资产、负债的账面价值" w:id="399"/>
      <w:bookmarkEnd w:id="39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513"/>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bookmarkStart w:name="3、反向购买" w:id="400"/>
      <w:bookmarkEnd w:id="40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6"/>
        <w:spacing w:line="240" w:lineRule="auto"/>
        <w:ind w:right="0"/>
        <w:jc w:val="left"/>
        <w:rPr>
          <w:b w:val="0"/>
          <w:bCs w:val="0"/>
        </w:rPr>
      </w:pPr>
      <w:bookmarkStart w:name="4、处置子公司" w:id="401"/>
      <w:bookmarkEnd w:id="40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其他原因的合并范围变动" w:id="402"/>
      <w:bookmarkEnd w:id="40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pStyle w:val="Heading7"/>
        <w:spacing w:line="264" w:lineRule="auto" w:before="89"/>
        <w:ind w:right="1138" w:firstLine="420"/>
        <w:jc w:val="both"/>
      </w:pPr>
      <w:r>
        <w:rPr/>
        <w:t>（</w:t>
      </w:r>
      <w:r>
        <w:rPr>
          <w:rFonts w:ascii="Times New Roman" w:hAnsi="Times New Roman" w:cs="Times New Roman" w:eastAsia="Times New Roman" w:hint="default"/>
        </w:rPr>
        <w:t>1</w:t>
      </w:r>
      <w:r>
        <w:rPr/>
        <w:t>）公司第五届董事会第十一次会议审议通过了《关于全资子公司对外投资的议案》，同意子公司 </w:t>
      </w:r>
      <w:r>
        <w:rPr>
          <w:spacing w:val="3"/>
        </w:rPr>
        <w:t>珠海横琴新区集睿思信息技术有限公司与南京广安科技有限公司共同出资设立南京远光广安信息科技有</w:t>
      </w:r>
      <w:r>
        <w:rPr>
          <w:spacing w:val="-82"/>
        </w:rPr>
        <w:t> </w:t>
      </w:r>
      <w:r>
        <w:rPr>
          <w:spacing w:val="-82"/>
        </w:rPr>
      </w:r>
      <w:r>
        <w:rPr/>
        <w:t>限公司，并于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日取得注册号为</w:t>
      </w:r>
      <w:r>
        <w:rPr>
          <w:rFonts w:ascii="Times New Roman" w:hAnsi="Times New Roman" w:cs="Times New Roman" w:eastAsia="Times New Roman" w:hint="default"/>
        </w:rPr>
        <w:t>320106000266939</w:t>
      </w:r>
      <w:r>
        <w:rPr/>
        <w:t>的企业法人营业执照。</w:t>
      </w:r>
    </w:p>
    <w:p>
      <w:pPr>
        <w:pStyle w:val="Heading7"/>
        <w:spacing w:line="256" w:lineRule="auto" w:before="0"/>
        <w:ind w:right="1131" w:firstLine="420"/>
        <w:jc w:val="both"/>
      </w:pPr>
      <w:r>
        <w:rPr/>
        <w:t>（</w:t>
      </w:r>
      <w:r>
        <w:rPr>
          <w:rFonts w:ascii="Times New Roman" w:hAnsi="Times New Roman" w:cs="Times New Roman" w:eastAsia="Times New Roman" w:hint="default"/>
        </w:rPr>
        <w:t>2</w:t>
      </w:r>
      <w:r>
        <w:rPr/>
        <w:t>）公司本期投资设立全资子公司北京远光非凡科技有限公司，北京远光非凡科技有限公司于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日成立，并取得注册号为</w:t>
      </w:r>
      <w:r>
        <w:rPr>
          <w:rFonts w:ascii="Times New Roman" w:hAnsi="Times New Roman" w:cs="Times New Roman" w:eastAsia="Times New Roman" w:hint="default"/>
        </w:rPr>
        <w:t>110302017391227</w:t>
      </w:r>
      <w:r>
        <w:rPr/>
        <w:t>的企业法人营业执照。</w:t>
      </w:r>
    </w:p>
    <w:p>
      <w:pPr>
        <w:spacing w:line="240" w:lineRule="auto" w:before="5"/>
        <w:rPr>
          <w:rFonts w:ascii="宋体" w:hAnsi="宋体" w:cs="宋体" w:eastAsia="宋体" w:hint="default"/>
          <w:sz w:val="23"/>
          <w:szCs w:val="23"/>
        </w:rPr>
      </w:pPr>
    </w:p>
    <w:p>
      <w:pPr>
        <w:spacing w:line="487" w:lineRule="auto" w:before="0"/>
        <w:ind w:left="154" w:right="8053" w:firstLine="0"/>
        <w:jc w:val="left"/>
        <w:rPr>
          <w:rFonts w:ascii="宋体" w:hAnsi="宋体" w:cs="宋体" w:eastAsia="宋体" w:hint="default"/>
          <w:sz w:val="21"/>
          <w:szCs w:val="21"/>
        </w:rPr>
      </w:pPr>
      <w:bookmarkStart w:name="6、其他" w:id="403"/>
      <w:bookmarkEnd w:id="40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4"/>
      <w:bookmarkEnd w:id="40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5"/>
      <w:bookmarkEnd w:id="40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3"/>
        <w:ind w:left="154" w:right="0"/>
        <w:jc w:val="left"/>
        <w:rPr>
          <w:b w:val="0"/>
          <w:bCs w:val="0"/>
        </w:rPr>
      </w:pPr>
      <w:bookmarkStart w:name="（1）企业集团的构成" w:id="406"/>
      <w:bookmarkEnd w:id="4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珠海横琴新区集 睿思信息技术有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（北京）科技有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计算机技术推广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北京远光非凡科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南京远光广安信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2）重要的非全资子公司" w:id="407"/>
      <w:bookmarkEnd w:id="40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-11,222,430.56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4,449,835.84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远光智和卓源（北京） 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-1,057,290.43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-560,440.13</w:t>
            </w:r>
            <w:r>
              <w:rPr>
                <w:rFonts w:ascii="Times New Roman"/>
                <w:sz w:val="18"/>
              </w:rPr>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6"/>
        <w:spacing w:line="240" w:lineRule="auto"/>
        <w:ind w:left="154" w:right="0"/>
        <w:jc w:val="left"/>
        <w:rPr>
          <w:b w:val="0"/>
          <w:bCs w:val="0"/>
        </w:rPr>
      </w:pPr>
      <w:bookmarkStart w:name="（3）重要非全资子公司的主要财务信息" w:id="408"/>
      <w:bookmarkEnd w:id="40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9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远光共 创智能 科技股 份有限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49,163,7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29.13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 w:right="0"/>
              <w:jc w:val="left"/>
              <w:rPr>
                <w:rFonts w:ascii="Times New Roman" w:hAnsi="Times New Roman" w:cs="Times New Roman" w:eastAsia="Times New Roman" w:hint="default"/>
                <w:sz w:val="18"/>
                <w:szCs w:val="18"/>
              </w:rPr>
            </w:pPr>
            <w:r>
              <w:rPr>
                <w:rFonts w:ascii="Times New Roman"/>
                <w:sz w:val="18"/>
              </w:rPr>
              <w:t>3,545,66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 w:right="0"/>
              <w:jc w:val="left"/>
              <w:rPr>
                <w:rFonts w:ascii="Times New Roman" w:hAnsi="Times New Roman" w:cs="Times New Roman" w:eastAsia="Times New Roman" w:hint="default"/>
                <w:sz w:val="18"/>
                <w:szCs w:val="18"/>
              </w:rPr>
            </w:pPr>
            <w:r>
              <w:rPr>
                <w:rFonts w:ascii="Times New Roman"/>
                <w:sz w:val="18"/>
              </w:rPr>
              <w:t>52,709,3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35,301,5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67.09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1" w:right="0"/>
              <w:jc w:val="left"/>
              <w:rPr>
                <w:rFonts w:ascii="Times New Roman" w:hAnsi="Times New Roman" w:cs="Times New Roman" w:eastAsia="Times New Roman" w:hint="default"/>
                <w:sz w:val="18"/>
                <w:szCs w:val="18"/>
              </w:rPr>
            </w:pPr>
            <w:r>
              <w:rPr>
                <w:rFonts w:ascii="Times New Roman"/>
                <w:sz w:val="18"/>
              </w:rPr>
              <w:t>35,301,5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24,052,2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724,354.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24,776,5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1,465,80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3" w:right="0"/>
              <w:jc w:val="left"/>
              <w:rPr>
                <w:rFonts w:ascii="Times New Roman" w:hAnsi="Times New Roman" w:cs="Times New Roman" w:eastAsia="Times New Roman" w:hint="default"/>
                <w:sz w:val="18"/>
                <w:szCs w:val="18"/>
              </w:rPr>
            </w:pPr>
            <w:r>
              <w:rPr>
                <w:rFonts w:ascii="Times New Roman"/>
                <w:sz w:val="18"/>
              </w:rPr>
              <w:t>1,465,80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远光智 和卓源</w:t>
            </w:r>
          </w:p>
          <w:p>
            <w:pPr>
              <w:pStyle w:val="TableParagraph"/>
              <w:spacing w:line="319"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（北京） 科技有 限公司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41,641,3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71.96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1,183,15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42,824,5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23,506,1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66.69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23,506,1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9,450.00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9,450.00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32,058,158.1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-22,902,919.5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-22,902,919.5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-31,257,236.2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-1,689,252.25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-1,689,252.25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-2,739,530.30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远光智和卓 </w:t>
            </w:r>
            <w:r>
              <w:rPr>
                <w:rFonts w:ascii="宋体" w:hAnsi="宋体" w:cs="宋体" w:eastAsia="宋体" w:hint="default"/>
                <w:spacing w:val="-13"/>
                <w:sz w:val="18"/>
                <w:szCs w:val="18"/>
              </w:rPr>
              <w:t>源（北京）科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21,310,876.2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-3,172,188.52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-3,172,188.52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-16,910,134.9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-9,450.00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-9,450.00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使用企业集团资产和清偿企业集团债务的重大限制" w:id="409"/>
      <w:bookmarkEnd w:id="40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5）向纳入合并财务报表范围的结构化主体提供的财务支持或其他支持" w:id="410"/>
      <w:bookmarkEnd w:id="41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在子公司的所有者权益份额发生变化且仍控制子公司的交易" w:id="411"/>
      <w:bookmarkEnd w:id="41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在子公司所有者权益份额发生变化的情况说明" w:id="412"/>
      <w:bookmarkEnd w:id="41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2）交易对于少数股东权益及归属于母公司所有者权益的影响" w:id="413"/>
      <w:bookmarkEnd w:id="41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在合营安排或联营企业中的权益" w:id="414"/>
      <w:bookmarkEnd w:id="41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重要的合营企业或联营企业" w:id="415"/>
      <w:bookmarkEnd w:id="41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华凯投资集团有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长期股权投资权 益法</w:t>
            </w:r>
          </w:p>
        </w:tc>
      </w:tr>
    </w:tbl>
    <w:p>
      <w:pPr>
        <w:pStyle w:val="BodyText"/>
        <w:spacing w:line="240" w:lineRule="auto" w:before="51"/>
        <w:ind w:left="154" w:right="0"/>
        <w:jc w:val="left"/>
      </w:pPr>
      <w:r>
        <w:rPr/>
        <w:t>在合营企业或联营企业的持股比例不同于表决权比例的说明：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重要合营企业的主要财务信息" w:id="416"/>
      <w:bookmarkEnd w:id="41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重要联营企业的主要财务信息" w:id="417"/>
      <w:bookmarkEnd w:id="41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85"/>
        <w:gridCol w:w="3285"/>
        <w:gridCol w:w="3286"/>
      </w:tblGrid>
      <w:tr>
        <w:trPr>
          <w:trHeight w:val="427" w:hRule="exact"/>
        </w:trPr>
        <w:tc>
          <w:tcPr>
            <w:tcW w:w="3285" w:type="dxa"/>
            <w:vMerge w:val="restart"/>
            <w:tcBorders>
              <w:top w:val="single" w:sz="6" w:space="0" w:color="000000"/>
              <w:left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9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427" w:hRule="exact"/>
        </w:trPr>
        <w:tc>
          <w:tcPr>
            <w:tcW w:w="3285" w:type="dxa"/>
            <w:vMerge/>
            <w:tcBorders>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34"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r>
      <w:tr>
        <w:trPr>
          <w:trHeight w:val="1051"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95" w:right="0"/>
              <w:jc w:val="left"/>
              <w:rPr>
                <w:rFonts w:ascii="Times New Roman" w:hAnsi="Times New Roman" w:cs="Times New Roman" w:eastAsia="Times New Roman" w:hint="default"/>
                <w:sz w:val="14"/>
                <w:szCs w:val="14"/>
              </w:rPr>
            </w:pPr>
            <w:r>
              <w:rPr>
                <w:rFonts w:ascii="Times New Roman"/>
                <w:sz w:val="14"/>
              </w:rPr>
              <w:t>1,762,907,805.83</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8" w:right="0"/>
              <w:jc w:val="left"/>
              <w:rPr>
                <w:rFonts w:ascii="Times New Roman" w:hAnsi="Times New Roman" w:cs="Times New Roman" w:eastAsia="Times New Roman" w:hint="default"/>
                <w:sz w:val="14"/>
                <w:szCs w:val="14"/>
              </w:rPr>
            </w:pPr>
            <w:r>
              <w:rPr>
                <w:rFonts w:ascii="Times New Roman"/>
                <w:sz w:val="14"/>
              </w:rPr>
              <w:t>1,606,463,536.05</w:t>
            </w:r>
          </w:p>
        </w:tc>
      </w:tr>
      <w:tr>
        <w:trPr>
          <w:trHeight w:val="738"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39" w:right="0"/>
              <w:jc w:val="left"/>
              <w:rPr>
                <w:rFonts w:ascii="Times New Roman" w:hAnsi="Times New Roman" w:cs="Times New Roman" w:eastAsia="Times New Roman" w:hint="default"/>
                <w:sz w:val="14"/>
                <w:szCs w:val="14"/>
              </w:rPr>
            </w:pPr>
            <w:r>
              <w:rPr>
                <w:rFonts w:ascii="Times New Roman"/>
                <w:sz w:val="14"/>
              </w:rPr>
              <w:t>394,325,339.98</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39" w:right="0"/>
              <w:jc w:val="left"/>
              <w:rPr>
                <w:rFonts w:ascii="Times New Roman" w:hAnsi="Times New Roman" w:cs="Times New Roman" w:eastAsia="Times New Roman" w:hint="default"/>
                <w:sz w:val="14"/>
                <w:szCs w:val="14"/>
              </w:rPr>
            </w:pPr>
            <w:r>
              <w:rPr>
                <w:rFonts w:ascii="Times New Roman"/>
                <w:sz w:val="14"/>
              </w:rPr>
              <w:t>405,066,996.17</w:t>
            </w:r>
          </w:p>
        </w:tc>
      </w:tr>
      <w:tr>
        <w:trPr>
          <w:trHeight w:val="73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6" w:right="0"/>
              <w:jc w:val="left"/>
              <w:rPr>
                <w:rFonts w:ascii="Times New Roman" w:hAnsi="Times New Roman" w:cs="Times New Roman" w:eastAsia="Times New Roman" w:hint="default"/>
                <w:sz w:val="14"/>
                <w:szCs w:val="14"/>
              </w:rPr>
            </w:pPr>
            <w:r>
              <w:rPr>
                <w:rFonts w:ascii="Times New Roman"/>
                <w:sz w:val="14"/>
              </w:rPr>
              <w:t>2,157,233,145.81</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6" w:right="0"/>
              <w:jc w:val="left"/>
              <w:rPr>
                <w:rFonts w:ascii="Times New Roman" w:hAnsi="Times New Roman" w:cs="Times New Roman" w:eastAsia="Times New Roman" w:hint="default"/>
                <w:sz w:val="14"/>
                <w:szCs w:val="14"/>
              </w:rPr>
            </w:pPr>
            <w:r>
              <w:rPr>
                <w:rFonts w:ascii="Times New Roman"/>
                <w:sz w:val="14"/>
              </w:rPr>
              <w:t>2,011,530,532.22</w:t>
            </w:r>
          </w:p>
        </w:tc>
      </w:tr>
      <w:tr>
        <w:trPr>
          <w:trHeight w:val="73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788,418,074.90</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707,686,977.02</w:t>
            </w:r>
          </w:p>
        </w:tc>
      </w:tr>
      <w:tr>
        <w:trPr>
          <w:trHeight w:val="740"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528,000,000.00</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471,000,000.00</w:t>
            </w:r>
          </w:p>
        </w:tc>
      </w:tr>
      <w:tr>
        <w:trPr>
          <w:trHeight w:val="73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1,316,418,074.90</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1,178,686,977.02</w:t>
            </w:r>
          </w:p>
        </w:tc>
      </w:tr>
      <w:tr>
        <w:trPr>
          <w:trHeight w:val="73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187,903,672.30</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201,028,847.97</w:t>
            </w:r>
          </w:p>
        </w:tc>
      </w:tr>
      <w:tr>
        <w:trPr>
          <w:trHeight w:val="738"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left"/>
              <w:rPr>
                <w:rFonts w:ascii="Times New Roman" w:hAnsi="Times New Roman" w:cs="Times New Roman" w:eastAsia="Times New Roman" w:hint="default"/>
                <w:sz w:val="14"/>
                <w:szCs w:val="14"/>
              </w:rPr>
            </w:pPr>
            <w:r>
              <w:rPr>
                <w:rFonts w:ascii="Times New Roman"/>
                <w:sz w:val="14"/>
              </w:rPr>
              <w:t>652,911,398.61</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2" w:right="0"/>
              <w:jc w:val="left"/>
              <w:rPr>
                <w:rFonts w:ascii="Times New Roman" w:hAnsi="Times New Roman" w:cs="Times New Roman" w:eastAsia="Times New Roman" w:hint="default"/>
                <w:sz w:val="14"/>
                <w:szCs w:val="14"/>
              </w:rPr>
            </w:pPr>
            <w:r>
              <w:rPr>
                <w:rFonts w:ascii="Times New Roman"/>
                <w:sz w:val="14"/>
              </w:rPr>
              <w:t>631,814,707.23</w:t>
            </w:r>
          </w:p>
        </w:tc>
      </w:tr>
      <w:tr>
        <w:trPr>
          <w:trHeight w:val="73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96,021,416.74</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341,905,904.45</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36,035,755.71</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121,212,824.13</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49,160,931.38</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127,738,924.14</w:t>
            </w:r>
          </w:p>
        </w:tc>
      </w:tr>
      <w:tr>
        <w:trPr>
          <w:trHeight w:val="427"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85" w:type="dxa"/>
            <w:tcBorders>
              <w:top w:val="single" w:sz="6" w:space="0" w:color="000000"/>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36,035,755.71</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left"/>
              <w:rPr>
                <w:rFonts w:ascii="Times New Roman" w:hAnsi="Times New Roman" w:cs="Times New Roman" w:eastAsia="Times New Roman" w:hint="default"/>
                <w:sz w:val="14"/>
                <w:szCs w:val="14"/>
              </w:rPr>
            </w:pPr>
            <w:r>
              <w:rPr>
                <w:rFonts w:ascii="Times New Roman"/>
                <w:sz w:val="14"/>
              </w:rPr>
              <w:t>121,212,824.13</w:t>
            </w:r>
          </w:p>
        </w:tc>
      </w:tr>
      <w:tr>
        <w:trPr>
          <w:trHeight w:val="428" w:hRule="exact"/>
        </w:trPr>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85" w:type="dxa"/>
            <w:tcBorders>
              <w:top w:val="single" w:sz="6" w:space="0" w:color="000000"/>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7,500,000.00</w:t>
            </w:r>
          </w:p>
        </w:tc>
      </w:tr>
    </w:tbl>
    <w:p>
      <w:pPr>
        <w:spacing w:line="240" w:lineRule="auto" w:before="5"/>
        <w:rPr>
          <w:rFonts w:ascii="宋体" w:hAnsi="宋体" w:cs="宋体" w:eastAsia="宋体" w:hint="default"/>
          <w:b/>
          <w:bCs/>
          <w:sz w:val="24"/>
          <w:szCs w:val="24"/>
        </w:rPr>
      </w:pPr>
    </w:p>
    <w:p>
      <w:pPr>
        <w:pStyle w:val="BodyText"/>
        <w:spacing w:line="240" w:lineRule="auto"/>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上重要的合营企业和联营企业的汇总财务信息" w:id="418"/>
      <w:bookmarkEnd w:id="41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合营企业或联营企业向本公司转移资金的能力存在重大限制的说明" w:id="419"/>
      <w:bookmarkEnd w:id="41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6）合营企业或联营企业发生的超额亏损" w:id="420"/>
      <w:bookmarkEnd w:id="42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与合营企业投资相关的未确认承诺" w:id="421"/>
      <w:bookmarkEnd w:id="42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8）与合营企业或联营企业投资相关的或有负债" w:id="422"/>
      <w:bookmarkEnd w:id="42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重要的共同经营" w:id="423"/>
      <w:bookmarkEnd w:id="42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在未纳入合并财务报表范围的结构化主体中的权益" w:id="424"/>
      <w:bookmarkEnd w:id="42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其他" w:id="425"/>
      <w:bookmarkEnd w:id="425"/>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left="154" w:right="0"/>
        <w:jc w:val="left"/>
        <w:rPr>
          <w:b w:val="0"/>
          <w:bCs w:val="0"/>
        </w:rPr>
      </w:pPr>
      <w:bookmarkStart w:name="十、与金融工具相关的风险" w:id="426"/>
      <w:bookmarkEnd w:id="426"/>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7"/>
        <w:spacing w:line="273" w:lineRule="auto" w:before="0"/>
        <w:ind w:left="154" w:right="0" w:firstLine="420"/>
        <w:jc w:val="left"/>
      </w:pPr>
      <w:r>
        <w:rPr>
          <w:spacing w:val="-1"/>
        </w:rPr>
        <w:t>本公司从事风险管理的目标是在风险和收益之间取得适当的平衡，将风险对本公司经营业绩的负面影</w:t>
      </w:r>
      <w:r>
        <w:rPr/>
        <w:t> </w:t>
      </w:r>
      <w:r>
        <w:rPr>
          <w:spacing w:val="-1"/>
        </w:rPr>
        <w:t>响降低到最低水平，使股东及其他权益投资者的利益最大化。基于该风险管理目标，本公司风险管理的基</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73" w:lineRule="auto" w:before="35"/>
        <w:ind w:right="1131"/>
        <w:jc w:val="both"/>
      </w:pPr>
      <w:r>
        <w:rPr>
          <w:spacing w:val="-1"/>
        </w:rPr>
        <w:t>本策略是确定和分析本公司所面临的各种风险，建立适当的风险承受底线和进行风险管理，并及时可靠地</w:t>
      </w:r>
      <w:r>
        <w:rPr>
          <w:spacing w:val="-81"/>
        </w:rPr>
        <w:t> </w:t>
      </w:r>
      <w:r>
        <w:rPr>
          <w:spacing w:val="-81"/>
        </w:rPr>
      </w:r>
      <w:r>
        <w:rPr/>
        <w:t>对各种风险进行监督，将风险控制在限定的范围内。</w:t>
      </w:r>
    </w:p>
    <w:p>
      <w:pPr>
        <w:pStyle w:val="Heading7"/>
        <w:spacing w:line="256" w:lineRule="auto"/>
        <w:ind w:left="573" w:right="2983" w:hanging="8"/>
        <w:jc w:val="left"/>
      </w:pPr>
      <w:r>
        <w:rPr>
          <w:rFonts w:ascii="Times New Roman" w:hAnsi="Times New Roman" w:cs="Times New Roman" w:eastAsia="Times New Roman" w:hint="default"/>
          <w:b/>
          <w:bCs/>
        </w:rPr>
        <w:t>(</w:t>
      </w:r>
      <w:r>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t>信用风险</w:t>
      </w:r>
      <w:r>
        <w:rPr>
          <w:w w:val="99"/>
        </w:rPr>
        <w:t> </w:t>
      </w:r>
      <w:r>
        <w:rPr/>
        <w:t>信用风险，是指金融工具的一方不履行义务，造成另一方发生财务损失的风险。</w:t>
      </w:r>
    </w:p>
    <w:p>
      <w:pPr>
        <w:pStyle w:val="Heading7"/>
        <w:spacing w:line="273" w:lineRule="auto" w:before="23"/>
        <w:ind w:right="1131" w:firstLine="420"/>
        <w:jc w:val="both"/>
      </w:pPr>
      <w:r>
        <w:rPr>
          <w:spacing w:val="-1"/>
        </w:rPr>
        <w:t>本公司的信用风险主要与应收款项有关。本公司仅与经认可的、信誉良好的第三方进行交易。按照本</w:t>
      </w:r>
      <w:r>
        <w:rPr/>
        <w:t> </w:t>
      </w:r>
      <w:r>
        <w:rPr>
          <w:spacing w:val="-1"/>
        </w:rPr>
        <w:t>公司的政策，需对所有要求采用信用方式进行交易的客户进行信用审核。另外，本公司对应收账款余额进</w:t>
      </w:r>
      <w:r>
        <w:rPr>
          <w:spacing w:val="-83"/>
        </w:rPr>
        <w:t> </w:t>
      </w:r>
      <w:r>
        <w:rPr>
          <w:spacing w:val="-83"/>
        </w:rPr>
      </w:r>
      <w:r>
        <w:rPr/>
        <w:t>行持续监控，以确保本公司不致面临重大坏账风险。</w:t>
      </w:r>
    </w:p>
    <w:p>
      <w:pPr>
        <w:pStyle w:val="Heading7"/>
        <w:spacing w:line="256" w:lineRule="auto"/>
        <w:ind w:left="57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流动性风险</w:t>
      </w:r>
      <w:r>
        <w:rPr>
          <w:w w:val="99"/>
        </w:rPr>
        <w:t> </w:t>
      </w:r>
      <w:r>
        <w:rPr>
          <w:spacing w:val="-1"/>
        </w:rPr>
        <w:t>流动风险，是指企业在履行以交付现金或其他金融资产的方式结算的义务时发生资金短缺的风险。本</w:t>
      </w:r>
    </w:p>
    <w:p>
      <w:pPr>
        <w:pStyle w:val="Heading7"/>
        <w:spacing w:line="264" w:lineRule="auto" w:before="22"/>
        <w:ind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Heading7"/>
        <w:spacing w:line="256" w:lineRule="auto" w:before="16"/>
        <w:ind w:right="1132" w:firstLine="420"/>
        <w:jc w:val="both"/>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日，本公司资产负债率</w:t>
      </w:r>
      <w:r>
        <w:rPr>
          <w:rFonts w:ascii="Times New Roman" w:hAnsi="Times New Roman" w:cs="Times New Roman" w:eastAsia="Times New Roman" w:hint="default"/>
        </w:rPr>
        <w:t>15.82%</w:t>
      </w:r>
      <w:r>
        <w:rPr/>
        <w:t>，流动比率为</w:t>
      </w:r>
      <w:r>
        <w:rPr>
          <w:rFonts w:ascii="Times New Roman" w:hAnsi="Times New Roman" w:cs="Times New Roman" w:eastAsia="Times New Roman" w:hint="default"/>
        </w:rPr>
        <w:t>8.51</w:t>
      </w:r>
      <w:r>
        <w:rPr/>
        <w:t>，有充足的资金偿还债务，不存在 重大流动性风险。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bookmarkStart w:name="十一、公允价值的披露" w:id="427"/>
      <w:bookmarkEnd w:id="42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以公允价值计量的资产和负债的期末公允价值" w:id="428"/>
      <w:bookmarkEnd w:id="42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1,394,529.67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1,394,529.67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59" w:right="0"/>
              <w:jc w:val="left"/>
              <w:rPr>
                <w:rFonts w:ascii="Times New Roman" w:hAnsi="Times New Roman" w:cs="Times New Roman" w:eastAsia="Times New Roman" w:hint="default"/>
                <w:sz w:val="18"/>
                <w:szCs w:val="18"/>
              </w:rPr>
            </w:pPr>
            <w:r>
              <w:rPr>
                <w:rFonts w:ascii="Times New Roman"/>
                <w:sz w:val="18"/>
              </w:rPr>
              <w:t>1,394,529.67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1,394,529.67</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506" w:lineRule="auto" w:before="35"/>
        <w:ind w:left="238" w:right="4158" w:hanging="84"/>
        <w:jc w:val="left"/>
        <w:rPr>
          <w:rFonts w:ascii="宋体" w:hAnsi="宋体" w:cs="宋体" w:eastAsia="宋体" w:hint="default"/>
          <w:sz w:val="21"/>
          <w:szCs w:val="21"/>
        </w:rPr>
      </w:pPr>
      <w:bookmarkStart w:name="2、持续和非持续第一层次公允价值计量项目市价的确定依据" w:id="429"/>
      <w:bookmarkEnd w:id="4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股票二级市场资产负债表日收盘价以及基金在资产负债日公布的净值。</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持续和非持续第二层次公允价值计量项目，采用的估值技术和重要参数的定性及定量信" w:id="430"/>
      <w:bookmarkEnd w:id="43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持续和非持续第三层次公允价值计量项目，采用的估值技术和重要参数的定性及定量信" w:id="431"/>
      <w:bookmarkEnd w:id="43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5、持续的第三层次公允价值计量项目，期初与期末账面价值间的调节信息及上可观察参数" w:id="432"/>
      <w:bookmarkEnd w:id="43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6、持续的公允价值计量项目，本期内发生各层级之间转换的，转换的原因及确定转换时点" w:id="433"/>
      <w:bookmarkEnd w:id="43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7、本期内发生的估值技术变更及变更原因" w:id="434"/>
      <w:bookmarkEnd w:id="43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8、上以公允价值计量的金融资产和金融负债的公允价值情况" w:id="435"/>
      <w:bookmarkEnd w:id="43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053" w:firstLine="0"/>
        <w:jc w:val="left"/>
        <w:rPr>
          <w:rFonts w:ascii="宋体" w:hAnsi="宋体" w:cs="宋体" w:eastAsia="宋体" w:hint="default"/>
          <w:sz w:val="21"/>
          <w:szCs w:val="21"/>
        </w:rPr>
      </w:pPr>
      <w:bookmarkStart w:name="9、其他" w:id="436"/>
      <w:bookmarkEnd w:id="43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7"/>
      <w:bookmarkEnd w:id="43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8"/>
      <w:bookmarkEnd w:id="43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413"/>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spacing w:line="547" w:lineRule="auto" w:before="0"/>
        <w:ind w:left="153" w:right="6433" w:firstLine="0"/>
        <w:jc w:val="left"/>
        <w:rPr>
          <w:rFonts w:ascii="宋体" w:hAnsi="宋体" w:cs="宋体" w:eastAsia="宋体" w:hint="default"/>
          <w:sz w:val="21"/>
          <w:szCs w:val="21"/>
        </w:rPr>
      </w:pPr>
      <w:bookmarkStart w:name="2、本企业的子公司情况" w:id="439"/>
      <w:bookmarkEnd w:id="4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本企业子公司的情况详见附注第十一节、九、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小节。 </w:t>
      </w:r>
      <w:bookmarkStart w:name="3、本企业合营和联营企业情况" w:id="440"/>
      <w:bookmarkEnd w:id="44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1"/>
        <w:ind w:right="2293"/>
        <w:jc w:val="left"/>
      </w:pPr>
      <w:r>
        <w:rPr/>
        <w:t>本企业重要的合营或联营企业详见附注第十一节、九、</w:t>
      </w:r>
      <w:r>
        <w:rPr>
          <w:rFonts w:ascii="Times New Roman" w:hAnsi="Times New Roman" w:cs="Times New Roman" w:eastAsia="Times New Roman" w:hint="default"/>
        </w:rPr>
        <w:t>3 </w:t>
      </w:r>
      <w:r>
        <w:rPr/>
        <w:t>小节。</w:t>
      </w:r>
      <w:r>
        <w:rPr>
          <w:spacing w:val="-1"/>
        </w:rPr>
        <w:t> </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其他关联方情况" w:id="441"/>
      <w:bookmarkEnd w:id="44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5、关联交易情况" w:id="442"/>
      <w:bookmarkEnd w:id="44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购销商品、提供和接受劳务的关联交易" w:id="443"/>
      <w:bookmarkEnd w:id="44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国电电力发展股份有限公司及 其子公司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4"/>
              <w:jc w:val="right"/>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33,547,692.08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59,873,231.00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国网吉林省电力有限公司及其 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4"/>
              <w:jc w:val="right"/>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7,836,084.90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22,899,250.00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4"/>
              <w:jc w:val="right"/>
              <w:rPr>
                <w:rFonts w:ascii="宋体" w:hAnsi="宋体" w:cs="宋体" w:eastAsia="宋体" w:hint="default"/>
                <w:sz w:val="18"/>
                <w:szCs w:val="18"/>
              </w:rPr>
            </w:pPr>
            <w:r>
              <w:rPr>
                <w:rFonts w:ascii="宋体" w:hAnsi="宋体" w:cs="宋体" w:eastAsia="宋体" w:hint="default"/>
                <w:sz w:val="18"/>
                <w:szCs w:val="18"/>
              </w:rPr>
              <w:t>销售商品及提供服务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12,178,018.89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13,953,000.00</w:t>
            </w:r>
          </w:p>
        </w:tc>
      </w:tr>
    </w:tbl>
    <w:p>
      <w:pPr>
        <w:pStyle w:val="BodyText"/>
        <w:spacing w:line="240" w:lineRule="auto" w:before="51"/>
        <w:ind w:left="154" w:right="0"/>
        <w:jc w:val="left"/>
      </w:pPr>
      <w:r>
        <w:rPr/>
        <w:t>购销商品、提供和接受劳务的关联交易说明</w:t>
      </w:r>
    </w:p>
    <w:p>
      <w:pPr>
        <w:pStyle w:val="Heading7"/>
        <w:spacing w:line="256" w:lineRule="auto" w:before="90"/>
        <w:ind w:left="574" w:right="5292"/>
        <w:jc w:val="left"/>
      </w:pPr>
      <w:r>
        <w:rPr>
          <w:rFonts w:ascii="Times New Roman" w:hAnsi="Times New Roman" w:cs="Times New Roman" w:eastAsia="Times New Roman" w:hint="default"/>
        </w:rPr>
        <w:t>1</w:t>
      </w:r>
      <w:r>
        <w:rPr/>
        <w:t>、关联方交易定价方法 本公司与关联方的交易定价遵循独立核算及公允原则。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right="0"/>
        <w:jc w:val="left"/>
        <w:rPr>
          <w:b w:val="0"/>
          <w:bCs w:val="0"/>
        </w:rPr>
      </w:pPr>
      <w:bookmarkStart w:name="（2）关联受托管理/承包及委托管理/出包情况" w:id="444"/>
      <w:bookmarkEnd w:id="44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6"/>
        <w:spacing w:line="240" w:lineRule="auto"/>
        <w:ind w:left="154" w:right="0"/>
        <w:jc w:val="left"/>
        <w:rPr>
          <w:b w:val="0"/>
          <w:bCs w:val="0"/>
        </w:rPr>
      </w:pPr>
      <w:bookmarkStart w:name="（3）关联租赁情况" w:id="445"/>
      <w:bookmarkEnd w:id="44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关联担保情况" w:id="446"/>
      <w:bookmarkEnd w:id="44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5）关联方资金拆借" w:id="447"/>
      <w:bookmarkEnd w:id="44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关联方资产转让、债务重组情况" w:id="448"/>
      <w:bookmarkEnd w:id="44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关键管理人员报酬" w:id="449"/>
      <w:bookmarkEnd w:id="44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8）其他关联交易" w:id="450"/>
      <w:bookmarkEnd w:id="45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6、关联方应收应付款项" w:id="451"/>
      <w:bookmarkEnd w:id="4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项目" w:id="452"/>
      <w:bookmarkEnd w:id="4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3,844,000.00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192,200.00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713,200.00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2" w:right="0"/>
              <w:jc w:val="left"/>
              <w:rPr>
                <w:rFonts w:ascii="Times New Roman" w:hAnsi="Times New Roman" w:cs="Times New Roman" w:eastAsia="Times New Roman" w:hint="default"/>
                <w:sz w:val="18"/>
                <w:szCs w:val="18"/>
              </w:rPr>
            </w:pPr>
            <w:r>
              <w:rPr>
                <w:rFonts w:ascii="Times New Roman"/>
                <w:sz w:val="18"/>
              </w:rPr>
              <w:t>35,660.00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28,796,255.00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1,866,457.50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24,818,285.00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1,455,974.25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国网吉林省电力有 限公司及其子公司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-487,200.00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496,790.00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24,839.50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32,640,255.00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26,028,275.00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1,516,473.75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项目" w:id="453"/>
      <w:bookmarkEnd w:id="4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7、关联方承诺" w:id="454"/>
      <w:bookmarkEnd w:id="45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55"/>
      <w:bookmarkEnd w:id="4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6"/>
      <w:bookmarkEnd w:id="45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42,281,294.80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24,039,706.60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11,908,249.47</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10.9645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分两期</w:t>
            </w:r>
            <w:r>
              <w:rPr>
                <w:rFonts w:ascii="宋体" w:hAnsi="宋体" w:cs="宋体" w:eastAsia="宋体" w:hint="default"/>
                <w:spacing w:val="1"/>
                <w:sz w:val="18"/>
                <w:szCs w:val="18"/>
              </w:rPr>
              <w:t> </w:t>
            </w:r>
            <w:r>
              <w:rPr>
                <w:rFonts w:ascii="宋体" w:hAnsi="宋体" w:cs="宋体" w:eastAsia="宋体" w:hint="default"/>
                <w:sz w:val="18"/>
                <w:szCs w:val="18"/>
              </w:rPr>
              <w:t>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36</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以权益结算的股份支付情况" w:id="458"/>
      <w:bookmarkEnd w:id="45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18,865,500.14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2,525,452.39</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56" w:lineRule="auto" w:before="35"/>
        <w:ind w:right="1130"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日，公司第五届董事会第十四次会议审议通过《关于调整</w:t>
      </w:r>
      <w:r>
        <w:rPr>
          <w:rFonts w:ascii="Times New Roman" w:hAnsi="Times New Roman" w:cs="Times New Roman" w:eastAsia="Times New Roman" w:hint="default"/>
          <w:spacing w:val="-1"/>
        </w:rPr>
        <w:t>2014</w:t>
      </w:r>
      <w:r>
        <w:rPr>
          <w:spacing w:val="-1"/>
        </w:rPr>
        <w:t>年限制性股票激励对象及</w:t>
      </w:r>
      <w:r>
        <w:rPr/>
        <w:t> </w:t>
      </w:r>
      <w:r>
        <w:rPr>
          <w:spacing w:val="-6"/>
        </w:rPr>
        <w:t>限制性股票数量的议案》、《关于向激励对象授予限制性股票的议案》，确定</w:t>
      </w:r>
      <w:r>
        <w:rPr>
          <w:rFonts w:ascii="Times New Roman" w:hAnsi="Times New Roman" w:cs="Times New Roman" w:eastAsia="Times New Roman" w:hint="default"/>
          <w:spacing w:val="-6"/>
        </w:rPr>
        <w:t>2014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25</w:t>
      </w:r>
      <w:r>
        <w:rPr/>
        <w:t>日为授予日，</w:t>
      </w:r>
      <w:r>
        <w:rPr>
          <w:spacing w:val="-101"/>
        </w:rPr>
        <w:t> </w:t>
      </w:r>
      <w:r>
        <w:rPr>
          <w:spacing w:val="-101"/>
        </w:rPr>
      </w:r>
      <w:r>
        <w:rPr/>
        <w:t>向激励对象授予相应额度的限制性股票。授予限制性股票的授予价格为每股</w:t>
      </w:r>
      <w:r>
        <w:rPr>
          <w:spacing w:val="16"/>
        </w:rPr>
        <w:t> </w:t>
      </w:r>
      <w:r>
        <w:rPr>
          <w:rFonts w:ascii="Times New Roman" w:hAnsi="Times New Roman" w:cs="Times New Roman" w:eastAsia="Times New Roman" w:hint="default"/>
        </w:rPr>
        <w:t>10.9645</w:t>
      </w:r>
      <w:r>
        <w:rPr/>
        <w:t>元。股激励计划拟授</w:t>
      </w:r>
      <w:r>
        <w:rPr>
          <w:spacing w:val="-99"/>
        </w:rPr>
        <w:t> </w:t>
      </w:r>
      <w:r>
        <w:rPr>
          <w:spacing w:val="-99"/>
        </w:rPr>
      </w:r>
      <w:r>
        <w:rPr/>
        <w:t>予激励对象的标的股票来源为公司已回购的股份。在可行权</w:t>
      </w:r>
      <w:r>
        <w:rPr>
          <w:rFonts w:ascii="Times New Roman" w:hAnsi="Times New Roman" w:cs="Times New Roman" w:eastAsia="Times New Roman" w:hint="default"/>
        </w:rPr>
        <w:t>/</w:t>
      </w:r>
      <w:r>
        <w:rPr/>
        <w:t>解锁日内，若达到本计划规定的行权</w:t>
      </w:r>
      <w:r>
        <w:rPr>
          <w:rFonts w:ascii="Times New Roman" w:hAnsi="Times New Roman" w:cs="Times New Roman" w:eastAsia="Times New Roman" w:hint="default"/>
        </w:rPr>
        <w:t>/</w:t>
      </w:r>
      <w:r>
        <w:rPr/>
        <w:t>解锁条</w:t>
      </w:r>
      <w:r>
        <w:rPr>
          <w:spacing w:val="-39"/>
        </w:rPr>
        <w:t> </w:t>
      </w:r>
      <w:r>
        <w:rPr>
          <w:spacing w:val="-1"/>
        </w:rPr>
        <w:t>件，本计划首次授予的限制性股票自授予日起满</w:t>
      </w:r>
      <w:r>
        <w:rPr>
          <w:rFonts w:ascii="Times New Roman" w:hAnsi="Times New Roman" w:cs="Times New Roman" w:eastAsia="Times New Roman" w:hint="default"/>
          <w:spacing w:val="-1"/>
        </w:rPr>
        <w:t>24</w:t>
      </w:r>
      <w:r>
        <w:rPr>
          <w:spacing w:val="-1"/>
        </w:rPr>
        <w:t>个月后的首个交易日至授予日起</w:t>
      </w:r>
      <w:r>
        <w:rPr>
          <w:rFonts w:ascii="Times New Roman" w:hAnsi="Times New Roman" w:cs="Times New Roman" w:eastAsia="Times New Roman" w:hint="default"/>
          <w:spacing w:val="-1"/>
        </w:rPr>
        <w:t>36</w:t>
      </w:r>
      <w:r>
        <w:rPr>
          <w:spacing w:val="-1"/>
        </w:rPr>
        <w:t>个月内的最后一个交</w:t>
      </w:r>
      <w:r>
        <w:rPr>
          <w:spacing w:val="-83"/>
        </w:rPr>
        <w:t> </w:t>
      </w:r>
      <w:r>
        <w:rPr>
          <w:spacing w:val="-83"/>
        </w:rPr>
      </w:r>
      <w:r>
        <w:rPr>
          <w:spacing w:val="-1"/>
        </w:rPr>
        <w:t>易日止，激励对象可在解锁期内解锁</w:t>
      </w:r>
      <w:r>
        <w:rPr>
          <w:rFonts w:ascii="Times New Roman" w:hAnsi="Times New Roman" w:cs="Times New Roman" w:eastAsia="Times New Roman" w:hint="default"/>
          <w:spacing w:val="-1"/>
        </w:rPr>
        <w:t>50%,</w:t>
      </w:r>
      <w:r>
        <w:rPr>
          <w:spacing w:val="-1"/>
        </w:rPr>
        <w:t>自授予日起满</w:t>
      </w:r>
      <w:r>
        <w:rPr>
          <w:rFonts w:ascii="Times New Roman" w:hAnsi="Times New Roman" w:cs="Times New Roman" w:eastAsia="Times New Roman" w:hint="default"/>
          <w:spacing w:val="-1"/>
        </w:rPr>
        <w:t>36</w:t>
      </w:r>
      <w:r>
        <w:rPr>
          <w:spacing w:val="-1"/>
        </w:rPr>
        <w:t>个月后的首个交易日至授予日起</w:t>
      </w:r>
      <w:r>
        <w:rPr>
          <w:rFonts w:ascii="Times New Roman" w:hAnsi="Times New Roman" w:cs="Times New Roman" w:eastAsia="Times New Roman" w:hint="default"/>
          <w:spacing w:val="-1"/>
        </w:rPr>
        <w:t>48</w:t>
      </w:r>
      <w:r>
        <w:rPr>
          <w:spacing w:val="-1"/>
        </w:rPr>
        <w:t>个月内的最后</w:t>
      </w:r>
      <w:r>
        <w:rPr>
          <w:spacing w:val="-101"/>
        </w:rPr>
        <w:t> </w:t>
      </w:r>
      <w:r>
        <w:rPr>
          <w:spacing w:val="-101"/>
        </w:rPr>
      </w:r>
      <w:r>
        <w:rPr/>
        <w:t>一个交易日止，激励对象可在解锁期内解锁</w:t>
      </w:r>
      <w:r>
        <w:rPr>
          <w:rFonts w:ascii="Times New Roman" w:hAnsi="Times New Roman" w:cs="Times New Roman" w:eastAsia="Times New Roman" w:hint="default"/>
        </w:rPr>
        <w:t>50%</w:t>
      </w:r>
      <w:r>
        <w:rPr/>
        <w:t>。</w:t>
      </w:r>
    </w:p>
    <w:p>
      <w:pPr>
        <w:pStyle w:val="Heading7"/>
        <w:spacing w:line="256" w:lineRule="auto" w:before="5"/>
        <w:ind w:right="1132" w:firstLine="420"/>
        <w:jc w:val="both"/>
      </w:pPr>
      <w:r>
        <w:rPr/>
        <w:t>截至</w:t>
      </w:r>
      <w:r>
        <w:rPr>
          <w:spacing w:val="-1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日止，用于股权激励计划的股票回购实施完毕，公司回购股票数量为</w:t>
      </w:r>
      <w:r>
        <w:rPr>
          <w:rFonts w:ascii="Times New Roman" w:hAnsi="Times New Roman" w:cs="Times New Roman" w:eastAsia="Times New Roman" w:hint="default"/>
          <w:sz w:val="18"/>
          <w:szCs w:val="18"/>
        </w:rPr>
        <w:t>8,595,724</w:t>
      </w:r>
      <w:r>
        <w:rPr/>
        <w:t>股，</w:t>
      </w:r>
      <w:r>
        <w:rPr>
          <w:spacing w:val="1"/>
        </w:rPr>
        <w:t> </w:t>
      </w:r>
      <w:r>
        <w:rPr/>
        <w:t>回购成本为人民币</w:t>
      </w:r>
      <w:r>
        <w:rPr>
          <w:rFonts w:ascii="Times New Roman" w:hAnsi="Times New Roman" w:cs="Times New Roman" w:eastAsia="Times New Roman" w:hint="default"/>
        </w:rPr>
        <w:t>188,556,418.14</w:t>
      </w:r>
      <w:r>
        <w:rPr/>
        <w:t>元，计入库存股。</w:t>
      </w:r>
    </w:p>
    <w:p>
      <w:pPr>
        <w:pStyle w:val="Heading7"/>
        <w:spacing w:line="256" w:lineRule="auto" w:before="5"/>
        <w:ind w:right="1130" w:firstLine="420"/>
        <w:jc w:val="both"/>
      </w:pPr>
      <w:r>
        <w:rPr/>
        <w:t>截至</w:t>
      </w:r>
      <w:r>
        <w:rPr>
          <w:spacing w:val="-7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日止，公司已收到限制性股票激励对象缴纳的出资款人民币</w:t>
      </w:r>
      <w:r>
        <w:rPr>
          <w:rFonts w:ascii="Times New Roman" w:hAnsi="Times New Roman" w:cs="Times New Roman" w:eastAsia="Times New Roman" w:hint="default"/>
        </w:rPr>
        <w:t>93,649,154.11</w:t>
      </w:r>
      <w:r>
        <w:rPr/>
        <w:t>元。本公 司就对限制性股票的回购义务全额确认一项负债并作收购库存股处理。</w:t>
      </w:r>
    </w:p>
    <w:p>
      <w:pPr>
        <w:spacing w:line="240" w:lineRule="auto" w:before="10"/>
        <w:rPr>
          <w:rFonts w:ascii="宋体" w:hAnsi="宋体" w:cs="宋体" w:eastAsia="宋体" w:hint="default"/>
          <w:sz w:val="24"/>
          <w:szCs w:val="24"/>
        </w:rPr>
      </w:pPr>
    </w:p>
    <w:p>
      <w:pPr>
        <w:pStyle w:val="Heading6"/>
        <w:spacing w:line="240" w:lineRule="auto"/>
        <w:ind w:right="0"/>
        <w:jc w:val="left"/>
        <w:rPr>
          <w:b w:val="0"/>
          <w:bCs w:val="0"/>
        </w:rPr>
      </w:pPr>
      <w:bookmarkStart w:name="3、以现金结算的股份支付情况" w:id="459"/>
      <w:bookmarkEnd w:id="45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0"/>
      <w:bookmarkEnd w:id="46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61"/>
      <w:bookmarkEnd w:id="46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2"/>
      <w:bookmarkEnd w:id="462"/>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3"/>
      <w:bookmarkEnd w:id="4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0"/>
        <w:jc w:val="left"/>
      </w:pPr>
      <w:r>
        <w:rPr/>
        <w:t>资产负债表日存在的重要承诺</w:t>
      </w:r>
    </w:p>
    <w:p>
      <w:pPr>
        <w:pStyle w:val="Heading7"/>
        <w:spacing w:line="273" w:lineRule="auto" w:before="90"/>
        <w:ind w:left="154" w:right="1133" w:firstLine="396"/>
        <w:jc w:val="both"/>
      </w:pPr>
      <w:r>
        <w:rPr/>
        <w:t>截止资产负债表日，本公司无需披露的商业承兑汇票贴现、对外担保、未决诉讼或仲裁、税务纠纷等 重大或有事项。</w:t>
      </w:r>
    </w:p>
    <w:p>
      <w:pPr>
        <w:spacing w:line="240" w:lineRule="auto" w:before="8"/>
        <w:rPr>
          <w:rFonts w:ascii="宋体" w:hAnsi="宋体" w:cs="宋体" w:eastAsia="宋体" w:hint="default"/>
          <w:sz w:val="23"/>
          <w:szCs w:val="23"/>
        </w:rPr>
      </w:pPr>
    </w:p>
    <w:p>
      <w:pPr>
        <w:pStyle w:val="Heading6"/>
        <w:spacing w:line="240" w:lineRule="auto"/>
        <w:ind w:left="154" w:right="0"/>
        <w:jc w:val="left"/>
        <w:rPr>
          <w:b w:val="0"/>
          <w:bCs w:val="0"/>
        </w:rPr>
      </w:pPr>
      <w:bookmarkStart w:name="2、或有事项" w:id="464"/>
      <w:bookmarkEnd w:id="464"/>
      <w:r>
        <w:rPr>
          <w:b w:val="0"/>
          <w:bCs w:val="0"/>
        </w:rPr>
      </w:r>
      <w:r>
        <w:rPr>
          <w:rFonts w:ascii="Times New Roman" w:hAnsi="Times New Roman" w:cs="Times New Roman" w:eastAsia="Times New Roman" w:hint="default"/>
        </w:rPr>
        <w:t>2</w:t>
      </w:r>
      <w:r>
        <w:rPr/>
        <w:t>、或有事项</w:t>
      </w:r>
      <w:r>
        <w:rPr>
          <w:b w:val="0"/>
          <w:bCs w:val="0"/>
        </w:rPr>
      </w:r>
    </w:p>
    <w:p>
      <w:pPr>
        <w:spacing w:line="590" w:lineRule="atLeast" w:before="23"/>
        <w:ind w:left="550" w:right="1116" w:hanging="396"/>
        <w:jc w:val="left"/>
        <w:rPr>
          <w:rFonts w:ascii="宋体" w:hAnsi="宋体" w:cs="宋体" w:eastAsia="宋体" w:hint="default"/>
          <w:sz w:val="21"/>
          <w:szCs w:val="21"/>
        </w:rPr>
      </w:pPr>
      <w:bookmarkStart w:name="（1）资产负债表日存在的重要或有事项" w:id="465"/>
      <w:bookmarkEnd w:id="4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截止资产负债表日，本公司无需披露的商业承兑汇票贴现、对外担保、未决诉讼或仲裁、税务纠纷等</w:t>
      </w:r>
    </w:p>
    <w:p>
      <w:pPr>
        <w:pStyle w:val="Heading7"/>
        <w:spacing w:line="240" w:lineRule="auto" w:before="37"/>
        <w:ind w:left="154" w:right="0"/>
        <w:jc w:val="left"/>
      </w:pPr>
      <w:r>
        <w:rPr/>
        <w:t>重大或有事项。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54" w:right="0"/>
        <w:jc w:val="left"/>
        <w:rPr>
          <w:b w:val="0"/>
          <w:bCs w:val="0"/>
        </w:rPr>
      </w:pPr>
      <w:bookmarkStart w:name="（2）公司没有需要披露的重要或有事项，也应予以说明" w:id="466"/>
      <w:bookmarkEnd w:id="46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其他" w:id="467"/>
      <w:bookmarkEnd w:id="467"/>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4"/>
          <w:szCs w:val="24"/>
        </w:rPr>
      </w:pPr>
    </w:p>
    <w:p>
      <w:pPr>
        <w:pStyle w:val="Heading7"/>
        <w:spacing w:line="240" w:lineRule="auto" w:before="0"/>
        <w:ind w:left="565" w:right="0"/>
        <w:jc w:val="left"/>
      </w:pPr>
      <w:r>
        <w:rPr/>
        <w:t>截至报告日止，本公司无需披露的其他重要事项。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十五、资产负债表日后事项" w:id="468"/>
      <w:bookmarkEnd w:id="468"/>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重要的非调整事项" w:id="469"/>
      <w:bookmarkEnd w:id="46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利润分配情况" w:id="470"/>
      <w:bookmarkEnd w:id="47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34,628,665.95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34,628,665.95</w:t>
            </w:r>
          </w:p>
        </w:tc>
      </w:tr>
    </w:tbl>
    <w:p>
      <w:pPr>
        <w:pStyle w:val="BodyText"/>
        <w:spacing w:line="300" w:lineRule="auto" w:before="10"/>
        <w:ind w:right="113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日，公司第五届董事会第十七次会议审议通过了</w:t>
      </w:r>
      <w:r>
        <w:rPr>
          <w:rFonts w:ascii="Times New Roman" w:hAnsi="Times New Roman" w:cs="Times New Roman" w:eastAsia="Times New Roman" w:hint="default"/>
        </w:rPr>
        <w:t>2014</w:t>
      </w:r>
      <w:r>
        <w:rPr/>
        <w:t>年度的利润分配预案为：以公司现有股本总额</w:t>
      </w:r>
      <w:r>
        <w:rPr>
          <w:rFonts w:ascii="Times New Roman" w:hAnsi="Times New Roman" w:cs="Times New Roman" w:eastAsia="Times New Roman" w:hint="default"/>
        </w:rPr>
        <w:t>461,770,146 </w:t>
      </w:r>
      <w:r>
        <w:rPr>
          <w:spacing w:val="-1"/>
        </w:rPr>
        <w:t>股为基数，扣除公司回购专户持有的公司股份</w:t>
      </w:r>
      <w:r>
        <w:rPr>
          <w:rFonts w:ascii="Times New Roman" w:hAnsi="Times New Roman" w:cs="Times New Roman" w:eastAsia="Times New Roman" w:hint="default"/>
          <w:spacing w:val="-1"/>
        </w:rPr>
        <w:t>54,600</w:t>
      </w:r>
      <w:r>
        <w:rPr>
          <w:spacing w:val="-1"/>
        </w:rPr>
        <w:t>股，即以</w:t>
      </w:r>
      <w:r>
        <w:rPr>
          <w:rFonts w:ascii="Times New Roman" w:hAnsi="Times New Roman" w:cs="Times New Roman" w:eastAsia="Times New Roman" w:hint="default"/>
          <w:spacing w:val="-1"/>
        </w:rPr>
        <w:t>461,715,546</w:t>
      </w:r>
      <w:r>
        <w:rPr>
          <w:spacing w:val="-1"/>
        </w:rPr>
        <w:t>股为分配基数，向除公司回购专户外持有公司股份</w:t>
      </w:r>
      <w:r>
        <w:rPr>
          <w:spacing w:val="-69"/>
        </w:rPr>
        <w:t> </w:t>
      </w:r>
      <w:r>
        <w:rPr>
          <w:spacing w:val="-69"/>
        </w:rPr>
      </w:r>
      <w:r>
        <w:rPr>
          <w:spacing w:val="-4"/>
        </w:rPr>
        <w:t>的其他全体股东每</w:t>
      </w:r>
      <w:r>
        <w:rPr>
          <w:rFonts w:ascii="Times New Roman" w:hAnsi="Times New Roman" w:cs="Times New Roman" w:eastAsia="Times New Roman" w:hint="default"/>
          <w:spacing w:val="-4"/>
        </w:rPr>
        <w:t>10</w:t>
      </w:r>
      <w:r>
        <w:rPr>
          <w:spacing w:val="-4"/>
        </w:rPr>
        <w:t>股送红股</w:t>
      </w:r>
      <w:r>
        <w:rPr>
          <w:rFonts w:ascii="Times New Roman" w:hAnsi="Times New Roman" w:cs="Times New Roman" w:eastAsia="Times New Roman" w:hint="default"/>
          <w:spacing w:val="-4"/>
        </w:rPr>
        <w:t>3</w:t>
      </w:r>
      <w:r>
        <w:rPr>
          <w:spacing w:val="-4"/>
        </w:rPr>
        <w:t>股并派发现金红利</w:t>
      </w:r>
      <w:r>
        <w:rPr>
          <w:rFonts w:ascii="Times New Roman" w:hAnsi="Times New Roman" w:cs="Times New Roman" w:eastAsia="Times New Roman" w:hint="default"/>
          <w:spacing w:val="-4"/>
        </w:rPr>
        <w:t>0.75</w:t>
      </w:r>
      <w:r>
        <w:rPr>
          <w:spacing w:val="-4"/>
        </w:rPr>
        <w:t>元（含税），共计送红股</w:t>
      </w:r>
      <w:r>
        <w:rPr>
          <w:rFonts w:ascii="Times New Roman" w:hAnsi="Times New Roman" w:cs="Times New Roman" w:eastAsia="Times New Roman" w:hint="default"/>
          <w:spacing w:val="-4"/>
        </w:rPr>
        <w:t>138,514,663</w:t>
      </w:r>
      <w:r>
        <w:rPr>
          <w:spacing w:val="-4"/>
        </w:rPr>
        <w:t>股、派发现金股利</w:t>
      </w:r>
      <w:r>
        <w:rPr>
          <w:rFonts w:ascii="Times New Roman" w:hAnsi="Times New Roman" w:cs="Times New Roman" w:eastAsia="Times New Roman" w:hint="default"/>
          <w:spacing w:val="-4"/>
        </w:rPr>
        <w:t>34,628,665.95</w:t>
      </w:r>
      <w:r>
        <w:rPr>
          <w:spacing w:val="-4"/>
        </w:rPr>
        <w:t>元。</w:t>
      </w:r>
      <w:r>
        <w:rPr>
          <w:spacing w:val="-71"/>
        </w:rPr>
        <w:t> </w:t>
      </w:r>
      <w:r>
        <w:rPr/>
        <w:t>上述利润分配预案尚须提交公司</w:t>
      </w:r>
      <w:r>
        <w:rPr>
          <w:rFonts w:ascii="Times New Roman" w:hAnsi="Times New Roman" w:cs="Times New Roman" w:eastAsia="Times New Roman" w:hint="default"/>
        </w:rPr>
        <w:t>2014</w:t>
      </w:r>
      <w:r>
        <w:rPr/>
        <w:t>年度股东大会批准。</w:t>
      </w:r>
    </w:p>
    <w:p>
      <w:pPr>
        <w:spacing w:line="240" w:lineRule="auto" w:before="1"/>
        <w:rPr>
          <w:rFonts w:ascii="宋体" w:hAnsi="宋体" w:cs="宋体" w:eastAsia="宋体" w:hint="default"/>
          <w:sz w:val="22"/>
          <w:szCs w:val="22"/>
        </w:rPr>
      </w:pPr>
    </w:p>
    <w:p>
      <w:pPr>
        <w:pStyle w:val="Heading6"/>
        <w:spacing w:line="240" w:lineRule="auto"/>
        <w:ind w:left="154" w:right="0"/>
        <w:jc w:val="both"/>
        <w:rPr>
          <w:b w:val="0"/>
          <w:bCs w:val="0"/>
        </w:rPr>
      </w:pPr>
      <w:bookmarkStart w:name="3、销售退回" w:id="471"/>
      <w:bookmarkEnd w:id="47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both"/>
        <w:rPr>
          <w:b w:val="0"/>
          <w:bCs w:val="0"/>
        </w:rPr>
      </w:pPr>
      <w:bookmarkStart w:name="4、其他资产负债表日后事项说明" w:id="472"/>
      <w:bookmarkEnd w:id="47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1"/>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日，公司第五届董事会第十五次会议决议通过了《关于全资子公司对外投资收购股权的议案》，由子公司珠海</w:t>
      </w:r>
      <w:r>
        <w:rPr>
          <w:spacing w:val="-58"/>
        </w:rPr>
        <w:t> </w:t>
      </w:r>
      <w:r>
        <w:rPr>
          <w:spacing w:val="-58"/>
        </w:rPr>
      </w:r>
      <w:r>
        <w:rPr>
          <w:spacing w:val="-1"/>
        </w:rPr>
        <w:t>横琴新区集睿思信息技术有限公司出资</w:t>
      </w:r>
      <w:r>
        <w:rPr>
          <w:rFonts w:ascii="Times New Roman" w:hAnsi="Times New Roman" w:cs="Times New Roman" w:eastAsia="Times New Roman" w:hint="default"/>
          <w:spacing w:val="-1"/>
        </w:rPr>
        <w:t>5,600</w:t>
      </w:r>
      <w:r>
        <w:rPr>
          <w:spacing w:val="-1"/>
        </w:rPr>
        <w:t>万元收购长沙瑞翔科技有限公司</w:t>
      </w:r>
      <w:r>
        <w:rPr>
          <w:rFonts w:ascii="Times New Roman" w:hAnsi="Times New Roman" w:cs="Times New Roman" w:eastAsia="Times New Roman" w:hint="default"/>
          <w:spacing w:val="-1"/>
        </w:rPr>
        <w:t>70%</w:t>
      </w:r>
      <w:r>
        <w:rPr>
          <w:spacing w:val="-1"/>
        </w:rPr>
        <w:t>的股权。上述股权已于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w:t>
      </w:r>
      <w:r>
        <w:rPr>
          <w:spacing w:val="-1"/>
        </w:rPr>
        <w:t>日办理</w:t>
      </w:r>
      <w:r>
        <w:rPr>
          <w:spacing w:val="-39"/>
        </w:rPr>
        <w:t> </w:t>
      </w:r>
      <w:r>
        <w:rPr/>
        <w:t>完毕变更手续。</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十六、其他重要事项" w:id="473"/>
      <w:bookmarkEnd w:id="47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前期会计差错更正" w:id="474"/>
      <w:bookmarkEnd w:id="47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追溯重述法" w:id="475"/>
      <w:bookmarkEnd w:id="47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未来适用法" w:id="476"/>
      <w:bookmarkEnd w:id="47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2、债务重组" w:id="477"/>
      <w:bookmarkEnd w:id="47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3、资产置换" w:id="478"/>
      <w:bookmarkEnd w:id="47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非货币性资产交换" w:id="479"/>
      <w:bookmarkEnd w:id="47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2）其他资产置换" w:id="480"/>
      <w:bookmarkEnd w:id="48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年金计划" w:id="481"/>
      <w:bookmarkEnd w:id="48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5、终止经营" w:id="482"/>
      <w:bookmarkEnd w:id="48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分部信息" w:id="483"/>
      <w:bookmarkEnd w:id="48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报告分部的确定依据与会计政策" w:id="484"/>
      <w:bookmarkEnd w:id="4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2）报告分部的财务信息" w:id="485"/>
      <w:bookmarkEnd w:id="4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3）公司无报告分部的，或者上能披露各报告分部的资产总额和负债总额的，应说明原因" w:id="486"/>
      <w:bookmarkEnd w:id="48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其他说明" w:id="487"/>
      <w:bookmarkEnd w:id="48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7、其他对投资者决策有影响的重要交易和事项" w:id="488"/>
      <w:bookmarkEnd w:id="48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3" w:firstLine="0"/>
        <w:jc w:val="left"/>
        <w:rPr>
          <w:rFonts w:ascii="宋体" w:hAnsi="宋体" w:cs="宋体" w:eastAsia="宋体" w:hint="default"/>
          <w:sz w:val="21"/>
          <w:szCs w:val="21"/>
        </w:rPr>
      </w:pPr>
      <w:bookmarkStart w:name="8、其他" w:id="489"/>
      <w:bookmarkEnd w:id="48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0"/>
      <w:bookmarkEnd w:id="49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1"/>
      <w:bookmarkEnd w:id="49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3"/>
        <w:ind w:left="154" w:right="0"/>
        <w:jc w:val="left"/>
        <w:rPr>
          <w:b w:val="0"/>
          <w:bCs w:val="0"/>
        </w:rPr>
      </w:pPr>
      <w:bookmarkStart w:name="（1）应收账款分类披露" w:id="492"/>
      <w:bookmarkEnd w:id="49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34,402,1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34,402,10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347,513,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483.60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42,697,7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304,815,7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47.09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281,729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34,667,74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247,061,49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381,915,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588.60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42,697,7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339,217,8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52.09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281,729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,243.64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34,667,74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247,061,49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远光智和卓源（北京）科</w:t>
            </w:r>
            <w:r>
              <w:rPr>
                <w:rFonts w:ascii="宋体" w:hAnsi="宋体" w:cs="宋体" w:eastAsia="宋体" w:hint="default"/>
                <w:sz w:val="18"/>
                <w:szCs w:val="18"/>
              </w:rPr>
              <w:t> 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20,902,105.00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34,402,105.00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275,236,169.50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13,761,808.48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41,225,984.25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4,122,598.43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7,797,500.30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1,559,500.06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23,253,829.55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23,253,829.55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347,513,483.60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42,697,736.51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12.29%</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本期计提、收回或转回的坏账准备情况" w:id="493"/>
      <w:bookmarkEnd w:id="49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16"/>
        <w:jc w:val="left"/>
      </w:pPr>
      <w:r>
        <w:rPr/>
        <w:t>本期计提坏账准备金额</w:t>
      </w:r>
      <w:r>
        <w:rPr>
          <w:spacing w:val="-47"/>
        </w:rPr>
        <w:t> </w:t>
      </w:r>
      <w:r>
        <w:rPr>
          <w:rFonts w:ascii="Times New Roman" w:hAnsi="Times New Roman" w:cs="Times New Roman" w:eastAsia="Times New Roman" w:hint="default"/>
        </w:rPr>
        <w:t>8,029,989.91</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7"/>
        <w:spacing w:line="260" w:lineRule="exact" w:before="0"/>
        <w:ind w:left="154" w:right="0"/>
        <w:jc w:val="left"/>
      </w:pPr>
      <w:r>
        <w:rPr/>
        <w:t>本年无实际核销的大额应收账款。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54" w:right="0"/>
        <w:jc w:val="left"/>
        <w:rPr>
          <w:b w:val="0"/>
          <w:bCs w:val="0"/>
        </w:rPr>
      </w:pPr>
      <w:bookmarkStart w:name="（3）本期实际核销的应收账款情况" w:id="494"/>
      <w:bookmarkEnd w:id="49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line="610" w:lineRule="atLeast" w:before="0"/>
        <w:ind w:left="490" w:right="1122" w:hanging="336"/>
        <w:jc w:val="left"/>
        <w:rPr>
          <w:rFonts w:ascii="宋体" w:hAnsi="宋体" w:cs="宋体" w:eastAsia="宋体" w:hint="default"/>
          <w:sz w:val="21"/>
          <w:szCs w:val="21"/>
        </w:rPr>
      </w:pPr>
      <w:bookmarkStart w:name="（4）按欠款方归集的期末余额前五吊的应收账款情况" w:id="495"/>
      <w:bookmarkEnd w:id="4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本公司本年按欠款方归集的年末余额前五名应收账款汇总金额为</w:t>
      </w:r>
      <w:r>
        <w:rPr>
          <w:rFonts w:ascii="Times New Roman" w:hAnsi="Times New Roman" w:cs="Times New Roman" w:eastAsia="Times New Roman" w:hint="default"/>
          <w:spacing w:val="-2"/>
          <w:sz w:val="21"/>
          <w:szCs w:val="21"/>
        </w:rPr>
        <w:t>69,117,801.00</w:t>
      </w:r>
      <w:r>
        <w:rPr>
          <w:rFonts w:ascii="宋体" w:hAnsi="宋体" w:cs="宋体" w:eastAsia="宋体" w:hint="default"/>
          <w:spacing w:val="-2"/>
          <w:sz w:val="21"/>
          <w:szCs w:val="21"/>
        </w:rPr>
        <w:t>元，占应收账款年末余额</w:t>
      </w:r>
    </w:p>
    <w:p>
      <w:pPr>
        <w:pStyle w:val="Heading7"/>
        <w:spacing w:line="240" w:lineRule="auto" w:before="21"/>
        <w:ind w:left="154" w:right="0"/>
        <w:jc w:val="left"/>
      </w:pPr>
      <w:r>
        <w:rPr/>
        <w:t>合计数的比例为</w:t>
      </w:r>
      <w:r>
        <w:rPr>
          <w:rFonts w:ascii="Times New Roman" w:hAnsi="Times New Roman" w:cs="Times New Roman" w:eastAsia="Times New Roman" w:hint="default"/>
        </w:rPr>
        <w:t>18.10%</w:t>
      </w:r>
      <w:r>
        <w:rPr/>
        <w:t>，相应计提的坏账准备年末余额汇总金额为</w:t>
      </w:r>
      <w:r>
        <w:rPr>
          <w:rFonts w:ascii="Times New Roman" w:hAnsi="Times New Roman" w:cs="Times New Roman" w:eastAsia="Times New Roman" w:hint="default"/>
        </w:rPr>
        <w:t>1,745,784.80</w:t>
      </w:r>
      <w:r>
        <w:rPr/>
        <w:t>元。</w:t>
      </w:r>
    </w:p>
    <w:p>
      <w:pPr>
        <w:spacing w:line="240" w:lineRule="auto" w:before="8"/>
        <w:rPr>
          <w:rFonts w:ascii="宋体" w:hAnsi="宋体" w:cs="宋体" w:eastAsia="宋体" w:hint="default"/>
          <w:sz w:val="24"/>
          <w:szCs w:val="24"/>
        </w:rPr>
      </w:pPr>
    </w:p>
    <w:p>
      <w:pPr>
        <w:pStyle w:val="Heading6"/>
        <w:spacing w:line="240" w:lineRule="auto"/>
        <w:ind w:right="0"/>
        <w:jc w:val="left"/>
        <w:rPr>
          <w:b w:val="0"/>
          <w:bCs w:val="0"/>
        </w:rPr>
      </w:pPr>
      <w:bookmarkStart w:name="（5）因金融资产转移而终止确认的应收账款" w:id="496"/>
      <w:bookmarkEnd w:id="49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6）转移应收账款且继续涉入形成的资产、负债金额" w:id="497"/>
      <w:bookmarkEnd w:id="49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2、其他应收款" w:id="498"/>
      <w:bookmarkEnd w:id="49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其他应收款分类披露" w:id="499"/>
      <w:bookmarkEnd w:id="49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112,290,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112,290,0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15,483,8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3,021,81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12,462,01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10,106,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857.69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2,511,152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7,595,705.0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5,384,81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5,384,817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181,384</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181,384.12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133,158,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649.99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3,021,81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130,136,8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33.86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27,788,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241.81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2,511,152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25,277,089.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北京远光非凡软件有限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珠海横琴新区集睿思信 息技术有限公司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子公司往来，不计提坏 账准备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12,206,476.68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610,323.84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781,362.61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78,136.26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203,296.00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40,659.20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2,292,696.84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2,292,696.84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15,483,832.13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3,021,816.14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12.29%</w:t>
            </w: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7"/>
        <w:spacing w:line="240" w:lineRule="auto" w:before="77"/>
        <w:ind w:left="573" w:right="0"/>
        <w:jc w:val="left"/>
      </w:pPr>
      <w:r>
        <w:rPr/>
        <w:t>单项金额虽不重大但单项计提坏账准备的其他应收款</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52"/>
        <w:gridCol w:w="1306"/>
        <w:gridCol w:w="992"/>
        <w:gridCol w:w="1276"/>
        <w:gridCol w:w="2592"/>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4,379,315.36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1,002,840.00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2,662.50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子公司往来，不计提坏账准备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75"/>
        <w:ind w:left="154" w:right="0"/>
        <w:jc w:val="left"/>
        <w:rPr>
          <w:b w:val="0"/>
          <w:bCs w:val="0"/>
        </w:rPr>
      </w:pPr>
      <w:bookmarkStart w:name="（2）本期计提、收回或转回的坏账准备情况" w:id="500"/>
      <w:bookmarkEnd w:id="5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ind w:right="-17"/>
        <w:jc w:val="left"/>
      </w:pPr>
      <w:r>
        <w:rPr/>
        <w:t>本期计提坏账准备金额</w:t>
      </w:r>
      <w:r>
        <w:rPr>
          <w:spacing w:val="-46"/>
        </w:rPr>
        <w:t> </w:t>
      </w:r>
      <w:r>
        <w:rPr>
          <w:rFonts w:ascii="Times New Roman" w:hAnsi="Times New Roman" w:cs="Times New Roman" w:eastAsia="Times New Roman" w:hint="default"/>
        </w:rPr>
        <w:t>510,663.47</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本期实际核销的其他应收款情况" w:id="501"/>
      <w:bookmarkEnd w:id="50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其他应收款核销说明：</w:t>
      </w:r>
    </w:p>
    <w:p>
      <w:pPr>
        <w:pStyle w:val="Heading7"/>
        <w:spacing w:line="240" w:lineRule="auto" w:before="89"/>
        <w:ind w:left="154" w:right="0"/>
        <w:jc w:val="left"/>
      </w:pPr>
      <w:r>
        <w:rPr/>
        <w:t>本年无实际核销的其他应收款。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54" w:right="0"/>
        <w:jc w:val="left"/>
        <w:rPr>
          <w:b w:val="0"/>
          <w:bCs w:val="0"/>
        </w:rPr>
      </w:pPr>
      <w:bookmarkStart w:name="（4）其他应收款按款项性质分类情况" w:id="502"/>
      <w:bookmarkEnd w:id="50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118,549,235.82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17,681,384.12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10,172,743.62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6,869,568.79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4,436,670.55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1,960,707.18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1,276,581.72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133,158,649.99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27,788,241.81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吊的其他应收款情况" w:id="503"/>
      <w:bookmarkEnd w:id="50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4,379,315.36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128,780.00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120,247,755.36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128,780.00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涉及政府补助的应收款项" w:id="504"/>
      <w:bookmarkEnd w:id="50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7）因金融资产转移而终止确认的其他应收款" w:id="505"/>
      <w:bookmarkEnd w:id="50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8）转移其他应收款且继续涉入形成的资产、负债金额" w:id="506"/>
      <w:bookmarkEnd w:id="50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长期股权投资" w:id="507"/>
      <w:bookmarkEnd w:id="50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189,638,848.54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189,638,848.54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184,309,195.25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184,309,195.25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236,938,848.54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236,938,848.54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203,659,195.25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203,659,195.25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1）对子公司投资" w:id="508"/>
      <w:bookmarkEnd w:id="50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both"/>
              <w:rPr>
                <w:rFonts w:ascii="宋体" w:hAnsi="宋体" w:cs="宋体" w:eastAsia="宋体" w:hint="default"/>
                <w:sz w:val="18"/>
                <w:szCs w:val="18"/>
              </w:rPr>
            </w:pPr>
            <w:r>
              <w:rPr>
                <w:rFonts w:ascii="宋体" w:hAnsi="宋体" w:cs="宋体" w:eastAsia="宋体" w:hint="default"/>
                <w:sz w:val="18"/>
                <w:szCs w:val="18"/>
              </w:rPr>
              <w:t>珠海横琴新区集 睿思信息技术有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6,600,000.00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北京远光非凡软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对联营、合营企业投资" w:id="509"/>
      <w:bookmarkEnd w:id="50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184,309,1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12,829,65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184,309,1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12,829,65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184,309,1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95.25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12,829,65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189,638,8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其他说明" w:id="510"/>
      <w:bookmarkEnd w:id="51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4、营业收入和营业成本" w:id="511"/>
      <w:bookmarkEnd w:id="51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827,991,487.76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236,667,699.71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929,206,635.61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195,511,562.00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827,991,487.76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236,667,699.71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929,206,635.61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195,511,562.00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投资收益" w:id="512"/>
      <w:bookmarkEnd w:id="51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12,829,653.29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33,512,884.71</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12,570,982.51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7,728,769.13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25,400,635.80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41,241,653.84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其他" w:id="513"/>
      <w:bookmarkEnd w:id="51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14"/>
      <w:bookmarkEnd w:id="51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515"/>
      <w:bookmarkEnd w:id="51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837,649.89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5,473,803.15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13,119,215.34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98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1,576,781.51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2,031,172.01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495,371.72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18,480,906.16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净资产收益率及每股收益" w:id="516"/>
      <w:bookmarkEnd w:id="51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0.4126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0.3726</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3、境内外会计准则下会计数据差异" w:id="517"/>
      <w:bookmarkEnd w:id="51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同时按照国际会计准则与按中国会计准则披露的财务报告中净利润和净资产差异情况" w:id="518"/>
      <w:bookmarkEnd w:id="51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同时按照境外会计准则与按中国会计准则披露的财务报告中净利润和净资产差异情况" w:id="519"/>
      <w:bookmarkEnd w:id="51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9" w:lineRule="auto" w:before="35"/>
        <w:ind w:right="0"/>
        <w:jc w:val="left"/>
        <w:rPr>
          <w:b w:val="0"/>
          <w:bCs w:val="0"/>
        </w:rPr>
      </w:pPr>
      <w:bookmarkStart w:name="（3）境内外会计准则下会计数据差异原因说明，对已经境外审计机构审计的数据进行差异" w:id="520"/>
      <w:bookmarkEnd w:id="52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会计政策变更相关补充资料" w:id="521"/>
      <w:bookmarkEnd w:id="521"/>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840,465,444.75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999,644,141.93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1,065,439,072.24</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49,423,550.00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124,780,821.98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1,394,529.67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62,899,116.95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17,570,811.90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167,490,253.70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247,061,497.04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325,301,737.09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11,849,694.39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48,634,870.18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15,407,496.72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6,550,826.25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9,864,364.30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32,974,789.46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3,059,776.25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8,323,590.59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10,007,589.99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1,100,779,769.09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1,495,944,588.63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1,483,919,617.66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158,296,310.54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184,309,195.25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189,638,848.54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112,540,882.55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113,486,675.74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202,636,226.27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657,976.00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987,553.00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3,049,557.27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7,616,762.33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5,858,108.76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1,298,116.95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13,897,429.43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23,126,260.20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2,366,821.08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7,703,897.79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8,461,515.76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279,209,664.39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329,001,513.54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431,984,495.32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1,379,989,433.48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1,824,946,102.17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1,915,904,112.98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21,047,860.74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26,113,736.42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34,612,972.80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32,365,222.90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5,520,410.24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7,528,286.43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38,750,635.00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59,145,272.07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71,995,109.36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10,221,795.67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36,735,717.78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22,327,948.09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2,487,342.00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1,808,461.50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9,098,894.40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5,059,697.83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7,648,903.10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28,537,522.47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111,484,408.71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135,062,176.34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174,459,203.75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93,649,154.11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19,787,763.53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18,769,984.01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10,041,589.60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12,368,625.02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12,884,514.02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29,829,353.13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31,138,609.03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128,683,668.13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141,313,761.84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166,200,785.37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303,142,871.88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443,183,150.00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462,054,367.00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461,770,146.00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159,523,224.54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300,199,423.34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207,125,506.21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123,384,600.58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113,317,114.85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147,483,021.22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168,125,936.67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522,652,182.25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737,089,388.54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883,916,900.81</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1,238,675,671.64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1,646,826,200.10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1,597,553,889.11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11,919,116.70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15,207,351.99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1,238,675,671.64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1,658,745,316.80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1,612,761,241.10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1,379,989,433.48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1,824,946,102.17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1,915,904,112.98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其他" w:id="522"/>
      <w:bookmarkEnd w:id="522"/>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23"/>
      <w:bookmarkEnd w:id="523"/>
      <w:r>
        <w:rPr>
          <w:b w:val="0"/>
          <w:bCs w:val="0"/>
        </w:rPr>
      </w:r>
      <w:bookmarkStart w:name="_bookmark11" w:id="524"/>
      <w:bookmarkEnd w:id="524"/>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3733"/>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3832" type="#_x0000_t75" stroked="false">
          <v:imagedata r:id="rId1" o:title=""/>
        </v:shape>
      </w:pict>
    </w:r>
    <w:r>
      <w:rPr/>
      <w:pict>
        <v:shape style="position:absolute;margin-left:533.179993pt;margin-top:795.517944pt;width:6.5pt;height:11pt;mso-position-horizontal-relative:page;mso-position-vertical-relative:page;z-index:-9038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3784" type="#_x0000_t75" stroked="false">
          <v:imagedata r:id="rId1" o:title=""/>
        </v:shape>
      </w:pict>
    </w:r>
    <w:r>
      <w:rPr/>
      <w:pict>
        <v:shape style="position:absolute;margin-left:527.679993pt;margin-top:781.957947pt;width:13pt;height:11pt;mso-position-horizontal-relative:page;mso-position-vertical-relative:page;z-index:-9037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3736" type="#_x0000_t75" stroked="false">
          <v:imagedata r:id="rId1" o:title=""/>
        </v:shape>
      </w:pict>
    </w:r>
    <w:r>
      <w:rPr/>
      <w:pict>
        <v:shape style="position:absolute;margin-left:524.179993pt;margin-top:781.957947pt;width:15.5pt;height:11pt;mso-position-horizontal-relative:page;mso-position-vertical-relative:page;z-index:-90371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3688" type="#_x0000_t75" stroked="false">
          <v:imagedata r:id="rId1" o:title=""/>
        </v:shape>
      </w:pict>
    </w:r>
    <w:r>
      <w:rPr/>
      <w:pict>
        <v:shape style="position:absolute;margin-left:523.179993pt;margin-top:781.957947pt;width:17.5pt;height:11pt;mso-position-horizontal-relative:page;mso-position-vertical-relative:page;z-index:-9036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903856" type="#_x0000_t202" filled="false" stroked="false">
          <v:textbox inset="0,0,0,0">
            <w:txbxContent>
              <w:p>
                <w:pPr>
                  <w:pStyle w:val="BodyText"/>
                  <w:spacing w:line="214" w:lineRule="exact" w:before="0"/>
                  <w:ind w:left="20" w:right="0"/>
                  <w:jc w:val="left"/>
                </w:pPr>
                <w:r>
                  <w:rPr/>
                  <w:t>远光软件股份有限公司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4"/>
      <w:ind w:left="153"/>
    </w:pPr>
    <w:rPr>
      <w:rFonts w:ascii="宋体" w:hAnsi="宋体" w:eastAsia="宋体"/>
      <w:sz w:val="18"/>
      <w:szCs w:val="18"/>
    </w:rPr>
  </w:style>
  <w:style w:styleId="Heading1" w:type="paragraph">
    <w:name w:val="Heading 1"/>
    <w:basedOn w:val="Normal"/>
    <w:uiPriority w:val="1"/>
    <w:qFormat/>
    <w:pPr>
      <w:spacing w:before="1"/>
      <w:ind w:left="50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sz w:val="23"/>
      <w:szCs w:val="23"/>
    </w:rPr>
  </w:style>
  <w:style w:styleId="Heading5" w:type="paragraph">
    <w:name w:val="Heading 5"/>
    <w:basedOn w:val="Normal"/>
    <w:uiPriority w:val="1"/>
    <w:qFormat/>
    <w:pPr>
      <w:ind w:left="153" w:firstLine="420"/>
      <w:outlineLvl w:val="5"/>
    </w:pPr>
    <w:rPr>
      <w:rFonts w:ascii="宋体" w:hAnsi="宋体" w:eastAsia="宋体"/>
      <w:i/>
      <w:sz w:val="22"/>
      <w:szCs w:val="22"/>
    </w:rPr>
  </w:style>
  <w:style w:styleId="Heading6" w:type="paragraph">
    <w:name w:val="Heading 6"/>
    <w:basedOn w:val="Normal"/>
    <w:uiPriority w:val="1"/>
    <w:qFormat/>
    <w:pPr>
      <w:ind w:left="153"/>
      <w:outlineLvl w:val="6"/>
    </w:pPr>
    <w:rPr>
      <w:rFonts w:ascii="宋体" w:hAnsi="宋体" w:eastAsia="宋体"/>
      <w:b/>
      <w:bCs/>
      <w:sz w:val="21"/>
      <w:szCs w:val="21"/>
    </w:rPr>
  </w:style>
  <w:style w:styleId="Heading7" w:type="paragraph">
    <w:name w:val="Heading 7"/>
    <w:basedOn w:val="Normal"/>
    <w:uiPriority w:val="1"/>
    <w:qFormat/>
    <w:pPr>
      <w:spacing w:before="7"/>
      <w:ind w:left="153"/>
      <w:outlineLvl w:val="7"/>
    </w:pPr>
    <w:rPr>
      <w:rFonts w:ascii="宋体" w:hAnsi="宋体" w:eastAsia="宋体"/>
      <w:sz w:val="21"/>
      <w:szCs w:val="21"/>
    </w:rPr>
  </w:style>
  <w:style w:styleId="Heading8" w:type="paragraph">
    <w:name w:val="Heading 8"/>
    <w:basedOn w:val="Normal"/>
    <w:uiPriority w:val="1"/>
    <w:qFormat/>
    <w:pPr>
      <w:spacing w:before="24"/>
      <w:ind w:left="513"/>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ygsoft.com/" TargetMode="External"/><Relationship Id="rId9" Type="http://schemas.openxmlformats.org/officeDocument/2006/relationships/hyperlink" Target="mailto:ygstock@ygsoft.com"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2020-05-06T15:45:42Z</dcterms:created>
  <dcterms:modified xsi:type="dcterms:W3CDTF">2020-05-06T15:45:42Z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Microsoft® Office Word 2007</vt:lpwstr>
  </property>
  <property fmtid="{D5CDD505-2E9C-101B-9397-08002B2CF9AE}" pid="4" name="LastSaved">
    <vt:filetime>2020-05-06T00:00:00Z</vt:filetime>
  </property>
</Properties>
</file>