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770" w:right="1747"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远光软件股份有限公司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768" w:right="174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771" w:right="174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985"/>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公司负责人陈利浩、主管会计工作负责人毛华夏及会计机构负责人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毛华夏声明：保证年度报告中财务报告的真实、准确、完整。</w:t>
      </w:r>
      <w:r>
        <w:rPr>
          <w:rFonts w:ascii="宋体" w:hAnsi="宋体" w:cs="宋体" w:eastAsia="宋体" w:hint="default"/>
          <w:sz w:val="28"/>
          <w:szCs w:val="28"/>
        </w:rPr>
      </w:r>
    </w:p>
    <w:p>
      <w:pPr>
        <w:spacing w:line="472" w:lineRule="auto" w:before="147"/>
        <w:ind w:left="715" w:right="98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本报告中所涉及未来的经营计划和经营目标，并不代表公司的盈利预测，</w:t>
      </w:r>
      <w:r>
        <w:rPr>
          <w:rFonts w:ascii="宋体" w:hAnsi="宋体" w:cs="宋体" w:eastAsia="宋体" w:hint="default"/>
          <w:spacing w:val="3"/>
          <w:sz w:val="28"/>
          <w:szCs w:val="28"/>
        </w:rPr>
      </w:r>
    </w:p>
    <w:p>
      <w:pPr>
        <w:spacing w:line="410" w:lineRule="auto" w:before="0"/>
        <w:ind w:left="153" w:right="985" w:firstLine="0"/>
        <w:jc w:val="left"/>
        <w:rPr>
          <w:rFonts w:ascii="宋体" w:hAnsi="宋体" w:cs="宋体" w:eastAsia="宋体" w:hint="default"/>
          <w:sz w:val="28"/>
          <w:szCs w:val="28"/>
        </w:rPr>
      </w:pPr>
      <w:r>
        <w:rPr>
          <w:rFonts w:ascii="宋体" w:hAnsi="宋体" w:cs="宋体" w:eastAsia="宋体" w:hint="default"/>
          <w:b/>
          <w:bCs/>
          <w:spacing w:val="-2"/>
          <w:sz w:val="28"/>
          <w:szCs w:val="28"/>
        </w:rPr>
        <w:t>也不构成公司对投资者的实质承诺，能否实现取决于市场状况变化等多种因素，</w:t>
      </w:r>
      <w:r>
        <w:rPr>
          <w:rFonts w:ascii="宋体" w:hAnsi="宋体" w:cs="宋体" w:eastAsia="宋体" w:hint="default"/>
          <w:b/>
          <w:bCs/>
          <w:w w:val="99"/>
          <w:sz w:val="28"/>
          <w:szCs w:val="28"/>
        </w:rPr>
        <w:t> </w:t>
      </w:r>
      <w:r>
        <w:rPr>
          <w:rFonts w:ascii="宋体" w:hAnsi="宋体" w:cs="宋体" w:eastAsia="宋体" w:hint="default"/>
          <w:b/>
          <w:bCs/>
          <w:sz w:val="28"/>
          <w:szCs w:val="28"/>
        </w:rPr>
        <w:t>存在不确定性，请投资者注意投资风险。</w:t>
      </w:r>
      <w:r>
        <w:rPr>
          <w:rFonts w:ascii="宋体" w:hAnsi="宋体" w:cs="宋体" w:eastAsia="宋体" w:hint="default"/>
          <w:sz w:val="28"/>
          <w:szCs w:val="28"/>
        </w:rPr>
      </w:r>
    </w:p>
    <w:p>
      <w:pPr>
        <w:spacing w:line="386" w:lineRule="auto" w:before="158"/>
        <w:ind w:left="153" w:right="1133" w:firstLine="562"/>
        <w:jc w:val="both"/>
        <w:rPr>
          <w:rFonts w:ascii="宋体" w:hAnsi="宋体" w:cs="宋体" w:eastAsia="宋体" w:hint="default"/>
          <w:sz w:val="28"/>
          <w:szCs w:val="28"/>
        </w:rPr>
      </w:pPr>
      <w:r>
        <w:rPr>
          <w:rFonts w:ascii="宋体" w:hAnsi="宋体" w:cs="宋体" w:eastAsia="宋体" w:hint="default"/>
          <w:b/>
          <w:bCs/>
          <w:spacing w:val="11"/>
          <w:w w:val="95"/>
          <w:sz w:val="28"/>
          <w:szCs w:val="28"/>
        </w:rPr>
        <w:t>公司在本报告第四节</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经营情况讨论与分析</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中</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公司未来发展的展望</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3"/>
          <w:sz w:val="28"/>
          <w:szCs w:val="28"/>
        </w:rPr>
        <w:t>分，描述了公司未来经营中可能面临的风险以及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18"/>
          <w:sz w:val="28"/>
          <w:szCs w:val="28"/>
        </w:rPr>
        <w:t> </w:t>
      </w:r>
      <w:r>
        <w:rPr>
          <w:rFonts w:ascii="宋体" w:hAnsi="宋体" w:cs="宋体" w:eastAsia="宋体" w:hint="default"/>
          <w:b/>
          <w:bCs/>
          <w:spacing w:val="-6"/>
          <w:sz w:val="28"/>
          <w:szCs w:val="28"/>
        </w:rPr>
        <w:t>年度经营计划，敬请广大</w:t>
      </w:r>
      <w:r>
        <w:rPr>
          <w:rFonts w:ascii="宋体" w:hAnsi="宋体" w:cs="宋体" w:eastAsia="宋体" w:hint="default"/>
          <w:b/>
          <w:bCs/>
          <w:w w:val="99"/>
          <w:sz w:val="28"/>
          <w:szCs w:val="28"/>
        </w:rPr>
        <w:t> </w:t>
      </w:r>
      <w:r>
        <w:rPr>
          <w:rFonts w:ascii="宋体" w:hAnsi="宋体" w:cs="宋体" w:eastAsia="宋体" w:hint="default"/>
          <w:b/>
          <w:bCs/>
          <w:sz w:val="28"/>
          <w:szCs w:val="28"/>
        </w:rPr>
        <w:t>投资者注意查阅。</w:t>
      </w:r>
      <w:r>
        <w:rPr>
          <w:rFonts w:ascii="宋体" w:hAnsi="宋体" w:cs="宋体" w:eastAsia="宋体" w:hint="default"/>
          <w:sz w:val="28"/>
          <w:szCs w:val="28"/>
        </w:rPr>
      </w:r>
    </w:p>
    <w:p>
      <w:pPr>
        <w:spacing w:before="185"/>
        <w:ind w:left="715" w:right="985"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607,014,388</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3" w:right="985"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3" w:right="985"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771" w:right="174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277"/>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hyperlink>
        </w:p>
        <w:p>
          <w:pPr>
            <w:pStyle w:val="TOC1"/>
            <w:tabs>
              <w:tab w:pos="9771"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40</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72</w:t>
            </w:r>
          </w:hyperlink>
        </w:p>
        <w:p>
          <w:pPr>
            <w:pStyle w:val="TOC1"/>
            <w:tabs>
              <w:tab w:pos="9783" w:val="right" w:leader="dot"/>
            </w:tabs>
            <w:spacing w:line="240" w:lineRule="auto"/>
            <w:ind w:left="154"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73</w:t>
            </w:r>
          </w:hyperlink>
        </w:p>
        <w:p>
          <w:pPr>
            <w:pStyle w:val="TOC1"/>
            <w:tabs>
              <w:tab w:pos="9783" w:val="right" w:leader="dot"/>
            </w:tabs>
            <w:spacing w:line="240" w:lineRule="auto" w:before="277"/>
            <w:ind w:left="154"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87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94</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212</w:t>
            </w:r>
          </w:hyperlink>
        </w:p>
        <w:p>
          <w:pPr/>
          <w:r>
            <w:fldChar w:fldCharType="end"/>
          </w:r>
        </w:p>
      </w:sdtContent>
    </w:sdt>
    <w:p>
      <w:pPr>
        <w:spacing w:after="0"/>
        <w:sectPr>
          <w:pgSz w:w="11910" w:h="16840"/>
          <w:pgMar w:header="747" w:footer="979" w:top="1060" w:bottom="1160" w:left="980" w:right="0"/>
        </w:sectPr>
      </w:pPr>
    </w:p>
    <w:p>
      <w:pPr>
        <w:spacing w:before="946"/>
        <w:ind w:left="771" w:right="174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公司、本公司、远光软件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中国证券监督管理委员会广东监管局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智和咨询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远光广安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瑞翔科技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昊美科技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国家电网、国网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南方电网、南网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1206664"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985"/>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002063</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YGSOFT</w:t>
            </w:r>
            <w:r>
              <w:rPr>
                <w:rFonts w:ascii="Times New Roman"/>
                <w:spacing w:val="-5"/>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YGSOFT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陈利浩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http://www.ygsoft.com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周海霞</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公司证券及法律事务部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985"/>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91440400707956364B</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5"/>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瑞华会计师事务所（特殊普通合伙人）</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王淑燕、郑会涛</w:t>
            </w:r>
          </w:p>
        </w:tc>
      </w:tr>
    </w:tbl>
    <w:p>
      <w:pPr>
        <w:pStyle w:val="BodyText"/>
        <w:spacing w:line="240" w:lineRule="auto" w:before="51"/>
        <w:ind w:left="154" w:right="985"/>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5"/>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公司是否需追溯调整或重述以前年度会计数据</w:t>
      </w:r>
    </w:p>
    <w:p>
      <w:pPr>
        <w:pStyle w:val="BodyText"/>
        <w:spacing w:line="240" w:lineRule="auto" w:before="116"/>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1,179,258,733.12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1,094,329,115.32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914,786,921.98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172,272,603.75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131,374,311.56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121,227,460.02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150,767,196.44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113,508,656.14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94,035,623.89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107,131,433.68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73,104,089.56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31,918,509.62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0.2862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0.2862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2,494,791,800.03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2,327,552,199.58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2,035,907,298.21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1,992,481,874.65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1,791,480,411.32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1,684,423,489.18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98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6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98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985"/>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223,488,467.50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300,701,363.51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283,938,253.26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371,130,648.85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5,922,808.04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68,386,599.56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52,053,077.55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45,910,118.60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604,486.20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64,515,980.75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49,723,408.37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35,923,321.12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-225,369,616.40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-109,813,459.88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-44,198,473.56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486,512,983.52</w:t>
            </w:r>
          </w:p>
        </w:tc>
      </w:tr>
    </w:tbl>
    <w:p>
      <w:pPr>
        <w:pStyle w:val="BodyText"/>
        <w:spacing w:line="240" w:lineRule="auto" w:before="51"/>
        <w:ind w:left="154" w:right="985"/>
        <w:jc w:val="left"/>
      </w:pPr>
      <w:r>
        <w:rPr/>
        <w:t>上述财务指标或其加总数是否与公司已披露季度报告、半年度报告相关财务指标存在重大差异</w:t>
      </w:r>
    </w:p>
    <w:p>
      <w:pPr>
        <w:pStyle w:val="BodyText"/>
        <w:spacing w:line="240" w:lineRule="auto" w:before="116"/>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985"/>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697,813.88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721,379.51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366,508.90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13,366,738.88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8,744,201.60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27,189,705.00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331,523.84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10,531,459.51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10,330,713.33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2,832,896.95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1,627,443.86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827,019.80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2,350,460.71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2,573,709.95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1,996,689.39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4,773,285.09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2,144,338.87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1,092,493.27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774,450.34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21,505,407.31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17,865,655.42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27,191,836.13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985"/>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3"/>
        <w:jc w:val="left"/>
      </w:pPr>
      <w:r>
        <w:rPr/>
        <w:t>公司是否需要遵守特殊行业的披露要求 否</w:t>
      </w:r>
    </w:p>
    <w:p>
      <w:pPr>
        <w:spacing w:line="312" w:lineRule="exact" w:before="6"/>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、公司主营业务、产品、经营模式及业绩驱动因素</w:t>
      </w:r>
      <w:r>
        <w:rPr>
          <w:rFonts w:ascii="宋体" w:hAnsi="宋体" w:cs="宋体" w:eastAsia="宋体" w:hint="default"/>
          <w:b/>
          <w:bCs/>
          <w:w w:val="99"/>
          <w:sz w:val="24"/>
          <w:szCs w:val="24"/>
        </w:rPr>
        <w:t> </w:t>
      </w:r>
      <w:r>
        <w:rPr>
          <w:rFonts w:ascii="宋体" w:hAnsi="宋体" w:cs="宋体" w:eastAsia="宋体" w:hint="default"/>
          <w:sz w:val="24"/>
          <w:szCs w:val="24"/>
        </w:rPr>
        <w:t>公司以向集团企业提供管理信息化产品及服务为主要经营方向，主营产品与服务包括集</w:t>
      </w:r>
    </w:p>
    <w:p>
      <w:pPr>
        <w:pStyle w:val="Heading3"/>
        <w:spacing w:line="312" w:lineRule="exact"/>
        <w:ind w:right="985"/>
        <w:jc w:val="left"/>
      </w:pPr>
      <w:r>
        <w:rPr/>
        <w:t>团管理、智慧能源、智能物联、社会互联等，已覆盖电力、煤矿、石油、航天航空和高端装</w:t>
      </w:r>
      <w:r>
        <w:rPr>
          <w:spacing w:val="-113"/>
        </w:rPr>
        <w:t> </w:t>
      </w:r>
      <w:r>
        <w:rPr>
          <w:spacing w:val="-113"/>
        </w:rPr>
      </w:r>
      <w:r>
        <w:rPr/>
        <w:t>备等大型集团企业。</w:t>
      </w:r>
    </w:p>
    <w:p>
      <w:pPr>
        <w:pStyle w:val="Heading3"/>
        <w:spacing w:line="312" w:lineRule="exact"/>
        <w:ind w:right="1139" w:firstLine="480"/>
        <w:jc w:val="both"/>
      </w:pPr>
      <w:r>
        <w:rPr/>
        <w:t>报告期内，公司在强化既有优势业务的基础上，优化了产业布局和产品战略，加大新技 术的研发投入，推出了一系列智能化的软件产品和解决方案，并实现了在大型集团企业的落 地应用。</w:t>
      </w:r>
    </w:p>
    <w:p>
      <w:pPr>
        <w:pStyle w:val="Heading3"/>
        <w:spacing w:line="312" w:lineRule="exact"/>
        <w:ind w:right="1140" w:firstLine="480"/>
        <w:jc w:val="both"/>
      </w:pPr>
      <w:r>
        <w:rPr/>
        <w:t>报告期内，公司加大投资并购力度完善产业链布局。同时，不断整合现有资源，公司整 体效益得到提升。</w:t>
      </w:r>
    </w:p>
    <w:p>
      <w:pPr>
        <w:spacing w:line="312" w:lineRule="exact" w:before="0"/>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、报告期内公司所属行业的发展阶段、周期性特点以及公司所处的行业地位</w:t>
      </w:r>
      <w:r>
        <w:rPr>
          <w:rFonts w:ascii="宋体" w:hAnsi="宋体" w:cs="宋体" w:eastAsia="宋体" w:hint="default"/>
          <w:b/>
          <w:bCs/>
          <w:w w:val="99"/>
          <w:sz w:val="24"/>
          <w:szCs w:val="24"/>
        </w:rPr>
        <w:t> </w:t>
      </w:r>
      <w:r>
        <w:rPr>
          <w:rFonts w:ascii="宋体" w:hAnsi="宋体" w:cs="宋体" w:eastAsia="宋体" w:hint="default"/>
          <w:spacing w:val="-2"/>
          <w:sz w:val="24"/>
          <w:szCs w:val="24"/>
        </w:rPr>
        <w:t>国家《</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十三五</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国家信息化规划》指出全球信息化进入全面渗透、跨界融合、加速创新、</w:t>
      </w:r>
    </w:p>
    <w:p>
      <w:pPr>
        <w:pStyle w:val="Heading3"/>
        <w:spacing w:line="312" w:lineRule="exact"/>
        <w:ind w:right="1115"/>
        <w:jc w:val="left"/>
      </w:pPr>
      <w:r>
        <w:rPr/>
        <w:t>引领发展的新阶段，信息化成为国家</w:t>
      </w:r>
      <w:r>
        <w:rPr>
          <w:spacing w:val="-55"/>
        </w:rPr>
        <w:t> </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规划的重要组成部分。在能源信息化领域，建 设重点逐步转向对已有系统进行集成、整合、深化和提升，而云计算、大数据、人工智能、</w:t>
      </w:r>
    </w:p>
    <w:p>
      <w:pPr>
        <w:pStyle w:val="Heading3"/>
        <w:spacing w:line="312" w:lineRule="exact"/>
        <w:ind w:left="633" w:right="1153" w:hanging="480"/>
        <w:jc w:val="left"/>
      </w:pPr>
      <w:r>
        <w:rPr/>
        <w:t>物联网等新技术的应用，使得能源信息化在提升效率的同时，更进一步实现价值提升。 公司是国内领先的集团企业管理和社会服务信息化产品及服务供应商，专注大型集团企</w:t>
      </w:r>
    </w:p>
    <w:p>
      <w:pPr>
        <w:pStyle w:val="Heading3"/>
        <w:spacing w:line="302" w:lineRule="exact"/>
        <w:ind w:right="985"/>
        <w:jc w:val="left"/>
      </w:pPr>
      <w:r>
        <w:rPr/>
        <w:t>业管理信息化逾</w:t>
      </w:r>
      <w:r>
        <w:rPr>
          <w:rFonts w:ascii="Times New Roman" w:hAnsi="Times New Roman" w:cs="Times New Roman" w:eastAsia="Times New Roman" w:hint="default"/>
        </w:rPr>
        <w:t>30</w:t>
      </w:r>
      <w:r>
        <w:rPr/>
        <w:t>年，在能源行业企业管理软件领域长期处于领先地位。</w:t>
      </w:r>
    </w:p>
    <w:p>
      <w:pPr>
        <w:spacing w:line="240" w:lineRule="auto" w:before="7"/>
        <w:rPr>
          <w:rFonts w:ascii="宋体" w:hAnsi="宋体" w:cs="宋体" w:eastAsia="宋体" w:hint="default"/>
          <w:sz w:val="21"/>
          <w:szCs w:val="21"/>
        </w:rPr>
      </w:pPr>
    </w:p>
    <w:p>
      <w:pPr>
        <w:pStyle w:val="Heading2"/>
        <w:spacing w:line="240" w:lineRule="auto"/>
        <w:ind w:right="985"/>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期末较期初减少 </w:t>
            </w:r>
            <w:r>
              <w:rPr>
                <w:rFonts w:ascii="Times New Roman" w:hAnsi="Times New Roman" w:cs="Times New Roman" w:eastAsia="Times New Roman" w:hint="default"/>
                <w:sz w:val="18"/>
                <w:szCs w:val="18"/>
              </w:rPr>
              <w:t>3285.65 </w:t>
            </w:r>
            <w:r>
              <w:rPr>
                <w:rFonts w:ascii="宋体" w:hAnsi="宋体" w:cs="宋体" w:eastAsia="宋体" w:hint="default"/>
                <w:spacing w:val="-4"/>
                <w:sz w:val="18"/>
                <w:szCs w:val="18"/>
              </w:rPr>
              <w:t>万元，减少 </w:t>
            </w:r>
            <w:r>
              <w:rPr>
                <w:rFonts w:ascii="Times New Roman" w:hAnsi="Times New Roman" w:cs="Times New Roman" w:eastAsia="Times New Roman" w:hint="default"/>
                <w:sz w:val="18"/>
                <w:szCs w:val="18"/>
              </w:rPr>
              <w:t>13.14%</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，主要系报告期华凯集团就累计盈余 进行现金分红所致。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2042.61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45.04%</w:t>
            </w:r>
            <w:r>
              <w:rPr>
                <w:rFonts w:ascii="宋体" w:hAnsi="宋体" w:cs="宋体" w:eastAsia="宋体" w:hint="default"/>
                <w:sz w:val="18"/>
                <w:szCs w:val="18"/>
              </w:rPr>
              <w:t>，报告期新增合并单位昊美科技，以及 </w:t>
            </w:r>
            <w:r>
              <w:rPr>
                <w:rFonts w:ascii="Times New Roman" w:hAnsi="Times New Roman" w:cs="Times New Roman" w:eastAsia="Times New Roman" w:hint="default"/>
                <w:sz w:val="18"/>
                <w:szCs w:val="18"/>
              </w:rPr>
              <w:t>“</w:t>
            </w:r>
            <w:r>
              <w:rPr>
                <w:rFonts w:ascii="宋体" w:hAnsi="宋体" w:cs="宋体" w:eastAsia="宋体" w:hint="default"/>
                <w:sz w:val="18"/>
                <w:szCs w:val="18"/>
              </w:rPr>
              <w:t>基于市场化售电公司的购售电管理系统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内部研究开发项目开发完毕、结转无形资 产，共同影响所致。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83"/>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3691.11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768.88%</w:t>
            </w:r>
            <w:r>
              <w:rPr>
                <w:rFonts w:ascii="宋体" w:hAnsi="宋体" w:cs="宋体" w:eastAsia="宋体" w:hint="default"/>
                <w:sz w:val="18"/>
                <w:szCs w:val="18"/>
              </w:rPr>
              <w:t>，主要系报告期远光智能产业园项目 建设所致。</w:t>
            </w:r>
          </w:p>
        </w:tc>
      </w:tr>
      <w:tr>
        <w:trPr>
          <w:trHeight w:val="39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期末较期初增加 </w:t>
            </w:r>
            <w:r>
              <w:rPr>
                <w:rFonts w:ascii="Times New Roman" w:hAnsi="Times New Roman" w:cs="Times New Roman" w:eastAsia="Times New Roman" w:hint="default"/>
                <w:sz w:val="18"/>
                <w:szCs w:val="18"/>
              </w:rPr>
              <w:t>2402.92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268.77%</w:t>
            </w:r>
            <w:r>
              <w:rPr>
                <w:rFonts w:ascii="宋体" w:hAnsi="宋体" w:cs="宋体" w:eastAsia="宋体" w:hint="default"/>
                <w:sz w:val="18"/>
                <w:szCs w:val="18"/>
              </w:rPr>
              <w:t>，主要系报告期新增拟资本化开发项 目，研发持续投入、尚未完工结转无形资产所致。</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985"/>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85"/>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p>
      <w:pPr>
        <w:spacing w:line="312" w:lineRule="exact" w:before="9"/>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与</w:t>
      </w:r>
      <w:r>
        <w:rPr>
          <w:rFonts w:ascii="Times New Roman" w:hAnsi="Times New Roman" w:cs="Times New Roman" w:eastAsia="Times New Roman" w:hint="default"/>
          <w:b/>
          <w:bCs/>
          <w:sz w:val="24"/>
          <w:szCs w:val="24"/>
        </w:rPr>
        <w:t>2016</w:t>
      </w:r>
      <w:r>
        <w:rPr>
          <w:rFonts w:ascii="宋体" w:hAnsi="宋体" w:cs="宋体" w:eastAsia="宋体" w:hint="default"/>
          <w:b/>
          <w:bCs/>
          <w:sz w:val="24"/>
          <w:szCs w:val="24"/>
        </w:rPr>
        <w:t>年度相比，报告期公司的核心竞争力没有重大变化。</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、深刻理解行业及客户的核心团队</w:t>
      </w:r>
      <w:r>
        <w:rPr>
          <w:rFonts w:ascii="宋体" w:hAnsi="宋体" w:cs="宋体" w:eastAsia="宋体" w:hint="default"/>
          <w:b/>
          <w:bCs/>
          <w:w w:val="99"/>
          <w:sz w:val="24"/>
          <w:szCs w:val="24"/>
        </w:rPr>
        <w:t> </w:t>
      </w:r>
      <w:r>
        <w:rPr>
          <w:rFonts w:ascii="宋体" w:hAnsi="宋体" w:cs="宋体" w:eastAsia="宋体" w:hint="default"/>
          <w:sz w:val="24"/>
          <w:szCs w:val="24"/>
        </w:rPr>
        <w:t>公司核心团队专注集团企业客户特别是电力行业集团客户逾</w:t>
      </w:r>
      <w:r>
        <w:rPr>
          <w:rFonts w:ascii="Times New Roman" w:hAnsi="Times New Roman" w:cs="Times New Roman" w:eastAsia="Times New Roman" w:hint="default"/>
          <w:sz w:val="24"/>
          <w:szCs w:val="24"/>
        </w:rPr>
        <w:t>30</w:t>
      </w:r>
      <w:r>
        <w:rPr>
          <w:rFonts w:ascii="宋体" w:hAnsi="宋体" w:cs="宋体" w:eastAsia="宋体" w:hint="default"/>
          <w:sz w:val="24"/>
          <w:szCs w:val="24"/>
        </w:rPr>
        <w:t>年，对电力行业的产业特</w:t>
      </w:r>
    </w:p>
    <w:p>
      <w:pPr>
        <w:pStyle w:val="Heading3"/>
        <w:spacing w:line="312" w:lineRule="exact"/>
        <w:ind w:right="1137"/>
        <w:jc w:val="both"/>
      </w:pPr>
      <w:r>
        <w:rPr/>
        <w:t>性、经营特点、管理模式、业务流程等有着长期、深入、全面的理解，同时紧密跟踪移动互 联、大数据、区块链、能源互联网等新技术。在当下电力体制改革深入推进和能源互联网建 设持续升温的时点，公司核心团队在电力行业多年沉淀与积累的优势也将更加明显，有利于 公司及时把握市场动向和客户需求，抓住电力体制改革等政策以及能源互联网、区块链、人 工智能等新技术带来的重大发展机遇。</w:t>
      </w:r>
    </w:p>
    <w:p>
      <w:pPr>
        <w:spacing w:line="312" w:lineRule="exact" w:before="0"/>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、市场优势稳固的产品服务</w:t>
      </w:r>
      <w:r>
        <w:rPr>
          <w:rFonts w:ascii="宋体" w:hAnsi="宋体" w:cs="宋体" w:eastAsia="宋体" w:hint="default"/>
          <w:b/>
          <w:bCs/>
          <w:w w:val="99"/>
          <w:sz w:val="24"/>
          <w:szCs w:val="24"/>
        </w:rPr>
        <w:t> </w:t>
      </w:r>
      <w:r>
        <w:rPr>
          <w:rFonts w:ascii="宋体" w:hAnsi="宋体" w:cs="宋体" w:eastAsia="宋体" w:hint="default"/>
          <w:sz w:val="24"/>
          <w:szCs w:val="24"/>
        </w:rPr>
        <w:t>公司在集团资源管控等核心产品上已形成了稳固的市场份额优势，产品与服务被集团客</w:t>
      </w:r>
    </w:p>
    <w:p>
      <w:pPr>
        <w:pStyle w:val="Heading3"/>
        <w:spacing w:line="312" w:lineRule="exact"/>
        <w:ind w:right="995"/>
        <w:jc w:val="left"/>
      </w:pPr>
      <w:r>
        <w:rPr>
          <w:spacing w:val="-2"/>
        </w:rPr>
        <w:t>户特别是电力行业客户长期认可和接受，已经形成了稳固长期的用户群体。同时拥有高素质、</w:t>
      </w:r>
      <w:r>
        <w:rPr/>
        <w:t> 能为客户提供全面解决方案的专业咨询、实施和服务的团队，遍布于全国的三十八个省市分 支机构，为客户提供专业、多层次、便捷、低成本的本地化服务，全面满足客户需求。</w:t>
      </w:r>
    </w:p>
    <w:p>
      <w:pPr>
        <w:spacing w:line="225" w:lineRule="auto" w:before="0"/>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、紧贴行业发展趋势的技术储备</w:t>
      </w:r>
      <w:r>
        <w:rPr>
          <w:rFonts w:ascii="宋体" w:hAnsi="宋体" w:cs="宋体" w:eastAsia="宋体" w:hint="default"/>
          <w:b/>
          <w:bCs/>
          <w:w w:val="99"/>
          <w:sz w:val="24"/>
          <w:szCs w:val="24"/>
        </w:rPr>
        <w:t> </w:t>
      </w:r>
      <w:r>
        <w:rPr>
          <w:rFonts w:ascii="宋体" w:hAnsi="宋体" w:cs="宋体" w:eastAsia="宋体" w:hint="default"/>
          <w:sz w:val="24"/>
          <w:szCs w:val="24"/>
        </w:rPr>
        <w:t>基于在电力行业深耕多年的理解，同时逐年不断强化自主研发投入，公司在云计算、大</w:t>
      </w:r>
    </w:p>
    <w:p>
      <w:pPr>
        <w:pStyle w:val="Heading3"/>
        <w:spacing w:line="312" w:lineRule="exact" w:before="30"/>
        <w:ind w:right="995"/>
        <w:jc w:val="left"/>
      </w:pPr>
      <w:r>
        <w:rPr/>
        <w:t>数据、人工智能、移动互联、物联网、区块链等领域的技术储备日渐深厚。能源互联网是信 </w:t>
      </w:r>
      <w:r>
        <w:rPr>
          <w:spacing w:val="-2"/>
        </w:rPr>
        <w:t>息技术与能源技术融合发展的必然趋势，在电力改革背景下，能源互联网有望迎来实质发展，</w:t>
      </w:r>
      <w:r>
        <w:rPr/>
        <w:t> 各类新兴技术在能源互联网行业的应用也逐步扩大。公司紧贴行业发展趋势的技术储备有利 于在行业快速转型发展过程中抢得先机，并形成较强的竞争优势；同时升级现有产品，更好 地应对市场竞争，为现有及潜在的客户提供更先进、灵活的信息化支持。</w:t>
      </w:r>
    </w:p>
    <w:p>
      <w:pPr>
        <w:spacing w:line="312" w:lineRule="exact" w:before="0"/>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、布局能源行业上下游产业链</w:t>
      </w:r>
      <w:r>
        <w:rPr>
          <w:rFonts w:ascii="宋体" w:hAnsi="宋体" w:cs="宋体" w:eastAsia="宋体" w:hint="default"/>
          <w:b/>
          <w:bCs/>
          <w:w w:val="99"/>
          <w:sz w:val="24"/>
          <w:szCs w:val="24"/>
        </w:rPr>
        <w:t> </w:t>
      </w:r>
      <w:r>
        <w:rPr>
          <w:rFonts w:ascii="宋体" w:hAnsi="宋体" w:cs="宋体" w:eastAsia="宋体" w:hint="default"/>
          <w:sz w:val="24"/>
          <w:szCs w:val="24"/>
        </w:rPr>
        <w:t>凭借丰富的行业经验与积累，依托大数据、区块链、人工智能、云计算、物联网等新兴</w:t>
      </w:r>
    </w:p>
    <w:p>
      <w:pPr>
        <w:pStyle w:val="Heading3"/>
        <w:spacing w:line="312" w:lineRule="exact"/>
        <w:ind w:right="1139"/>
        <w:jc w:val="both"/>
      </w:pPr>
      <w:r>
        <w:rPr/>
        <w:t>技术，通过对外投资、并购等方式，公司积极打通能源行业上下游产业链，为电力行业提供 从发电、输电、配电、售电、用电各环节业务的一系列信息化服务，助力电力行业加速信息 化与工业化深度融合。</w:t>
      </w:r>
    </w:p>
    <w:p>
      <w:pPr>
        <w:spacing w:after="0" w:line="312"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985"/>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129" w:firstLine="480"/>
        <w:jc w:val="right"/>
      </w:pPr>
      <w:r>
        <w:rPr/>
        <w:t>当前，中国经济已进入了从高速增长阶段转向高质量发展的新阶段，加快信息化发展成 为国家规划体系的重要组成部分，大数据、人工智能等新兴技术已经上升到国家战略层面。 </w:t>
      </w:r>
      <w:r>
        <w:rPr>
          <w:rFonts w:ascii="Times New Roman" w:hAnsi="Times New Roman" w:cs="Times New Roman" w:eastAsia="Times New Roman" w:hint="default"/>
        </w:rPr>
        <w:t>2017</w:t>
      </w:r>
      <w:r>
        <w:rPr/>
        <w:t>年，公司管理层全面落实股东大会决策部署，围绕既定目标，强化既有优势业务， </w:t>
      </w:r>
      <w:r>
        <w:rPr>
          <w:spacing w:val="-2"/>
        </w:rPr>
        <w:t>优化产业布局和产品战略，新业务拓展取得良好成效，实现营业收入</w:t>
      </w:r>
      <w:r>
        <w:rPr>
          <w:rFonts w:ascii="Times New Roman" w:hAnsi="Times New Roman" w:cs="Times New Roman" w:eastAsia="Times New Roman" w:hint="default"/>
          <w:spacing w:val="-2"/>
        </w:rPr>
        <w:t>117,925.87</w:t>
      </w:r>
      <w:r>
        <w:rPr>
          <w:spacing w:val="-2"/>
        </w:rPr>
        <w:t>万元，同比增</w:t>
      </w:r>
      <w:r>
        <w:rPr/>
        <w:t> </w:t>
      </w:r>
      <w:r>
        <w:rPr>
          <w:spacing w:val="-2"/>
        </w:rPr>
        <w:t>长</w:t>
      </w:r>
      <w:r>
        <w:rPr>
          <w:rFonts w:ascii="Times New Roman" w:hAnsi="Times New Roman" w:cs="Times New Roman" w:eastAsia="Times New Roman" w:hint="default"/>
          <w:spacing w:val="-2"/>
        </w:rPr>
        <w:t>7.76%</w:t>
      </w:r>
      <w:r>
        <w:rPr>
          <w:spacing w:val="-2"/>
        </w:rPr>
        <w:t>；在加大</w:t>
      </w:r>
      <w:r>
        <w:rPr>
          <w:rFonts w:ascii="Times New Roman" w:hAnsi="Times New Roman" w:cs="Times New Roman" w:eastAsia="Times New Roman" w:hint="default"/>
          <w:spacing w:val="-2"/>
        </w:rPr>
        <w:t>“</w:t>
      </w:r>
      <w:r>
        <w:rPr>
          <w:spacing w:val="-2"/>
        </w:rPr>
        <w:t>大数据、人工智能、区块链、物联网、能源互联网、社会信息化</w:t>
      </w:r>
      <w:r>
        <w:rPr>
          <w:rFonts w:ascii="Times New Roman" w:hAnsi="Times New Roman" w:cs="Times New Roman" w:eastAsia="Times New Roman" w:hint="default"/>
          <w:spacing w:val="-2"/>
        </w:rPr>
        <w:t>”</w:t>
      </w:r>
      <w:r>
        <w:rPr>
          <w:spacing w:val="-2"/>
        </w:rPr>
        <w:t>等领域研</w:t>
      </w:r>
      <w:r>
        <w:rPr/>
        <w:t> 发投入的同时，公司强化职能管理、严控成本费用，优化效应开始体现，实现归属上市公司</w:t>
      </w:r>
    </w:p>
    <w:p>
      <w:pPr>
        <w:pStyle w:val="Heading3"/>
        <w:spacing w:line="302" w:lineRule="exact"/>
        <w:ind w:right="985"/>
        <w:jc w:val="left"/>
      </w:pPr>
      <w:r>
        <w:rPr/>
        <w:t>股东的净利润</w:t>
      </w:r>
      <w:r>
        <w:rPr>
          <w:rFonts w:ascii="Times New Roman" w:hAnsi="Times New Roman" w:cs="Times New Roman" w:eastAsia="Times New Roman" w:hint="default"/>
        </w:rPr>
        <w:t>17,227.26</w:t>
      </w:r>
      <w:r>
        <w:rPr/>
        <w:t>万元，同比增长</w:t>
      </w:r>
      <w:r>
        <w:rPr>
          <w:rFonts w:ascii="Times New Roman" w:hAnsi="Times New Roman" w:cs="Times New Roman" w:eastAsia="Times New Roman" w:hint="default"/>
        </w:rPr>
        <w:t>31.13%</w:t>
      </w:r>
      <w:r>
        <w:rPr/>
        <w:t>。</w:t>
      </w:r>
    </w:p>
    <w:p>
      <w:pPr>
        <w:spacing w:line="240" w:lineRule="auto" w:before="7"/>
        <w:rPr>
          <w:rFonts w:ascii="宋体" w:hAnsi="宋体" w:cs="宋体" w:eastAsia="宋体" w:hint="default"/>
          <w:sz w:val="21"/>
          <w:szCs w:val="21"/>
        </w:rPr>
      </w:pPr>
    </w:p>
    <w:p>
      <w:pPr>
        <w:pStyle w:val="Heading2"/>
        <w:spacing w:line="240" w:lineRule="auto"/>
        <w:ind w:right="985"/>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601"/>
        <w:gridCol w:w="2240"/>
        <w:gridCol w:w="2241"/>
        <w:gridCol w:w="2240"/>
      </w:tblGrid>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tabs>
                <w:tab w:pos="1599" w:val="left" w:leader="none"/>
              </w:tabs>
              <w:spacing w:line="240" w:lineRule="auto" w:before="21"/>
              <w:ind w:left="804"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1,179,258,733.12</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1,094,329,115.32</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7.76%</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380,449,048.20</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414,953,617.16</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-8.32%</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13,666,571.37</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12,980,827.69</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5.28%</w:t>
            </w:r>
          </w:p>
        </w:tc>
      </w:tr>
      <w:tr>
        <w:trPr>
          <w:trHeight w:val="3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220,808,221.03</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192,401,458.74</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14.76%</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425,572,278.70</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361,175,406.94</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17.83%</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-9,903,716.14</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-3,729,064.16</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-165.58%</w:t>
            </w:r>
            <w:r>
              <w:rPr>
                <w:rFonts w:ascii="Times New Roman"/>
                <w:sz w:val="18"/>
              </w:rPr>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21,057,600.91</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19,645,235.21</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7.19%</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15,516,399.78</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11,558,818.88</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34.24%</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30,559,381.17</w:t>
            </w:r>
          </w:p>
        </w:tc>
        <w:tc>
          <w:tcPr>
            <w:tcW w:w="2241" w:type="dxa"/>
            <w:tcBorders>
              <w:top w:val="single" w:sz="6" w:space="0" w:color="000000"/>
              <w:left w:val="single" w:sz="6" w:space="0" w:color="000000"/>
              <w:bottom w:val="single" w:sz="6" w:space="0" w:color="000000"/>
              <w:right w:val="single" w:sz="6" w:space="0" w:color="000000"/>
            </w:tcBorders>
          </w:tcPr>
          <w:p>
            <w:pPr/>
          </w:p>
        </w:tc>
        <w:tc>
          <w:tcPr>
            <w:tcW w:w="22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173,684,510.00</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108,460,452.62</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60.14%</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2,567,172.35</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32,045,692.48</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-91.99%</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241,914.61</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757,401.65</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-68.06%</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176,009,767.74</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139,748,743.45</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25.95%</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166,683,791.26</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142,089,799.45</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17.31%</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172,272,603.75</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131,374,311.56</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31.13%</w:t>
            </w:r>
          </w:p>
        </w:tc>
      </w:tr>
      <w:tr>
        <w:trPr>
          <w:trHeight w:val="3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0.2862</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0.2206</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29.74%</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0.2862</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0.2206</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29.74%</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107,131,433.68</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73,104,089.56</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46.55%</w:t>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-74,914,605.34</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-26,822,475.29</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-179.30%</w:t>
            </w:r>
            <w:r>
              <w:rPr>
                <w:rFonts w:ascii="Times New Roman"/>
                <w:sz w:val="18"/>
              </w:rPr>
            </w:r>
          </w:p>
        </w:tc>
      </w:tr>
      <w:tr>
        <w:trPr>
          <w:trHeight w:val="347"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-61,147,270.41</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84,706,618.53</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-172.19%</w:t>
            </w:r>
            <w:r>
              <w:rPr>
                <w:rFonts w:ascii="Times New Roman"/>
                <w:sz w:val="18"/>
              </w:rPr>
            </w:r>
          </w:p>
        </w:tc>
      </w:tr>
      <w:tr>
        <w:trPr>
          <w:trHeight w:val="3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-28,943,225.79</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130,988,232.80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-122.10%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BodyText"/>
        <w:spacing w:line="309" w:lineRule="auto"/>
        <w:ind w:left="273" w:right="1033"/>
        <w:jc w:val="left"/>
      </w:pPr>
      <w:r>
        <w:rPr>
          <w:rFonts w:ascii="Times New Roman" w:hAnsi="Times New Roman" w:cs="Times New Roman" w:eastAsia="Times New Roman" w:hint="default"/>
          <w:spacing w:val="-2"/>
        </w:rPr>
        <w:t>1</w:t>
      </w:r>
      <w:r>
        <w:rPr>
          <w:spacing w:val="-2"/>
        </w:rPr>
        <w:t>、营业收入同比增加</w:t>
      </w:r>
      <w:r>
        <w:rPr>
          <w:rFonts w:ascii="Times New Roman" w:hAnsi="Times New Roman" w:cs="Times New Roman" w:eastAsia="Times New Roman" w:hint="default"/>
          <w:spacing w:val="-2"/>
        </w:rPr>
        <w:t>7.76%</w:t>
      </w:r>
      <w:r>
        <w:rPr>
          <w:spacing w:val="-2"/>
        </w:rPr>
        <w:t>、营业成本同比下降</w:t>
      </w:r>
      <w:r>
        <w:rPr>
          <w:rFonts w:ascii="Times New Roman" w:hAnsi="Times New Roman" w:cs="Times New Roman" w:eastAsia="Times New Roman" w:hint="default"/>
          <w:spacing w:val="-2"/>
        </w:rPr>
        <w:t>8.32%</w:t>
      </w:r>
      <w:r>
        <w:rPr>
          <w:spacing w:val="-2"/>
        </w:rPr>
        <w:t>，营业成本与营业收入反向变动，主要原因在于：报告期收入构成中，</w:t>
      </w:r>
      <w:r>
        <w:rPr>
          <w:spacing w:val="-85"/>
        </w:rPr>
        <w:t> </w:t>
      </w:r>
      <w:r>
        <w:rPr>
          <w:spacing w:val="-85"/>
        </w:rPr>
      </w:r>
      <w:r>
        <w:rPr/>
        <w:t>毛利率水平高的软件业务收入占比上升所致。 </w:t>
      </w:r>
      <w:r>
        <w:rPr>
          <w:rFonts w:ascii="Times New Roman" w:hAnsi="Times New Roman" w:cs="Times New Roman" w:eastAsia="Times New Roman" w:hint="default"/>
        </w:rPr>
        <w:t>2</w:t>
      </w:r>
      <w:r>
        <w:rPr/>
        <w:t>、财务费用同比减少</w:t>
      </w:r>
      <w:r>
        <w:rPr>
          <w:rFonts w:ascii="Times New Roman" w:hAnsi="Times New Roman" w:cs="Times New Roman" w:eastAsia="Times New Roman" w:hint="default"/>
        </w:rPr>
        <w:t>165.58%</w:t>
      </w:r>
      <w:r>
        <w:rPr/>
        <w:t>，主要原因为：报告期强化资金管理，银行存款利息收入同比增加所致。</w:t>
      </w:r>
    </w:p>
    <w:p>
      <w:pPr>
        <w:pStyle w:val="BodyText"/>
        <w:spacing w:line="240" w:lineRule="auto" w:before="5"/>
        <w:ind w:left="274" w:right="1033"/>
        <w:jc w:val="left"/>
      </w:pPr>
      <w:r>
        <w:rPr>
          <w:rFonts w:ascii="Times New Roman" w:hAnsi="Times New Roman" w:cs="Times New Roman" w:eastAsia="Times New Roman" w:hint="default"/>
        </w:rPr>
        <w:t>3</w:t>
      </w:r>
      <w:r>
        <w:rPr/>
        <w:t>、投资收益同比增加</w:t>
      </w:r>
      <w:r>
        <w:rPr>
          <w:rFonts w:ascii="Times New Roman" w:hAnsi="Times New Roman" w:cs="Times New Roman" w:eastAsia="Times New Roman" w:hint="default"/>
        </w:rPr>
        <w:t>34.24%</w:t>
      </w:r>
      <w:r>
        <w:rPr/>
        <w:t>，主要原因为：报告期投资企业华凯集团现金分红所致。</w:t>
      </w:r>
    </w:p>
    <w:p>
      <w:pPr>
        <w:pStyle w:val="BodyText"/>
        <w:spacing w:line="300" w:lineRule="auto" w:before="63"/>
        <w:ind w:left="273" w:right="1033"/>
        <w:jc w:val="left"/>
      </w:pPr>
      <w:r>
        <w:rPr>
          <w:rFonts w:ascii="Times New Roman" w:hAnsi="Times New Roman" w:cs="Times New Roman" w:eastAsia="Times New Roman" w:hint="default"/>
        </w:rPr>
        <w:t>4</w:t>
      </w:r>
      <w:r>
        <w:rPr/>
        <w:t>、其他收益、营业外收入的同比增减，主要原因为：根据</w:t>
      </w:r>
      <w:r>
        <w:rPr>
          <w:rFonts w:ascii="Times New Roman" w:hAnsi="Times New Roman" w:cs="Times New Roman" w:eastAsia="Times New Roman" w:hint="default"/>
        </w:rPr>
        <w:t>2017</w:t>
      </w:r>
      <w:r>
        <w:rPr/>
        <w:t>年修订的《企业会计准则第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政府补助》，企业应当</w:t>
      </w:r>
      <w:r>
        <w:rPr>
          <w:spacing w:val="-43"/>
        </w:rPr>
        <w:t> </w:t>
      </w:r>
      <w:r>
        <w:rPr>
          <w:spacing w:val="-43"/>
        </w:rPr>
      </w:r>
      <w:r>
        <w:rPr>
          <w:spacing w:val="-3"/>
        </w:rPr>
        <w:t>在利润表中的</w:t>
      </w:r>
      <w:r>
        <w:rPr>
          <w:rFonts w:ascii="Times New Roman" w:hAnsi="Times New Roman" w:cs="Times New Roman" w:eastAsia="Times New Roman" w:hint="default"/>
          <w:spacing w:val="-3"/>
        </w:rPr>
        <w:t>“</w:t>
      </w:r>
      <w:r>
        <w:rPr>
          <w:spacing w:val="-3"/>
        </w:rPr>
        <w:t>营业利润</w:t>
      </w:r>
      <w:r>
        <w:rPr>
          <w:rFonts w:ascii="Times New Roman" w:hAnsi="Times New Roman" w:cs="Times New Roman" w:eastAsia="Times New Roman" w:hint="default"/>
          <w:spacing w:val="-3"/>
        </w:rPr>
        <w:t>”</w:t>
      </w:r>
      <w:r>
        <w:rPr>
          <w:spacing w:val="-3"/>
        </w:rPr>
        <w:t>项目之上单独列报</w:t>
      </w:r>
      <w:r>
        <w:rPr>
          <w:rFonts w:ascii="Times New Roman" w:hAnsi="Times New Roman" w:cs="Times New Roman" w:eastAsia="Times New Roman" w:hint="default"/>
          <w:spacing w:val="-3"/>
        </w:rPr>
        <w:t>“</w:t>
      </w:r>
      <w:r>
        <w:rPr>
          <w:spacing w:val="-3"/>
        </w:rPr>
        <w:t>其他收益</w:t>
      </w:r>
      <w:r>
        <w:rPr>
          <w:rFonts w:ascii="Times New Roman" w:hAnsi="Times New Roman" w:cs="Times New Roman" w:eastAsia="Times New Roman" w:hint="default"/>
          <w:spacing w:val="-3"/>
        </w:rPr>
        <w:t>”</w:t>
      </w:r>
      <w:r>
        <w:rPr>
          <w:spacing w:val="-3"/>
        </w:rPr>
        <w:t>项目，计入其他收益的政府补助在该项目中反映。根据准则修订要求，</w:t>
      </w:r>
      <w:r>
        <w:rPr>
          <w:spacing w:val="-53"/>
        </w:rPr>
        <w:t> </w:t>
      </w:r>
      <w:r>
        <w:rPr>
          <w:spacing w:val="-53"/>
        </w:rPr>
      </w:r>
      <w:r>
        <w:rPr/>
        <w:t>公司增值税即征即退收入与其他政府补助收入原在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列报，报告期重分类为在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列报。 </w:t>
      </w:r>
      <w:r>
        <w:rPr>
          <w:rFonts w:ascii="Times New Roman" w:hAnsi="Times New Roman" w:cs="Times New Roman" w:eastAsia="Times New Roman" w:hint="default"/>
        </w:rPr>
        <w:t>5</w:t>
      </w:r>
      <w:r>
        <w:rPr/>
        <w:t>、营业外支出同比减少</w:t>
      </w:r>
      <w:r>
        <w:rPr>
          <w:rFonts w:ascii="Times New Roman" w:hAnsi="Times New Roman" w:cs="Times New Roman" w:eastAsia="Times New Roman" w:hint="default"/>
        </w:rPr>
        <w:t>68.06%</w:t>
      </w:r>
      <w:r>
        <w:rPr/>
        <w:t>，主要原因为：金额变化不大、上年同期比较基数较小所致。</w:t>
      </w:r>
    </w:p>
    <w:p>
      <w:pPr>
        <w:pStyle w:val="BodyText"/>
        <w:spacing w:line="300" w:lineRule="auto" w:before="13"/>
        <w:ind w:left="543" w:right="1033" w:hanging="270"/>
        <w:jc w:val="left"/>
      </w:pPr>
      <w:r>
        <w:rPr>
          <w:rFonts w:ascii="Times New Roman" w:hAnsi="Times New Roman" w:cs="Times New Roman" w:eastAsia="Times New Roman" w:hint="default"/>
        </w:rPr>
        <w:t>6</w:t>
      </w:r>
      <w:r>
        <w:rPr/>
        <w:t>、利润总额、净利润、归属母公司所有者的净利润、每股收益同比增长，主要原因为： </w:t>
      </w:r>
      <w:r>
        <w:rPr>
          <w:rFonts w:ascii="Times New Roman" w:hAnsi="Times New Roman" w:cs="Times New Roman" w:eastAsia="Times New Roman" w:hint="default"/>
        </w:rPr>
        <w:t>a</w:t>
      </w:r>
      <w:r>
        <w:rPr/>
        <w:t>、公司强化既有优势业务，优化产业布局和产品战略，新业务拓展取得良好成效；加大</w:t>
      </w:r>
      <w:r>
        <w:rPr>
          <w:rFonts w:ascii="Times New Roman" w:hAnsi="Times New Roman" w:cs="Times New Roman" w:eastAsia="Times New Roman" w:hint="default"/>
        </w:rPr>
        <w:t>“</w:t>
      </w:r>
      <w:r>
        <w:rPr/>
        <w:t>大数据、人工智能、物联网、</w:t>
      </w:r>
    </w:p>
    <w:p>
      <w:pPr>
        <w:pStyle w:val="BodyText"/>
        <w:spacing w:line="300" w:lineRule="auto" w:before="13"/>
        <w:ind w:left="273" w:right="1033"/>
        <w:jc w:val="left"/>
      </w:pPr>
      <w:r>
        <w:rPr/>
        <w:t>能源互联网、社会信息化</w:t>
      </w:r>
      <w:r>
        <w:rPr>
          <w:rFonts w:ascii="Times New Roman" w:hAnsi="Times New Roman" w:cs="Times New Roman" w:eastAsia="Times New Roman" w:hint="default"/>
        </w:rPr>
        <w:t>”</w:t>
      </w:r>
      <w:r>
        <w:rPr/>
        <w:t>等领域的研发投入，强化职能管理、大力拓展市场、严控成本费用，优化效应开始体现，营业成</w:t>
      </w:r>
      <w:r>
        <w:rPr>
          <w:spacing w:val="-77"/>
        </w:rPr>
        <w:t> </w:t>
      </w:r>
      <w:r>
        <w:rPr>
          <w:spacing w:val="-77"/>
        </w:rPr>
      </w:r>
      <w:r>
        <w:rPr/>
        <w:t>本、销售费用、管理费用总体增幅低于收入增幅；</w:t>
      </w:r>
    </w:p>
    <w:p>
      <w:pPr>
        <w:pStyle w:val="BodyText"/>
        <w:spacing w:line="300" w:lineRule="auto" w:before="31"/>
        <w:ind w:left="274" w:right="1033" w:firstLine="270"/>
        <w:jc w:val="left"/>
      </w:pPr>
      <w:r>
        <w:rPr>
          <w:rFonts w:ascii="Times New Roman" w:hAnsi="Times New Roman" w:cs="Times New Roman" w:eastAsia="Times New Roman" w:hint="default"/>
          <w:spacing w:val="-2"/>
        </w:rPr>
        <w:t>b</w:t>
      </w:r>
      <w:r>
        <w:rPr>
          <w:spacing w:val="-2"/>
        </w:rPr>
        <w:t>、公司积极推进资本运作与兼并收购，报告期新增合并单位昊美科技与智和管理，亦为公司收入与利润增长作出了一定</w:t>
      </w:r>
      <w:r>
        <w:rPr/>
        <w:t> 贡献。</w:t>
      </w:r>
    </w:p>
    <w:p>
      <w:pPr>
        <w:pStyle w:val="BodyText"/>
        <w:spacing w:line="300" w:lineRule="auto" w:before="31"/>
        <w:ind w:left="273" w:right="1087"/>
        <w:jc w:val="both"/>
      </w:pPr>
      <w:r>
        <w:rPr>
          <w:rFonts w:ascii="Times New Roman" w:hAnsi="Times New Roman" w:cs="Times New Roman" w:eastAsia="Times New Roman" w:hint="default"/>
        </w:rPr>
        <w:t>7</w:t>
      </w:r>
      <w:r>
        <w:rPr/>
        <w:t>、公司营业利润增长</w:t>
      </w:r>
      <w:r>
        <w:rPr>
          <w:rFonts w:ascii="Times New Roman" w:hAnsi="Times New Roman" w:cs="Times New Roman" w:eastAsia="Times New Roman" w:hint="default"/>
        </w:rPr>
        <w:t>60.14%</w:t>
      </w:r>
      <w:r>
        <w:rPr/>
        <w:t>，增幅超过利润总额的增幅，主要原因为：根据</w:t>
      </w:r>
      <w:r>
        <w:rPr>
          <w:rFonts w:ascii="Times New Roman" w:hAnsi="Times New Roman" w:cs="Times New Roman" w:eastAsia="Times New Roman" w:hint="default"/>
        </w:rPr>
        <w:t>2017</w:t>
      </w:r>
      <w:r>
        <w:rPr/>
        <w:t>年修订的《企业会计准则第</w:t>
      </w:r>
      <w:r>
        <w:rPr>
          <w:spacing w:val="-9"/>
        </w:rPr>
        <w:t> </w:t>
      </w:r>
      <w:r>
        <w:rPr>
          <w:rFonts w:ascii="Times New Roman" w:hAnsi="Times New Roman" w:cs="Times New Roman" w:eastAsia="Times New Roman" w:hint="default"/>
        </w:rPr>
        <w:t>16</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政府</w:t>
      </w:r>
      <w:r>
        <w:rPr>
          <w:spacing w:val="-85"/>
        </w:rPr>
        <w:t> </w:t>
      </w:r>
      <w:r>
        <w:rPr/>
        <w:t>补助》，企业应当在利润表中的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项目，计入其他收益的政府补助在该项目中反映。 </w:t>
      </w:r>
      <w:r>
        <w:rPr>
          <w:spacing w:val="2"/>
        </w:rPr>
        <w:t>根据准则修订要求，公司增值税即征即退收入与其他政府补助收入原在</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列报，报告期重分类为在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4"/>
        </w:rPr>
        <w:t> </w:t>
      </w:r>
      <w:r>
        <w:rPr/>
        <w:t>列报，金额影响营业利润。</w:t>
      </w:r>
    </w:p>
    <w:p>
      <w:pPr>
        <w:pStyle w:val="BodyText"/>
        <w:spacing w:line="309" w:lineRule="auto" w:before="31"/>
        <w:ind w:left="274" w:right="1119"/>
        <w:jc w:val="left"/>
      </w:pPr>
      <w:r>
        <w:rPr>
          <w:rFonts w:ascii="Times New Roman" w:hAnsi="Times New Roman" w:cs="Times New Roman" w:eastAsia="Times New Roman" w:hint="default"/>
          <w:spacing w:val="-1"/>
        </w:rPr>
        <w:t>8</w:t>
      </w:r>
      <w:r>
        <w:rPr>
          <w:spacing w:val="-1"/>
        </w:rPr>
        <w:t>、经营活动产生的现金流量净额同比增加</w:t>
      </w:r>
      <w:r>
        <w:rPr>
          <w:spacing w:val="-7"/>
        </w:rPr>
        <w:t> </w:t>
      </w:r>
      <w:r>
        <w:rPr>
          <w:rFonts w:ascii="Times New Roman" w:hAnsi="Times New Roman" w:cs="Times New Roman" w:eastAsia="Times New Roman" w:hint="default"/>
          <w:spacing w:val="-2"/>
        </w:rPr>
        <w:t>46.55%</w:t>
      </w:r>
      <w:r>
        <w:rPr>
          <w:spacing w:val="-2"/>
        </w:rPr>
        <w:t>，主要原因为：报告期收入及回款增加，且成本费用控制良好，回款增幅</w:t>
      </w:r>
      <w:r>
        <w:rPr/>
        <w:t> 超过经营活动现金流出增幅所致。 </w:t>
      </w:r>
      <w:r>
        <w:rPr>
          <w:rFonts w:ascii="Times New Roman" w:hAnsi="Times New Roman" w:cs="Times New Roman" w:eastAsia="Times New Roman" w:hint="default"/>
        </w:rPr>
        <w:t>9</w:t>
      </w:r>
      <w:r>
        <w:rPr/>
        <w:t>、投资活动产生的现金流量净额同比减少</w:t>
      </w:r>
      <w:r>
        <w:rPr>
          <w:rFonts w:ascii="Times New Roman" w:hAnsi="Times New Roman" w:cs="Times New Roman" w:eastAsia="Times New Roman" w:hint="default"/>
        </w:rPr>
        <w:t>179.3%</w:t>
      </w:r>
      <w:r>
        <w:rPr/>
        <w:t>，主要原因为：报告期投资并购支出和智能产业园基建投入增加所致。</w:t>
      </w:r>
    </w:p>
    <w:p>
      <w:pPr>
        <w:pStyle w:val="BodyText"/>
        <w:spacing w:line="307" w:lineRule="auto" w:before="5"/>
        <w:ind w:left="274" w:right="1033"/>
        <w:jc w:val="left"/>
      </w:pPr>
      <w:r>
        <w:rPr>
          <w:rFonts w:ascii="Times New Roman" w:hAnsi="Times New Roman" w:cs="Times New Roman" w:eastAsia="Times New Roman" w:hint="default"/>
        </w:rPr>
        <w:t>10</w:t>
      </w:r>
      <w:r>
        <w:rPr/>
        <w:t>、筹资活动产生的现金流量净额同比减少</w:t>
      </w:r>
      <w:r>
        <w:rPr>
          <w:rFonts w:ascii="Times New Roman" w:hAnsi="Times New Roman" w:cs="Times New Roman" w:eastAsia="Times New Roman" w:hint="default"/>
        </w:rPr>
        <w:t>172.19%</w:t>
      </w:r>
      <w:r>
        <w:rPr/>
        <w:t>，主要原因为：报告期限制性股票授予资金流入同比减少，以及上年子 公司少数股东出资、报告期无此类资金流入，共同影响所致。 </w:t>
      </w:r>
      <w:r>
        <w:rPr>
          <w:rFonts w:ascii="Times New Roman" w:hAnsi="Times New Roman" w:cs="Times New Roman" w:eastAsia="Times New Roman" w:hint="default"/>
          <w:spacing w:val="-2"/>
        </w:rPr>
        <w:t>11</w:t>
      </w:r>
      <w:r>
        <w:rPr>
          <w:spacing w:val="-2"/>
        </w:rPr>
        <w:t>、现金及现金等价物净增加额同比减少</w:t>
      </w:r>
      <w:r>
        <w:rPr>
          <w:rFonts w:ascii="Times New Roman" w:hAnsi="Times New Roman" w:cs="Times New Roman" w:eastAsia="Times New Roman" w:hint="default"/>
          <w:spacing w:val="-2"/>
        </w:rPr>
        <w:t>122.10%</w:t>
      </w:r>
      <w:r>
        <w:rPr>
          <w:spacing w:val="-2"/>
        </w:rPr>
        <w:t>，主要原因为：报告期公司经营活动所产生的现金流量净额虽然同比增加，</w:t>
      </w:r>
      <w:r>
        <w:rPr>
          <w:spacing w:val="-72"/>
        </w:rPr>
        <w:t> </w:t>
      </w:r>
      <w:r>
        <w:rPr>
          <w:spacing w:val="-72"/>
        </w:rPr>
      </w:r>
      <w:r>
        <w:rPr>
          <w:spacing w:val="-4"/>
        </w:rPr>
        <w:t>但投资并购与智能产业园基建支出同比大幅增加、限制性股票授予与子公司少数股东增资资金流入大幅减少，共同影响所致。</w:t>
      </w:r>
    </w:p>
    <w:p>
      <w:pPr>
        <w:spacing w:line="240" w:lineRule="auto" w:before="1"/>
        <w:rPr>
          <w:rFonts w:ascii="宋体" w:hAnsi="宋体" w:cs="宋体" w:eastAsia="宋体" w:hint="default"/>
          <w:sz w:val="23"/>
          <w:szCs w:val="23"/>
        </w:rPr>
      </w:pPr>
    </w:p>
    <w:p>
      <w:pPr>
        <w:pStyle w:val="Heading4"/>
        <w:spacing w:line="240" w:lineRule="auto"/>
        <w:ind w:left="274" w:right="1033"/>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74" w:right="10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188"/>
        <w:gridCol w:w="1705"/>
        <w:gridCol w:w="1418"/>
        <w:gridCol w:w="1413"/>
        <w:gridCol w:w="1563"/>
        <w:gridCol w:w="1552"/>
        <w:gridCol w:w="1138"/>
      </w:tblGrid>
      <w:tr>
        <w:trPr>
          <w:trHeight w:val="206" w:hRule="exact"/>
        </w:trPr>
        <w:tc>
          <w:tcPr>
            <w:tcW w:w="2894" w:type="dxa"/>
            <w:gridSpan w:val="2"/>
            <w:vMerge w:val="restart"/>
            <w:tcBorders>
              <w:top w:val="single" w:sz="4" w:space="0" w:color="000000"/>
              <w:left w:val="single" w:sz="4" w:space="0" w:color="000000"/>
              <w:right w:val="single" w:sz="4" w:space="0" w:color="000000"/>
            </w:tcBorders>
            <w:shd w:val="clear" w:color="auto" w:fill="D2D2D2"/>
          </w:tcPr>
          <w:p>
            <w:pPr/>
          </w:p>
        </w:tc>
        <w:tc>
          <w:tcPr>
            <w:tcW w:w="2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894" w:type="dxa"/>
            <w:gridSpan w:val="2"/>
            <w:vMerge/>
            <w:tcBorders>
              <w:left w:val="single" w:sz="4" w:space="0" w:color="000000"/>
              <w:bottom w:val="nil" w:sz="6" w:space="0" w:color="auto"/>
              <w:right w:val="single" w:sz="4" w:space="0" w:color="000000"/>
            </w:tcBorders>
            <w:shd w:val="clear" w:color="auto" w:fill="D2D2D2"/>
          </w:tcPr>
          <w:p>
            <w:pPr/>
          </w:p>
        </w:tc>
        <w:tc>
          <w:tcPr>
            <w:tcW w:w="2831" w:type="dxa"/>
            <w:gridSpan w:val="2"/>
            <w:vMerge/>
            <w:tcBorders>
              <w:left w:val="single" w:sz="4" w:space="0" w:color="000000"/>
              <w:bottom w:val="single" w:sz="4" w:space="0" w:color="000000"/>
              <w:right w:val="single" w:sz="4" w:space="0" w:color="000000"/>
            </w:tcBorders>
            <w:shd w:val="clear" w:color="auto" w:fill="D2D2D2"/>
          </w:tcPr>
          <w:p>
            <w:pPr/>
          </w:p>
        </w:tc>
        <w:tc>
          <w:tcPr>
            <w:tcW w:w="3115" w:type="dxa"/>
            <w:gridSpan w:val="2"/>
            <w:vMerge/>
            <w:tcBorders>
              <w:left w:val="single" w:sz="4" w:space="0" w:color="000000"/>
              <w:bottom w:val="single" w:sz="4" w:space="0" w:color="000000"/>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2894" w:type="dxa"/>
            <w:gridSpan w:val="2"/>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13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894" w:type="dxa"/>
            <w:gridSpan w:val="2"/>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3" w:type="dxa"/>
            <w:vMerge/>
            <w:tcBorders>
              <w:left w:val="single" w:sz="4"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552"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8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1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1,179,258,733.12</w:t>
            </w:r>
          </w:p>
        </w:tc>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6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1,094,329,115.32</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w:t>
            </w:r>
          </w:p>
        </w:tc>
      </w:tr>
      <w:tr>
        <w:trPr>
          <w:trHeight w:val="396" w:hRule="exact"/>
        </w:trPr>
        <w:tc>
          <w:tcPr>
            <w:tcW w:w="997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1,070,006,112.28</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997,666,381.66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91.17%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7.25%</w:t>
            </w:r>
          </w:p>
        </w:tc>
      </w:tr>
      <w:tr>
        <w:trPr>
          <w:trHeight w:val="403" w:hRule="exact"/>
        </w:trPr>
        <w:tc>
          <w:tcPr>
            <w:tcW w:w="2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109,252,620.84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96,662,733.66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13.02%</w:t>
            </w:r>
          </w:p>
        </w:tc>
      </w:tr>
      <w:tr>
        <w:trPr>
          <w:trHeight w:val="402" w:hRule="exact"/>
        </w:trPr>
        <w:tc>
          <w:tcPr>
            <w:tcW w:w="997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集团管理业务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集团资源管理系列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544,238,400.46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437,736,230.14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24.33%</w:t>
            </w:r>
          </w:p>
        </w:tc>
      </w:tr>
      <w:tr>
        <w:trPr>
          <w:trHeight w:val="403" w:hRule="exact"/>
        </w:trPr>
        <w:tc>
          <w:tcPr>
            <w:tcW w:w="1188" w:type="dxa"/>
            <w:vMerge/>
            <w:tcBorders>
              <w:left w:val="single" w:sz="4" w:space="0" w:color="000000"/>
              <w:bottom w:val="nil" w:sz="6" w:space="0" w:color="auto"/>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咨询及客制化服务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113,550,142.13</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139,264,568.15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6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188"/>
        <w:gridCol w:w="1702"/>
        <w:gridCol w:w="1418"/>
        <w:gridCol w:w="1417"/>
        <w:gridCol w:w="1559"/>
        <w:gridCol w:w="1560"/>
        <w:gridCol w:w="1134"/>
      </w:tblGrid>
      <w:tr>
        <w:trPr>
          <w:trHeight w:val="402" w:hRule="exact"/>
        </w:trPr>
        <w:tc>
          <w:tcPr>
            <w:tcW w:w="1188" w:type="dxa"/>
            <w:vMerge w:val="restart"/>
            <w:tcBorders>
              <w:top w:val="nil" w:sz="6" w:space="0" w:color="auto"/>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企业大数据及云服务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108,320,547.72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79,522,618.76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36.21%</w:t>
            </w:r>
          </w:p>
        </w:tc>
      </w:tr>
      <w:tr>
        <w:trPr>
          <w:trHeight w:val="714" w:hRule="exact"/>
        </w:trPr>
        <w:tc>
          <w:tcPr>
            <w:tcW w:w="1188"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资产全寿命周期管理 系列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64,379,494.32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68,602,859.43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w:t>
            </w:r>
          </w:p>
        </w:tc>
      </w:tr>
      <w:tr>
        <w:trPr>
          <w:trHeight w:val="402" w:hRule="exact"/>
        </w:trPr>
        <w:tc>
          <w:tcPr>
            <w:tcW w:w="1188"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39,594,687.87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47,192,520.61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w:t>
            </w:r>
          </w:p>
        </w:tc>
      </w:tr>
      <w:tr>
        <w:trPr>
          <w:trHeight w:val="402" w:hRule="exact"/>
        </w:trPr>
        <w:tc>
          <w:tcPr>
            <w:tcW w:w="118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集团风控管理系列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44,477,390.58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31,065,355.34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43.17%</w:t>
            </w:r>
          </w:p>
        </w:tc>
      </w:tr>
      <w:tr>
        <w:trPr>
          <w:trHeight w:val="402"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智慧能源业务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分布式能源云服务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6,008,964.36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264,150.94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2,174.82%</w:t>
            </w:r>
          </w:p>
        </w:tc>
      </w:tr>
      <w:tr>
        <w:trPr>
          <w:trHeight w:val="402" w:hRule="exact"/>
        </w:trPr>
        <w:tc>
          <w:tcPr>
            <w:tcW w:w="1188"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配售电业务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2,003,501.02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能源互联网支撑业务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37,339,022.24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智能物联业务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燃料智能化管理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122,977,900.28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203,864,204.25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-39.68%</w:t>
            </w:r>
          </w:p>
        </w:tc>
      </w:tr>
      <w:tr>
        <w:trPr>
          <w:trHeight w:val="402" w:hRule="exact"/>
        </w:trPr>
        <w:tc>
          <w:tcPr>
            <w:tcW w:w="1188"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区块链及人工智能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7,799,523.31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735,849.06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959.94%</w:t>
            </w:r>
          </w:p>
        </w:tc>
      </w:tr>
      <w:tr>
        <w:trPr>
          <w:trHeight w:val="402" w:hRule="exact"/>
        </w:trPr>
        <w:tc>
          <w:tcPr>
            <w:tcW w:w="118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智能管理机器人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32,576,556.02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32,785,175.17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社会互联业务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6,352,919.71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6,165,094.51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118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智慧组织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3,964,580.79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1,545,566.03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156.51%</w:t>
            </w:r>
          </w:p>
        </w:tc>
      </w:tr>
      <w:tr>
        <w:trPr>
          <w:trHeight w:val="402"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39,796,865.16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36,951,296.28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w:t>
            </w:r>
          </w:p>
        </w:tc>
      </w:tr>
      <w:tr>
        <w:trPr>
          <w:trHeight w:val="402" w:hRule="exact"/>
        </w:trPr>
        <w:tc>
          <w:tcPr>
            <w:tcW w:w="1188"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371,015.16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995,531.13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-62.73%</w:t>
            </w:r>
          </w:p>
        </w:tc>
      </w:tr>
      <w:tr>
        <w:trPr>
          <w:trHeight w:val="402" w:hRule="exact"/>
        </w:trPr>
        <w:tc>
          <w:tcPr>
            <w:tcW w:w="118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5,507,221.99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7,638,095.52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-27.90%</w:t>
            </w:r>
          </w:p>
        </w:tc>
      </w:tr>
      <w:tr>
        <w:trPr>
          <w:trHeight w:val="402" w:hRule="exact"/>
        </w:trPr>
        <w:tc>
          <w:tcPr>
            <w:tcW w:w="997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95,147,406.26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138,355,049.96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-31.23%</w:t>
            </w:r>
          </w:p>
        </w:tc>
      </w:tr>
      <w:tr>
        <w:trPr>
          <w:trHeight w:val="402" w:hRule="exact"/>
        </w:trPr>
        <w:tc>
          <w:tcPr>
            <w:tcW w:w="2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357,941,513.00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319,308,806.16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12.10%</w:t>
            </w:r>
          </w:p>
        </w:tc>
      </w:tr>
      <w:tr>
        <w:trPr>
          <w:trHeight w:val="402" w:hRule="exact"/>
        </w:trPr>
        <w:tc>
          <w:tcPr>
            <w:tcW w:w="2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251,063,456.39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161,939,403.37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55.04%</w:t>
            </w:r>
          </w:p>
        </w:tc>
      </w:tr>
      <w:tr>
        <w:trPr>
          <w:trHeight w:val="402" w:hRule="exact"/>
        </w:trPr>
        <w:tc>
          <w:tcPr>
            <w:tcW w:w="2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148,650,036.35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203,198,149.22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-26.84%</w:t>
            </w:r>
          </w:p>
        </w:tc>
      </w:tr>
      <w:tr>
        <w:trPr>
          <w:trHeight w:val="402" w:hRule="exact"/>
        </w:trPr>
        <w:tc>
          <w:tcPr>
            <w:tcW w:w="2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204,572,049.81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132,757,664.07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w:t>
            </w:r>
          </w:p>
        </w:tc>
      </w:tr>
      <w:tr>
        <w:trPr>
          <w:trHeight w:val="402" w:hRule="exact"/>
        </w:trPr>
        <w:tc>
          <w:tcPr>
            <w:tcW w:w="2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121,884,271.31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138,770,042.54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-12.17%</w:t>
            </w:r>
          </w:p>
        </w:tc>
      </w:tr>
    </w:tbl>
    <w:p>
      <w:pPr>
        <w:spacing w:line="240" w:lineRule="auto" w:before="2"/>
        <w:rPr>
          <w:rFonts w:ascii="宋体" w:hAnsi="宋体" w:cs="宋体" w:eastAsia="宋体" w:hint="default"/>
          <w:sz w:val="19"/>
          <w:szCs w:val="19"/>
        </w:rPr>
      </w:pPr>
    </w:p>
    <w:p>
      <w:pPr>
        <w:pStyle w:val="Heading4"/>
        <w:spacing w:line="240" w:lineRule="auto" w:before="35"/>
        <w:ind w:left="274" w:right="10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860" w:right="0"/>
        </w:sectPr>
      </w:pPr>
    </w:p>
    <w:p>
      <w:pPr>
        <w:pStyle w:val="BodyText"/>
        <w:spacing w:line="348" w:lineRule="auto"/>
        <w:ind w:left="27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273" w:right="0"/>
        <w:jc w:val="left"/>
      </w:pPr>
      <w:r>
        <w:rPr/>
        <w:t>单位：元</w:t>
      </w:r>
    </w:p>
    <w:p>
      <w:pPr>
        <w:spacing w:after="0" w:line="240" w:lineRule="auto"/>
        <w:jc w:val="left"/>
        <w:sectPr>
          <w:type w:val="continuous"/>
          <w:pgSz w:w="11910" w:h="16840"/>
          <w:pgMar w:top="1060" w:bottom="1160" w:left="860" w:right="0"/>
          <w:cols w:num="2" w:equalWidth="0">
            <w:col w:w="3335" w:space="5585"/>
            <w:col w:w="2130"/>
          </w:cols>
        </w:sectPr>
      </w:pPr>
    </w:p>
    <w:p>
      <w:pPr>
        <w:spacing w:line="240" w:lineRule="auto" w:before="1"/>
        <w:rPr>
          <w:rFonts w:ascii="宋体" w:hAnsi="宋体" w:cs="宋体" w:eastAsia="宋体" w:hint="default"/>
          <w:sz w:val="8"/>
          <w:szCs w:val="8"/>
        </w:rPr>
      </w:pPr>
    </w:p>
    <w:tbl>
      <w:tblPr>
        <w:tblW w:w="0" w:type="auto"/>
        <w:jc w:val="left"/>
        <w:tblInd w:w="26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1,070,006,112.28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342,469,531.10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集团资源管理系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544,238,400.46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216,607,377.03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6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燃料智能化管理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122,977,900.28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76,521,575.03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357,941,513.00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119,321,935.47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251,063,456.39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80,022,830.48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148,650,036.35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43,200,685.45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204,572,049.81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64,325,305.03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121,884,271.31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47,084,663.50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w:t>
            </w:r>
          </w:p>
        </w:tc>
      </w:tr>
    </w:tbl>
    <w:p>
      <w:pPr>
        <w:pStyle w:val="BodyText"/>
        <w:spacing w:line="240" w:lineRule="auto" w:before="51"/>
        <w:ind w:left="154" w:right="98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985"/>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342,469,531.10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380,312,222.32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37,979,517.10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34,641,394.84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集团资源管理系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216,607,377.03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173,104,526.37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咨询及客制化服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9,765,312.22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12,049,502.52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企业大数据及云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5,551,549.39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3,966,417.04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资产全寿命周期 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4,178,229.18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3,936,284.39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8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1,465,003.45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1,469,181.66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集团风控管理系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3,513,713.86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2,503,179.46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分布式能源云服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552,824.72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22,069.84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2,404.89%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配售电业务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284,809.27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能源互联网支撑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12,940,111.14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燃料智能化管理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76,521,575.03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179,275,086.10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区块链及人工智 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405,575.21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36,702.57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智能管理设备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9,496,066.08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9,845,555.75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269,999.09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249,814.77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智慧组织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184,353.01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62,627.62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37,842,605.44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27,214,856.28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44,378.63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853,619.41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1,173,434.15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-27.25%</w:t>
            </w:r>
          </w:p>
        </w:tc>
      </w:tr>
    </w:tbl>
    <w:p>
      <w:pPr>
        <w:pStyle w:val="BodyText"/>
        <w:spacing w:line="240" w:lineRule="auto" w:before="51"/>
        <w:ind w:left="834" w:right="1153"/>
        <w:jc w:val="left"/>
      </w:pPr>
      <w:r>
        <w:rPr/>
        <w:t>说明</w:t>
      </w:r>
    </w:p>
    <w:p>
      <w:pPr>
        <w:spacing w:line="240" w:lineRule="auto" w:before="11"/>
        <w:rPr>
          <w:rFonts w:ascii="宋体" w:hAnsi="宋体" w:cs="宋体" w:eastAsia="宋体" w:hint="default"/>
          <w:sz w:val="26"/>
          <w:szCs w:val="26"/>
        </w:rPr>
      </w:pPr>
    </w:p>
    <w:p>
      <w:pPr>
        <w:pStyle w:val="Heading4"/>
        <w:spacing w:line="240" w:lineRule="auto"/>
        <w:ind w:left="834" w:right="115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834" w:right="1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8"/>
        <w:gridCol w:w="1276"/>
        <w:gridCol w:w="1112"/>
        <w:gridCol w:w="685"/>
        <w:gridCol w:w="2174"/>
        <w:gridCol w:w="1274"/>
        <w:gridCol w:w="1134"/>
        <w:gridCol w:w="880"/>
      </w:tblGrid>
      <w:tr>
        <w:trPr>
          <w:trHeight w:val="347" w:hRule="exact"/>
        </w:trPr>
        <w:tc>
          <w:tcPr>
            <w:tcW w:w="56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本报告期</w:t>
            </w:r>
            <w:r>
              <w:rPr>
                <w:rFonts w:ascii="宋体" w:hAnsi="宋体" w:cs="宋体" w:eastAsia="宋体" w:hint="default"/>
                <w:sz w:val="20"/>
                <w:szCs w:val="20"/>
              </w:rPr>
            </w:r>
          </w:p>
        </w:tc>
        <w:tc>
          <w:tcPr>
            <w:tcW w:w="546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上期</w:t>
            </w:r>
            <w:r>
              <w:rPr>
                <w:rFonts w:ascii="宋体" w:hAnsi="宋体" w:cs="宋体" w:eastAsia="宋体" w:hint="default"/>
                <w:sz w:val="20"/>
                <w:szCs w:val="20"/>
              </w:rPr>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28"/>
              <w:jc w:val="right"/>
              <w:rPr>
                <w:rFonts w:ascii="宋体" w:hAnsi="宋体" w:cs="宋体" w:eastAsia="宋体" w:hint="default"/>
                <w:sz w:val="20"/>
                <w:szCs w:val="20"/>
              </w:rPr>
            </w:pPr>
            <w:r>
              <w:rPr>
                <w:rFonts w:ascii="宋体" w:hAnsi="宋体" w:cs="宋体" w:eastAsia="宋体" w:hint="default"/>
                <w:b/>
                <w:bCs/>
                <w:w w:val="95"/>
                <w:sz w:val="20"/>
                <w:szCs w:val="20"/>
              </w:rPr>
              <w:t>持股比例</w:t>
            </w:r>
            <w:r>
              <w:rPr>
                <w:rFonts w:ascii="宋体" w:hAnsi="宋体" w:cs="宋体" w:eastAsia="宋体" w:hint="default"/>
                <w:sz w:val="20"/>
                <w:szCs w:val="20"/>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
              <w:jc w:val="center"/>
              <w:rPr>
                <w:rFonts w:ascii="宋体" w:hAnsi="宋体" w:cs="宋体" w:eastAsia="宋体" w:hint="default"/>
                <w:sz w:val="20"/>
                <w:szCs w:val="20"/>
              </w:rPr>
            </w:pPr>
            <w:r>
              <w:rPr>
                <w:rFonts w:ascii="宋体" w:hAnsi="宋体" w:cs="宋体" w:eastAsia="宋体" w:hint="default"/>
                <w:b/>
                <w:bCs/>
                <w:sz w:val="20"/>
                <w:szCs w:val="20"/>
              </w:rPr>
              <w:t>表决权比利</w:t>
            </w:r>
            <w:r>
              <w:rPr>
                <w:rFonts w:ascii="宋体" w:hAnsi="宋体" w:cs="宋体" w:eastAsia="宋体" w:hint="default"/>
                <w:sz w:val="20"/>
                <w:szCs w:val="20"/>
              </w:rPr>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33" w:right="34" w:hanging="201"/>
              <w:jc w:val="left"/>
              <w:rPr>
                <w:rFonts w:ascii="宋体" w:hAnsi="宋体" w:cs="宋体" w:eastAsia="宋体" w:hint="default"/>
                <w:sz w:val="20"/>
                <w:szCs w:val="20"/>
              </w:rPr>
            </w:pPr>
            <w:r>
              <w:rPr>
                <w:rFonts w:ascii="宋体" w:hAnsi="宋体" w:cs="宋体" w:eastAsia="宋体" w:hint="default"/>
                <w:b/>
                <w:bCs/>
                <w:sz w:val="20"/>
                <w:szCs w:val="20"/>
              </w:rPr>
              <w:t>取得方</w:t>
            </w:r>
            <w:r>
              <w:rPr>
                <w:rFonts w:ascii="宋体" w:hAnsi="宋体" w:cs="宋体" w:eastAsia="宋体" w:hint="default"/>
                <w:b/>
                <w:bCs/>
                <w:w w:val="99"/>
                <w:sz w:val="20"/>
                <w:szCs w:val="20"/>
              </w:rPr>
              <w:t> </w:t>
            </w:r>
            <w:r>
              <w:rPr>
                <w:rFonts w:ascii="宋体" w:hAnsi="宋体" w:cs="宋体" w:eastAsia="宋体" w:hint="default"/>
                <w:b/>
                <w:bCs/>
                <w:sz w:val="20"/>
                <w:szCs w:val="20"/>
              </w:rPr>
              <w:t>式</w:t>
            </w:r>
            <w:r>
              <w:rPr>
                <w:rFonts w:ascii="宋体" w:hAnsi="宋体" w:cs="宋体" w:eastAsia="宋体" w:hint="default"/>
                <w:sz w:val="20"/>
                <w:szCs w:val="20"/>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27"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表决权比利</w:t>
            </w:r>
            <w:r>
              <w:rPr>
                <w:rFonts w:ascii="宋体" w:hAnsi="宋体" w:cs="宋体" w:eastAsia="宋体" w:hint="default"/>
                <w:sz w:val="20"/>
                <w:szCs w:val="20"/>
              </w:rPr>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 w:right="0"/>
              <w:jc w:val="left"/>
              <w:rPr>
                <w:rFonts w:ascii="宋体" w:hAnsi="宋体" w:cs="宋体" w:eastAsia="宋体" w:hint="default"/>
                <w:sz w:val="20"/>
                <w:szCs w:val="20"/>
              </w:rPr>
            </w:pPr>
            <w:r>
              <w:rPr>
                <w:rFonts w:ascii="宋体" w:hAnsi="宋体" w:cs="宋体" w:eastAsia="宋体" w:hint="default"/>
                <w:b/>
                <w:bCs/>
                <w:sz w:val="20"/>
                <w:szCs w:val="20"/>
              </w:rPr>
              <w:t>取得方式</w:t>
            </w:r>
            <w:r>
              <w:rPr>
                <w:rFonts w:ascii="宋体" w:hAnsi="宋体" w:cs="宋体" w:eastAsia="宋体" w:hint="default"/>
                <w:sz w:val="20"/>
                <w:szCs w:val="20"/>
              </w:rPr>
            </w:r>
          </w:p>
        </w:tc>
      </w:tr>
      <w:tr>
        <w:trPr>
          <w:trHeight w:val="660"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9"/>
              <w:jc w:val="right"/>
              <w:rPr>
                <w:rFonts w:ascii="Times New Roman" w:hAnsi="Times New Roman" w:cs="Times New Roman" w:eastAsia="Times New Roman" w:hint="default"/>
                <w:sz w:val="20"/>
                <w:szCs w:val="20"/>
              </w:rPr>
            </w:pPr>
            <w:r>
              <w:rPr>
                <w:rFonts w:ascii="Times New Roman"/>
                <w:spacing w:val="-1"/>
                <w:sz w:val="20"/>
              </w:rPr>
              <w:t>100.00%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远光资本管理（横琴）有限 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18"/>
              <w:jc w:val="right"/>
              <w:rPr>
                <w:rFonts w:ascii="Times New Roman" w:hAnsi="Times New Roman" w:cs="Times New Roman" w:eastAsia="Times New Roman" w:hint="default"/>
                <w:sz w:val="20"/>
                <w:szCs w:val="20"/>
              </w:rPr>
            </w:pPr>
            <w:r>
              <w:rPr>
                <w:rFonts w:ascii="Times New Roman"/>
                <w:spacing w:val="-1"/>
                <w:sz w:val="20"/>
              </w:rPr>
              <w:t>57.98%</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57.98%</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4"/>
              <w:jc w:val="left"/>
              <w:rPr>
                <w:rFonts w:ascii="宋体" w:hAnsi="宋体" w:cs="宋体" w:eastAsia="宋体" w:hint="default"/>
                <w:sz w:val="18"/>
                <w:szCs w:val="18"/>
              </w:rPr>
            </w:pPr>
            <w:r>
              <w:rPr>
                <w:rFonts w:ascii="宋体" w:hAnsi="宋体" w:cs="宋体" w:eastAsia="宋体" w:hint="default"/>
                <w:sz w:val="18"/>
                <w:szCs w:val="18"/>
              </w:rPr>
              <w:t>远光共创智能科技股份有 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21" w:right="0"/>
              <w:jc w:val="left"/>
              <w:rPr>
                <w:rFonts w:ascii="Times New Roman" w:hAnsi="Times New Roman" w:cs="Times New Roman" w:eastAsia="Times New Roman" w:hint="default"/>
                <w:sz w:val="20"/>
                <w:szCs w:val="20"/>
              </w:rPr>
            </w:pPr>
            <w:r>
              <w:rPr>
                <w:rFonts w:ascii="Times New Roman"/>
                <w:sz w:val="20"/>
              </w:rPr>
              <w:t>51.00%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51.00%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远光智和卓源（北京）科技有限 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19"/>
              <w:jc w:val="right"/>
              <w:rPr>
                <w:rFonts w:ascii="Times New Roman" w:hAnsi="Times New Roman" w:cs="Times New Roman" w:eastAsia="Times New Roman" w:hint="default"/>
                <w:sz w:val="20"/>
                <w:szCs w:val="20"/>
              </w:rPr>
            </w:pPr>
            <w:r>
              <w:rPr>
                <w:rFonts w:ascii="Times New Roman"/>
                <w:sz w:val="20"/>
              </w:rPr>
              <w:t>57.98%</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57.98%</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远光智和卓源（北京）科技 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21" w:right="0"/>
              <w:jc w:val="left"/>
              <w:rPr>
                <w:rFonts w:ascii="Times New Roman" w:hAnsi="Times New Roman" w:cs="Times New Roman" w:eastAsia="Times New Roman" w:hint="default"/>
                <w:sz w:val="20"/>
                <w:szCs w:val="20"/>
              </w:rPr>
            </w:pPr>
            <w:r>
              <w:rPr>
                <w:rFonts w:ascii="Times New Roman"/>
                <w:sz w:val="20"/>
              </w:rPr>
              <w:t>66.67%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66.67%</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9"/>
              <w:jc w:val="right"/>
              <w:rPr>
                <w:rFonts w:ascii="Times New Roman" w:hAnsi="Times New Roman" w:cs="Times New Roman" w:eastAsia="Times New Roman" w:hint="default"/>
                <w:sz w:val="20"/>
                <w:szCs w:val="20"/>
              </w:rPr>
            </w:pPr>
            <w:r>
              <w:rPr>
                <w:rFonts w:ascii="Times New Roman"/>
                <w:spacing w:val="-1"/>
                <w:sz w:val="20"/>
              </w:rPr>
              <w:t>100.00%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71"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19"/>
              <w:jc w:val="right"/>
              <w:rPr>
                <w:rFonts w:ascii="Times New Roman" w:hAnsi="Times New Roman" w:cs="Times New Roman" w:eastAsia="Times New Roman" w:hint="default"/>
                <w:sz w:val="20"/>
                <w:szCs w:val="20"/>
              </w:rPr>
            </w:pPr>
            <w:r>
              <w:rPr>
                <w:rFonts w:ascii="Times New Roman"/>
                <w:sz w:val="20"/>
              </w:rPr>
              <w:t>51.00%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51.00%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26"/>
              <w:jc w:val="both"/>
              <w:rPr>
                <w:rFonts w:ascii="宋体" w:hAnsi="宋体" w:cs="宋体" w:eastAsia="宋体" w:hint="default"/>
                <w:sz w:val="18"/>
                <w:szCs w:val="18"/>
              </w:rPr>
            </w:pPr>
            <w:r>
              <w:rPr>
                <w:rFonts w:ascii="宋体" w:hAnsi="宋体" w:cs="宋体" w:eastAsia="宋体" w:hint="default"/>
                <w:sz w:val="18"/>
                <w:szCs w:val="18"/>
              </w:rPr>
              <w:t>非同一 控制收 购</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4"/>
              <w:jc w:val="left"/>
              <w:rPr>
                <w:rFonts w:ascii="宋体" w:hAnsi="宋体" w:cs="宋体" w:eastAsia="宋体" w:hint="default"/>
                <w:sz w:val="18"/>
                <w:szCs w:val="18"/>
              </w:rPr>
            </w:pPr>
            <w:r>
              <w:rPr>
                <w:rFonts w:ascii="宋体" w:hAnsi="宋体" w:cs="宋体" w:eastAsia="宋体" w:hint="default"/>
                <w:sz w:val="18"/>
                <w:szCs w:val="18"/>
              </w:rPr>
              <w:t>北京神航星云科技有限公 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21" w:right="0"/>
              <w:jc w:val="left"/>
              <w:rPr>
                <w:rFonts w:ascii="Times New Roman" w:hAnsi="Times New Roman" w:cs="Times New Roman" w:eastAsia="Times New Roman" w:hint="default"/>
                <w:sz w:val="20"/>
                <w:szCs w:val="20"/>
              </w:rPr>
            </w:pPr>
            <w:r>
              <w:rPr>
                <w:rFonts w:ascii="Times New Roman"/>
                <w:sz w:val="20"/>
              </w:rPr>
              <w:t>51.00%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51.00%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1"/>
              <w:jc w:val="left"/>
              <w:rPr>
                <w:rFonts w:ascii="宋体" w:hAnsi="宋体" w:cs="宋体" w:eastAsia="宋体" w:hint="default"/>
                <w:sz w:val="18"/>
                <w:szCs w:val="18"/>
              </w:rPr>
            </w:pPr>
            <w:r>
              <w:rPr>
                <w:rFonts w:ascii="宋体" w:hAnsi="宋体" w:cs="宋体" w:eastAsia="宋体" w:hint="default"/>
                <w:sz w:val="18"/>
                <w:szCs w:val="18"/>
              </w:rPr>
              <w:t>非同一控 制收购</w:t>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19"/>
              <w:jc w:val="right"/>
              <w:rPr>
                <w:rFonts w:ascii="Times New Roman" w:hAnsi="Times New Roman" w:cs="Times New Roman" w:eastAsia="Times New Roman" w:hint="default"/>
                <w:sz w:val="20"/>
                <w:szCs w:val="20"/>
              </w:rPr>
            </w:pPr>
            <w:r>
              <w:rPr>
                <w:rFonts w:ascii="Times New Roman"/>
                <w:sz w:val="20"/>
              </w:rPr>
              <w:t>66.67%</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66.67%</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4"/>
              <w:jc w:val="left"/>
              <w:rPr>
                <w:rFonts w:ascii="宋体" w:hAnsi="宋体" w:cs="宋体" w:eastAsia="宋体" w:hint="default"/>
                <w:sz w:val="18"/>
                <w:szCs w:val="18"/>
              </w:rPr>
            </w:pPr>
            <w:r>
              <w:rPr>
                <w:rFonts w:ascii="宋体" w:hAnsi="宋体" w:cs="宋体" w:eastAsia="宋体" w:hint="default"/>
                <w:sz w:val="18"/>
                <w:szCs w:val="18"/>
              </w:rPr>
              <w:t>南京远光广安信息科技有 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21" w:right="0"/>
              <w:jc w:val="left"/>
              <w:rPr>
                <w:rFonts w:ascii="Times New Roman" w:hAnsi="Times New Roman" w:cs="Times New Roman" w:eastAsia="Times New Roman" w:hint="default"/>
                <w:sz w:val="20"/>
                <w:szCs w:val="20"/>
              </w:rPr>
            </w:pPr>
            <w:r>
              <w:rPr>
                <w:rFonts w:ascii="Times New Roman"/>
                <w:sz w:val="20"/>
              </w:rPr>
              <w:t>66.67%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66.67%</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19"/>
              <w:jc w:val="right"/>
              <w:rPr>
                <w:rFonts w:ascii="Times New Roman" w:hAnsi="Times New Roman" w:cs="Times New Roman" w:eastAsia="Times New Roman" w:hint="default"/>
                <w:sz w:val="20"/>
                <w:szCs w:val="20"/>
              </w:rPr>
            </w:pPr>
            <w:r>
              <w:rPr>
                <w:rFonts w:ascii="Times New Roman"/>
                <w:sz w:val="20"/>
              </w:rPr>
              <w:t>70.00%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70.00%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21" w:right="0"/>
              <w:jc w:val="left"/>
              <w:rPr>
                <w:rFonts w:ascii="Times New Roman" w:hAnsi="Times New Roman" w:cs="Times New Roman" w:eastAsia="Times New Roman" w:hint="default"/>
                <w:sz w:val="20"/>
                <w:szCs w:val="20"/>
              </w:rPr>
            </w:pPr>
            <w:r>
              <w:rPr>
                <w:rFonts w:ascii="Times New Roman"/>
                <w:sz w:val="20"/>
              </w:rPr>
              <w:t>70.00%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70.00%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w:t>
            </w:r>
          </w:p>
        </w:tc>
      </w:tr>
    </w:tbl>
    <w:p>
      <w:pPr>
        <w:spacing w:after="0" w:line="240" w:lineRule="auto"/>
        <w:jc w:val="left"/>
        <w:rPr>
          <w:rFonts w:ascii="宋体" w:hAnsi="宋体" w:cs="宋体" w:eastAsia="宋体" w:hint="default"/>
          <w:sz w:val="18"/>
          <w:szCs w:val="18"/>
        </w:rPr>
        <w:sectPr>
          <w:pgSz w:w="11910" w:h="16840"/>
          <w:pgMar w:header="747" w:footer="979" w:top="1060" w:bottom="1160" w:left="3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548"/>
        <w:gridCol w:w="179"/>
        <w:gridCol w:w="1096"/>
        <w:gridCol w:w="1112"/>
        <w:gridCol w:w="685"/>
        <w:gridCol w:w="2174"/>
        <w:gridCol w:w="1274"/>
        <w:gridCol w:w="1134"/>
        <w:gridCol w:w="880"/>
      </w:tblGrid>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
        </w:tc>
        <w:tc>
          <w:tcPr>
            <w:tcW w:w="1276" w:type="dxa"/>
            <w:gridSpan w:val="2"/>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26"/>
              <w:jc w:val="left"/>
              <w:rPr>
                <w:rFonts w:ascii="宋体" w:hAnsi="宋体" w:cs="宋体" w:eastAsia="宋体" w:hint="default"/>
                <w:sz w:val="18"/>
                <w:szCs w:val="18"/>
              </w:rPr>
            </w:pPr>
            <w:r>
              <w:rPr>
                <w:rFonts w:ascii="宋体" w:hAnsi="宋体" w:cs="宋体" w:eastAsia="宋体" w:hint="default"/>
                <w:sz w:val="18"/>
                <w:szCs w:val="18"/>
              </w:rPr>
              <w:t>控制收 购</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制收购</w:t>
            </w:r>
          </w:p>
        </w:tc>
      </w:tr>
      <w:tr>
        <w:trPr>
          <w:trHeight w:val="347"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2" w:right="0"/>
              <w:jc w:val="left"/>
              <w:rPr>
                <w:rFonts w:ascii="Times New Roman" w:hAnsi="Times New Roman" w:cs="Times New Roman" w:eastAsia="Times New Roman" w:hint="default"/>
                <w:sz w:val="20"/>
                <w:szCs w:val="20"/>
              </w:rPr>
            </w:pPr>
            <w:r>
              <w:rPr>
                <w:rFonts w:ascii="Times New Roman"/>
                <w:sz w:val="20"/>
              </w:rPr>
              <w:t>100.00%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8"/>
              <w:jc w:val="right"/>
              <w:rPr>
                <w:rFonts w:ascii="Times New Roman" w:hAnsi="Times New Roman" w:cs="Times New Roman" w:eastAsia="Times New Roman" w:hint="default"/>
                <w:sz w:val="20"/>
                <w:szCs w:val="20"/>
              </w:rPr>
            </w:pPr>
            <w:r>
              <w:rPr>
                <w:rFonts w:ascii="Times New Roman"/>
                <w:spacing w:val="-1"/>
                <w:sz w:val="20"/>
              </w:rPr>
              <w:t>100.00%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Times New Roman" w:hAnsi="Times New Roman" w:cs="Times New Roman" w:eastAsia="Times New Roman" w:hint="default"/>
                <w:sz w:val="20"/>
                <w:szCs w:val="20"/>
              </w:rPr>
            </w:pPr>
            <w:r>
              <w:rPr>
                <w:rFonts w:ascii="Times New Roman"/>
                <w:sz w:val="20"/>
              </w:rPr>
              <w:t>100.00%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2" w:right="0"/>
              <w:jc w:val="left"/>
              <w:rPr>
                <w:rFonts w:ascii="Times New Roman" w:hAnsi="Times New Roman" w:cs="Times New Roman" w:eastAsia="Times New Roman" w:hint="default"/>
                <w:sz w:val="20"/>
                <w:szCs w:val="20"/>
              </w:rPr>
            </w:pPr>
            <w:r>
              <w:rPr>
                <w:rFonts w:ascii="Times New Roman"/>
                <w:sz w:val="20"/>
              </w:rPr>
              <w:t>100.00%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8"/>
              <w:jc w:val="right"/>
              <w:rPr>
                <w:rFonts w:ascii="Times New Roman" w:hAnsi="Times New Roman" w:cs="Times New Roman" w:eastAsia="Times New Roman" w:hint="default"/>
                <w:sz w:val="20"/>
                <w:szCs w:val="20"/>
              </w:rPr>
            </w:pPr>
            <w:r>
              <w:rPr>
                <w:rFonts w:ascii="Times New Roman"/>
                <w:spacing w:val="-1"/>
                <w:sz w:val="20"/>
              </w:rPr>
              <w:t>100.00%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74"/>
              <w:jc w:val="left"/>
              <w:rPr>
                <w:rFonts w:ascii="宋体" w:hAnsi="宋体" w:cs="宋体" w:eastAsia="宋体" w:hint="default"/>
                <w:sz w:val="18"/>
                <w:szCs w:val="18"/>
              </w:rPr>
            </w:pPr>
            <w:r>
              <w:rPr>
                <w:rFonts w:ascii="宋体" w:hAnsi="宋体" w:cs="宋体" w:eastAsia="宋体" w:hint="default"/>
                <w:sz w:val="18"/>
                <w:szCs w:val="18"/>
              </w:rPr>
              <w:t>珠海远光移动互联科技有 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Times New Roman" w:hAnsi="Times New Roman" w:cs="Times New Roman" w:eastAsia="Times New Roman" w:hint="default"/>
                <w:sz w:val="20"/>
                <w:szCs w:val="20"/>
              </w:rPr>
            </w:pPr>
            <w:r>
              <w:rPr>
                <w:rFonts w:ascii="Times New Roman"/>
                <w:sz w:val="20"/>
              </w:rPr>
              <w:t>100.00%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72"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21" w:right="0"/>
              <w:jc w:val="left"/>
              <w:rPr>
                <w:rFonts w:ascii="Times New Roman" w:hAnsi="Times New Roman" w:cs="Times New Roman" w:eastAsia="Times New Roman" w:hint="default"/>
                <w:sz w:val="20"/>
                <w:szCs w:val="20"/>
              </w:rPr>
            </w:pPr>
            <w:r>
              <w:rPr>
                <w:rFonts w:ascii="Times New Roman"/>
                <w:sz w:val="20"/>
              </w:rPr>
              <w:t>51.22%</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8"/>
              <w:jc w:val="right"/>
              <w:rPr>
                <w:rFonts w:ascii="Times New Roman" w:hAnsi="Times New Roman" w:cs="Times New Roman" w:eastAsia="Times New Roman" w:hint="default"/>
                <w:sz w:val="20"/>
                <w:szCs w:val="20"/>
              </w:rPr>
            </w:pPr>
            <w:r>
              <w:rPr>
                <w:rFonts w:ascii="Times New Roman"/>
                <w:sz w:val="20"/>
              </w:rPr>
              <w:t>51.22%</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26"/>
              <w:jc w:val="both"/>
              <w:rPr>
                <w:rFonts w:ascii="宋体" w:hAnsi="宋体" w:cs="宋体" w:eastAsia="宋体" w:hint="default"/>
                <w:sz w:val="18"/>
                <w:szCs w:val="18"/>
              </w:rPr>
            </w:pPr>
            <w:r>
              <w:rPr>
                <w:rFonts w:ascii="宋体" w:hAnsi="宋体" w:cs="宋体" w:eastAsia="宋体" w:hint="default"/>
                <w:sz w:val="18"/>
                <w:szCs w:val="18"/>
              </w:rPr>
              <w:t>非同一 控制收 购</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4"/>
              <w:jc w:val="left"/>
              <w:rPr>
                <w:rFonts w:ascii="宋体" w:hAnsi="宋体" w:cs="宋体" w:eastAsia="宋体" w:hint="default"/>
                <w:sz w:val="18"/>
                <w:szCs w:val="18"/>
              </w:rPr>
            </w:pPr>
            <w:r>
              <w:rPr>
                <w:rFonts w:ascii="宋体" w:hAnsi="宋体" w:cs="宋体" w:eastAsia="宋体" w:hint="default"/>
                <w:sz w:val="18"/>
                <w:szCs w:val="18"/>
              </w:rPr>
              <w:t>珠海远光软件产业有限公 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21" w:right="0"/>
              <w:jc w:val="left"/>
              <w:rPr>
                <w:rFonts w:ascii="Times New Roman" w:hAnsi="Times New Roman" w:cs="Times New Roman" w:eastAsia="Times New Roman" w:hint="default"/>
                <w:sz w:val="20"/>
                <w:szCs w:val="20"/>
              </w:rPr>
            </w:pPr>
            <w:r>
              <w:rPr>
                <w:rFonts w:ascii="Times New Roman"/>
                <w:sz w:val="20"/>
              </w:rPr>
              <w:t>51.22%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0" w:right="0"/>
              <w:jc w:val="left"/>
              <w:rPr>
                <w:rFonts w:ascii="Times New Roman" w:hAnsi="Times New Roman" w:cs="Times New Roman" w:eastAsia="Times New Roman" w:hint="default"/>
                <w:sz w:val="20"/>
                <w:szCs w:val="20"/>
              </w:rPr>
            </w:pPr>
            <w:r>
              <w:rPr>
                <w:rFonts w:ascii="Times New Roman"/>
                <w:sz w:val="20"/>
              </w:rPr>
              <w:t>51.22%</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1"/>
              <w:jc w:val="left"/>
              <w:rPr>
                <w:rFonts w:ascii="宋体" w:hAnsi="宋体" w:cs="宋体" w:eastAsia="宋体" w:hint="default"/>
                <w:sz w:val="18"/>
                <w:szCs w:val="18"/>
              </w:rPr>
            </w:pPr>
            <w:r>
              <w:rPr>
                <w:rFonts w:ascii="宋体" w:hAnsi="宋体" w:cs="宋体" w:eastAsia="宋体" w:hint="default"/>
                <w:sz w:val="18"/>
                <w:szCs w:val="18"/>
              </w:rPr>
              <w:t>非同一控 制收购</w:t>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21" w:right="0"/>
              <w:jc w:val="left"/>
              <w:rPr>
                <w:rFonts w:ascii="Times New Roman" w:hAnsi="Times New Roman" w:cs="Times New Roman" w:eastAsia="Times New Roman" w:hint="default"/>
                <w:sz w:val="20"/>
                <w:szCs w:val="20"/>
              </w:rPr>
            </w:pPr>
            <w:r>
              <w:rPr>
                <w:rFonts w:ascii="Times New Roman"/>
                <w:sz w:val="20"/>
              </w:rPr>
              <w:t>63.00%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38"/>
              <w:jc w:val="right"/>
              <w:rPr>
                <w:rFonts w:ascii="Times New Roman" w:hAnsi="Times New Roman" w:cs="Times New Roman" w:eastAsia="Times New Roman" w:hint="default"/>
                <w:sz w:val="20"/>
                <w:szCs w:val="20"/>
              </w:rPr>
            </w:pPr>
            <w:r>
              <w:rPr>
                <w:rFonts w:ascii="Times New Roman"/>
                <w:sz w:val="20"/>
              </w:rPr>
              <w:t>63.00%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4"/>
              <w:jc w:val="left"/>
              <w:rPr>
                <w:rFonts w:ascii="宋体" w:hAnsi="宋体" w:cs="宋体" w:eastAsia="宋体" w:hint="default"/>
                <w:sz w:val="18"/>
                <w:szCs w:val="18"/>
              </w:rPr>
            </w:pPr>
            <w:r>
              <w:rPr>
                <w:rFonts w:ascii="宋体" w:hAnsi="宋体" w:cs="宋体" w:eastAsia="宋体" w:hint="default"/>
                <w:sz w:val="18"/>
                <w:szCs w:val="18"/>
              </w:rPr>
              <w:t>珠海高远电能科技有限公 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21" w:right="0"/>
              <w:jc w:val="left"/>
              <w:rPr>
                <w:rFonts w:ascii="Times New Roman" w:hAnsi="Times New Roman" w:cs="Times New Roman" w:eastAsia="Times New Roman" w:hint="default"/>
                <w:sz w:val="20"/>
                <w:szCs w:val="20"/>
              </w:rPr>
            </w:pPr>
            <w:r>
              <w:rPr>
                <w:rFonts w:ascii="Times New Roman"/>
                <w:sz w:val="20"/>
              </w:rPr>
              <w:t>60.00%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0" w:right="0"/>
              <w:jc w:val="left"/>
              <w:rPr>
                <w:rFonts w:ascii="Times New Roman" w:hAnsi="Times New Roman" w:cs="Times New Roman" w:eastAsia="Times New Roman" w:hint="default"/>
                <w:sz w:val="20"/>
                <w:szCs w:val="20"/>
              </w:rPr>
            </w:pPr>
            <w:r>
              <w:rPr>
                <w:rFonts w:ascii="Times New Roman"/>
                <w:sz w:val="20"/>
              </w:rPr>
              <w:t>60.00%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3"/>
              <w:jc w:val="left"/>
              <w:rPr>
                <w:rFonts w:ascii="宋体" w:hAnsi="宋体" w:cs="宋体" w:eastAsia="宋体" w:hint="default"/>
                <w:sz w:val="18"/>
                <w:szCs w:val="18"/>
              </w:rPr>
            </w:pPr>
            <w:r>
              <w:rPr>
                <w:rFonts w:ascii="宋体" w:hAnsi="宋体" w:cs="宋体" w:eastAsia="宋体" w:hint="default"/>
                <w:spacing w:val="-6"/>
                <w:sz w:val="18"/>
                <w:szCs w:val="18"/>
              </w:rPr>
              <w:t>远光能源互联网产业发展（横琴</w:t>
            </w:r>
            <w:r>
              <w:rPr>
                <w:rFonts w:ascii="宋体" w:hAnsi="宋体" w:cs="宋体" w:eastAsia="宋体" w:hint="default"/>
                <w:sz w:val="18"/>
                <w:szCs w:val="18"/>
              </w:rPr>
              <w:t> 有限公司</w:t>
            </w:r>
          </w:p>
        </w:tc>
        <w:tc>
          <w:tcPr>
            <w:tcW w:w="1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8"/>
              <w:jc w:val="right"/>
              <w:rPr>
                <w:rFonts w:ascii="Times New Roman" w:hAnsi="Times New Roman" w:cs="Times New Roman" w:eastAsia="Times New Roman" w:hint="default"/>
                <w:sz w:val="20"/>
                <w:szCs w:val="20"/>
              </w:rPr>
            </w:pPr>
            <w:r>
              <w:rPr>
                <w:rFonts w:ascii="Times New Roman"/>
                <w:spacing w:val="-1"/>
                <w:sz w:val="20"/>
              </w:rPr>
              <w:t>100.00%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远光能源互联网产业发展</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（横琴）有限公司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Times New Roman" w:hAnsi="Times New Roman" w:cs="Times New Roman" w:eastAsia="Times New Roman" w:hint="default"/>
                <w:sz w:val="20"/>
                <w:szCs w:val="20"/>
              </w:rPr>
            </w:pPr>
            <w:r>
              <w:rPr>
                <w:rFonts w:ascii="Times New Roman"/>
                <w:sz w:val="20"/>
              </w:rPr>
              <w:t>100.00%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远光信息技术（澳门）有限公司</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2" w:right="0"/>
              <w:jc w:val="left"/>
              <w:rPr>
                <w:rFonts w:ascii="Times New Roman" w:hAnsi="Times New Roman" w:cs="Times New Roman" w:eastAsia="Times New Roman" w:hint="default"/>
                <w:sz w:val="20"/>
                <w:szCs w:val="20"/>
              </w:rPr>
            </w:pPr>
            <w:r>
              <w:rPr>
                <w:rFonts w:ascii="Times New Roman"/>
                <w:sz w:val="20"/>
              </w:rPr>
              <w:t>100.00%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8"/>
              <w:jc w:val="right"/>
              <w:rPr>
                <w:rFonts w:ascii="Times New Roman" w:hAnsi="Times New Roman" w:cs="Times New Roman" w:eastAsia="Times New Roman" w:hint="default"/>
                <w:sz w:val="20"/>
                <w:szCs w:val="20"/>
              </w:rPr>
            </w:pPr>
            <w:r>
              <w:rPr>
                <w:rFonts w:ascii="Times New Roman"/>
                <w:spacing w:val="-1"/>
                <w:sz w:val="20"/>
              </w:rPr>
              <w:t>100.00%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远光信息技术（澳门）有限 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1" w:right="0"/>
              <w:jc w:val="left"/>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Times New Roman" w:hAnsi="Times New Roman" w:cs="Times New Roman" w:eastAsia="Times New Roman" w:hint="default"/>
                <w:sz w:val="20"/>
                <w:szCs w:val="20"/>
              </w:rPr>
            </w:pPr>
            <w:r>
              <w:rPr>
                <w:rFonts w:ascii="Times New Roman"/>
                <w:sz w:val="20"/>
              </w:rPr>
              <w:t>100.00%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71"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2" w:right="0"/>
              <w:jc w:val="left"/>
              <w:rPr>
                <w:rFonts w:ascii="Times New Roman" w:hAnsi="Times New Roman" w:cs="Times New Roman" w:eastAsia="Times New Roman" w:hint="default"/>
                <w:sz w:val="18"/>
                <w:szCs w:val="18"/>
              </w:rPr>
            </w:pPr>
            <w:r>
              <w:rPr>
                <w:rFonts w:ascii="Times New Roman"/>
                <w:sz w:val="18"/>
              </w:rPr>
              <w:t>52.00%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0" w:right="0"/>
              <w:jc w:val="left"/>
              <w:rPr>
                <w:rFonts w:ascii="Times New Roman" w:hAnsi="Times New Roman" w:cs="Times New Roman" w:eastAsia="Times New Roman" w:hint="default"/>
                <w:sz w:val="18"/>
                <w:szCs w:val="18"/>
              </w:rPr>
            </w:pPr>
            <w:r>
              <w:rPr>
                <w:rFonts w:ascii="Times New Roman"/>
                <w:sz w:val="18"/>
              </w:rPr>
              <w:t>52.00%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26"/>
              <w:jc w:val="both"/>
              <w:rPr>
                <w:rFonts w:ascii="宋体" w:hAnsi="宋体" w:cs="宋体" w:eastAsia="宋体" w:hint="default"/>
                <w:sz w:val="18"/>
                <w:szCs w:val="18"/>
              </w:rPr>
            </w:pPr>
            <w:r>
              <w:rPr>
                <w:rFonts w:ascii="宋体" w:hAnsi="宋体" w:cs="宋体" w:eastAsia="宋体" w:hint="default"/>
                <w:sz w:val="18"/>
                <w:szCs w:val="18"/>
              </w:rPr>
              <w:t>非同一 控制收 购</w:t>
            </w:r>
          </w:p>
        </w:tc>
        <w:tc>
          <w:tcPr>
            <w:tcW w:w="217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杭州昊美科技有限公司及其子公 司</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2" w:right="0"/>
              <w:jc w:val="left"/>
              <w:rPr>
                <w:rFonts w:ascii="Times New Roman" w:hAnsi="Times New Roman" w:cs="Times New Roman" w:eastAsia="Times New Roman" w:hint="default"/>
                <w:sz w:val="18"/>
                <w:szCs w:val="18"/>
              </w:rPr>
            </w:pPr>
            <w:r>
              <w:rPr>
                <w:rFonts w:ascii="Times New Roman"/>
                <w:sz w:val="18"/>
              </w:rPr>
              <w:t>70.71%</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0" w:right="0"/>
              <w:jc w:val="left"/>
              <w:rPr>
                <w:rFonts w:ascii="Times New Roman" w:hAnsi="Times New Roman" w:cs="Times New Roman" w:eastAsia="Times New Roman" w:hint="default"/>
                <w:sz w:val="18"/>
                <w:szCs w:val="18"/>
              </w:rPr>
            </w:pPr>
            <w:r>
              <w:rPr>
                <w:rFonts w:ascii="Times New Roman"/>
                <w:sz w:val="18"/>
              </w:rPr>
              <w:t>70.71%</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26"/>
              <w:jc w:val="both"/>
              <w:rPr>
                <w:rFonts w:ascii="宋体" w:hAnsi="宋体" w:cs="宋体" w:eastAsia="宋体" w:hint="default"/>
                <w:sz w:val="18"/>
                <w:szCs w:val="18"/>
              </w:rPr>
            </w:pPr>
            <w:r>
              <w:rPr>
                <w:rFonts w:ascii="宋体" w:hAnsi="宋体" w:cs="宋体" w:eastAsia="宋体" w:hint="default"/>
                <w:sz w:val="18"/>
                <w:szCs w:val="18"/>
              </w:rPr>
              <w:t>非同一 控制收 购</w:t>
            </w:r>
          </w:p>
        </w:tc>
        <w:tc>
          <w:tcPr>
            <w:tcW w:w="217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834" w:right="115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8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根据公司战略规划及实际应用，报告期内对公司产品及服务类别名称进行了规范和统一，将原</w:t>
      </w:r>
      <w:r>
        <w:rPr>
          <w:rFonts w:ascii="Times New Roman" w:hAnsi="Times New Roman" w:cs="Times New Roman" w:eastAsia="Times New Roman" w:hint="default"/>
        </w:rPr>
        <w:t>“</w:t>
      </w:r>
      <w:r>
        <w:rPr/>
        <w:t>能源互联网业务</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智 慧能源业务</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社会信息化业务</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社会互联业务</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0"/>
          <w:szCs w:val="20"/>
        </w:rPr>
      </w:pPr>
    </w:p>
    <w:p>
      <w:pPr>
        <w:pStyle w:val="Heading4"/>
        <w:spacing w:line="240" w:lineRule="auto"/>
        <w:ind w:left="833" w:right="115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833" w:right="1153"/>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8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125,584,590.72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834" w:right="115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8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35,452,868.06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30,174,084.87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22,356,735.92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21,280,449.03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30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16,320,452.84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125,584,590.72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r>
    </w:tbl>
    <w:p>
      <w:pPr>
        <w:pStyle w:val="BodyText"/>
        <w:spacing w:line="240" w:lineRule="auto" w:before="51"/>
        <w:ind w:left="154" w:right="985"/>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42,864,898.99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23,504,273.50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4,939,873.08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4,874,209.73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5,053,132.08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4,493,410.60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42,864,898.99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w:t>
            </w:r>
          </w:p>
        </w:tc>
      </w:tr>
    </w:tbl>
    <w:p>
      <w:pPr>
        <w:pStyle w:val="BodyText"/>
        <w:spacing w:line="240" w:lineRule="auto" w:before="51"/>
        <w:ind w:left="154" w:right="985"/>
        <w:jc w:val="left"/>
      </w:pPr>
      <w:r>
        <w:rPr/>
        <w:t>主要供应商其他情况说明</w:t>
      </w:r>
    </w:p>
    <w:p>
      <w:pPr>
        <w:pStyle w:val="BodyText"/>
        <w:spacing w:line="240" w:lineRule="auto" w:before="117"/>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220,808,221.03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192,401,458.74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425,572,278.70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361,175,406.94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-9,903,716.14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-3,729,064.16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-165.58%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报告期强化资金管理、银行利息收入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52" w:lineRule="auto" w:before="62"/>
        <w:ind w:left="513" w:right="1166" w:firstLine="0"/>
        <w:jc w:val="both"/>
        <w:rPr>
          <w:rFonts w:ascii="宋体" w:hAnsi="宋体" w:cs="宋体" w:eastAsia="宋体" w:hint="default"/>
          <w:sz w:val="22"/>
          <w:szCs w:val="22"/>
        </w:rPr>
      </w:pPr>
      <w:r>
        <w:rPr>
          <w:rFonts w:ascii="宋体" w:hAnsi="宋体" w:cs="宋体" w:eastAsia="宋体" w:hint="default"/>
          <w:spacing w:val="-1"/>
          <w:sz w:val="22"/>
          <w:szCs w:val="22"/>
        </w:rPr>
        <w:t>报告期内，公司加大了</w:t>
      </w:r>
      <w:r>
        <w:rPr>
          <w:rFonts w:ascii="Times New Roman" w:hAnsi="Times New Roman" w:cs="Times New Roman" w:eastAsia="Times New Roman" w:hint="default"/>
          <w:spacing w:val="-1"/>
          <w:sz w:val="23"/>
          <w:szCs w:val="23"/>
        </w:rPr>
        <w:t>“</w:t>
      </w:r>
      <w:r>
        <w:rPr>
          <w:rFonts w:ascii="宋体" w:hAnsi="宋体" w:cs="宋体" w:eastAsia="宋体" w:hint="default"/>
          <w:spacing w:val="-1"/>
          <w:sz w:val="23"/>
          <w:szCs w:val="23"/>
        </w:rPr>
        <w:t>大数据、人工智能、物联网、能源互联网、社会信息化</w:t>
      </w:r>
      <w:r>
        <w:rPr>
          <w:rFonts w:ascii="Times New Roman" w:hAnsi="Times New Roman" w:cs="Times New Roman" w:eastAsia="Times New Roman" w:hint="default"/>
          <w:spacing w:val="-1"/>
          <w:sz w:val="23"/>
          <w:szCs w:val="23"/>
        </w:rPr>
        <w:t>”</w:t>
      </w:r>
      <w:r>
        <w:rPr>
          <w:rFonts w:ascii="宋体" w:hAnsi="宋体" w:cs="宋体" w:eastAsia="宋体" w:hint="default"/>
          <w:spacing w:val="-1"/>
          <w:sz w:val="22"/>
          <w:szCs w:val="22"/>
        </w:rPr>
        <w:t>等领域的新产</w:t>
      </w:r>
      <w:r>
        <w:rPr>
          <w:rFonts w:ascii="宋体" w:hAnsi="宋体" w:cs="宋体" w:eastAsia="宋体" w:hint="default"/>
          <w:spacing w:val="-82"/>
          <w:sz w:val="22"/>
          <w:szCs w:val="22"/>
        </w:rPr>
        <w:t> </w:t>
      </w:r>
      <w:r>
        <w:rPr>
          <w:rFonts w:ascii="宋体" w:hAnsi="宋体" w:cs="宋体" w:eastAsia="宋体" w:hint="default"/>
          <w:sz w:val="22"/>
          <w:szCs w:val="22"/>
        </w:rPr>
        <w:t>品研发投入，系列产品成果相继形成，有望在将来为公司贡献业绩。报告期内公司研发投入金额</w:t>
      </w:r>
      <w:r>
        <w:rPr>
          <w:rFonts w:ascii="宋体" w:hAnsi="宋体" w:cs="宋体" w:eastAsia="宋体" w:hint="default"/>
          <w:w w:val="99"/>
          <w:sz w:val="22"/>
          <w:szCs w:val="22"/>
        </w:rPr>
        <w:t> </w:t>
      </w:r>
      <w:r>
        <w:rPr>
          <w:rFonts w:ascii="Times New Roman" w:hAnsi="Times New Roman" w:cs="Times New Roman" w:eastAsia="Times New Roman" w:hint="default"/>
          <w:sz w:val="24"/>
          <w:szCs w:val="24"/>
        </w:rPr>
        <w:t>29,232.30</w:t>
      </w:r>
      <w:r>
        <w:rPr>
          <w:rFonts w:ascii="Times New Roman" w:hAnsi="Times New Roman" w:cs="Times New Roman" w:eastAsia="Times New Roman" w:hint="default"/>
          <w:spacing w:val="30"/>
          <w:sz w:val="24"/>
          <w:szCs w:val="24"/>
        </w:rPr>
        <w:t> </w:t>
      </w:r>
      <w:r>
        <w:rPr>
          <w:rFonts w:ascii="宋体" w:hAnsi="宋体" w:cs="宋体" w:eastAsia="宋体" w:hint="default"/>
          <w:sz w:val="22"/>
          <w:szCs w:val="22"/>
        </w:rPr>
        <w:t>万元，同比增长</w:t>
      </w:r>
      <w:r>
        <w:rPr>
          <w:rFonts w:ascii="Times New Roman" w:hAnsi="Times New Roman" w:cs="Times New Roman" w:eastAsia="Times New Roman" w:hint="default"/>
          <w:sz w:val="22"/>
          <w:szCs w:val="22"/>
        </w:rPr>
        <w:t>20.47%</w:t>
      </w:r>
      <w:r>
        <w:rPr>
          <w:rFonts w:ascii="宋体" w:hAnsi="宋体" w:cs="宋体" w:eastAsia="宋体" w:hint="default"/>
          <w:sz w:val="22"/>
          <w:szCs w:val="22"/>
        </w:rPr>
        <w:t>。</w:t>
      </w:r>
    </w:p>
    <w:p>
      <w:pPr>
        <w:pStyle w:val="BodyText"/>
        <w:spacing w:line="240" w:lineRule="auto" w:before="61"/>
        <w:ind w:left="154" w:right="985"/>
        <w:jc w:val="left"/>
      </w:pPr>
      <w:r>
        <w:rPr/>
        <w:t>公司研发投入情况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292,323,010.02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242,646,345.87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34,580,356.85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28,073,691.09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r>
    </w:tbl>
    <w:p>
      <w:pPr>
        <w:pStyle w:val="BodyText"/>
        <w:spacing w:line="240" w:lineRule="auto" w:before="51"/>
        <w:ind w:left="154" w:right="985"/>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1,218,954,698.64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1,106,470,356.88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1,111,823,264.96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1,033,366,267.32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107,131,433.68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73,104,089.56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510,811,328.72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674,085,837.53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585,725,934.06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700,908,312.82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-74,914,605.34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-26,822,475.29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-179.30%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50,349,176.80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164,046,832.00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111,496,447.21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79,340,213.47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-61,147,270.41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84,706,618.53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-172.19%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-28,943,225.79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130,988,232.80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-122.10%</w:t>
            </w:r>
            <w:r>
              <w:rPr>
                <w:rFonts w:ascii="Times New Roman"/>
                <w:sz w:val="18"/>
              </w:rPr>
            </w:r>
          </w:p>
        </w:tc>
      </w:tr>
    </w:tbl>
    <w:p>
      <w:pPr>
        <w:pStyle w:val="BodyText"/>
        <w:spacing w:line="240" w:lineRule="auto" w:before="51"/>
        <w:ind w:left="154" w:right="985"/>
        <w:jc w:val="left"/>
      </w:pPr>
      <w:r>
        <w:rPr/>
        <w:t>相关数据同比发生重大变动的主要影响因素说明</w:t>
      </w:r>
    </w:p>
    <w:p>
      <w:pPr>
        <w:pStyle w:val="BodyText"/>
        <w:spacing w:line="240" w:lineRule="auto" w:before="117"/>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27"/>
        <w:jc w:val="left"/>
      </w:pPr>
      <w:r>
        <w:rPr/>
        <w:t>经营活动产生的现金流量净额同比增加</w:t>
      </w:r>
      <w:r>
        <w:rPr>
          <w:spacing w:val="-19"/>
        </w:rPr>
        <w:t> </w:t>
      </w:r>
      <w:r>
        <w:rPr>
          <w:rFonts w:ascii="Times New Roman" w:hAnsi="Times New Roman" w:cs="Times New Roman" w:eastAsia="Times New Roman" w:hint="default"/>
        </w:rPr>
        <w:t>46.55%</w:t>
      </w:r>
      <w:r>
        <w:rPr/>
        <w:t>，主要原因为：报告期收入及回款增加，且成本费用控制良好，回款增幅超 过经营活动现金流出增幅所致。 投资活动产生的现金流量净额同比减少</w:t>
      </w:r>
      <w:r>
        <w:rPr>
          <w:rFonts w:ascii="Times New Roman" w:hAnsi="Times New Roman" w:cs="Times New Roman" w:eastAsia="Times New Roman" w:hint="default"/>
        </w:rPr>
        <w:t>179.3%</w:t>
      </w:r>
      <w:r>
        <w:rPr/>
        <w:t>，主要原因为：报告期投资并购支出和智能产业园基建投入增加所致。 筹资活动现金流入减少</w:t>
      </w:r>
      <w:r>
        <w:rPr>
          <w:rFonts w:ascii="Times New Roman" w:hAnsi="Times New Roman" w:cs="Times New Roman" w:eastAsia="Times New Roman" w:hint="default"/>
        </w:rPr>
        <w:t>69.31%</w:t>
      </w:r>
      <w:r>
        <w:rPr/>
        <w:t>，主要原因为：报告期限制性股票授予资金流入同比减少，以及上年子公司少数股东 增资、报告期无此类资金流入，共同影响所致。 筹资活动现金流出增加</w:t>
      </w:r>
      <w:r>
        <w:rPr>
          <w:rFonts w:ascii="Times New Roman" w:hAnsi="Times New Roman" w:cs="Times New Roman" w:eastAsia="Times New Roman" w:hint="default"/>
        </w:rPr>
        <w:t>40.53%</w:t>
      </w:r>
      <w:r>
        <w:rPr/>
        <w:t>，主要原因为：报告期子公司贷款到期归还，上年无此类资金流出所致。 筹资活动产生的现金流量净额同比减少</w:t>
      </w:r>
      <w:r>
        <w:rPr>
          <w:rFonts w:ascii="Times New Roman" w:hAnsi="Times New Roman" w:cs="Times New Roman" w:eastAsia="Times New Roman" w:hint="default"/>
        </w:rPr>
        <w:t>172.19%</w:t>
      </w:r>
      <w:r>
        <w:rPr/>
        <w:t>，主要原因为：报告期限制性股票授予资金流入同比减少，以及上年</w:t>
      </w:r>
    </w:p>
    <w:p>
      <w:pPr>
        <w:spacing w:after="0" w:line="30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子公司少数股东出资、报告期无此类资金流入，共同影响所致。</w:t>
      </w:r>
    </w:p>
    <w:p>
      <w:pPr>
        <w:spacing w:line="240" w:lineRule="auto" w:before="7"/>
        <w:rPr>
          <w:rFonts w:ascii="宋体" w:hAnsi="宋体" w:cs="宋体" w:eastAsia="宋体" w:hint="default"/>
          <w:sz w:val="12"/>
          <w:szCs w:val="12"/>
        </w:rPr>
      </w:pPr>
    </w:p>
    <w:p>
      <w:pPr>
        <w:pStyle w:val="BodyText"/>
        <w:spacing w:line="309" w:lineRule="auto" w:before="0"/>
        <w:ind w:right="1671"/>
        <w:jc w:val="both"/>
      </w:pPr>
      <w:r>
        <w:rPr>
          <w:spacing w:val="-1"/>
        </w:rPr>
        <w:t>现金及现金等价物净增加额同比减少</w:t>
      </w:r>
      <w:r>
        <w:rPr>
          <w:rFonts w:ascii="Times New Roman" w:hAnsi="Times New Roman" w:cs="Times New Roman" w:eastAsia="Times New Roman" w:hint="default"/>
          <w:spacing w:val="-1"/>
        </w:rPr>
        <w:t>122.10%</w:t>
      </w:r>
      <w:r>
        <w:rPr>
          <w:spacing w:val="-1"/>
        </w:rPr>
        <w:t>，主要原因为：报告期公司经营活动所产生的现金流量净额虽然同比增</w:t>
      </w:r>
      <w:r>
        <w:rPr>
          <w:spacing w:val="-48"/>
        </w:rPr>
        <w:t> </w:t>
      </w:r>
      <w:r>
        <w:rPr>
          <w:spacing w:val="-48"/>
        </w:rPr>
      </w:r>
      <w:r>
        <w:rPr>
          <w:spacing w:val="-2"/>
        </w:rPr>
        <w:t>加，但投资并购与智能产业园基建支出同比大幅增加、限制性股票授予与子公司少数股东增资资金流入大幅减少，共</w:t>
      </w:r>
      <w:r>
        <w:rPr>
          <w:spacing w:val="-71"/>
        </w:rPr>
        <w:t> </w:t>
      </w:r>
      <w:r>
        <w:rPr>
          <w:spacing w:val="-71"/>
        </w:rPr>
      </w:r>
      <w:r>
        <w:rPr/>
        <w:t>同影响所致。</w:t>
      </w:r>
    </w:p>
    <w:p>
      <w:pPr>
        <w:pStyle w:val="BodyText"/>
        <w:spacing w:line="240" w:lineRule="auto" w:before="113"/>
        <w:ind w:right="0"/>
        <w:jc w:val="both"/>
      </w:pPr>
      <w:r>
        <w:rPr/>
        <w:t>报告期内公司经营活动产生的现金净流量与本年度净利润存在重大差异的原因说明</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0"/>
        <w:ind w:left="0" w:right="1150"/>
        <w:jc w:val="right"/>
      </w:pPr>
      <w:r>
        <w:rPr/>
        <w:pict>
          <v:shape style="position:absolute;margin-left:57.029999pt;margin-top:-201.728271pt;width:478.65pt;height:422.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1,054,434,169.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42.27%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1,067,418,973.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45.86%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-3.59%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684,122,596.0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27.42%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541,093,888.66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4.17%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both"/>
                          <w:rPr>
                            <w:rFonts w:ascii="宋体" w:hAnsi="宋体" w:cs="宋体" w:eastAsia="宋体" w:hint="default"/>
                            <w:sz w:val="18"/>
                            <w:szCs w:val="18"/>
                          </w:rPr>
                        </w:pPr>
                        <w:r>
                          <w:rPr>
                            <w:rFonts w:ascii="宋体" w:hAnsi="宋体" w:cs="宋体" w:eastAsia="宋体" w:hint="default"/>
                            <w:sz w:val="18"/>
                            <w:szCs w:val="18"/>
                          </w:rPr>
                          <w:t>报告期新增合并单位昊美科技，以及 收入增加、应收账款相应有所增加， 共同影响所致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32,819,485.53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31,773,571.04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28,723,356.18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25,528,649.82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51,647,294.89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34,503,760.87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报告期投资绍兴柯桥天堂硅谷远光 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185,033,993.3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7.42%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185,256,710.39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-0.54%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41,711,753.48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4,800,631.62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报告期远光智能产业园项目建设所 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40,000,000.00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0.86%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0.74%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报告期新增合并单位昊美科技的短 期借款所致。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43,339,869.03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51,742,634.41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15,524,843.77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25,277,874.73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27,090,862.14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36,917,130.82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165,612,119.6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报告期华凯集团就累计盈余进行现 金分红所致。</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65,772,746.16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45,346,628.04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报告期新增合并单位昊美科技，以及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基于市场化售电公司的购售电管理 系统</w:t>
            </w:r>
            <w:r>
              <w:rPr>
                <w:rFonts w:ascii="Times New Roman" w:hAnsi="Times New Roman" w:cs="Times New Roman" w:eastAsia="Times New Roman" w:hint="default"/>
                <w:sz w:val="18"/>
                <w:szCs w:val="18"/>
              </w:rPr>
              <w:t>”</w:t>
            </w:r>
            <w:r>
              <w:rPr>
                <w:rFonts w:ascii="宋体" w:hAnsi="宋体" w:cs="宋体" w:eastAsia="宋体" w:hint="default"/>
                <w:sz w:val="18"/>
                <w:szCs w:val="18"/>
              </w:rPr>
              <w:t>内部研究开发项目开发完毕、 结转无形资产，共同影响所致。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41,491,137.50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31,641,434.82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报告期收购昊美科技股权及智和管 理股权，以及就投资北京神航星云科 技有限公司商誉全额计提减值准备， 共同影响所致。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16,173,495.32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11,602,942.04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报告期新增合并单位昊美科技、智和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咨询，以及子公司远光广安、珠海远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光移动互联科技有限公司及远光软 </w:t>
            </w:r>
            <w:r>
              <w:rPr>
                <w:rFonts w:ascii="宋体" w:hAnsi="宋体" w:cs="宋体" w:eastAsia="宋体" w:hint="default"/>
                <w:spacing w:val="-2"/>
                <w:sz w:val="18"/>
                <w:szCs w:val="18"/>
              </w:rPr>
              <w:t>件（北京）有限公司等可弥补亏损增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加，共同影响所致。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128,978,731.6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132,572,692.16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87,060,019.16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81,009,940.42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34,761,714.74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27,135,706.37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37,322,578.16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88,868,663.10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年员工限制性股票激励 计划第二期未达到业绩回购注销股 票所致。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36,451,983.60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66,658,099.20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年员工限制性股票激励 计划第二期重分类为其他流动负债 所致。</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570,265.00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97,358.14</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163,519,726.00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164,089,991.00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570,265.00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97,358.14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163,519,726.00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164,089,991.00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570,265.00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97,358.14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163,519,726.00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164,089,991.00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8"/>
        <w:gridCol w:w="1225"/>
        <w:gridCol w:w="1213"/>
        <w:gridCol w:w="1212"/>
        <w:gridCol w:w="1213"/>
        <w:gridCol w:w="1214"/>
        <w:gridCol w:w="1213"/>
        <w:gridCol w:w="1073"/>
      </w:tblGrid>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报告期内公司主要资产计量属性是否发生重大变化</w:t>
      </w:r>
    </w:p>
    <w:p>
      <w:pPr>
        <w:pStyle w:val="BodyText"/>
        <w:spacing w:line="240" w:lineRule="auto" w:before="117"/>
        <w:ind w:left="154"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714"/>
        <w:gridCol w:w="2336"/>
        <w:gridCol w:w="3366"/>
      </w:tblGrid>
      <w:tr>
        <w:trPr>
          <w:trHeight w:val="347" w:hRule="exact"/>
        </w:trPr>
        <w:tc>
          <w:tcPr>
            <w:tcW w:w="1714" w:type="dxa"/>
            <w:tcBorders>
              <w:top w:val="single" w:sz="6" w:space="0" w:color="000000"/>
              <w:left w:val="nil" w:sz="6" w:space="0" w:color="auto"/>
              <w:bottom w:val="single" w:sz="6" w:space="0" w:color="000000"/>
              <w:right w:val="nil" w:sz="6" w:space="0" w:color="auto"/>
            </w:tcBorders>
          </w:tcPr>
          <w:p>
            <w:pPr>
              <w:pStyle w:val="TableParagraph"/>
              <w:tabs>
                <w:tab w:pos="441" w:val="left" w:leader="none"/>
              </w:tabs>
              <w:spacing w:line="240" w:lineRule="auto" w:before="5"/>
              <w:ind w:right="83"/>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36"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left="290" w:right="0"/>
              <w:jc w:val="left"/>
              <w:rPr>
                <w:rFonts w:ascii="宋体" w:hAnsi="宋体" w:cs="宋体" w:eastAsia="宋体" w:hint="default"/>
                <w:sz w:val="20"/>
                <w:szCs w:val="20"/>
              </w:rPr>
            </w:pPr>
            <w:r>
              <w:rPr>
                <w:rFonts w:ascii="宋体" w:hAnsi="宋体" w:cs="宋体" w:eastAsia="宋体" w:hint="default"/>
                <w:sz w:val="20"/>
                <w:szCs w:val="20"/>
              </w:rPr>
              <w:t>年末账面价值</w:t>
            </w:r>
          </w:p>
        </w:tc>
        <w:tc>
          <w:tcPr>
            <w:tcW w:w="3366"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451"/>
              <w:jc w:val="center"/>
              <w:rPr>
                <w:rFonts w:ascii="宋体" w:hAnsi="宋体" w:cs="宋体" w:eastAsia="宋体" w:hint="default"/>
                <w:sz w:val="20"/>
                <w:szCs w:val="20"/>
              </w:rPr>
            </w:pPr>
            <w:r>
              <w:rPr>
                <w:rFonts w:ascii="宋体" w:hAnsi="宋体" w:cs="宋体" w:eastAsia="宋体" w:hint="default"/>
                <w:sz w:val="20"/>
                <w:szCs w:val="20"/>
              </w:rPr>
              <w:t>受限原因</w:t>
            </w:r>
          </w:p>
        </w:tc>
      </w:tr>
      <w:tr>
        <w:trPr>
          <w:trHeight w:val="347" w:hRule="exact"/>
        </w:trPr>
        <w:tc>
          <w:tcPr>
            <w:tcW w:w="1714"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84"/>
              <w:jc w:val="center"/>
              <w:rPr>
                <w:rFonts w:ascii="宋体" w:hAnsi="宋体" w:cs="宋体" w:eastAsia="宋体" w:hint="default"/>
                <w:sz w:val="20"/>
                <w:szCs w:val="20"/>
              </w:rPr>
            </w:pPr>
            <w:r>
              <w:rPr>
                <w:rFonts w:ascii="宋体" w:hAnsi="宋体" w:cs="宋体" w:eastAsia="宋体" w:hint="default"/>
                <w:sz w:val="20"/>
                <w:szCs w:val="20"/>
              </w:rPr>
              <w:t>货币资金（元）</w:t>
            </w:r>
          </w:p>
        </w:tc>
        <w:tc>
          <w:tcPr>
            <w:tcW w:w="2336"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left="200" w:right="0"/>
              <w:jc w:val="left"/>
              <w:rPr>
                <w:rFonts w:ascii="Times New Roman" w:hAnsi="Times New Roman" w:cs="Times New Roman" w:eastAsia="Times New Roman" w:hint="default"/>
                <w:sz w:val="24"/>
                <w:szCs w:val="24"/>
              </w:rPr>
            </w:pPr>
            <w:r>
              <w:rPr>
                <w:rFonts w:ascii="Times New Roman"/>
                <w:sz w:val="24"/>
              </w:rPr>
              <w:t>20,409,221.35</w:t>
            </w:r>
          </w:p>
        </w:tc>
        <w:tc>
          <w:tcPr>
            <w:tcW w:w="3366"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452"/>
              <w:jc w:val="center"/>
              <w:rPr>
                <w:rFonts w:ascii="宋体" w:hAnsi="宋体" w:cs="宋体" w:eastAsia="宋体" w:hint="default"/>
                <w:sz w:val="20"/>
                <w:szCs w:val="20"/>
              </w:rPr>
            </w:pPr>
            <w:r>
              <w:rPr>
                <w:rFonts w:ascii="宋体" w:hAnsi="宋体" w:cs="宋体" w:eastAsia="宋体" w:hint="default"/>
                <w:sz w:val="20"/>
                <w:szCs w:val="20"/>
              </w:rPr>
              <w:t>保函保证金存款</w:t>
            </w:r>
          </w:p>
        </w:tc>
      </w:tr>
      <w:tr>
        <w:trPr>
          <w:trHeight w:val="348" w:hRule="exact"/>
        </w:trPr>
        <w:tc>
          <w:tcPr>
            <w:tcW w:w="1714"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8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计（元）</w:t>
            </w:r>
          </w:p>
        </w:tc>
        <w:tc>
          <w:tcPr>
            <w:tcW w:w="2336"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left="200" w:right="0"/>
              <w:jc w:val="left"/>
              <w:rPr>
                <w:rFonts w:ascii="Times New Roman" w:hAnsi="Times New Roman" w:cs="Times New Roman" w:eastAsia="Times New Roman" w:hint="default"/>
                <w:sz w:val="24"/>
                <w:szCs w:val="24"/>
              </w:rPr>
            </w:pPr>
            <w:r>
              <w:rPr>
                <w:rFonts w:ascii="Times New Roman"/>
                <w:sz w:val="24"/>
              </w:rPr>
              <w:t>20,409,221.35</w:t>
            </w:r>
          </w:p>
        </w:tc>
        <w:tc>
          <w:tcPr>
            <w:tcW w:w="3366" w:type="dxa"/>
            <w:tcBorders>
              <w:top w:val="single" w:sz="6" w:space="0" w:color="000000"/>
              <w:left w:val="nil" w:sz="6" w:space="0" w:color="auto"/>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left="154" w:right="985"/>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181,691,296.00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170.66%</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79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远光资 本管理</w:t>
            </w:r>
          </w:p>
          <w:p>
            <w:pPr>
              <w:pStyle w:val="TableParagraph"/>
              <w:spacing w:line="319" w:lineRule="auto" w:before="19"/>
              <w:ind w:left="22" w:right="81"/>
              <w:jc w:val="left"/>
              <w:rPr>
                <w:rFonts w:ascii="宋体" w:hAnsi="宋体" w:cs="宋体" w:eastAsia="宋体" w:hint="default"/>
                <w:sz w:val="18"/>
                <w:szCs w:val="18"/>
              </w:rPr>
            </w:pPr>
            <w:r>
              <w:rPr>
                <w:rFonts w:ascii="宋体" w:hAnsi="宋体" w:cs="宋体" w:eastAsia="宋体" w:hint="default"/>
                <w:sz w:val="18"/>
                <w:szCs w:val="18"/>
              </w:rPr>
              <w:t>（横 琴）有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实业投 资；创 业投 资；投 资管 理；投 资咨 询；投 资顾 问；资 产管 理；受</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73,400,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投资管 理；投 资咨 询；投 资顾 问；资 产管 理；</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-198,4</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96.11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-198,49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6.11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远光软 件股份 有限公 司关于 对全资 子公司 增资及 变更名 称和经 营范围 等事项 的公</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7.117004pt;margin-top:168.61998pt;width:45.8pt;height:109.2pt;mso-position-horizontal-relative:page;mso-position-vertical-relative:page;z-index:-1206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316" w:lineRule="auto" w:before="155"/>
                    <w:ind w:left="0" w:right="553"/>
                    <w:jc w:val="left"/>
                  </w:pPr>
                  <w:r>
                    <w:rPr/>
                    <w:t>冷、 水；</w:t>
                  </w:r>
                </w:p>
                <w:p>
                  <w:pPr>
                    <w:spacing w:line="240" w:lineRule="auto" w:before="0"/>
                    <w:rPr>
                      <w:rFonts w:ascii="Times New Roman" w:hAnsi="Times New Roman" w:cs="Times New Roman" w:eastAsia="Times New Roman" w:hint="default"/>
                      <w:sz w:val="18"/>
                      <w:szCs w:val="18"/>
                    </w:rPr>
                  </w:pPr>
                </w:p>
                <w:p>
                  <w:pPr>
                    <w:pStyle w:val="BodyText"/>
                    <w:spacing w:line="316" w:lineRule="auto" w:before="124"/>
                    <w:ind w:left="0" w:right="553"/>
                    <w:jc w:val="left"/>
                  </w:pPr>
                  <w:r>
                    <w:rPr/>
                    <w:t>冷、 水；</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923"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托管理 股权投 资基 金，开 展股权 投资</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告；公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2016-06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77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81"/>
              <w:jc w:val="both"/>
              <w:rPr>
                <w:rFonts w:ascii="宋体" w:hAnsi="宋体" w:cs="宋体" w:eastAsia="宋体" w:hint="default"/>
                <w:sz w:val="18"/>
                <w:szCs w:val="18"/>
              </w:rPr>
            </w:pPr>
            <w:r>
              <w:rPr>
                <w:rFonts w:ascii="宋体" w:hAnsi="宋体" w:cs="宋体" w:eastAsia="宋体" w:hint="default"/>
                <w:sz w:val="18"/>
                <w:szCs w:val="18"/>
              </w:rPr>
              <w:t>珠海高 远电能 科技有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购电、 热、 汽、 售电、 热、 汽、 新能源 技术开 发、技 术咨 询、技 术转 让、技 术服务 等；</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30.6pt;height:109.2pt;mso-position-horizontal-relative:char;mso-position-vertical-relative:line" coordorigin="0,0" coordsize="612,2184">
                  <v:group style="position:absolute;left:0;top:0;width:612;height:2184" coordorigin="0,0" coordsize="612,2184">
                    <v:shape style="position:absolute;left:0;top:0;width:612;height:2184" coordorigin="0,0" coordsize="612,2184" path="m0,2184l612,2184,612,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63.00%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珠海市 高新建 设投资 有限公 司 </w:t>
            </w:r>
            <w:r>
              <w:rPr>
                <w:rFonts w:ascii="宋体" w:hAnsi="宋体" w:cs="宋体" w:eastAsia="宋体" w:hint="default"/>
                <w:spacing w:val="-69"/>
                <w:sz w:val="18"/>
                <w:szCs w:val="18"/>
              </w:rPr>
              <w:t>；远</w:t>
            </w:r>
            <w:r>
              <w:rPr>
                <w:rFonts w:ascii="宋体" w:hAnsi="宋体" w:cs="宋体" w:eastAsia="宋体" w:hint="default"/>
                <w:spacing w:val="-69"/>
                <w:sz w:val="18"/>
                <w:szCs w:val="18"/>
              </w:rPr>
              <w:t> </w:t>
            </w:r>
            <w:r>
              <w:rPr>
                <w:rFonts w:ascii="宋体" w:hAnsi="宋体" w:cs="宋体" w:eastAsia="宋体" w:hint="default"/>
                <w:sz w:val="18"/>
                <w:szCs w:val="18"/>
              </w:rPr>
              <w:t>光资本</w:t>
            </w:r>
            <w:r>
              <w:rPr>
                <w:rFonts w:ascii="宋体" w:hAnsi="宋体" w:cs="宋体" w:eastAsia="宋体" w:hint="default"/>
                <w:sz w:val="18"/>
                <w:szCs w:val="18"/>
              </w:rPr>
              <w:t> 管理</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（横 琴）有 限公 司；深 圳市盛 弘电气 股份有 限公司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购、售 电，软 件开 发、销 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-384,4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50.78</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-384,45</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0.78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2" w:right="81"/>
              <w:jc w:val="left"/>
              <w:rPr>
                <w:rFonts w:ascii="宋体" w:hAnsi="宋体" w:cs="宋体" w:eastAsia="宋体" w:hint="default"/>
                <w:sz w:val="18"/>
                <w:szCs w:val="18"/>
              </w:rPr>
            </w:pPr>
            <w:r>
              <w:rPr>
                <w:rFonts w:ascii="宋体" w:hAnsi="宋体" w:cs="宋体" w:eastAsia="宋体" w:hint="default"/>
                <w:sz w:val="18"/>
                <w:szCs w:val="18"/>
              </w:rPr>
              <w:t>远光信 息技术</w:t>
            </w:r>
          </w:p>
          <w:p>
            <w:pPr>
              <w:pStyle w:val="TableParagraph"/>
              <w:spacing w:line="319" w:lineRule="auto" w:before="19"/>
              <w:ind w:left="22" w:right="81"/>
              <w:jc w:val="left"/>
              <w:rPr>
                <w:rFonts w:ascii="宋体" w:hAnsi="宋体" w:cs="宋体" w:eastAsia="宋体" w:hint="default"/>
                <w:sz w:val="18"/>
                <w:szCs w:val="18"/>
              </w:rPr>
            </w:pPr>
            <w:r>
              <w:rPr>
                <w:rFonts w:ascii="宋体" w:hAnsi="宋体" w:cs="宋体" w:eastAsia="宋体" w:hint="default"/>
                <w:sz w:val="18"/>
                <w:szCs w:val="18"/>
              </w:rPr>
              <w:t>（澳 门）有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软件开 发、信 息系统 集成服 务、信 息技术 咨询服 务、数 据处理 和存 储、互 联网云 服务、 企业管 理咨询 与调 查、计 算机软 件及辅 助设备 的批 发、零 售，商</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260,10</w:t>
            </w:r>
          </w:p>
          <w:p>
            <w:pPr>
              <w:pStyle w:val="TableParagraph"/>
              <w:spacing w:line="240" w:lineRule="auto" w:before="106"/>
              <w:ind w:left="252" w:right="0"/>
              <w:jc w:val="center"/>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43"/>
              <w:jc w:val="left"/>
              <w:rPr>
                <w:rFonts w:ascii="宋体" w:hAnsi="宋体" w:cs="宋体" w:eastAsia="宋体" w:hint="default"/>
                <w:sz w:val="18"/>
                <w:szCs w:val="18"/>
              </w:rPr>
            </w:pPr>
            <w:r>
              <w:rPr>
                <w:rFonts w:ascii="宋体" w:hAnsi="宋体" w:cs="宋体" w:eastAsia="宋体" w:hint="default"/>
                <w:sz w:val="18"/>
                <w:szCs w:val="18"/>
              </w:rPr>
              <w:t>软件开 发及相 关咨 询、服 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-50,61</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7.37</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986"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业投资 和管 理；</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163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北京智 和管理 咨询有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技术开 发、技 术转 让、技 术咨 询、技 术服 务；计 算机技 术培 训；基 础软件 服务、 应用软 件服 务；计 算机系 统服 务；数 据处理</w:t>
            </w:r>
          </w:p>
          <w:p>
            <w:pPr>
              <w:pStyle w:val="TableParagraph"/>
              <w:spacing w:line="314" w:lineRule="auto" w:before="19"/>
              <w:ind w:left="22"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 处理中 的银行 卡中 心、 </w:t>
            </w: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值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9"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以上的 云计算 数据中 心除 </w:t>
            </w:r>
            <w:r>
              <w:rPr>
                <w:rFonts w:ascii="宋体" w:hAnsi="宋体" w:cs="宋体" w:eastAsia="宋体" w:hint="default"/>
                <w:spacing w:val="-31"/>
                <w:sz w:val="18"/>
                <w:szCs w:val="18"/>
              </w:rPr>
              <w:t>外）；经</w:t>
            </w:r>
            <w:r>
              <w:rPr>
                <w:rFonts w:ascii="宋体" w:hAnsi="宋体" w:cs="宋体" w:eastAsia="宋体" w:hint="default"/>
                <w:sz w:val="18"/>
                <w:szCs w:val="18"/>
              </w:rPr>
              <w:t> 济贸易 咨询； 企业管 理咨 询。</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34" w:right="0"/>
              <w:jc w:val="left"/>
              <w:rPr>
                <w:rFonts w:ascii="Times New Roman" w:hAnsi="Times New Roman" w:cs="Times New Roman" w:eastAsia="Times New Roman" w:hint="default"/>
                <w:sz w:val="18"/>
                <w:szCs w:val="18"/>
              </w:rPr>
            </w:pPr>
            <w:r>
              <w:rPr>
                <w:rFonts w:ascii="Times New Roman"/>
                <w:sz w:val="18"/>
              </w:rPr>
              <w:t>52.00%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许勇</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企业管 理咨 询、经 济贸易 咨询</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6,361,</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090.59</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6,361,09</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0.59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远光软 件（北 京）有</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软件开 发：信 息系统 集成服</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软件开 发、销 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-2,951,</w:t>
            </w:r>
          </w:p>
          <w:p>
            <w:pPr>
              <w:pStyle w:val="TableParagraph"/>
              <w:spacing w:line="240" w:lineRule="auto" w:before="106"/>
              <w:ind w:left="66" w:right="0"/>
              <w:jc w:val="left"/>
              <w:rPr>
                <w:rFonts w:ascii="Times New Roman" w:hAnsi="Times New Roman" w:cs="Times New Roman" w:eastAsia="Times New Roman" w:hint="default"/>
                <w:sz w:val="18"/>
                <w:szCs w:val="18"/>
              </w:rPr>
            </w:pPr>
            <w:r>
              <w:rPr>
                <w:rFonts w:ascii="Times New Roman"/>
                <w:sz w:val="18"/>
              </w:rPr>
              <w:t>966.48</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-2,951,9</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66.48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8.116997pt;margin-top:647.440002pt;width:54.8pt;height:116pt;mso-position-horizontal-relative:page;mso-position-vertical-relative:page;z-index:-1206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0"/>
                    <w:ind w:left="0" w:right="0"/>
                    <w:jc w:val="left"/>
                  </w:pPr>
                  <w:r>
                    <w:rPr/>
                    <w:t>（修、</w:t>
                  </w:r>
                </w:p>
              </w:txbxContent>
            </v:textbox>
            <w10:wrap type="none"/>
          </v:shape>
        </w:pict>
      </w:r>
      <w:r>
        <w:rPr/>
        <w:pict>
          <v:group style="position:absolute;margin-left:277.600006pt;margin-top:647.440002pt;width:30.3pt;height:116pt;mso-position-horizontal-relative:page;mso-position-vertical-relative:page;z-index:-1206520" coordorigin="5552,12949" coordsize="606,2320">
            <v:shape style="position:absolute;left:5552;top:12949;width:606;height:2320" coordorigin="5552,12949" coordsize="606,2320" path="m5552,15269l6158,15269,6158,12949,5552,12949,5552,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8787"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务、信 息技术 咨询服 务；数 据处理 和存储</w:t>
            </w:r>
          </w:p>
          <w:p>
            <w:pPr>
              <w:pStyle w:val="TableParagraph"/>
              <w:spacing w:line="314" w:lineRule="auto" w:before="19"/>
              <w:ind w:left="22"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 处理中 的银行 卡中 心、 </w:t>
            </w: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值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9"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以上的 云计算 数据中 心除 </w:t>
            </w:r>
            <w:r>
              <w:rPr>
                <w:rFonts w:ascii="宋体" w:hAnsi="宋体" w:cs="宋体" w:eastAsia="宋体" w:hint="default"/>
                <w:spacing w:val="-31"/>
                <w:sz w:val="18"/>
                <w:szCs w:val="18"/>
              </w:rPr>
              <w:t>外）；自</w:t>
            </w:r>
            <w:r>
              <w:rPr>
                <w:rFonts w:ascii="宋体" w:hAnsi="宋体" w:cs="宋体" w:eastAsia="宋体" w:hint="default"/>
                <w:sz w:val="18"/>
                <w:szCs w:val="18"/>
              </w:rPr>
              <w:t> 有房屋 出租； 市场调 查；计 算机软 件外包 服务； 互联网 信息服 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杭州昊 美科技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电力设 施承装 类四 级、承 修类四 级、承 试类五 级（具 体范围 见《承 装 试）电 力设施 许可 </w:t>
            </w:r>
            <w:r>
              <w:rPr>
                <w:rFonts w:ascii="宋体" w:hAnsi="宋体" w:cs="宋体" w:eastAsia="宋体" w:hint="default"/>
                <w:spacing w:val="-30"/>
                <w:sz w:val="18"/>
                <w:szCs w:val="18"/>
              </w:rPr>
              <w:t>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（涉及</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20"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30.6pt;height:116pt;mso-position-horizontal-relative:char;mso-position-vertical-relative:line" coordorigin="0,0" coordsize="612,2320">
                  <v:group style="position:absolute;left:0;top:0;width:612;height:2320" coordorigin="0,0" coordsize="612,2320">
                    <v:shape style="position:absolute;left:0;top:0;width:612;height:2320" coordorigin="0,0" coordsize="612,2320" path="m0,2320l612,2320,612,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75,771,</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196.00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34" w:right="0"/>
              <w:jc w:val="left"/>
              <w:rPr>
                <w:rFonts w:ascii="Times New Roman" w:hAnsi="Times New Roman" w:cs="Times New Roman" w:eastAsia="Times New Roman" w:hint="default"/>
                <w:sz w:val="18"/>
                <w:szCs w:val="18"/>
              </w:rPr>
            </w:pPr>
            <w:r>
              <w:rPr>
                <w:rFonts w:ascii="Times New Roman"/>
                <w:sz w:val="18"/>
              </w:rPr>
              <w:t>70.71%</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王建 军、齐 志刚、 马三 光、杭 州飞涅 投资管 理合伙 企业</w:t>
            </w:r>
          </w:p>
          <w:p>
            <w:pPr>
              <w:pStyle w:val="TableParagraph"/>
              <w:spacing w:line="316" w:lineRule="auto" w:before="19"/>
              <w:ind w:left="22" w:right="-45"/>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邵燕、 赵向 新、李 红祥、 杨玉</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软件开 发、销 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9,496,</w:t>
            </w:r>
          </w:p>
          <w:p>
            <w:pPr>
              <w:pStyle w:val="TableParagraph"/>
              <w:spacing w:line="240" w:lineRule="auto" w:before="106"/>
              <w:ind w:left="66" w:right="0"/>
              <w:jc w:val="left"/>
              <w:rPr>
                <w:rFonts w:ascii="Times New Roman" w:hAnsi="Times New Roman" w:cs="Times New Roman" w:eastAsia="Times New Roman" w:hint="default"/>
                <w:sz w:val="18"/>
                <w:szCs w:val="18"/>
              </w:rPr>
            </w:pPr>
            <w:r>
              <w:rPr>
                <w:rFonts w:ascii="Times New Roman"/>
                <w:sz w:val="18"/>
              </w:rPr>
              <w:t>721.12</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9,496,72</w:t>
            </w:r>
          </w:p>
          <w:p>
            <w:pPr>
              <w:pStyle w:val="TableParagraph"/>
              <w:spacing w:line="240" w:lineRule="auto" w:before="106"/>
              <w:ind w:left="346" w:right="0"/>
              <w:jc w:val="left"/>
              <w:rPr>
                <w:rFonts w:ascii="Times New Roman" w:hAnsi="Times New Roman" w:cs="Times New Roman" w:eastAsia="Times New Roman" w:hint="default"/>
                <w:sz w:val="18"/>
                <w:szCs w:val="18"/>
              </w:rPr>
            </w:pPr>
            <w:r>
              <w:rPr>
                <w:rFonts w:ascii="Times New Roman"/>
                <w:sz w:val="18"/>
              </w:rPr>
              <w:t>1.12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2" w:right="23"/>
              <w:jc w:val="left"/>
              <w:rPr>
                <w:rFonts w:ascii="宋体" w:hAnsi="宋体" w:cs="宋体" w:eastAsia="宋体" w:hint="default"/>
                <w:sz w:val="18"/>
                <w:szCs w:val="18"/>
              </w:rPr>
            </w:pPr>
            <w:r>
              <w:rPr>
                <w:rFonts w:ascii="宋体" w:hAnsi="宋体" w:cs="宋体" w:eastAsia="宋体" w:hint="default"/>
                <w:sz w:val="18"/>
                <w:szCs w:val="18"/>
              </w:rPr>
              <w:t>远光软 件股份 有限公 司关于 对外投 资的公 告；</w:t>
            </w:r>
            <w:r>
              <w:rPr>
                <w:rFonts w:ascii="宋体" w:hAnsi="宋体" w:cs="宋体" w:eastAsia="宋体" w:hint="default"/>
                <w:spacing w:val="-18"/>
                <w:sz w:val="18"/>
                <w:szCs w:val="18"/>
              </w:rPr>
              <w:t> </w:t>
            </w:r>
            <w:r>
              <w:rPr>
                <w:rFonts w:ascii="宋体" w:hAnsi="宋体" w:cs="宋体" w:eastAsia="宋体" w:hint="default"/>
                <w:sz w:val="18"/>
                <w:szCs w:val="18"/>
              </w:rPr>
              <w:t>公</w:t>
            </w:r>
            <w:r>
              <w:rPr>
                <w:rFonts w:ascii="宋体" w:hAnsi="宋体" w:cs="宋体" w:eastAsia="宋体" w:hint="default"/>
                <w:sz w:val="18"/>
                <w:szCs w:val="18"/>
              </w:rPr>
              <w:t> 告编号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3740"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前置审 批项目 的在有 效期内 方可经 营）技 术开 发、技 术咨 询、技 术服 务：计 算机软 硬件、 计算机 信息系 统集 成、电 力设 备、自 动化设 备、地 理信息 测绘技 术；服 务：劳 务派 遣、电 力工程 规划、 设计； 销售： 计算机 软件， 计算机 设备及 配件， 网络设 备，办 公自动 化设 备，电 力工程 材料，</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3"/>
              <w:jc w:val="left"/>
              <w:rPr>
                <w:rFonts w:ascii="宋体" w:hAnsi="宋体" w:cs="宋体" w:eastAsia="宋体" w:hint="default"/>
                <w:sz w:val="18"/>
                <w:szCs w:val="18"/>
              </w:rPr>
            </w:pPr>
            <w:r>
              <w:rPr>
                <w:rFonts w:ascii="宋体" w:hAnsi="宋体" w:cs="宋体" w:eastAsia="宋体" w:hint="default"/>
                <w:sz w:val="18"/>
                <w:szCs w:val="18"/>
              </w:rPr>
              <w:t>山、刘 润标、 徐飞 鹏、梁 志君、 封仕 勇；</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923"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电力设 备，自 动化设 备，测 量仪器 设备；</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81"/>
              <w:jc w:val="both"/>
              <w:rPr>
                <w:rFonts w:ascii="宋体" w:hAnsi="宋体" w:cs="宋体" w:eastAsia="宋体" w:hint="default"/>
                <w:sz w:val="18"/>
                <w:szCs w:val="18"/>
              </w:rPr>
            </w:pPr>
            <w:r>
              <w:rPr>
                <w:rFonts w:ascii="宋体" w:hAnsi="宋体" w:cs="宋体" w:eastAsia="宋体" w:hint="default"/>
                <w:sz w:val="18"/>
                <w:szCs w:val="18"/>
              </w:rPr>
              <w:t>绍兴柯 桥天堂 硅谷远 光股权 投资合 伙企业</w:t>
            </w:r>
          </w:p>
          <w:p>
            <w:pPr>
              <w:pStyle w:val="TableParagraph"/>
              <w:spacing w:line="319" w:lineRule="auto" w:before="19"/>
              <w:ind w:left="22" w:right="8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股权投 资、创 业投 资、实 业投资 和投资 管理</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17,560,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37.98%</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远光资 本管理</w:t>
            </w:r>
          </w:p>
          <w:p>
            <w:pPr>
              <w:pStyle w:val="TableParagraph"/>
              <w:spacing w:line="316"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（横 琴）有 限公 司、浙 江天堂 硅谷恒 裕创业 投资有 限公 司、浙 江天堂 硅谷资 产管理 集团有 限公 司、宁 波天堂 硅谷股 权投资 管理有 限公司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股权投 资、创 业投 资、实 业投资 和投资 管理</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未完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2,510.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42</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2,510.42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远光软 件股份 有限公 司关于 对外投 资设立 股权投 资基金 的公告</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2017-06</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w:t>
            </w:r>
          </w:p>
        </w:tc>
      </w:tr>
      <w:tr>
        <w:trPr>
          <w:trHeight w:val="473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深圳市 多禧股 权投资 基金管 理有限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受托管 理股权 投资基 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26.00%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深圳市 粮食集 团有限 公司、 深圳市 远望谷 投资管 理有限 公司、 深圳中 时谦资 本有限 公司、 远光资 本管理</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受托管 理股权 投资基 金</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-208,3</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68.31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-208,36</w:t>
            </w:r>
          </w:p>
          <w:p>
            <w:pPr>
              <w:pStyle w:val="TableParagraph"/>
              <w:spacing w:line="240" w:lineRule="auto" w:before="106"/>
              <w:ind w:left="346" w:right="0"/>
              <w:jc w:val="left"/>
              <w:rPr>
                <w:rFonts w:ascii="Times New Roman" w:hAnsi="Times New Roman" w:cs="Times New Roman" w:eastAsia="Times New Roman" w:hint="default"/>
                <w:sz w:val="18"/>
                <w:szCs w:val="18"/>
              </w:rPr>
            </w:pPr>
            <w:r>
              <w:rPr>
                <w:rFonts w:ascii="Times New Roman"/>
                <w:sz w:val="18"/>
              </w:rPr>
              <w:t>8.31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远光软 件股份 有限公 司 关 于对外 投资设 立基金 管理公 司并发 起设立 智能物 联股权 投资基 金的公 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986"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3"/>
              <w:jc w:val="left"/>
              <w:rPr>
                <w:rFonts w:ascii="宋体" w:hAnsi="宋体" w:cs="宋体" w:eastAsia="宋体" w:hint="default"/>
                <w:sz w:val="18"/>
                <w:szCs w:val="18"/>
              </w:rPr>
            </w:pPr>
            <w:r>
              <w:rPr>
                <w:rFonts w:ascii="宋体" w:hAnsi="宋体" w:cs="宋体" w:eastAsia="宋体" w:hint="default"/>
                <w:sz w:val="18"/>
                <w:szCs w:val="18"/>
              </w:rPr>
              <w:t>（横 琴）有 限公司</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2017-06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1,296.0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,423.0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12,066,4</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23.08</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985"/>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570,265.00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97,358.14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163,519,726.00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164,089,991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97,358.14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570,265.00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97,358.14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163,519,726.00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164,089,991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97,358.14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985"/>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985"/>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85"/>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985"/>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221.720001pt;margin-top:623.26001pt;width:51.75pt;height:25.4pt;mso-position-horizontal-relative:page;mso-position-vertical-relative:page;z-index:-1206496" coordorigin="4434,12465" coordsize="1035,508">
            <v:group style="position:absolute;left:4434;top:12465;width:1035;height:156" coordorigin="4434,12465" coordsize="1035,156">
              <v:shape style="position:absolute;left:4434;top:12465;width:1035;height:156" coordorigin="4434,12465" coordsize="1035,156" path="m4434,12621l5469,12621,5469,12465,4434,12465,4434,12621xe" filled="true" fillcolor="#ffffff" stroked="false">
                <v:path arrowok="t"/>
                <v:fill type="solid"/>
              </v:shape>
            </v:group>
            <v:group style="position:absolute;left:4457;top:12621;width:990;height:352" coordorigin="4457,12621" coordsize="990,352">
              <v:shape style="position:absolute;left:4457;top:12621;width:990;height:352" coordorigin="4457,12621" coordsize="990,352" path="m4457,12973l5446,12973,5446,12621,4457,12621,4457,12973xe" filled="true" fillcolor="#ffffff" stroked="false">
                <v:path arrowok="t"/>
                <v:fill type="solid"/>
              </v:shape>
            </v:group>
            <w10:wrap type="none"/>
          </v:group>
        </w:pict>
      </w: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有限公司及 其子公司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99,190,000.0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252,931,061.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24,212,011.8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96,307,041.8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-22,646,852.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-23,943,351.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长沙远光瑞 翔科技有限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30,080,000.0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82,594,204.7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69,670,233.2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45,651,377.2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13,053,239.0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11,271,216.8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南京远光广 安信息科技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48,669,232.6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37,527,442.3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37,215,639.7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-13,562,237.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-10,435,409.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北京神航星 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7,328,268.42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6,457,999.28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-660,174.04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-729,757.17</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远光软</w:t>
            </w:r>
            <w:r>
              <w:rPr>
                <w:rFonts w:ascii="宋体" w:hAnsi="宋体" w:cs="宋体" w:eastAsia="宋体" w:hint="default"/>
                <w:spacing w:val="-82"/>
                <w:sz w:val="18"/>
                <w:szCs w:val="18"/>
              </w:rPr>
              <w:t>件</w:t>
            </w:r>
            <w:r>
              <w:rPr>
                <w:rFonts w:ascii="宋体" w:hAnsi="宋体" w:cs="宋体" w:eastAsia="宋体" w:hint="default"/>
                <w:sz w:val="18"/>
                <w:szCs w:val="18"/>
              </w:rPr>
              <w:t>（北</w:t>
            </w:r>
            <w:r>
              <w:rPr>
                <w:rFonts w:ascii="宋体" w:hAnsi="宋体" w:cs="宋体" w:eastAsia="宋体" w:hint="default"/>
                <w:sz w:val="18"/>
                <w:szCs w:val="18"/>
              </w:rPr>
              <w:t> 京</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97,458,607.9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23,704,591.5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12,324,932.2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-2,700,729.4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-2,951,966.4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珠海远光移 动互联科技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互联网接入 及相关服务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16,727,472.5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-1,484,796.2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12,427,845.2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-1,223,265.8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-1,574,027.7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远光能源互 联网产业发 </w:t>
            </w:r>
            <w:r>
              <w:rPr>
                <w:rFonts w:ascii="宋体" w:hAnsi="宋体" w:cs="宋体" w:eastAsia="宋体" w:hint="default"/>
                <w:spacing w:val="-14"/>
                <w:sz w:val="18"/>
                <w:szCs w:val="18"/>
              </w:rPr>
              <w:t>展（横琴）有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1,397,919.03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301,089.03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-56,738.53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-42,553.90</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远光软</w:t>
            </w:r>
            <w:r>
              <w:rPr>
                <w:rFonts w:ascii="宋体" w:hAnsi="宋体" w:cs="宋体" w:eastAsia="宋体" w:hint="default"/>
                <w:spacing w:val="-82"/>
                <w:sz w:val="18"/>
                <w:szCs w:val="18"/>
              </w:rPr>
              <w:t>件</w:t>
            </w:r>
            <w:r>
              <w:rPr>
                <w:rFonts w:ascii="宋体" w:hAnsi="宋体" w:cs="宋体" w:eastAsia="宋体" w:hint="default"/>
                <w:sz w:val="18"/>
                <w:szCs w:val="18"/>
              </w:rPr>
              <w:t>（武</w:t>
            </w:r>
            <w:r>
              <w:rPr>
                <w:rFonts w:ascii="宋体" w:hAnsi="宋体" w:cs="宋体" w:eastAsia="宋体" w:hint="default"/>
                <w:sz w:val="18"/>
                <w:szCs w:val="18"/>
              </w:rPr>
              <w:t> 汉</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19,831,430.7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19,542,120.3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2,054,433.86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-258,014.07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-192,607.24</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远光资本管 </w:t>
            </w:r>
            <w:r>
              <w:rPr>
                <w:rFonts w:ascii="宋体" w:hAnsi="宋体" w:cs="宋体" w:eastAsia="宋体" w:hint="default"/>
                <w:spacing w:val="-14"/>
                <w:sz w:val="18"/>
                <w:szCs w:val="18"/>
              </w:rPr>
              <w:t>理（横琴）有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113,801,862.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79,470,658.7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-198,496.11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-198,496.11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珠海远光软 件产业有限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1,951,010.00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4,426,341.68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4,139,709.21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34,727.61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34,727.61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珠海高远电 能科技有限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104"/>
              <w:jc w:val="both"/>
              <w:rPr>
                <w:rFonts w:ascii="宋体" w:hAnsi="宋体" w:cs="宋体" w:eastAsia="宋体" w:hint="default"/>
                <w:sz w:val="18"/>
                <w:szCs w:val="18"/>
              </w:rPr>
            </w:pPr>
            <w:r>
              <w:rPr>
                <w:rFonts w:ascii="宋体" w:hAnsi="宋体" w:cs="宋体" w:eastAsia="宋体" w:hint="default"/>
                <w:sz w:val="18"/>
                <w:szCs w:val="18"/>
              </w:rPr>
              <w:t>购电、售电 新能源技术 开发</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16" w:lineRule="exact" w:before="52"/>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6"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49,761,573.4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49,155,299.9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2,311,731.96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-419,587.31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-384,450.78</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远光信息技 </w:t>
            </w:r>
            <w:r>
              <w:rPr>
                <w:rFonts w:ascii="宋体" w:hAnsi="宋体" w:cs="宋体" w:eastAsia="宋体" w:hint="default"/>
                <w:spacing w:val="-14"/>
                <w:sz w:val="18"/>
                <w:szCs w:val="18"/>
              </w:rPr>
              <w:t>术（澳门）有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0"/>
              <w:jc w:val="both"/>
              <w:rPr>
                <w:rFonts w:ascii="宋体" w:hAnsi="宋体" w:cs="宋体" w:eastAsia="宋体" w:hint="default"/>
                <w:sz w:val="18"/>
                <w:szCs w:val="18"/>
              </w:rPr>
            </w:pPr>
            <w:r>
              <w:rPr>
                <w:rFonts w:ascii="宋体" w:hAnsi="宋体" w:cs="宋体" w:eastAsia="宋体" w:hint="default"/>
                <w:sz w:val="18"/>
                <w:szCs w:val="18"/>
              </w:rPr>
              <w:t>软件开发及 相关咨询、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81"/>
              <w:jc w:val="left"/>
              <w:rPr>
                <w:rFonts w:ascii="Times New Roman" w:hAnsi="Times New Roman" w:cs="Times New Roman" w:eastAsia="Times New Roman" w:hint="default"/>
                <w:sz w:val="18"/>
                <w:szCs w:val="18"/>
              </w:rPr>
            </w:pPr>
            <w:r>
              <w:rPr>
                <w:rFonts w:ascii="Times New Roman"/>
                <w:sz w:val="18"/>
              </w:rPr>
              <w:t>MOP1,000,0</w:t>
            </w:r>
            <w:r>
              <w:rPr>
                <w:rFonts w:ascii="Times New Roman"/>
                <w:w w:val="99"/>
                <w:sz w:val="18"/>
              </w:rPr>
              <w:t> </w:t>
            </w:r>
            <w:r>
              <w:rPr>
                <w:rFonts w:ascii="Times New Roman"/>
                <w:sz w:val="18"/>
              </w:rPr>
              <w:t>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196,129.74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196,129.74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-50,617.37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-50,617.37</w:t>
            </w:r>
            <w:r>
              <w:rPr>
                <w:rFonts w:ascii="Times New Roman"/>
                <w:sz w:val="18"/>
              </w:rPr>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北京智和管 理咨询有限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企业管理咨 询、经济贸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16,050,101.4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11,287,557.3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13,324,804.3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8,238,681.81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6,361,090.59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易咨询</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杭州昊美科 技有限公司 及其子公司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142,718,612.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101,739,984.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40,448,424.3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8,613,920.58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9,496,721.12</w:t>
            </w:r>
          </w:p>
        </w:tc>
      </w:tr>
    </w:tbl>
    <w:p>
      <w:pPr>
        <w:pStyle w:val="BodyText"/>
        <w:spacing w:line="240" w:lineRule="auto" w:before="51"/>
        <w:ind w:left="154" w:right="985"/>
        <w:jc w:val="left"/>
      </w:pPr>
      <w:r>
        <w:rPr/>
        <w:t>报告期内取得和处置子公司的情况</w:t>
      </w:r>
    </w:p>
    <w:p>
      <w:pPr>
        <w:pStyle w:val="BodyText"/>
        <w:spacing w:line="240" w:lineRule="auto" w:before="117"/>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9,496,721.12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对报告期影响甚微</w:t>
            </w:r>
          </w:p>
        </w:tc>
      </w:tr>
    </w:tbl>
    <w:p>
      <w:pPr>
        <w:pStyle w:val="BodyText"/>
        <w:spacing w:line="240" w:lineRule="auto" w:before="51"/>
        <w:ind w:left="154" w:right="985"/>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985"/>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10"/>
        <w:rPr>
          <w:rFonts w:ascii="宋体" w:hAnsi="宋体" w:cs="宋体" w:eastAsia="宋体" w:hint="default"/>
          <w:b/>
          <w:bCs/>
          <w:sz w:val="22"/>
          <w:szCs w:val="22"/>
        </w:rPr>
      </w:pPr>
    </w:p>
    <w:p>
      <w:pPr>
        <w:pStyle w:val="Heading2"/>
        <w:spacing w:line="313" w:lineRule="exact"/>
        <w:ind w:left="636" w:right="985"/>
        <w:jc w:val="left"/>
        <w:rPr>
          <w:b w:val="0"/>
          <w:bCs w:val="0"/>
        </w:rPr>
      </w:pPr>
      <w:r>
        <w:rPr/>
        <w:t>（一）行业格局和趋势</w:t>
      </w:r>
      <w:r>
        <w:rPr>
          <w:b w:val="0"/>
          <w:bCs w:val="0"/>
        </w:rPr>
      </w:r>
    </w:p>
    <w:p>
      <w:pPr>
        <w:pStyle w:val="Heading3"/>
        <w:spacing w:line="235" w:lineRule="auto" w:before="4"/>
        <w:ind w:right="1045" w:firstLine="480"/>
        <w:jc w:val="left"/>
      </w:pPr>
      <w:r>
        <w:rPr/>
        <w:t>随着电力体制改革、</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智慧能源等国家政策的深入推进，电力行业市场化加速， 同时，人工智能、云计算、物联网、移动应用等技术发展迅速，基于大数据和区块链技术的 应用及场景全面涌现，能源互联网、微网、智能、共享等理念和技术已成为能源行业的重要 发展方向，给公司带来了更为广阔的市场前景。</w:t>
      </w:r>
    </w:p>
    <w:p>
      <w:pPr>
        <w:pStyle w:val="Heading3"/>
        <w:spacing w:line="312" w:lineRule="exact" w:before="29"/>
        <w:ind w:left="154" w:right="1132" w:firstLine="480"/>
        <w:jc w:val="both"/>
      </w:pPr>
      <w:r>
        <w:rPr>
          <w:spacing w:val="-7"/>
          <w:w w:val="100"/>
        </w:rPr>
        <w:t>报告期内，随着国家相继出台《</w:t>
      </w:r>
      <w:r>
        <w:rPr>
          <w:rFonts w:ascii="Times New Roman" w:hAnsi="Times New Roman" w:cs="Times New Roman" w:eastAsia="Times New Roman" w:hint="default"/>
          <w:spacing w:val="-7"/>
          <w:w w:val="100"/>
        </w:rPr>
        <w:t>“</w:t>
      </w:r>
      <w:r>
        <w:rPr>
          <w:spacing w:val="-7"/>
          <w:w w:val="100"/>
        </w:rPr>
        <w:t>十三五</w:t>
      </w:r>
      <w:r>
        <w:rPr>
          <w:rFonts w:ascii="Times New Roman" w:hAnsi="Times New Roman" w:cs="Times New Roman" w:eastAsia="Times New Roman" w:hint="default"/>
          <w:spacing w:val="-7"/>
          <w:w w:val="100"/>
        </w:rPr>
        <w:t>”</w:t>
      </w:r>
      <w:r>
        <w:rPr>
          <w:spacing w:val="-7"/>
          <w:w w:val="100"/>
        </w:rPr>
        <w:t>国家信息化规划》、《大数据产业发展规划</w:t>
      </w:r>
      <w:r>
        <w:rPr>
          <w:rFonts w:ascii="Times New Roman" w:hAnsi="Times New Roman" w:cs="Times New Roman" w:eastAsia="Times New Roman" w:hint="default"/>
          <w:spacing w:val="-7"/>
          <w:w w:val="100"/>
        </w:rPr>
        <w:t>(2016</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w:t>
      </w:r>
      <w:r>
        <w:rPr>
          <w:spacing w:val="2"/>
        </w:rPr>
        <w:t>》《新一代人工智能发展规划》等政策，对各行各业的信息化发展提出了总的纲</w:t>
      </w:r>
      <w:r>
        <w:rPr>
          <w:spacing w:val="-108"/>
        </w:rPr>
        <w:t> </w:t>
      </w:r>
      <w:r>
        <w:rPr>
          <w:spacing w:val="-108"/>
        </w:rPr>
      </w:r>
      <w:r>
        <w:rPr/>
        <w:t>领和行动指南，电力信息化深入电力行业的各个专业领域，发展了更为全面的软硬件解决方 案，技术和政策的双重推动给我们的产品服务创新带来了新的客户与机遇。</w:t>
      </w:r>
    </w:p>
    <w:p>
      <w:pPr>
        <w:pStyle w:val="Heading2"/>
        <w:spacing w:line="282" w:lineRule="exact"/>
        <w:ind w:left="636" w:right="985"/>
        <w:jc w:val="left"/>
        <w:rPr>
          <w:b w:val="0"/>
          <w:bCs w:val="0"/>
        </w:rPr>
      </w:pPr>
      <w:r>
        <w:rPr/>
        <w:t>（二）公司发展战略</w:t>
      </w:r>
      <w:r>
        <w:rPr>
          <w:b w:val="0"/>
          <w:bCs w:val="0"/>
        </w:rPr>
      </w:r>
    </w:p>
    <w:p>
      <w:pPr>
        <w:pStyle w:val="Heading3"/>
        <w:spacing w:line="312" w:lineRule="exact" w:before="29"/>
        <w:ind w:right="1134" w:firstLine="480"/>
        <w:jc w:val="both"/>
      </w:pPr>
      <w:r>
        <w:rPr>
          <w:rFonts w:ascii="Times New Roman" w:hAnsi="Times New Roman" w:cs="Times New Roman" w:eastAsia="Times New Roman" w:hint="default"/>
        </w:rPr>
        <w:t>2018</w:t>
      </w:r>
      <w:r>
        <w:rPr/>
        <w:t>年，以新发展理念为引领，深入研究国家深化供给侧结构性改革和电力体制改革， 以集团管理、智慧能源、智能物联、社会互联为战略方向，公司将加快调整转型升级，强化 产品创新、优化业务布局、简化内部运作，扎实做好</w:t>
      </w:r>
      <w:r>
        <w:rPr>
          <w:rFonts w:ascii="Times New Roman" w:hAnsi="Times New Roman" w:cs="Times New Roman" w:eastAsia="Times New Roman" w:hint="default"/>
        </w:rPr>
        <w:t>2018</w:t>
      </w:r>
      <w:r>
        <w:rPr/>
        <w:t>年各项经营工作；把握产业机遇，</w:t>
      </w:r>
      <w:r>
        <w:rPr>
          <w:spacing w:val="-112"/>
        </w:rPr>
        <w:t> </w:t>
      </w:r>
      <w:r>
        <w:rPr>
          <w:spacing w:val="-112"/>
        </w:rPr>
      </w:r>
      <w:r>
        <w:rPr/>
        <w:t>注重能力建设，突出需求导向，提升管控水平，全力推进集团融合发展；坚持稳中求进、稳 中有为，打造核心竞争力，推动高质量发展，努力开创公司跨越成长新局面。</w:t>
      </w:r>
    </w:p>
    <w:p>
      <w:pPr>
        <w:pStyle w:val="Heading2"/>
        <w:spacing w:line="282" w:lineRule="exact"/>
        <w:ind w:left="636" w:right="985"/>
        <w:jc w:val="left"/>
        <w:rPr>
          <w:b w:val="0"/>
          <w:bCs w:val="0"/>
        </w:rPr>
      </w:pPr>
      <w:r>
        <w:rPr/>
        <w:t>（三）经营计划</w:t>
      </w:r>
      <w:r>
        <w:rPr>
          <w:b w:val="0"/>
          <w:bCs w:val="0"/>
        </w:rPr>
      </w:r>
    </w:p>
    <w:p>
      <w:pPr>
        <w:pStyle w:val="Heading2"/>
        <w:spacing w:line="321" w:lineRule="exact"/>
        <w:ind w:left="636" w:right="985"/>
        <w:jc w:val="left"/>
        <w:rPr>
          <w:b w:val="0"/>
          <w:bCs w:val="0"/>
        </w:rPr>
      </w:pPr>
      <w:r>
        <w:rPr>
          <w:rFonts w:ascii="Times New Roman" w:hAnsi="Times New Roman" w:cs="Times New Roman" w:eastAsia="Times New Roman" w:hint="default"/>
        </w:rPr>
        <w:t>1</w:t>
      </w:r>
      <w:r>
        <w:rPr/>
        <w:t>、业务方面</w:t>
      </w:r>
      <w:r>
        <w:rPr>
          <w:b w:val="0"/>
          <w:bCs w:val="0"/>
        </w:rPr>
      </w:r>
    </w:p>
    <w:p>
      <w:pPr>
        <w:pStyle w:val="Heading3"/>
        <w:spacing w:line="235" w:lineRule="auto"/>
        <w:ind w:right="995" w:firstLine="480"/>
        <w:jc w:val="left"/>
      </w:pPr>
      <w:r>
        <w:rPr>
          <w:rFonts w:ascii="Times New Roman" w:hAnsi="Times New Roman" w:cs="Times New Roman" w:eastAsia="Times New Roman" w:hint="default"/>
        </w:rPr>
        <w:t>2018</w:t>
      </w:r>
      <w:r>
        <w:rPr/>
        <w:t>年，在客户经营上，将继续对国家电网有限公司、中国南方电网公司、国家能源投 </w:t>
      </w:r>
      <w:r>
        <w:rPr>
          <w:spacing w:val="-3"/>
        </w:rPr>
        <w:t>资集团有限责任公司、国家电力投资集团有限公司、中国华能集团公司、中国大唐集团公司、</w:t>
      </w:r>
      <w:r>
        <w:rPr>
          <w:spacing w:val="-81"/>
        </w:rPr>
        <w:t> </w:t>
      </w:r>
      <w:r>
        <w:rPr>
          <w:spacing w:val="-81"/>
        </w:rPr>
      </w:r>
      <w:r>
        <w:rPr>
          <w:spacing w:val="-3"/>
        </w:rPr>
        <w:t>中国华电集团公司等特大型集团企业深耕细作，持续经营，保持市场主导地位。在国家电网，</w:t>
      </w:r>
      <w:r>
        <w:rPr>
          <w:spacing w:val="-81"/>
        </w:rPr>
        <w:t> </w:t>
      </w:r>
      <w:r>
        <w:rPr>
          <w:spacing w:val="-81"/>
        </w:rPr>
      </w:r>
      <w:r>
        <w:rPr/>
        <w:t>持续深耕财务领域，同时在审计、运监、信通、发策、电财、电商等领域进行持续开拓；在</w:t>
      </w:r>
      <w:r>
        <w:rPr/>
        <w:t> 南方电网，持续积极推进财务管理一体化系统的推广和功能优化完善，持续推进财务领域决 策分析系统，推进数据挖掘分析应用系统的建设和推广，并通过现有产品和二次技术开发， </w:t>
      </w:r>
      <w:r>
        <w:rPr>
          <w:spacing w:val="-2"/>
        </w:rPr>
        <w:t>满足网省市县各级客户系统深化应用的需求；在发电集团，持续积极推动集团管理项目建设，</w:t>
      </w:r>
    </w:p>
    <w:p>
      <w:pPr>
        <w:spacing w:after="0" w:line="235"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985"/>
        <w:jc w:val="left"/>
      </w:pPr>
      <w:r>
        <w:rPr/>
        <w:t>持续提升基于智能物联的燃料管控项目建设效果和深化应用，积极参与智慧企业试点建设， 以及党建系统等项目建设工作，为能源企业信息化提供全面服务。</w:t>
      </w:r>
    </w:p>
    <w:p>
      <w:pPr>
        <w:pStyle w:val="Heading3"/>
        <w:spacing w:line="225" w:lineRule="auto"/>
        <w:ind w:right="995" w:firstLine="480"/>
        <w:jc w:val="left"/>
      </w:pPr>
      <w:r>
        <w:rPr>
          <w:rFonts w:ascii="Times New Roman" w:hAnsi="Times New Roman" w:cs="Times New Roman" w:eastAsia="Times New Roman" w:hint="default"/>
          <w:spacing w:val="-2"/>
        </w:rPr>
        <w:t>2018</w:t>
      </w:r>
      <w:r>
        <w:rPr>
          <w:spacing w:val="-2"/>
        </w:rPr>
        <w:t>年，公司将持续推进人工智能领域的研究探索，深入挖掘人工智能未来在企业管理、</w:t>
      </w:r>
      <w:r>
        <w:rPr/>
        <w:t> </w:t>
      </w:r>
      <w:r>
        <w:rPr>
          <w:spacing w:val="-5"/>
        </w:rPr>
        <w:t>社会治理方面的应用，开发基于机器学习和知识图谱的智能软件产品，构建新一代</w:t>
      </w:r>
      <w:r>
        <w:rPr>
          <w:rFonts w:ascii="Times New Roman" w:hAnsi="Times New Roman" w:cs="Times New Roman" w:eastAsia="Times New Roman" w:hint="default"/>
          <w:spacing w:val="-5"/>
        </w:rPr>
        <w:t>“</w:t>
      </w:r>
      <w:r>
        <w:rPr>
          <w:spacing w:val="-5"/>
        </w:rPr>
        <w:t>人机结合</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5"/>
        </w:rPr>
        <w:t> </w:t>
      </w:r>
      <w:r>
        <w:rPr/>
        <w:t>平台体系，助力客户工作模式转变，实现新的价值提升。</w:t>
      </w:r>
    </w:p>
    <w:p>
      <w:pPr>
        <w:pStyle w:val="Heading3"/>
        <w:spacing w:line="312" w:lineRule="exact" w:before="30"/>
        <w:ind w:left="154" w:right="1139" w:firstLine="480"/>
        <w:jc w:val="both"/>
      </w:pPr>
      <w:r>
        <w:rPr>
          <w:rFonts w:ascii="Times New Roman" w:hAnsi="Times New Roman" w:cs="Times New Roman" w:eastAsia="Times New Roman" w:hint="default"/>
        </w:rPr>
        <w:t>2018</w:t>
      </w:r>
      <w:r>
        <w:rPr/>
        <w:t>年，公司将针对集团企业，开发、完善区块链企业应用服务平台，为公司的企业应 用产品提供稳定的区块链底层支撑和服务体系；在此基础上继续推进区块链在能源互联、数 据存证、供应链等方面的应用，打造能源数字经济平台，开发服务于集团企业和大众用户的 数据存证产品，优化供应链信用体系，推动新技术助力企业管理、社会治理，为社会进步贡 献一己之力。</w:t>
      </w:r>
    </w:p>
    <w:p>
      <w:pPr>
        <w:pStyle w:val="Heading3"/>
        <w:spacing w:line="312" w:lineRule="exact"/>
        <w:ind w:right="1132" w:firstLine="480"/>
        <w:jc w:val="both"/>
      </w:pPr>
      <w:r>
        <w:rPr>
          <w:rFonts w:ascii="Times New Roman" w:hAnsi="Times New Roman" w:cs="Times New Roman" w:eastAsia="Times New Roman" w:hint="default"/>
        </w:rPr>
        <w:t>2018</w:t>
      </w:r>
      <w:r>
        <w:rPr/>
        <w:t>年，公司将加强与子公司融合，深化营销协同，充分发挥母子公司优势，在集团管 理、智慧能源、智能物联、社会互联四大产业方向上，继续提供成熟、稳定、精细、全面的 产品和整体解决方案。并基于</w:t>
      </w:r>
      <w:r>
        <w:rPr>
          <w:rFonts w:ascii="Times New Roman" w:hAnsi="Times New Roman" w:cs="Times New Roman" w:eastAsia="Times New Roman" w:hint="default"/>
        </w:rPr>
        <w:t>“</w:t>
      </w:r>
      <w:r>
        <w:rPr/>
        <w:t>工程管理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智慧电厂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智能配电</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燃料智能化</w:t>
      </w:r>
      <w:r>
        <w:rPr>
          <w:rFonts w:ascii="Times New Roman" w:hAnsi="Times New Roman" w:cs="Times New Roman" w:eastAsia="Times New Roman" w:hint="default"/>
        </w:rPr>
        <w:t>”</w:t>
      </w:r>
      <w:r>
        <w:rPr/>
        <w:t>、</w:t>
      </w:r>
      <w:r>
        <w:rPr>
          <w:spacing w:val="-80"/>
        </w:rPr>
        <w:t> </w:t>
      </w:r>
      <w:r>
        <w:rPr>
          <w:rFonts w:ascii="Times New Roman" w:hAnsi="Times New Roman" w:cs="Times New Roman" w:eastAsia="Times New Roman" w:hint="default"/>
        </w:rPr>
        <w:t>“</w:t>
      </w:r>
      <w:r>
        <w:rPr/>
        <w:t>购售 </w:t>
      </w:r>
      <w:r>
        <w:rPr>
          <w:spacing w:val="-2"/>
        </w:rPr>
        <w:t>电一体化云平台</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电子政务信息系统</w:t>
      </w:r>
      <w:r>
        <w:rPr>
          <w:rFonts w:ascii="Times New Roman" w:hAnsi="Times New Roman" w:cs="Times New Roman" w:eastAsia="Times New Roman" w:hint="default"/>
          <w:spacing w:val="-2"/>
        </w:rPr>
        <w:t>”</w:t>
      </w:r>
      <w:r>
        <w:rPr>
          <w:spacing w:val="-2"/>
        </w:rPr>
        <w:t>等产品和解决方案，在电力行业内，深度经营，挖掘</w:t>
      </w:r>
      <w:r>
        <w:rPr>
          <w:spacing w:val="-80"/>
        </w:rPr>
        <w:t> </w:t>
      </w:r>
      <w:r>
        <w:rPr>
          <w:spacing w:val="-80"/>
        </w:rPr>
      </w:r>
      <w:r>
        <w:rPr/>
        <w:t>价值，扩大市场份额；在行业外，成立集团客户事业部，聚合资源，形成竞力，继续在首创 经中、海尔集团、宏发集团、厦门航空、完达山乳业等优质上市公司、行业龙头企业细化经 营，彰显标杆价值。</w:t>
      </w:r>
    </w:p>
    <w:p>
      <w:pPr>
        <w:pStyle w:val="Heading3"/>
        <w:spacing w:line="312" w:lineRule="exact"/>
        <w:ind w:right="1139" w:firstLine="480"/>
        <w:jc w:val="both"/>
      </w:pPr>
      <w:r>
        <w:rPr>
          <w:rFonts w:ascii="Times New Roman" w:hAnsi="Times New Roman" w:cs="Times New Roman" w:eastAsia="Times New Roman" w:hint="default"/>
        </w:rPr>
        <w:t>2018</w:t>
      </w:r>
      <w:r>
        <w:rPr/>
        <w:t>年，公司将以电力体制改革为契机，不断完善电能全产业链产品体系、强化内部协 同与外部资源高效利用，聚焦、优化业务链条，多措并举不断增强核心技术实力，树立长期 竞争优势，建设综合能源服务平台。</w:t>
      </w:r>
    </w:p>
    <w:p>
      <w:pPr>
        <w:pStyle w:val="Heading2"/>
        <w:spacing w:line="291" w:lineRule="exact"/>
        <w:ind w:left="636" w:right="985"/>
        <w:jc w:val="left"/>
        <w:rPr>
          <w:b w:val="0"/>
          <w:bCs w:val="0"/>
        </w:rPr>
      </w:pPr>
      <w:r>
        <w:rPr>
          <w:rFonts w:ascii="Times New Roman" w:hAnsi="Times New Roman" w:cs="Times New Roman" w:eastAsia="Times New Roman" w:hint="default"/>
        </w:rPr>
        <w:t>2</w:t>
      </w:r>
      <w:r>
        <w:rPr/>
        <w:t>、研发方面</w:t>
      </w:r>
      <w:r>
        <w:rPr>
          <w:b w:val="0"/>
          <w:bCs w:val="0"/>
        </w:rPr>
      </w:r>
    </w:p>
    <w:p>
      <w:pPr>
        <w:pStyle w:val="Heading3"/>
        <w:spacing w:line="235" w:lineRule="auto"/>
        <w:ind w:right="1134" w:firstLine="480"/>
        <w:jc w:val="both"/>
      </w:pPr>
      <w:r>
        <w:rPr>
          <w:rFonts w:ascii="Times New Roman" w:hAnsi="Times New Roman" w:cs="Times New Roman" w:eastAsia="Times New Roman" w:hint="default"/>
        </w:rPr>
        <w:t>2018</w:t>
      </w:r>
      <w:r>
        <w:rPr/>
        <w:t>年，公司将进一步夯实</w:t>
      </w:r>
      <w:r>
        <w:rPr>
          <w:rFonts w:ascii="Times New Roman" w:hAnsi="Times New Roman" w:cs="Times New Roman" w:eastAsia="Times New Roman" w:hint="default"/>
        </w:rPr>
        <w:t>“</w:t>
      </w:r>
      <w:r>
        <w:rPr/>
        <w:t>集团管理、智慧能源、智能物联、社会互联</w:t>
      </w:r>
      <w:r>
        <w:rPr>
          <w:rFonts w:ascii="Times New Roman" w:hAnsi="Times New Roman" w:cs="Times New Roman" w:eastAsia="Times New Roman" w:hint="default"/>
        </w:rPr>
        <w:t>”</w:t>
      </w:r>
      <w:r>
        <w:rPr/>
        <w:t>四大核心业务 领域和产品系列，继续加大大数据、区块链、人工智能、物联网等技术领域的研发投入，为 核心业务领域产品创新提供支持，为能源行业内外的企业提供信息化产品，同时深入电力行 业的各专业领域，提供更为全面的软硬件解决方案。</w:t>
      </w:r>
    </w:p>
    <w:p>
      <w:pPr>
        <w:pStyle w:val="Heading3"/>
        <w:spacing w:line="312" w:lineRule="exact" w:before="29"/>
        <w:ind w:right="1018" w:firstLine="480"/>
        <w:jc w:val="left"/>
      </w:pPr>
      <w:r>
        <w:rPr>
          <w:rFonts w:ascii="Times New Roman" w:hAnsi="Times New Roman" w:cs="Times New Roman" w:eastAsia="Times New Roman" w:hint="default"/>
        </w:rPr>
        <w:t>2018</w:t>
      </w:r>
      <w:r>
        <w:rPr/>
        <w:t>年，公司将继续大力推进人工智能项目，在现有成果的基础上，从人工智能</w:t>
      </w:r>
      <w:r>
        <w:rPr>
          <w:rFonts w:ascii="Times New Roman" w:hAnsi="Times New Roman" w:cs="Times New Roman" w:eastAsia="Times New Roman" w:hint="default"/>
        </w:rPr>
        <w:t>+</w:t>
      </w:r>
      <w:r>
        <w:rPr/>
        <w:t>硬件、 </w:t>
      </w:r>
      <w:r>
        <w:rPr>
          <w:spacing w:val="-3"/>
        </w:rPr>
        <w:t>人工智能</w:t>
      </w:r>
      <w:r>
        <w:rPr>
          <w:rFonts w:ascii="Times New Roman" w:hAnsi="Times New Roman" w:cs="Times New Roman" w:eastAsia="Times New Roman" w:hint="default"/>
          <w:spacing w:val="-3"/>
        </w:rPr>
        <w:t>+</w:t>
      </w:r>
      <w:r>
        <w:rPr>
          <w:spacing w:val="-3"/>
        </w:rPr>
        <w:t>信息系统等方面，发掘更多人工智能应用场景，为集团企业管理软件提供智能化服</w:t>
      </w:r>
      <w:r>
        <w:rPr>
          <w:spacing w:val="-97"/>
        </w:rPr>
        <w:t> </w:t>
      </w:r>
      <w:r>
        <w:rPr>
          <w:spacing w:val="-97"/>
        </w:rPr>
      </w:r>
      <w:r>
        <w:rPr/>
        <w:t>务，全面提升业务操作的规范性，提高业务人员的工作效率，助力企业快速实现价值创造。</w:t>
      </w:r>
    </w:p>
    <w:p>
      <w:pPr>
        <w:pStyle w:val="Heading3"/>
        <w:spacing w:line="312" w:lineRule="exact"/>
        <w:ind w:right="985" w:firstLine="480"/>
        <w:jc w:val="left"/>
      </w:pPr>
      <w:r>
        <w:rPr>
          <w:rFonts w:ascii="Times New Roman" w:hAnsi="Times New Roman" w:cs="Times New Roman" w:eastAsia="Times New Roman" w:hint="default"/>
        </w:rPr>
        <w:t>2018</w:t>
      </w:r>
      <w:r>
        <w:rPr/>
        <w:t>年，公司将结合当前产品应用现状，融合应用云计算、大数据、人工智能、微服务 架构、区块链等技术，探索研究分布式技术、构建下一代分布式集团管理系统。</w:t>
      </w:r>
    </w:p>
    <w:p>
      <w:pPr>
        <w:pStyle w:val="Heading2"/>
        <w:spacing w:line="291" w:lineRule="exact"/>
        <w:ind w:left="636" w:right="985"/>
        <w:jc w:val="left"/>
        <w:rPr>
          <w:b w:val="0"/>
          <w:bCs w:val="0"/>
        </w:rPr>
      </w:pPr>
      <w:r>
        <w:rPr>
          <w:rFonts w:ascii="Times New Roman" w:hAnsi="Times New Roman" w:cs="Times New Roman" w:eastAsia="Times New Roman" w:hint="default"/>
        </w:rPr>
        <w:t>3</w:t>
      </w:r>
      <w:r>
        <w:rPr/>
        <w:t>、人力资源方面</w:t>
      </w:r>
      <w:r>
        <w:rPr>
          <w:b w:val="0"/>
          <w:bCs w:val="0"/>
        </w:rPr>
      </w:r>
    </w:p>
    <w:p>
      <w:pPr>
        <w:pStyle w:val="Heading3"/>
        <w:spacing w:line="312" w:lineRule="exact" w:before="20"/>
        <w:ind w:right="985" w:firstLine="480"/>
        <w:jc w:val="left"/>
      </w:pPr>
      <w:r>
        <w:rPr>
          <w:rFonts w:ascii="Times New Roman" w:hAnsi="Times New Roman" w:cs="Times New Roman" w:eastAsia="Times New Roman" w:hint="default"/>
        </w:rPr>
        <w:t>2018</w:t>
      </w:r>
      <w:r>
        <w:rPr/>
        <w:t>年，公司一方面将继续引进人才，尤其是面向智慧能源、大数据、人工智能及区块 链等领域的高端人才，为公司在这些领域的发展打下坚实基础。另一方面将持续推进</w:t>
      </w:r>
      <w:r>
        <w:rPr>
          <w:rFonts w:ascii="Times New Roman" w:hAnsi="Times New Roman" w:cs="Times New Roman" w:eastAsia="Times New Roman" w:hint="default"/>
        </w:rPr>
        <w:t>“</w:t>
      </w:r>
      <w:r>
        <w:rPr/>
        <w:t>未来星 计划</w:t>
      </w:r>
      <w:r>
        <w:rPr>
          <w:rFonts w:ascii="Times New Roman" w:hAnsi="Times New Roman" w:cs="Times New Roman" w:eastAsia="Times New Roman" w:hint="default"/>
        </w:rPr>
        <w:t>”</w:t>
      </w:r>
      <w:r>
        <w:rPr/>
        <w:t>，通过对校招毕业生的持续培养，为公司未来发展储备人才。公司将继续完善职业发展 </w:t>
      </w:r>
      <w:r>
        <w:rPr>
          <w:spacing w:val="-3"/>
        </w:rPr>
        <w:t>双通道，搭建干部管理体系，为培养优秀经营团队提供系统支持。同时，也将开展人才盘点、</w:t>
      </w:r>
      <w:r>
        <w:rPr>
          <w:spacing w:val="-81"/>
        </w:rPr>
        <w:t> </w:t>
      </w:r>
      <w:r>
        <w:rPr>
          <w:spacing w:val="-81"/>
        </w:rPr>
      </w:r>
      <w:r>
        <w:rPr/>
        <w:t>专业技术能力评定等工作，为优秀人才识别、人才梯队建设奠定基础。另外，公司将加强绩 效导向，围绕绩效制订一系列价值评估、价值分配的机制，为公司战略的顺利执行提供有效 支撑。</w:t>
      </w:r>
    </w:p>
    <w:p>
      <w:pPr>
        <w:pStyle w:val="Heading2"/>
        <w:spacing w:line="291" w:lineRule="exact"/>
        <w:ind w:left="636" w:right="985"/>
        <w:jc w:val="left"/>
        <w:rPr>
          <w:b w:val="0"/>
          <w:bCs w:val="0"/>
        </w:rPr>
      </w:pPr>
      <w:r>
        <w:rPr>
          <w:rFonts w:ascii="Times New Roman" w:hAnsi="Times New Roman" w:cs="Times New Roman" w:eastAsia="Times New Roman" w:hint="default"/>
        </w:rPr>
        <w:t>4</w:t>
      </w:r>
      <w:r>
        <w:rPr/>
        <w:t>、内部管理方面</w:t>
      </w:r>
      <w:r>
        <w:rPr>
          <w:b w:val="0"/>
          <w:bCs w:val="0"/>
        </w:rPr>
      </w:r>
    </w:p>
    <w:p>
      <w:pPr>
        <w:pStyle w:val="Heading3"/>
        <w:spacing w:line="235" w:lineRule="auto"/>
        <w:ind w:right="985" w:firstLine="480"/>
        <w:jc w:val="left"/>
      </w:pPr>
      <w:r>
        <w:rPr>
          <w:rFonts w:ascii="Times New Roman" w:hAnsi="Times New Roman" w:cs="Times New Roman" w:eastAsia="Times New Roman" w:hint="default"/>
          <w:spacing w:val="-3"/>
        </w:rPr>
        <w:t>2018</w:t>
      </w:r>
      <w:r>
        <w:rPr>
          <w:spacing w:val="-3"/>
        </w:rPr>
        <w:t>年，公司将聚焦发展提质、经营增效的中心任务，按照规模、结构、效益并重原则，</w:t>
      </w:r>
      <w:r>
        <w:rPr/>
        <w:t> 分解落实经营目标；进一步推动经营体制改革和机制创新，深入探索集团化发展运作方式。</w:t>
      </w:r>
      <w:r>
        <w:rPr>
          <w:spacing w:val="-115"/>
        </w:rPr>
        <w:t> </w:t>
      </w:r>
      <w:r>
        <w:rPr>
          <w:spacing w:val="-115"/>
        </w:rPr>
      </w:r>
      <w:r>
        <w:rPr/>
        <w:t>体系建设方面，深入梳理各部门组织职责和管理职能，理顺专业化管理关系，提高日常管理 工作效率；运营管理方面，通过全业务模型项目实施落地，固化全面预算管理、绩效管理成 果，推行项目预算、对标管理等精细化管理工具，优化资源配置，提高经营效率；产品管理</w:t>
      </w:r>
    </w:p>
    <w:p>
      <w:pPr>
        <w:spacing w:after="0" w:line="235"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985"/>
        <w:jc w:val="left"/>
      </w:pPr>
      <w:r>
        <w:rPr/>
        <w:t>方面，制定并全面推行公司产品绩效考核体系，进一步完善公司产品研发立项、结项评审流 </w:t>
      </w:r>
      <w:r>
        <w:rPr>
          <w:spacing w:val="-3"/>
        </w:rPr>
        <w:t>程；业务管理方面，推进制度闭环管理、业务流程优化、数据系统全面对接。集团管控方面，</w:t>
      </w:r>
      <w:r>
        <w:rPr>
          <w:spacing w:val="-82"/>
        </w:rPr>
        <w:t> </w:t>
      </w:r>
      <w:r>
        <w:rPr>
          <w:spacing w:val="-82"/>
        </w:rPr>
      </w:r>
      <w:r>
        <w:rPr/>
        <w:t>进一步加强子公司管理和支持，完善子公司管理制度体系，加强集团财务管控以及人力资源</w:t>
      </w:r>
      <w:r>
        <w:rPr>
          <w:spacing w:val="-112"/>
        </w:rPr>
        <w:t> </w:t>
      </w:r>
      <w:r>
        <w:rPr>
          <w:spacing w:val="-112"/>
        </w:rPr>
      </w:r>
      <w:r>
        <w:rPr/>
        <w:t>管理，确保全面完成年度目标任务。</w:t>
      </w:r>
    </w:p>
    <w:p>
      <w:pPr>
        <w:pStyle w:val="Heading2"/>
        <w:spacing w:line="292" w:lineRule="exact"/>
        <w:ind w:left="636" w:right="985"/>
        <w:jc w:val="left"/>
        <w:rPr>
          <w:b w:val="0"/>
          <w:bCs w:val="0"/>
        </w:rPr>
      </w:pPr>
      <w:r>
        <w:rPr>
          <w:rFonts w:ascii="Times New Roman" w:hAnsi="Times New Roman" w:cs="Times New Roman" w:eastAsia="Times New Roman" w:hint="default"/>
        </w:rPr>
        <w:t>5</w:t>
      </w:r>
      <w:r>
        <w:rPr/>
        <w:t>、投资方面</w:t>
      </w:r>
      <w:r>
        <w:rPr>
          <w:b w:val="0"/>
          <w:bCs w:val="0"/>
        </w:rPr>
      </w:r>
    </w:p>
    <w:p>
      <w:pPr>
        <w:pStyle w:val="Heading3"/>
        <w:spacing w:line="312" w:lineRule="exact" w:before="20"/>
        <w:ind w:right="1134" w:firstLine="480"/>
        <w:jc w:val="both"/>
      </w:pPr>
      <w:r>
        <w:rPr>
          <w:rFonts w:ascii="Times New Roman" w:hAnsi="Times New Roman" w:cs="Times New Roman" w:eastAsia="Times New Roman" w:hint="default"/>
        </w:rPr>
        <w:t>2018</w:t>
      </w:r>
      <w:r>
        <w:rPr/>
        <w:t>年，公司以产业协同为投资并购主方向，同时积极布局新兴产业，为公司业务发展 寻找新的机会。公司将继续坚持</w:t>
      </w:r>
      <w:r>
        <w:rPr>
          <w:rFonts w:ascii="Times New Roman" w:hAnsi="Times New Roman" w:cs="Times New Roman" w:eastAsia="Times New Roman" w:hint="default"/>
        </w:rPr>
        <w:t>“</w:t>
      </w:r>
      <w:r>
        <w:rPr/>
        <w:t>一横一纵</w:t>
      </w:r>
      <w:r>
        <w:rPr>
          <w:rFonts w:ascii="Times New Roman" w:hAnsi="Times New Roman" w:cs="Times New Roman" w:eastAsia="Times New Roman" w:hint="default"/>
        </w:rPr>
        <w:t>”</w:t>
      </w:r>
      <w:r>
        <w:rPr/>
        <w:t>投资并购战略，横向上不断拓展公司产品在电力</w:t>
      </w:r>
      <w:r>
        <w:rPr>
          <w:spacing w:val="-85"/>
        </w:rPr>
        <w:t> </w:t>
      </w:r>
      <w:r>
        <w:rPr>
          <w:spacing w:val="-85"/>
        </w:rPr>
      </w:r>
      <w:r>
        <w:rPr/>
        <w:t>行业外的应用范围，积极开拓新的业务领域；纵向上深入挖掘客户需求，不断完善公司产品 线，充分发挥公司的电力行业优势，加快外延式发展。重点关注能源互联网、区块链技术、 大数据、人工智能、物联网等方面的投资并购机会。</w:t>
      </w:r>
    </w:p>
    <w:p>
      <w:pPr>
        <w:pStyle w:val="Heading2"/>
        <w:spacing w:line="282" w:lineRule="exact"/>
        <w:ind w:left="636" w:right="985"/>
        <w:jc w:val="left"/>
        <w:rPr>
          <w:b w:val="0"/>
          <w:bCs w:val="0"/>
        </w:rPr>
      </w:pPr>
      <w:r>
        <w:rPr/>
        <w:t>（四）可能面临的风险</w:t>
      </w:r>
      <w:r>
        <w:rPr>
          <w:b w:val="0"/>
          <w:bCs w:val="0"/>
        </w:rPr>
      </w:r>
    </w:p>
    <w:p>
      <w:pPr>
        <w:spacing w:line="312" w:lineRule="exact" w:before="29"/>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、新型技术人才不足带来的风险</w:t>
      </w:r>
      <w:r>
        <w:rPr>
          <w:rFonts w:ascii="宋体" w:hAnsi="宋体" w:cs="宋体" w:eastAsia="宋体" w:hint="default"/>
          <w:b/>
          <w:bCs/>
          <w:w w:val="99"/>
          <w:sz w:val="24"/>
          <w:szCs w:val="24"/>
        </w:rPr>
        <w:t> </w:t>
      </w:r>
      <w:r>
        <w:rPr>
          <w:rFonts w:ascii="宋体" w:hAnsi="宋体" w:cs="宋体" w:eastAsia="宋体" w:hint="default"/>
          <w:sz w:val="24"/>
          <w:szCs w:val="24"/>
        </w:rPr>
        <w:t>公司加大了在大数据、人工智能、区块链、物联网、能源互联网、社会信息化等领域的</w:t>
      </w:r>
    </w:p>
    <w:p>
      <w:pPr>
        <w:pStyle w:val="Heading3"/>
        <w:spacing w:line="312" w:lineRule="exact"/>
        <w:ind w:right="995"/>
        <w:jc w:val="left"/>
      </w:pPr>
      <w:r>
        <w:rPr/>
        <w:t>研发投入，对应的新型技术人才不足。公司将结合业务发展规划强化内部培养的能力，提高 </w:t>
      </w:r>
      <w:r>
        <w:rPr>
          <w:spacing w:val="-2"/>
        </w:rPr>
        <w:t>员工的专业化与职业化程度，并在技术骨干、管理骨干等核心人才的育留方面提供职能支持；</w:t>
      </w:r>
      <w:r>
        <w:rPr/>
        <w:t> 同时持续引入行业高端人才，为公司突破大数据、区块链、人工智能、物联网等领域关键技 术储备人才。此外，公司积极与行业内的顶尖企业、机构、学校进行合作，引入外脑，为产 品技术的创新突破提供专业力量，促进研发效率的提升。</w:t>
      </w:r>
    </w:p>
    <w:p>
      <w:pPr>
        <w:spacing w:line="312" w:lineRule="exact" w:before="0"/>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、集团化运作带来的管理风险</w:t>
      </w:r>
      <w:r>
        <w:rPr>
          <w:rFonts w:ascii="宋体" w:hAnsi="宋体" w:cs="宋体" w:eastAsia="宋体" w:hint="default"/>
          <w:b/>
          <w:bCs/>
          <w:w w:val="99"/>
          <w:sz w:val="24"/>
          <w:szCs w:val="24"/>
        </w:rPr>
        <w:t> </w:t>
      </w:r>
      <w:r>
        <w:rPr>
          <w:rFonts w:ascii="宋体" w:hAnsi="宋体" w:cs="宋体" w:eastAsia="宋体" w:hint="default"/>
          <w:sz w:val="24"/>
          <w:szCs w:val="24"/>
        </w:rPr>
        <w:t>报告期内，公司集团化进程加速，收购昊美科技、智和咨询，强化了公司在能源行业发</w:t>
      </w:r>
    </w:p>
    <w:p>
      <w:pPr>
        <w:pStyle w:val="Heading3"/>
        <w:spacing w:line="312" w:lineRule="exact"/>
        <w:ind w:right="1139"/>
        <w:jc w:val="both"/>
      </w:pPr>
      <w:r>
        <w:rPr/>
        <w:t>输配售用的全链条信息化支撑力度和咨询方面的业务能力，也为公司集团化管理带来考验。 公司将逐步通过加强制度化的途径、竞争化的举措，对集团公司进行管理，进一步发挥母公 司渠道优势、子公司产品及市场优势，在组织建设、团队能力、协同机制、激励政策等方面</w:t>
      </w:r>
    </w:p>
    <w:p>
      <w:pPr>
        <w:pStyle w:val="Heading3"/>
        <w:spacing w:line="282" w:lineRule="exact"/>
        <w:ind w:right="0"/>
        <w:jc w:val="both"/>
      </w:pPr>
      <w:r>
        <w:rPr/>
        <w:t>着力，大力推广子公司业务，实现集团效益最大化。</w:t>
      </w:r>
    </w:p>
    <w:p>
      <w:pPr>
        <w:spacing w:line="312" w:lineRule="exact" w:before="29"/>
        <w:ind w:left="633" w:right="98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、投入产出的周期性带来的收益风险</w:t>
      </w:r>
      <w:r>
        <w:rPr>
          <w:rFonts w:ascii="宋体" w:hAnsi="宋体" w:cs="宋体" w:eastAsia="宋体" w:hint="default"/>
          <w:b/>
          <w:bCs/>
          <w:w w:val="99"/>
          <w:sz w:val="24"/>
          <w:szCs w:val="24"/>
        </w:rPr>
        <w:t> </w:t>
      </w:r>
      <w:r>
        <w:rPr>
          <w:rFonts w:ascii="宋体" w:hAnsi="宋体" w:cs="宋体" w:eastAsia="宋体" w:hint="default"/>
          <w:sz w:val="24"/>
          <w:szCs w:val="24"/>
        </w:rPr>
        <w:t>公司加大了在新技术领域的研发投入，为集团管理、智慧能源、智能物联、社会互联四</w:t>
      </w:r>
    </w:p>
    <w:p>
      <w:pPr>
        <w:pStyle w:val="Heading3"/>
        <w:spacing w:line="312" w:lineRule="exact"/>
        <w:ind w:right="1137"/>
        <w:jc w:val="both"/>
      </w:pPr>
      <w:r>
        <w:rPr/>
        <w:t>大核心业务提供重要支撑，目前部分研发项目已投入应用，但仍有部分研发成果离实际应用 还需要一段时间，在这期间存在技术迭代、业务变更等风险，对此，公司将利用对电力行业</w:t>
      </w:r>
      <w:r>
        <w:rPr>
          <w:spacing w:val="-117"/>
        </w:rPr>
        <w:t> </w:t>
      </w:r>
      <w:r>
        <w:rPr>
          <w:spacing w:val="-117"/>
        </w:rPr>
      </w:r>
      <w:r>
        <w:rPr/>
        <w:t>业务深刻理解的优势，结合电力行业的业务特点，挖掘业务痛点与亮点，以用户为中心进行 研发，精耕细作行业客户，促进科技成果转化、加速科技成果产业化，给客户带来更多更好 的应用体验，享受新技术带来的便捷。</w:t>
      </w:r>
    </w:p>
    <w:p>
      <w:pPr>
        <w:spacing w:line="240" w:lineRule="auto" w:before="6"/>
        <w:rPr>
          <w:rFonts w:ascii="宋体" w:hAnsi="宋体" w:cs="宋体" w:eastAsia="宋体" w:hint="default"/>
          <w:sz w:val="21"/>
          <w:szCs w:val="21"/>
        </w:rPr>
      </w:pPr>
    </w:p>
    <w:p>
      <w:pPr>
        <w:pStyle w:val="Heading2"/>
        <w:spacing w:line="313" w:lineRule="exact"/>
        <w:ind w:left="636" w:right="985"/>
        <w:jc w:val="left"/>
        <w:rPr>
          <w:b w:val="0"/>
          <w:bCs w:val="0"/>
        </w:rPr>
      </w:pPr>
      <w:r>
        <w:rPr/>
        <w:t>（五）回顾总结前期披露的经营计划在报告期内的进展情况</w:t>
      </w:r>
      <w:r>
        <w:rPr>
          <w:b w:val="0"/>
          <w:bCs w:val="0"/>
        </w:rPr>
      </w:r>
    </w:p>
    <w:p>
      <w:pPr>
        <w:pStyle w:val="Heading2"/>
        <w:spacing w:line="321" w:lineRule="exact"/>
        <w:ind w:left="636" w:right="985"/>
        <w:jc w:val="left"/>
        <w:rPr>
          <w:b w:val="0"/>
          <w:bCs w:val="0"/>
        </w:rPr>
      </w:pPr>
      <w:r>
        <w:rPr/>
        <w:t>（</w:t>
      </w:r>
      <w:r>
        <w:rPr>
          <w:rFonts w:ascii="Times New Roman" w:hAnsi="Times New Roman" w:cs="Times New Roman" w:eastAsia="Times New Roman" w:hint="default"/>
        </w:rPr>
        <w:t>1</w:t>
      </w:r>
      <w:r>
        <w:rPr/>
        <w:t>）集团管理业务</w:t>
      </w:r>
      <w:r>
        <w:rPr>
          <w:b w:val="0"/>
          <w:bCs w:val="0"/>
        </w:rPr>
      </w:r>
    </w:p>
    <w:p>
      <w:pPr>
        <w:spacing w:line="312" w:lineRule="exact" w:before="20"/>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①集团资源管理系列</w:t>
      </w:r>
      <w:r>
        <w:rPr>
          <w:rFonts w:ascii="宋体" w:hAnsi="宋体" w:cs="宋体" w:eastAsia="宋体" w:hint="default"/>
          <w:b/>
          <w:bCs/>
          <w:w w:val="99"/>
          <w:sz w:val="24"/>
          <w:szCs w:val="24"/>
        </w:rPr>
        <w:t> </w:t>
      </w:r>
      <w:r>
        <w:rPr>
          <w:rFonts w:ascii="宋体" w:hAnsi="宋体" w:cs="宋体" w:eastAsia="宋体" w:hint="default"/>
          <w:sz w:val="24"/>
          <w:szCs w:val="24"/>
        </w:rPr>
        <w:t>报告期内，公司集团资源管理业务继续聚焦特大型企业集团，在国家电网推动了财务家</w:t>
      </w:r>
    </w:p>
    <w:p>
      <w:pPr>
        <w:pStyle w:val="Heading3"/>
        <w:spacing w:line="312" w:lineRule="exact"/>
        <w:ind w:right="1132"/>
        <w:jc w:val="both"/>
      </w:pPr>
      <w:r>
        <w:rPr/>
        <w:t>园、五棵树、电财资金监控、电子发票、共享服务项目成功上线；同时布局审计市场，公司 作为项目合作方，参与对审计部基于数字化审计工作室的信息化规划。在南方电网，积极推 进财务一体化系统建设，实现了系统在南方电网的全面应用、稳定运行，财务领域决策分析 系统建设正常开展，系统用户体验良好，数据完整、准确，实用化程度高，获得用户高度评</w:t>
      </w:r>
    </w:p>
    <w:p>
      <w:pPr>
        <w:pStyle w:val="Heading3"/>
        <w:spacing w:line="312" w:lineRule="exact"/>
        <w:ind w:right="1132"/>
        <w:jc w:val="both"/>
      </w:pPr>
      <w:r>
        <w:rPr>
          <w:spacing w:val="-1"/>
        </w:rPr>
        <w:t>价，完成了财务系统对服务器、操作系统、数据库、中间件、安全浏览器的国产化改造试点</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42"/>
        </w:rPr>
        <w:t> </w:t>
      </w:r>
      <w:r>
        <w:rPr/>
        <w:t>是国内第一套在大型国有能源企业上线的全国产化解决方案的财务系统。在发电集团，公司 积极推进集团管理业务；持续提升燃料管控项目建设效果和深化应用；积极参与智慧企业试 点建设，稳步推进各项企业信息化标杆项目建设工作，为全面建设能源行业高效的信息化业</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633" w:right="985" w:hanging="480"/>
        <w:jc w:val="left"/>
      </w:pPr>
      <w:r>
        <w:rPr/>
        <w:t>务体系打下良好基础。 报告期内，公司中标了首创经中财务共享服务及海尔全球资金等项目，为拓展非电领域</w:t>
      </w:r>
    </w:p>
    <w:p>
      <w:pPr>
        <w:pStyle w:val="Heading3"/>
        <w:spacing w:line="282" w:lineRule="exact"/>
        <w:ind w:right="985"/>
        <w:jc w:val="left"/>
      </w:pPr>
      <w:r>
        <w:rPr/>
        <w:t>业务树立了新标杆。与此同时，公司实现了完达山、厦航等项目成功上线。</w:t>
      </w:r>
    </w:p>
    <w:p>
      <w:pPr>
        <w:spacing w:before="0"/>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②集团风控管理系列</w:t>
      </w:r>
      <w:r>
        <w:rPr>
          <w:rFonts w:ascii="宋体" w:hAnsi="宋体" w:cs="宋体" w:eastAsia="宋体" w:hint="default"/>
          <w:b/>
          <w:bCs/>
          <w:w w:val="99"/>
          <w:sz w:val="24"/>
          <w:szCs w:val="24"/>
        </w:rPr>
        <w:t> </w:t>
      </w:r>
      <w:r>
        <w:rPr>
          <w:rFonts w:ascii="宋体" w:hAnsi="宋体" w:cs="宋体" w:eastAsia="宋体" w:hint="default"/>
          <w:sz w:val="24"/>
          <w:szCs w:val="24"/>
        </w:rPr>
        <w:t>报告期内，公司完成了华能集团风控（二期）优化提升项目验收；完成大唐全面风险项</w:t>
      </w:r>
    </w:p>
    <w:p>
      <w:pPr>
        <w:pStyle w:val="Heading3"/>
        <w:spacing w:line="311" w:lineRule="exact"/>
        <w:ind w:right="985"/>
        <w:jc w:val="left"/>
      </w:pPr>
      <w:r>
        <w:rPr/>
        <w:t>目的试点和推广上线，获得用户的认可；中农发风控系统和武钢风控系统运行稳定。</w:t>
      </w:r>
    </w:p>
    <w:p>
      <w:pPr>
        <w:pStyle w:val="Heading2"/>
        <w:spacing w:line="312" w:lineRule="exact"/>
        <w:ind w:left="636" w:right="985"/>
        <w:jc w:val="left"/>
        <w:rPr>
          <w:b w:val="0"/>
          <w:bCs w:val="0"/>
        </w:rPr>
      </w:pPr>
      <w:r>
        <w:rPr/>
        <w:t>③资产全寿命周期管理系列</w:t>
      </w:r>
      <w:r>
        <w:rPr>
          <w:b w:val="0"/>
          <w:bCs w:val="0"/>
        </w:rPr>
      </w:r>
    </w:p>
    <w:p>
      <w:pPr>
        <w:pStyle w:val="Heading3"/>
        <w:spacing w:line="312" w:lineRule="exact" w:before="29"/>
        <w:ind w:right="985" w:firstLine="480"/>
        <w:jc w:val="left"/>
      </w:pPr>
      <w:r>
        <w:rPr/>
        <w:t>报告期内，公司以国家</w:t>
      </w:r>
      <w:r>
        <w:rPr>
          <w:rFonts w:ascii="Times New Roman" w:hAnsi="Times New Roman" w:cs="Times New Roman" w:eastAsia="Times New Roman" w:hint="default"/>
        </w:rPr>
        <w:t>GB/T</w:t>
      </w:r>
      <w:r>
        <w:rPr>
          <w:rFonts w:ascii="Times New Roman" w:hAnsi="Times New Roman" w:cs="Times New Roman" w:eastAsia="Times New Roman" w:hint="default"/>
          <w:spacing w:val="-23"/>
        </w:rPr>
        <w:t> </w:t>
      </w:r>
      <w:r>
        <w:rPr>
          <w:rFonts w:ascii="Times New Roman" w:hAnsi="Times New Roman" w:cs="Times New Roman" w:eastAsia="Times New Roman" w:hint="default"/>
        </w:rPr>
        <w:t>33173-2016</w:t>
      </w:r>
      <w:r>
        <w:rPr/>
        <w:t>《资产管理体系要求》为代表的资产管理系列国 家标准为实施要求，以资产全寿命周期管理为理念，为大型资产密集型企业资产管理体系的</w:t>
      </w:r>
      <w:r>
        <w:rPr>
          <w:spacing w:val="-117"/>
        </w:rPr>
        <w:t> </w:t>
      </w:r>
      <w:r>
        <w:rPr>
          <w:spacing w:val="-117"/>
        </w:rPr>
      </w:r>
      <w:r>
        <w:rPr/>
        <w:t>建立提供咨询及服务，并利用云计算、大数据、物联网、移动互联、智能化等技术手段，研 发了资产全寿命周期管理产品体系，完整覆盖资产规划计划、采购招标、工程建设、运行维 </w:t>
      </w:r>
      <w:r>
        <w:rPr>
          <w:spacing w:val="-4"/>
        </w:rPr>
        <w:t>护、退役处置全寿命周期，形成</w:t>
      </w:r>
      <w:r>
        <w:rPr>
          <w:rFonts w:ascii="Times New Roman" w:hAnsi="Times New Roman" w:cs="Times New Roman" w:eastAsia="Times New Roman" w:hint="default"/>
          <w:spacing w:val="-4"/>
        </w:rPr>
        <w:t>“</w:t>
      </w:r>
      <w:r>
        <w:rPr>
          <w:spacing w:val="-4"/>
        </w:rPr>
        <w:t>四流合一、业财融合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智能应用、科学决策</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全程留痕、</w:t>
      </w:r>
      <w:r>
        <w:rPr>
          <w:spacing w:val="-82"/>
        </w:rPr>
        <w:t> </w:t>
      </w:r>
      <w:r>
        <w:rPr/>
        <w:t>共治共赢</w:t>
      </w:r>
      <w:r>
        <w:rPr>
          <w:rFonts w:ascii="Times New Roman" w:hAnsi="Times New Roman" w:cs="Times New Roman" w:eastAsia="Times New Roman" w:hint="default"/>
        </w:rPr>
        <w:t>”</w:t>
      </w:r>
      <w:r>
        <w:rPr/>
        <w:t>资产管理体系，帮助企业实现资产全寿命周期内安全、效能、成本综合最优的管理 目标，为大型资产密集型企业资产精益化管理做出新的贡献。</w:t>
      </w:r>
    </w:p>
    <w:p>
      <w:pPr>
        <w:pStyle w:val="Heading3"/>
        <w:spacing w:line="312" w:lineRule="exact"/>
        <w:ind w:right="1134" w:firstLine="480"/>
        <w:jc w:val="both"/>
      </w:pPr>
      <w:r>
        <w:rPr/>
        <w:t>报告期内，远光广安继续保持了在高端军工装备市场的优势，成功中标了中船重工、中 国商飞、东风汽车等企业项目管理系统；传统工程行业，远光广安在经营好存量市场同时， 还拓展了中信重工、正太集团、方太集团等客户，扩大了在传统工程行业市场份额。与此同 时在电力行业市场内紧跟国网政策，树立了湖南电力工程公司、江西送变电建设公司、河南 送变电建设公司等分包管理信息系统标杆单位。</w:t>
      </w:r>
    </w:p>
    <w:p>
      <w:pPr>
        <w:spacing w:line="312" w:lineRule="exact" w:before="0"/>
        <w:ind w:left="633" w:right="1128" w:firstLine="2"/>
        <w:jc w:val="left"/>
        <w:rPr>
          <w:rFonts w:ascii="宋体" w:hAnsi="宋体" w:cs="宋体" w:eastAsia="宋体" w:hint="default"/>
          <w:sz w:val="24"/>
          <w:szCs w:val="24"/>
        </w:rPr>
      </w:pPr>
      <w:r>
        <w:rPr>
          <w:rFonts w:ascii="宋体" w:hAnsi="宋体" w:cs="宋体" w:eastAsia="宋体" w:hint="default"/>
          <w:b/>
          <w:bCs/>
          <w:sz w:val="24"/>
          <w:szCs w:val="24"/>
        </w:rPr>
        <w:t>④企业大数据及云服务系列</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报告期内，公司进一步增强自主创新研发能力，在</w:t>
      </w:r>
      <w:r>
        <w:rPr>
          <w:rFonts w:ascii="Times New Roman" w:hAnsi="Times New Roman" w:cs="Times New Roman" w:eastAsia="Times New Roman" w:hint="default"/>
          <w:spacing w:val="-2"/>
          <w:sz w:val="24"/>
          <w:szCs w:val="24"/>
        </w:rPr>
        <w:t>2017</w:t>
      </w:r>
      <w:r>
        <w:rPr>
          <w:rFonts w:ascii="宋体" w:hAnsi="宋体" w:cs="宋体" w:eastAsia="宋体" w:hint="default"/>
          <w:spacing w:val="-2"/>
          <w:sz w:val="24"/>
          <w:szCs w:val="24"/>
        </w:rPr>
        <w:t>年国际数据博览会以</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点亮从数据</w:t>
      </w:r>
    </w:p>
    <w:p>
      <w:pPr>
        <w:pStyle w:val="Heading3"/>
        <w:spacing w:line="292" w:lineRule="exact"/>
        <w:ind w:right="985"/>
        <w:jc w:val="left"/>
        <w:rPr>
          <w:rFonts w:ascii="Times New Roman" w:hAnsi="Times New Roman" w:cs="Times New Roman" w:eastAsia="Times New Roman" w:hint="default"/>
        </w:rPr>
      </w:pPr>
      <w:r>
        <w:rPr>
          <w:spacing w:val="3"/>
        </w:rPr>
        <w:t>到智慧之路</w:t>
      </w:r>
      <w:r>
        <w:rPr>
          <w:rFonts w:ascii="Times New Roman" w:hAnsi="Times New Roman" w:cs="Times New Roman" w:eastAsia="Times New Roman" w:hint="default"/>
          <w:spacing w:val="3"/>
        </w:rPr>
        <w:t>”</w:t>
      </w:r>
      <w:r>
        <w:rPr>
          <w:spacing w:val="3"/>
        </w:rPr>
        <w:t>为主题隆重发布两款新品，引发业内广泛关注。一是实现大数据平台产品</w:t>
      </w:r>
      <w:r>
        <w:rPr>
          <w:rFonts w:ascii="Times New Roman" w:hAnsi="Times New Roman" w:cs="Times New Roman" w:eastAsia="Times New Roman" w:hint="default"/>
          <w:spacing w:val="3"/>
        </w:rPr>
        <w:t>EDT</w:t>
      </w:r>
    </w:p>
    <w:p>
      <w:pPr>
        <w:pStyle w:val="Heading3"/>
        <w:spacing w:line="312" w:lineRule="exact" w:before="20"/>
        <w:ind w:right="1128"/>
        <w:jc w:val="left"/>
      </w:pPr>
      <w:r>
        <w:rPr/>
        <w:t>（</w:t>
      </w:r>
      <w:r>
        <w:rPr>
          <w:rFonts w:ascii="Times New Roman" w:hAnsi="Times New Roman" w:cs="Times New Roman" w:eastAsia="Times New Roman" w:hint="default"/>
        </w:rPr>
        <w:t>V2.0</w:t>
      </w:r>
      <w:r>
        <w:rPr/>
        <w:t>）轻量化创新架构应用，并在多维分析引擎方面取得丰富的实践经验；同时推出面向</w:t>
      </w:r>
      <w:r>
        <w:rPr>
          <w:spacing w:val="-82"/>
        </w:rPr>
        <w:t> </w:t>
      </w:r>
      <w:r>
        <w:rPr>
          <w:spacing w:val="-5"/>
          <w:w w:val="99"/>
        </w:rPr>
        <w:t>企业各级人员提供自服务分析探索与数据资产运营管理的大数据应用全新产品</w:t>
      </w:r>
      <w:r>
        <w:rPr>
          <w:rFonts w:ascii="Times New Roman" w:hAnsi="Times New Roman" w:cs="Times New Roman" w:eastAsia="Times New Roman" w:hint="default"/>
          <w:spacing w:val="-5"/>
          <w:w w:val="99"/>
        </w:rPr>
        <w:t>RealInsight</w:t>
      </w:r>
      <w:r>
        <w:rPr>
          <w:spacing w:val="-5"/>
          <w:w w:val="99"/>
        </w:rPr>
        <w:t>，旨</w:t>
      </w:r>
      <w:r>
        <w:rPr>
          <w:spacing w:val="-101"/>
          <w:w w:val="99"/>
        </w:rPr>
        <w:t> </w:t>
      </w:r>
      <w:r>
        <w:rPr/>
        <w:t>在助力企业用户实现数字化管理创新与智慧升级。在大数据产品应用方面，完成超大型集团</w:t>
      </w:r>
      <w:r>
        <w:rPr/>
        <w:t> 客户财务大数据应用全覆盖，并帮助行业协会客户实现了中国电力大数据服务平台（一期） </w:t>
      </w:r>
      <w:r>
        <w:rPr>
          <w:spacing w:val="-2"/>
        </w:rPr>
        <w:t>上线试运行，得到了用户高度评价。同时，公司大数据产品获得工信部评选的</w:t>
      </w:r>
      <w:r>
        <w:rPr>
          <w:rFonts w:ascii="Times New Roman" w:hAnsi="Times New Roman" w:cs="Times New Roman" w:eastAsia="Times New Roman" w:hint="default"/>
          <w:spacing w:val="-2"/>
        </w:rPr>
        <w:t>“</w:t>
      </w:r>
      <w:r>
        <w:rPr>
          <w:spacing w:val="-2"/>
        </w:rPr>
        <w:t>中国大数据优</w:t>
      </w:r>
      <w:r>
        <w:rPr>
          <w:spacing w:val="-106"/>
        </w:rPr>
        <w:t> </w:t>
      </w:r>
      <w:r>
        <w:rPr/>
        <w:t>秀案例</w:t>
      </w:r>
      <w:r>
        <w:rPr>
          <w:rFonts w:ascii="Times New Roman" w:hAnsi="Times New Roman" w:cs="Times New Roman" w:eastAsia="Times New Roman" w:hint="default"/>
        </w:rPr>
        <w:t>50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广东省优秀工业和行业应用软件</w:t>
      </w:r>
      <w:r>
        <w:rPr>
          <w:rFonts w:ascii="Times New Roman" w:hAnsi="Times New Roman" w:cs="Times New Roman" w:eastAsia="Times New Roman" w:hint="default"/>
        </w:rPr>
        <w:t>TOP20”</w:t>
      </w:r>
      <w:r>
        <w:rPr/>
        <w:t>等奖项，取得较好的市场反响。</w:t>
      </w:r>
    </w:p>
    <w:p>
      <w:pPr>
        <w:pStyle w:val="Heading3"/>
        <w:spacing w:line="312" w:lineRule="exact"/>
        <w:ind w:right="1131" w:firstLine="480"/>
        <w:jc w:val="both"/>
      </w:pPr>
      <w:r>
        <w:rPr>
          <w:spacing w:val="-2"/>
        </w:rPr>
        <w:t>报告期内，公司围绕</w:t>
      </w:r>
      <w:r>
        <w:rPr>
          <w:rFonts w:ascii="Times New Roman" w:hAnsi="Times New Roman" w:cs="Times New Roman" w:eastAsia="Times New Roman" w:hint="default"/>
          <w:spacing w:val="-2"/>
        </w:rPr>
        <w:t>“SAAS</w:t>
      </w:r>
      <w:r>
        <w:rPr>
          <w:spacing w:val="-2"/>
        </w:rPr>
        <w:t>化、移动化、国际化</w:t>
      </w:r>
      <w:r>
        <w:rPr>
          <w:rFonts w:ascii="Times New Roman" w:hAnsi="Times New Roman" w:cs="Times New Roman" w:eastAsia="Times New Roman" w:hint="default"/>
          <w:spacing w:val="-2"/>
        </w:rPr>
        <w:t>”</w:t>
      </w:r>
      <w:r>
        <w:rPr>
          <w:spacing w:val="-2"/>
        </w:rPr>
        <w:t>展开了有序探索和研发创新，并针对售</w:t>
      </w:r>
      <w:r>
        <w:rPr/>
        <w:t> 电行业和集体企业客户，提供了专项定制的财务信息化云产品解决方案，为企业发展各阶段 的信息共享和管理创新提供有力的支撑。</w:t>
      </w:r>
    </w:p>
    <w:p>
      <w:pPr>
        <w:pStyle w:val="Heading3"/>
        <w:spacing w:line="312" w:lineRule="exact"/>
        <w:ind w:left="634" w:right="985" w:firstLine="2"/>
        <w:jc w:val="left"/>
      </w:pPr>
      <w:r>
        <w:rPr>
          <w:rFonts w:ascii="宋体" w:hAnsi="宋体" w:cs="宋体" w:eastAsia="宋体" w:hint="default"/>
          <w:b/>
          <w:bCs/>
        </w:rPr>
        <w:t>⑤财务管理系列</w:t>
      </w:r>
      <w:r>
        <w:rPr>
          <w:rFonts w:ascii="宋体" w:hAnsi="宋体" w:cs="宋体" w:eastAsia="宋体" w:hint="default"/>
          <w:b/>
          <w:bCs/>
          <w:w w:val="99"/>
        </w:rPr>
        <w:t> </w:t>
      </w:r>
      <w:r>
        <w:rPr/>
        <w:t>报告期内，公司针对中小型企业的</w:t>
      </w:r>
      <w:r>
        <w:rPr>
          <w:rFonts w:ascii="Times New Roman" w:hAnsi="Times New Roman" w:cs="Times New Roman" w:eastAsia="Times New Roman" w:hint="default"/>
        </w:rPr>
        <w:t>EAP</w:t>
      </w:r>
      <w:r>
        <w:rPr/>
        <w:t>企业应用包产品，以</w:t>
      </w:r>
      <w:r>
        <w:rPr>
          <w:rFonts w:ascii="Times New Roman" w:hAnsi="Times New Roman" w:cs="Times New Roman" w:eastAsia="Times New Roman" w:hint="default"/>
        </w:rPr>
        <w:t>“</w:t>
      </w:r>
      <w:r>
        <w:rPr/>
        <w:t>易用、适用、好用</w:t>
      </w:r>
      <w:r>
        <w:rPr>
          <w:rFonts w:ascii="Times New Roman" w:hAnsi="Times New Roman" w:cs="Times New Roman" w:eastAsia="Times New Roman" w:hint="default"/>
        </w:rPr>
        <w:t>”</w:t>
      </w:r>
      <w:r>
        <w:rPr/>
        <w:t>为设计</w:t>
      </w:r>
    </w:p>
    <w:p>
      <w:pPr>
        <w:pStyle w:val="Heading3"/>
        <w:spacing w:line="312" w:lineRule="exact"/>
        <w:ind w:right="985"/>
        <w:jc w:val="left"/>
      </w:pPr>
      <w:r>
        <w:rPr/>
        <w:t>理念，为中小微企业提供专业、灵活、标准的信息化产品及服务，帮助企业构建信息无边界 共享的快速反应机制。</w:t>
      </w:r>
    </w:p>
    <w:p>
      <w:pPr>
        <w:spacing w:line="312" w:lineRule="exact" w:before="0"/>
        <w:ind w:left="633" w:right="1018" w:firstLine="2"/>
        <w:jc w:val="left"/>
        <w:rPr>
          <w:rFonts w:ascii="宋体" w:hAnsi="宋体" w:cs="宋体" w:eastAsia="宋体" w:hint="default"/>
          <w:sz w:val="24"/>
          <w:szCs w:val="24"/>
        </w:rPr>
      </w:pPr>
      <w:r>
        <w:rPr>
          <w:rFonts w:ascii="宋体" w:hAnsi="宋体" w:cs="宋体" w:eastAsia="宋体" w:hint="default"/>
          <w:b/>
          <w:bCs/>
          <w:sz w:val="24"/>
          <w:szCs w:val="24"/>
        </w:rPr>
        <w:t>⑥咨询及客制化服务</w:t>
      </w:r>
      <w:r>
        <w:rPr>
          <w:rFonts w:ascii="宋体" w:hAnsi="宋体" w:cs="宋体" w:eastAsia="宋体" w:hint="default"/>
          <w:b/>
          <w:bCs/>
          <w:w w:val="99"/>
          <w:sz w:val="24"/>
          <w:szCs w:val="24"/>
        </w:rPr>
        <w:t> </w:t>
      </w:r>
      <w:r>
        <w:rPr>
          <w:rFonts w:ascii="宋体" w:hAnsi="宋体" w:cs="宋体" w:eastAsia="宋体" w:hint="default"/>
          <w:sz w:val="24"/>
          <w:szCs w:val="24"/>
        </w:rPr>
        <w:t>报告期内，公司积极探索技术</w:t>
      </w:r>
      <w:r>
        <w:rPr>
          <w:rFonts w:ascii="Times New Roman" w:hAnsi="Times New Roman" w:cs="Times New Roman" w:eastAsia="Times New Roman" w:hint="default"/>
          <w:sz w:val="24"/>
          <w:szCs w:val="24"/>
        </w:rPr>
        <w:t>+</w:t>
      </w:r>
      <w:r>
        <w:rPr>
          <w:rFonts w:ascii="宋体" w:hAnsi="宋体" w:cs="宋体" w:eastAsia="宋体" w:hint="default"/>
          <w:sz w:val="24"/>
          <w:szCs w:val="24"/>
        </w:rPr>
        <w:t>场景的应用实践，进行前瞻性的业务研究与验证性落地，</w:t>
      </w:r>
    </w:p>
    <w:p>
      <w:pPr>
        <w:pStyle w:val="Heading3"/>
        <w:spacing w:line="312" w:lineRule="exact"/>
        <w:ind w:right="1133"/>
        <w:jc w:val="both"/>
      </w:pPr>
      <w:r>
        <w:rPr/>
        <w:t>以技术为依托加速传统应用场景的升级，助力业务</w:t>
      </w:r>
      <w:r>
        <w:rPr>
          <w:rFonts w:ascii="Times New Roman" w:hAnsi="Times New Roman" w:cs="Times New Roman" w:eastAsia="Times New Roman" w:hint="default"/>
        </w:rPr>
        <w:t>“</w:t>
      </w:r>
      <w:r>
        <w:rPr/>
        <w:t>升维</w:t>
      </w:r>
      <w:r>
        <w:rPr>
          <w:rFonts w:ascii="Times New Roman" w:hAnsi="Times New Roman" w:cs="Times New Roman" w:eastAsia="Times New Roman" w:hint="default"/>
        </w:rPr>
        <w:t>”</w:t>
      </w:r>
      <w:r>
        <w:rPr/>
        <w:t>。同时，公司在信息集成、定制开</w:t>
      </w:r>
      <w:r>
        <w:rPr>
          <w:spacing w:val="-84"/>
        </w:rPr>
        <w:t> </w:t>
      </w:r>
      <w:r>
        <w:rPr>
          <w:spacing w:val="-84"/>
        </w:rPr>
      </w:r>
      <w:r>
        <w:rPr/>
        <w:t>发服务等方面进行了探索和突破，通过典型案例和行业实践，深挖客户定制需求，完善远光 特色的定制服务体系，秉持</w:t>
      </w:r>
      <w:r>
        <w:rPr>
          <w:rFonts w:ascii="Times New Roman" w:hAnsi="Times New Roman" w:cs="Times New Roman" w:eastAsia="Times New Roman" w:hint="default"/>
        </w:rPr>
        <w:t>“</w:t>
      </w:r>
      <w:r>
        <w:rPr/>
        <w:t>软件推动管理，创新引领未来</w:t>
      </w:r>
      <w:r>
        <w:rPr>
          <w:rFonts w:ascii="Times New Roman" w:hAnsi="Times New Roman" w:cs="Times New Roman" w:eastAsia="Times New Roman" w:hint="default"/>
        </w:rPr>
        <w:t>”</w:t>
      </w:r>
      <w:r>
        <w:rPr/>
        <w:t>的理念为企业提供量身定制的客</w:t>
      </w:r>
    </w:p>
    <w:p>
      <w:pPr>
        <w:pStyle w:val="Heading3"/>
        <w:spacing w:line="283" w:lineRule="exact"/>
        <w:ind w:right="985"/>
        <w:jc w:val="left"/>
      </w:pPr>
      <w:r>
        <w:rPr/>
        <w:t>户化项目。</w:t>
      </w:r>
    </w:p>
    <w:p>
      <w:pPr>
        <w:pStyle w:val="Heading2"/>
        <w:spacing w:line="321" w:lineRule="exact"/>
        <w:ind w:left="636" w:right="985"/>
        <w:jc w:val="left"/>
        <w:rPr>
          <w:b w:val="0"/>
          <w:bCs w:val="0"/>
        </w:rPr>
      </w:pPr>
      <w:r>
        <w:rPr/>
        <w:t>（</w:t>
      </w:r>
      <w:r>
        <w:rPr>
          <w:rFonts w:ascii="Times New Roman" w:hAnsi="Times New Roman" w:cs="Times New Roman" w:eastAsia="Times New Roman" w:hint="default"/>
        </w:rPr>
        <w:t>2</w:t>
      </w:r>
      <w:r>
        <w:rPr/>
        <w:t>）智慧能源业务</w:t>
      </w:r>
      <w:r>
        <w:rPr>
          <w:b w:val="0"/>
          <w:bCs w:val="0"/>
        </w:rPr>
      </w:r>
    </w:p>
    <w:p>
      <w:pPr>
        <w:spacing w:line="312" w:lineRule="exact" w:before="20"/>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①分布式能源云服务系列</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报告期内，公司能源互联网全资子公司以电力体制改革为契机，不断完善以购售电系统、</w:t>
      </w:r>
    </w:p>
    <w:p>
      <w:pPr>
        <w:spacing w:after="0" w:line="312" w:lineRule="exact"/>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2" w:lineRule="auto" w:before="34"/>
        <w:ind w:right="1128"/>
        <w:jc w:val="both"/>
      </w:pPr>
      <w:r>
        <w:rPr/>
        <w:t>配网营销系统、发电厂营销管控系统为基础的电能全产业链产品体系。</w:t>
      </w:r>
      <w:r>
        <w:rPr>
          <w:rFonts w:ascii="Times New Roman" w:hAnsi="Times New Roman" w:cs="Times New Roman" w:eastAsia="Times New Roman" w:hint="default"/>
        </w:rPr>
        <w:t>2017</w:t>
      </w:r>
      <w:r>
        <w:rPr/>
        <w:t>年已签约多个咨</w:t>
      </w:r>
      <w:r>
        <w:rPr>
          <w:spacing w:val="-110"/>
        </w:rPr>
        <w:t> </w:t>
      </w:r>
      <w:r>
        <w:rPr>
          <w:spacing w:val="-110"/>
        </w:rPr>
      </w:r>
      <w:r>
        <w:rPr/>
        <w:t>询、本地信息化、云平台项目，为大唐江苏、葛洲坝集团、秦山核电、东北售电、上海祖润 等不同电力市场主体提供信息化服务，为电力改革发展和电力市场建设贡献了智慧和力量。</w:t>
      </w:r>
      <w:r>
        <w:rPr/>
        <w:t> 凭借</w:t>
      </w:r>
      <w:r>
        <w:rPr>
          <w:rFonts w:ascii="Times New Roman" w:hAnsi="Times New Roman" w:cs="Times New Roman" w:eastAsia="Times New Roman" w:hint="default"/>
        </w:rPr>
        <w:t>“</w:t>
      </w:r>
      <w:r>
        <w:rPr/>
        <w:t>电</w:t>
      </w:r>
      <w:r>
        <w:rPr>
          <w:rFonts w:ascii="Times New Roman" w:hAnsi="Times New Roman" w:cs="Times New Roman" w:eastAsia="Times New Roman" w:hint="default"/>
        </w:rPr>
        <w:t>123</w:t>
      </w:r>
      <w:r>
        <w:rPr/>
        <w:t>云平台</w:t>
      </w:r>
      <w:r>
        <w:rPr>
          <w:rFonts w:ascii="Times New Roman" w:hAnsi="Times New Roman" w:cs="Times New Roman" w:eastAsia="Times New Roman" w:hint="default"/>
        </w:rPr>
        <w:t>”</w:t>
      </w:r>
      <w:r>
        <w:rPr/>
        <w:t>在能源行业的卓越表现，公司能源互联网全资子公司产品获评</w:t>
      </w:r>
      <w:r>
        <w:rPr>
          <w:rFonts w:ascii="Times New Roman" w:hAnsi="Times New Roman" w:cs="Times New Roman" w:eastAsia="Times New Roman" w:hint="default"/>
        </w:rPr>
        <w:t>“2017</w:t>
      </w:r>
      <w:r>
        <w:rPr/>
        <w:t>中国</w:t>
      </w:r>
      <w:r>
        <w:rPr>
          <w:spacing w:val="-53"/>
        </w:rPr>
        <w:t> </w:t>
      </w:r>
      <w:r>
        <w:rPr/>
        <w:t>软件和信息服务业能源领域最佳产品奖</w:t>
      </w:r>
      <w:r>
        <w:rPr>
          <w:rFonts w:ascii="Times New Roman" w:hAnsi="Times New Roman" w:cs="Times New Roman" w:eastAsia="Times New Roman" w:hint="default"/>
        </w:rPr>
        <w:t>”</w:t>
      </w:r>
      <w:r>
        <w:rPr/>
        <w:t>等奖项。</w:t>
      </w:r>
    </w:p>
    <w:p>
      <w:pPr>
        <w:pStyle w:val="Heading3"/>
        <w:spacing w:line="312" w:lineRule="exact" w:before="12"/>
        <w:ind w:left="633" w:right="985" w:firstLine="2"/>
        <w:jc w:val="left"/>
      </w:pPr>
      <w:r>
        <w:rPr>
          <w:rFonts w:ascii="宋体" w:hAnsi="宋体" w:cs="宋体" w:eastAsia="宋体" w:hint="default"/>
          <w:b/>
          <w:bCs/>
        </w:rPr>
        <w:t>②配售电业务系列</w:t>
      </w:r>
      <w:r>
        <w:rPr>
          <w:rFonts w:ascii="宋体" w:hAnsi="宋体" w:cs="宋体" w:eastAsia="宋体" w:hint="default"/>
          <w:b/>
          <w:bCs/>
          <w:w w:val="99"/>
        </w:rPr>
        <w:t> </w:t>
      </w:r>
      <w:r>
        <w:rPr/>
        <w:t>报告期内，公司控股子公司高远电能在广东电力市场的交易电量稳步上升，增幅位居全</w:t>
      </w:r>
    </w:p>
    <w:p>
      <w:pPr>
        <w:pStyle w:val="Heading3"/>
        <w:spacing w:line="312" w:lineRule="exact"/>
        <w:ind w:right="1139"/>
        <w:jc w:val="both"/>
      </w:pPr>
      <w:r>
        <w:rPr/>
        <w:t>省前列。高远电能现已成为珠海本地售电公司中市场客户数量、市场销售电量均位居第一名 的售电公司。除了售电业务外，高远电能还在积极涉足储能、充电桩、光伏等新能源领域。</w:t>
      </w:r>
    </w:p>
    <w:p>
      <w:pPr>
        <w:spacing w:line="312" w:lineRule="exact" w:before="0"/>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③能源互联网支撑业务系列</w:t>
      </w:r>
      <w:r>
        <w:rPr>
          <w:rFonts w:ascii="宋体" w:hAnsi="宋体" w:cs="宋体" w:eastAsia="宋体" w:hint="default"/>
          <w:b/>
          <w:bCs/>
          <w:w w:val="99"/>
          <w:sz w:val="24"/>
          <w:szCs w:val="24"/>
        </w:rPr>
        <w:t> </w:t>
      </w:r>
      <w:r>
        <w:rPr>
          <w:rFonts w:ascii="宋体" w:hAnsi="宋体" w:cs="宋体" w:eastAsia="宋体" w:hint="default"/>
          <w:sz w:val="24"/>
          <w:szCs w:val="24"/>
        </w:rPr>
        <w:t>报告期内，公司控股子公司昊美科技在配电网领域积极布局，一是持续打造适合以配电</w:t>
      </w:r>
    </w:p>
    <w:p>
      <w:pPr>
        <w:pStyle w:val="Heading3"/>
        <w:spacing w:line="312" w:lineRule="exact"/>
        <w:ind w:right="1131"/>
        <w:jc w:val="both"/>
      </w:pPr>
      <w:r>
        <w:rPr>
          <w:spacing w:val="-3"/>
        </w:rPr>
        <w:t>网为代表的管线类资产管理的</w:t>
      </w:r>
      <w:r>
        <w:rPr>
          <w:rFonts w:ascii="Times New Roman" w:hAnsi="Times New Roman" w:cs="Times New Roman" w:eastAsia="Times New Roman" w:hint="default"/>
          <w:spacing w:val="-3"/>
        </w:rPr>
        <w:t>HM7000</w:t>
      </w:r>
      <w:r>
        <w:rPr>
          <w:spacing w:val="-3"/>
        </w:rPr>
        <w:t>平台，夯实进军地方电网、增量配网、智慧城市的信息</w:t>
      </w:r>
      <w:r>
        <w:rPr>
          <w:spacing w:val="-99"/>
        </w:rPr>
        <w:t> </w:t>
      </w:r>
      <w:r>
        <w:rPr>
          <w:spacing w:val="-99"/>
        </w:rPr>
      </w:r>
      <w:r>
        <w:rPr/>
        <w:t>化、可视化、智能化的平台支撑；二是投入核心资源进一步优化具有核心竞争优势的配网专 题图产品，为网省级应用推广奠定基础；三是结合市场需求，稳步推出配调全网图、配网工 程现场安全管控、大用户版电管家等系列中小产品，为深耕电网市县级市场提供利器。</w:t>
      </w:r>
    </w:p>
    <w:p>
      <w:pPr>
        <w:pStyle w:val="Heading2"/>
        <w:spacing w:line="291" w:lineRule="exact"/>
        <w:ind w:left="636" w:right="985"/>
        <w:jc w:val="left"/>
        <w:rPr>
          <w:b w:val="0"/>
          <w:bCs w:val="0"/>
        </w:rPr>
      </w:pPr>
      <w:r>
        <w:rPr/>
        <w:t>（</w:t>
      </w:r>
      <w:r>
        <w:rPr>
          <w:rFonts w:ascii="Times New Roman" w:hAnsi="Times New Roman" w:cs="Times New Roman" w:eastAsia="Times New Roman" w:hint="default"/>
        </w:rPr>
        <w:t>3</w:t>
      </w:r>
      <w:r>
        <w:rPr/>
        <w:t>）智能物联业务</w:t>
      </w:r>
      <w:r>
        <w:rPr>
          <w:b w:val="0"/>
          <w:bCs w:val="0"/>
        </w:rPr>
      </w:r>
    </w:p>
    <w:p>
      <w:pPr>
        <w:spacing w:line="312" w:lineRule="exact" w:before="20"/>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①燃料智能化管理系列</w:t>
      </w:r>
      <w:r>
        <w:rPr>
          <w:rFonts w:ascii="宋体" w:hAnsi="宋体" w:cs="宋体" w:eastAsia="宋体" w:hint="default"/>
          <w:b/>
          <w:bCs/>
          <w:w w:val="99"/>
          <w:sz w:val="24"/>
          <w:szCs w:val="24"/>
        </w:rPr>
        <w:t> </w:t>
      </w:r>
      <w:r>
        <w:rPr>
          <w:rFonts w:ascii="宋体" w:hAnsi="宋体" w:cs="宋体" w:eastAsia="宋体" w:hint="default"/>
          <w:sz w:val="24"/>
          <w:szCs w:val="24"/>
        </w:rPr>
        <w:t>报告期内，公司燃料智能化已经实现内部整合，并在原有业务上孵化出多项新型能源业</w:t>
      </w:r>
    </w:p>
    <w:p>
      <w:pPr>
        <w:pStyle w:val="Heading3"/>
        <w:spacing w:line="312" w:lineRule="exact"/>
        <w:ind w:left="633" w:right="985" w:hanging="480"/>
        <w:jc w:val="left"/>
      </w:pPr>
      <w:r>
        <w:rPr/>
        <w:t>务，同时公司在内部管理中进一步强化资源管控和标准建设，确保高质量的项目交付。 报告期内，瑞翔科技开展智能化无人自动化验室相关仪器的研发工作取得进展，相关产</w:t>
      </w:r>
    </w:p>
    <w:p>
      <w:pPr>
        <w:pStyle w:val="Heading3"/>
        <w:spacing w:line="312" w:lineRule="exact"/>
        <w:ind w:right="1139"/>
        <w:jc w:val="both"/>
      </w:pPr>
      <w:r>
        <w:rPr/>
        <w:t>品已在试点电厂运行成功，为进军和引领行业智能化无人自动化验室细分市场做好了技术储 备。基于燃料智能化产业链的进一步发展的需要，正在开展智能化化验室管理系统和标准化 化验室供气系统等的研发，为煤质智能化验提供系统支撑。瑞翔科技已完成自动制样机的设</w:t>
      </w:r>
    </w:p>
    <w:p>
      <w:pPr>
        <w:pStyle w:val="Heading3"/>
        <w:spacing w:line="282" w:lineRule="exact"/>
        <w:ind w:right="0"/>
        <w:jc w:val="both"/>
      </w:pPr>
      <w:r>
        <w:rPr/>
        <w:t>计和生产制造工艺的升级，并向发电企业提供了全新设计的自动制样系统。</w:t>
      </w:r>
    </w:p>
    <w:p>
      <w:pPr>
        <w:spacing w:line="312" w:lineRule="exact" w:before="29"/>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②区块链及人工智能系列</w:t>
      </w:r>
      <w:r>
        <w:rPr>
          <w:rFonts w:ascii="宋体" w:hAnsi="宋体" w:cs="宋体" w:eastAsia="宋体" w:hint="default"/>
          <w:b/>
          <w:bCs/>
          <w:w w:val="99"/>
          <w:sz w:val="24"/>
          <w:szCs w:val="24"/>
        </w:rPr>
        <w:t> </w:t>
      </w:r>
      <w:r>
        <w:rPr>
          <w:rFonts w:ascii="宋体" w:hAnsi="宋体" w:cs="宋体" w:eastAsia="宋体" w:hint="default"/>
          <w:sz w:val="24"/>
          <w:szCs w:val="24"/>
        </w:rPr>
        <w:t>报告期内，公司成立区块链应用事业部完成区块链底层技术平台搭建及测试，并针对能</w:t>
      </w:r>
    </w:p>
    <w:p>
      <w:pPr>
        <w:pStyle w:val="Heading3"/>
        <w:spacing w:line="312" w:lineRule="exact"/>
        <w:ind w:right="1033"/>
        <w:jc w:val="left"/>
      </w:pPr>
      <w:r>
        <w:rPr/>
        <w:t>源互联、数据存证、供应链、社会公益</w:t>
      </w:r>
      <w:r>
        <w:rPr>
          <w:rFonts w:ascii="Times New Roman" w:hAnsi="Times New Roman" w:cs="Times New Roman" w:eastAsia="Times New Roman" w:hint="default"/>
        </w:rPr>
        <w:t>4</w:t>
      </w:r>
      <w:r>
        <w:rPr/>
        <w:t>个方向开展应用研发，形成可信电子证照应用平台、 </w:t>
      </w:r>
      <w:r>
        <w:rPr>
          <w:spacing w:val="-3"/>
        </w:rPr>
        <w:t>基于区块链的电子票据、分布式光伏交易结算、微电网</w:t>
      </w:r>
      <w:r>
        <w:rPr>
          <w:rFonts w:ascii="Times New Roman" w:hAnsi="Times New Roman" w:cs="Times New Roman" w:eastAsia="Times New Roman" w:hint="default"/>
          <w:spacing w:val="-3"/>
        </w:rPr>
        <w:t>P2P</w:t>
      </w:r>
      <w:r>
        <w:rPr>
          <w:spacing w:val="-3"/>
        </w:rPr>
        <w:t>能源交易、电力市场交易智能合约</w:t>
      </w:r>
      <w:r>
        <w:rPr>
          <w:spacing w:val="-104"/>
        </w:rPr>
        <w:t> </w:t>
      </w:r>
      <w:r>
        <w:rPr>
          <w:spacing w:val="-104"/>
        </w:rPr>
      </w:r>
      <w:r>
        <w:rPr/>
        <w:t>等产品和解决方案，为区块链技术在能源互联、社会治理方面的应用打下坚实基础；同时专 注技术创新，积极布局发明专利，</w:t>
      </w:r>
      <w:r>
        <w:rPr>
          <w:rFonts w:ascii="Times New Roman" w:hAnsi="Times New Roman" w:cs="Times New Roman" w:eastAsia="Times New Roman" w:hint="default"/>
        </w:rPr>
        <w:t>2017</w:t>
      </w:r>
      <w:r>
        <w:rPr/>
        <w:t>年公开区块链发明专利</w:t>
      </w:r>
      <w:r>
        <w:rPr>
          <w:rFonts w:ascii="Times New Roman" w:hAnsi="Times New Roman" w:cs="Times New Roman" w:eastAsia="Times New Roman" w:hint="default"/>
        </w:rPr>
        <w:t>3</w:t>
      </w:r>
      <w:r>
        <w:rPr/>
        <w:t>项，公开发表核心期刊论文</w:t>
      </w: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篇，并参与中关村区块链产业联盟组织发表的区块链应用发展白皮书的能源、政务、公益部 分的编写；由于在区块链应用领域的突出贡献，荣获澳门科学技术发展基金颁发的青年智慧</w:t>
      </w:r>
      <w:r>
        <w:rPr>
          <w:spacing w:val="-114"/>
        </w:rPr>
        <w:t> </w:t>
      </w:r>
      <w:r>
        <w:rPr>
          <w:spacing w:val="-114"/>
        </w:rPr>
      </w:r>
      <w:r>
        <w:rPr>
          <w:spacing w:val="-2"/>
        </w:rPr>
        <w:t>城市解决方案设计比赛成品组优良奖、以及</w:t>
      </w:r>
      <w:r>
        <w:rPr>
          <w:rFonts w:ascii="Times New Roman" w:hAnsi="Times New Roman" w:cs="Times New Roman" w:eastAsia="Times New Roman" w:hint="default"/>
          <w:spacing w:val="-2"/>
        </w:rPr>
        <w:t>2017</w:t>
      </w:r>
      <w:r>
        <w:rPr>
          <w:spacing w:val="-2"/>
        </w:rPr>
        <w:t>中国区块链技术应用峰会金链奖</w:t>
      </w:r>
      <w:r>
        <w:rPr>
          <w:rFonts w:ascii="Times New Roman" w:hAnsi="Times New Roman" w:cs="Times New Roman" w:eastAsia="Times New Roman" w:hint="default"/>
          <w:spacing w:val="-2"/>
        </w:rPr>
        <w:t>“2017</w:t>
      </w:r>
      <w:r>
        <w:rPr>
          <w:spacing w:val="-2"/>
        </w:rPr>
        <w:t>年度杰</w:t>
      </w:r>
      <w:r>
        <w:rPr>
          <w:spacing w:val="-99"/>
        </w:rPr>
        <w:t> </w:t>
      </w:r>
      <w:r>
        <w:rPr/>
        <w:t>出区块链技术服务提供商</w:t>
      </w:r>
      <w:r>
        <w:rPr>
          <w:rFonts w:ascii="Times New Roman" w:hAnsi="Times New Roman" w:cs="Times New Roman" w:eastAsia="Times New Roman" w:hint="default"/>
        </w:rPr>
        <w:t>”</w:t>
      </w:r>
      <w:r>
        <w:rPr/>
        <w:t>殊荣。</w:t>
      </w:r>
    </w:p>
    <w:p>
      <w:pPr>
        <w:pStyle w:val="Heading3"/>
        <w:spacing w:line="312" w:lineRule="exact"/>
        <w:ind w:right="994" w:firstLine="480"/>
        <w:jc w:val="left"/>
      </w:pPr>
      <w:r>
        <w:rPr/>
        <w:t>报告期内，公司持续展开人工智能技术应用场景的挖掘，先后推出了广泛应用于企业管 理、智慧城市等领域的智能解决方案，如</w:t>
      </w:r>
      <w:r>
        <w:rPr>
          <w:rFonts w:ascii="Times New Roman" w:hAnsi="Times New Roman" w:cs="Times New Roman" w:eastAsia="Times New Roman" w:hint="default"/>
        </w:rPr>
        <w:t>“</w:t>
      </w:r>
      <w:r>
        <w:rPr/>
        <w:t>财务机器人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管理机器人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智能客服</w:t>
      </w:r>
      <w:r>
        <w:rPr>
          <w:rFonts w:ascii="Times New Roman" w:hAnsi="Times New Roman" w:cs="Times New Roman" w:eastAsia="Times New Roman" w:hint="default"/>
        </w:rPr>
        <w:t>”</w:t>
      </w:r>
      <w:r>
        <w:rPr/>
        <w:t>等产品。 此外，还承担了多项相关科研课题，着力解决机器学习、专家系统等理论技术在系统运维、 财务工作等领域的应用问题。</w:t>
      </w:r>
    </w:p>
    <w:p>
      <w:pPr>
        <w:pStyle w:val="Heading3"/>
        <w:spacing w:line="312" w:lineRule="exact"/>
        <w:ind w:right="1132" w:firstLine="480"/>
        <w:jc w:val="both"/>
      </w:pPr>
      <w:r>
        <w:rPr/>
        <w:t>公司人工智能实验室正进行以自然语言处理、知识图谱及智能对话系统等为核心的认知 </w:t>
      </w:r>
      <w:r>
        <w:rPr>
          <w:spacing w:val="-2"/>
        </w:rPr>
        <w:t>科学应用研究，并以此为基础推动产品落地。</w:t>
      </w:r>
      <w:r>
        <w:rPr>
          <w:rFonts w:ascii="Times New Roman" w:hAnsi="Times New Roman" w:cs="Times New Roman" w:eastAsia="Times New Roman" w:hint="default"/>
          <w:spacing w:val="-2"/>
        </w:rPr>
        <w:t>2017</w:t>
      </w:r>
      <w:r>
        <w:rPr>
          <w:spacing w:val="-2"/>
        </w:rPr>
        <w:t>年被中国电子信息产业发展研究院评为</w:t>
      </w:r>
      <w:r>
        <w:rPr>
          <w:rFonts w:ascii="Times New Roman" w:hAnsi="Times New Roman" w:cs="Times New Roman" w:eastAsia="Times New Roman" w:hint="default"/>
          <w:spacing w:val="-2"/>
        </w:rPr>
        <w:t>“</w:t>
      </w:r>
      <w:r>
        <w:rPr>
          <w:spacing w:val="-2"/>
        </w:rPr>
        <w:t>中</w:t>
      </w:r>
      <w:r>
        <w:rPr>
          <w:spacing w:val="-104"/>
        </w:rPr>
        <w:t> </w:t>
      </w:r>
      <w:r>
        <w:rPr/>
        <w:t>国人工智能产业领军企业</w:t>
      </w:r>
      <w:r>
        <w:rPr>
          <w:rFonts w:ascii="Times New Roman" w:hAnsi="Times New Roman" w:cs="Times New Roman" w:eastAsia="Times New Roman" w:hint="default"/>
        </w:rPr>
        <w:t>”</w:t>
      </w:r>
      <w:r>
        <w:rPr/>
        <w:t>。</w:t>
      </w:r>
    </w:p>
    <w:p>
      <w:pPr>
        <w:pStyle w:val="Heading3"/>
        <w:spacing w:line="312" w:lineRule="exact"/>
        <w:ind w:right="1132" w:firstLine="480"/>
        <w:jc w:val="both"/>
      </w:pPr>
      <w:r>
        <w:rPr/>
        <w:t>公司与澳门科技大学合作，成立了</w:t>
      </w:r>
      <w:r>
        <w:rPr>
          <w:rFonts w:ascii="Times New Roman" w:hAnsi="Times New Roman" w:cs="Times New Roman" w:eastAsia="Times New Roman" w:hint="default"/>
        </w:rPr>
        <w:t>“</w:t>
      </w:r>
      <w:r>
        <w:rPr/>
        <w:t>澳门科技大学远光软件人工智能联合实验室</w:t>
      </w:r>
      <w:r>
        <w:rPr>
          <w:rFonts w:ascii="Times New Roman" w:hAnsi="Times New Roman" w:cs="Times New Roman" w:eastAsia="Times New Roman" w:hint="default"/>
        </w:rPr>
        <w:t>”</w:t>
      </w:r>
      <w:r>
        <w:rPr/>
        <w:t>，深入</w:t>
      </w:r>
      <w:r>
        <w:rPr>
          <w:spacing w:val="1"/>
        </w:rPr>
        <w:t> </w:t>
      </w:r>
      <w:r>
        <w:rPr/>
        <w:t>开展人工智能底层技术研究。与武汉大学计算机学院、华中科技大学人工智能研究所、百度</w:t>
      </w:r>
      <w:r>
        <w:rPr/>
        <w:t> 人工智能实验室保持了良好的互动，共同推动前沿技术向落地产品的转化。</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2" w:lineRule="auto" w:before="34"/>
        <w:ind w:right="1013" w:firstLine="480"/>
        <w:jc w:val="left"/>
      </w:pPr>
      <w:r>
        <w:rPr>
          <w:spacing w:val="-3"/>
        </w:rPr>
        <w:t>公司紧跟新技术发展方向，在人工智能、大数据和云计算等领域逐步沉淀积累。以丰富、</w:t>
      </w:r>
      <w:r>
        <w:rPr/>
        <w:t> 健全的知识库体系为基础，结合自身多年的企业管理经验，应用机器学习技术开发的机器人 产品，可更加高效精准地解决企业管理难题。目前远光软件已申请</w:t>
      </w:r>
      <w:r>
        <w:rPr>
          <w:rFonts w:ascii="Times New Roman" w:hAnsi="Times New Roman" w:cs="Times New Roman" w:eastAsia="Times New Roman" w:hint="default"/>
        </w:rPr>
        <w:t>“</w:t>
      </w:r>
      <w:r>
        <w:rPr/>
        <w:t>语言分析</w:t>
      </w:r>
      <w:r>
        <w:rPr>
          <w:rFonts w:ascii="Times New Roman" w:hAnsi="Times New Roman" w:cs="Times New Roman" w:eastAsia="Times New Roman" w:hint="default"/>
        </w:rPr>
        <w:t>”“</w:t>
      </w:r>
      <w:r>
        <w:rPr/>
        <w:t>智能问答</w:t>
      </w:r>
      <w:r>
        <w:rPr>
          <w:rFonts w:ascii="Times New Roman" w:hAnsi="Times New Roman" w:cs="Times New Roman" w:eastAsia="Times New Roman" w:hint="default"/>
        </w:rPr>
        <w:t>”</w:t>
      </w:r>
      <w:r>
        <w:rPr/>
        <w:t>等</w:t>
      </w:r>
      <w:r>
        <w:rPr>
          <w:rFonts w:ascii="Times New Roman" w:hAnsi="Times New Roman" w:cs="Times New Roman" w:eastAsia="Times New Roman" w:hint="default"/>
        </w:rPr>
        <w:t>5 </w:t>
      </w:r>
      <w:r>
        <w:rPr/>
        <w:t>件发明专利，并研发出符合企业管理需求的远光机器人</w:t>
      </w:r>
      <w:r>
        <w:rPr>
          <w:rFonts w:ascii="Times New Roman" w:hAnsi="Times New Roman" w:cs="Times New Roman" w:eastAsia="Times New Roman" w:hint="default"/>
        </w:rPr>
        <w:t>——</w:t>
      </w:r>
      <w:r>
        <w:rPr>
          <w:rFonts w:ascii="Times New Roman" w:hAnsi="Times New Roman" w:cs="Times New Roman" w:eastAsia="Times New Roman" w:hint="default"/>
        </w:rPr>
        <w:t>YG-CC</w:t>
      </w:r>
      <w:r>
        <w:rPr/>
        <w:t>。</w:t>
      </w:r>
      <w:r>
        <w:rPr>
          <w:rFonts w:ascii="Times New Roman" w:hAnsi="Times New Roman" w:cs="Times New Roman" w:eastAsia="Times New Roman" w:hint="default"/>
        </w:rPr>
        <w:t>YG-CC</w:t>
      </w:r>
      <w:r>
        <w:rPr/>
        <w:t>致力于提升产品</w:t>
      </w:r>
      <w:r>
        <w:rPr>
          <w:w w:val="99"/>
        </w:rPr>
        <w:t> </w:t>
      </w:r>
      <w:r>
        <w:rPr>
          <w:rFonts w:ascii="Times New Roman" w:hAnsi="Times New Roman" w:cs="Times New Roman" w:eastAsia="Times New Roman" w:hint="default"/>
          <w:spacing w:val="-2"/>
        </w:rPr>
        <w:t>“</w:t>
      </w:r>
      <w:r>
        <w:rPr>
          <w:spacing w:val="-2"/>
        </w:rPr>
        <w:t>智能化</w:t>
      </w:r>
      <w:r>
        <w:rPr>
          <w:rFonts w:ascii="Times New Roman" w:hAnsi="Times New Roman" w:cs="Times New Roman" w:eastAsia="Times New Roman" w:hint="default"/>
          <w:spacing w:val="-2"/>
        </w:rPr>
        <w:t>”</w:t>
      </w:r>
      <w:r>
        <w:rPr>
          <w:spacing w:val="-2"/>
        </w:rPr>
        <w:t>发展，让人类与机器人的交互更加简单化、多样化、人性化，并通过自然语言理解、</w:t>
      </w:r>
      <w:r>
        <w:rPr>
          <w:spacing w:val="-100"/>
        </w:rPr>
        <w:t> </w:t>
      </w:r>
      <w:r>
        <w:rPr>
          <w:spacing w:val="-100"/>
        </w:rPr>
      </w:r>
      <w:r>
        <w:rPr/>
        <w:t>语音识别、深度学习算法、大数据、人机协作学习体系等核心技术，保证人与机器之间信息 交流的协调性。</w:t>
      </w:r>
    </w:p>
    <w:p>
      <w:pPr>
        <w:pStyle w:val="Heading3"/>
        <w:spacing w:line="312" w:lineRule="exact" w:before="29"/>
        <w:ind w:right="985" w:firstLine="480"/>
        <w:jc w:val="left"/>
      </w:pPr>
      <w:r>
        <w:rPr>
          <w:spacing w:val="-6"/>
        </w:rPr>
        <w:t>公司移动互联子公司基于人工智能</w:t>
      </w:r>
      <w:r>
        <w:rPr>
          <w:rFonts w:ascii="Times New Roman" w:hAnsi="Times New Roman" w:cs="Times New Roman" w:eastAsia="Times New Roman" w:hint="default"/>
          <w:spacing w:val="-6"/>
        </w:rPr>
        <w:t>OTalk</w:t>
      </w:r>
      <w:r>
        <w:rPr>
          <w:spacing w:val="-6"/>
        </w:rPr>
        <w:t>平台，融合深度学习、模式识别、自然语言处理、</w:t>
      </w:r>
      <w:r>
        <w:rPr/>
        <w:t> 语音识别、图像识别等技术，研发出制度通。制度通目前已成功应用于电力、咨询公司等中 大型企业，并凭借其精准的制度回复、便捷的交互方式、强大的场景感知、贴心的主动服务</w:t>
      </w:r>
      <w:r>
        <w:rPr>
          <w:spacing w:val="-117"/>
        </w:rPr>
        <w:t> </w:t>
      </w:r>
      <w:r>
        <w:rPr>
          <w:spacing w:val="-117"/>
        </w:rPr>
      </w:r>
      <w:r>
        <w:rPr/>
        <w:t>等优势，荣获</w:t>
      </w:r>
      <w:r>
        <w:rPr>
          <w:rFonts w:ascii="Times New Roman" w:hAnsi="Times New Roman" w:cs="Times New Roman" w:eastAsia="Times New Roman" w:hint="default"/>
        </w:rPr>
        <w:t>“2017</w:t>
      </w:r>
      <w:r>
        <w:rPr/>
        <w:t>年度中国产业互联网创新产品奖</w:t>
      </w:r>
      <w:r>
        <w:rPr>
          <w:rFonts w:ascii="Times New Roman" w:hAnsi="Times New Roman" w:cs="Times New Roman" w:eastAsia="Times New Roman" w:hint="default"/>
        </w:rPr>
        <w:t>”</w:t>
      </w:r>
      <w:r>
        <w:rPr/>
        <w:t>。</w:t>
      </w:r>
    </w:p>
    <w:p>
      <w:pPr>
        <w:pStyle w:val="Heading3"/>
        <w:spacing w:line="312" w:lineRule="exact"/>
        <w:ind w:left="633" w:right="985" w:firstLine="2"/>
        <w:jc w:val="left"/>
      </w:pPr>
      <w:r>
        <w:rPr>
          <w:rFonts w:ascii="宋体" w:hAnsi="宋体" w:cs="宋体" w:eastAsia="宋体" w:hint="default"/>
          <w:b/>
          <w:bCs/>
        </w:rPr>
        <w:t>③智能机器人系列</w:t>
      </w:r>
      <w:r>
        <w:rPr>
          <w:rFonts w:ascii="宋体" w:hAnsi="宋体" w:cs="宋体" w:eastAsia="宋体" w:hint="default"/>
          <w:b/>
          <w:bCs/>
          <w:w w:val="99"/>
        </w:rPr>
        <w:t> </w:t>
      </w:r>
      <w:r>
        <w:rPr/>
        <w:t>报告期内，公司基于数据和逻辑，以及更</w:t>
      </w:r>
      <w:r>
        <w:rPr>
          <w:rFonts w:ascii="Times New Roman" w:hAnsi="Times New Roman" w:cs="Times New Roman" w:eastAsia="Times New Roman" w:hint="default"/>
        </w:rPr>
        <w:t>“</w:t>
      </w:r>
      <w:r>
        <w:rPr/>
        <w:t>明智</w:t>
      </w:r>
      <w:r>
        <w:rPr>
          <w:rFonts w:ascii="Times New Roman" w:hAnsi="Times New Roman" w:cs="Times New Roman" w:eastAsia="Times New Roman" w:hint="default"/>
        </w:rPr>
        <w:t>”</w:t>
      </w:r>
      <w:r>
        <w:rPr/>
        <w:t>的工作辅助或指导，通过和物联网等新</w:t>
      </w:r>
    </w:p>
    <w:p>
      <w:pPr>
        <w:pStyle w:val="Heading3"/>
        <w:spacing w:line="282" w:lineRule="exact"/>
        <w:ind w:right="985"/>
        <w:jc w:val="left"/>
      </w:pPr>
      <w:r>
        <w:rPr>
          <w:spacing w:val="6"/>
        </w:rPr>
        <w:t>兴技术与管理变革理念深度融合，在原有产品智能自助报账机、认证精灵、智能档案盒、</w:t>
      </w:r>
    </w:p>
    <w:p>
      <w:pPr>
        <w:pStyle w:val="Heading3"/>
        <w:spacing w:line="321" w:lineRule="exact"/>
        <w:ind w:right="985"/>
        <w:jc w:val="left"/>
      </w:pPr>
      <w:r>
        <w:rPr>
          <w:rFonts w:ascii="Times New Roman" w:hAnsi="Times New Roman" w:cs="Times New Roman" w:eastAsia="Times New Roman" w:hint="default"/>
        </w:rPr>
        <w:t>YGDATA</w:t>
      </w:r>
      <w:r>
        <w:rPr/>
        <w:t>等智能管理设备基础上新增了自助报销机器人、发票查验机器人等智能管理设备。</w:t>
      </w:r>
    </w:p>
    <w:p>
      <w:pPr>
        <w:spacing w:line="312" w:lineRule="exact" w:before="20"/>
        <w:ind w:left="633" w:right="30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）社会互联业务</w:t>
      </w:r>
      <w:r>
        <w:rPr>
          <w:rFonts w:ascii="宋体" w:hAnsi="宋体" w:cs="宋体" w:eastAsia="宋体" w:hint="default"/>
          <w:b/>
          <w:bCs/>
          <w:w w:val="99"/>
          <w:sz w:val="24"/>
          <w:szCs w:val="24"/>
        </w:rPr>
        <w:t> </w:t>
      </w:r>
      <w:r>
        <w:rPr>
          <w:rFonts w:ascii="宋体" w:hAnsi="宋体" w:cs="宋体" w:eastAsia="宋体" w:hint="default"/>
          <w:sz w:val="24"/>
          <w:szCs w:val="24"/>
        </w:rPr>
        <w:t>公司在深耕企业管理信息化领域的同时，还积极布局社会管理领域。</w:t>
      </w:r>
    </w:p>
    <w:p>
      <w:pPr>
        <w:pStyle w:val="Heading3"/>
        <w:spacing w:line="282" w:lineRule="exact"/>
        <w:ind w:left="636" w:right="985"/>
        <w:jc w:val="left"/>
      </w:pPr>
      <w:r>
        <w:rPr>
          <w:rFonts w:ascii="宋体" w:hAnsi="宋体" w:cs="宋体" w:eastAsia="宋体" w:hint="default"/>
          <w:b/>
          <w:bCs/>
        </w:rPr>
        <w:t>①</w:t>
      </w:r>
      <w:r>
        <w:rPr/>
        <w:t>智慧城市</w:t>
      </w:r>
    </w:p>
    <w:p>
      <w:pPr>
        <w:pStyle w:val="Heading3"/>
        <w:spacing w:line="225" w:lineRule="auto" w:before="15"/>
        <w:ind w:right="993" w:firstLine="480"/>
        <w:jc w:val="left"/>
      </w:pPr>
      <w:r>
        <w:rPr/>
        <w:t>运用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理念、人工智能、地理信息技术，整合城市资源，以虚拟化的三维</w:t>
      </w:r>
      <w:r>
        <w:rPr>
          <w:rFonts w:ascii="Times New Roman" w:hAnsi="Times New Roman" w:cs="Times New Roman" w:eastAsia="Times New Roman" w:hint="default"/>
        </w:rPr>
        <w:t>“</w:t>
      </w:r>
      <w:r>
        <w:rPr/>
        <w:t>一张</w:t>
      </w:r>
      <w:r>
        <w:rPr>
          <w:spacing w:val="1"/>
        </w:rPr>
        <w:t> </w:t>
      </w:r>
      <w:r>
        <w:rPr/>
        <w:t>图</w:t>
      </w:r>
      <w:r>
        <w:rPr>
          <w:rFonts w:ascii="Times New Roman" w:hAnsi="Times New Roman" w:cs="Times New Roman" w:eastAsia="Times New Roman" w:hint="default"/>
        </w:rPr>
        <w:t>”</w:t>
      </w:r>
      <w:r>
        <w:rPr/>
        <w:t>为基础，探索万物智联的城市营运生态系统。智慧消防为客户提供围绕</w:t>
      </w:r>
      <w:r>
        <w:rPr>
          <w:rFonts w:ascii="Times New Roman" w:hAnsi="Times New Roman" w:cs="Times New Roman" w:eastAsia="Times New Roman" w:hint="default"/>
        </w:rPr>
        <w:t>“</w:t>
      </w:r>
      <w:r>
        <w:rPr/>
        <w:t>一个平台</w:t>
      </w:r>
      <w:r>
        <w:rPr>
          <w:rFonts w:ascii="Times New Roman" w:hAnsi="Times New Roman" w:cs="Times New Roman" w:eastAsia="Times New Roman" w:hint="default"/>
        </w:rPr>
        <w:t>”+“</w:t>
      </w:r>
      <w:r>
        <w:rPr/>
        <w:t>一个 数据中心</w:t>
      </w:r>
      <w:r>
        <w:rPr>
          <w:rFonts w:ascii="Times New Roman" w:hAnsi="Times New Roman" w:cs="Times New Roman" w:eastAsia="Times New Roman" w:hint="default"/>
        </w:rPr>
        <w:t>”</w:t>
      </w:r>
      <w:r>
        <w:rPr/>
        <w:t>构建一个集警情、警力、调度信息、各类资源的精准、</w:t>
      </w:r>
      <w:r>
        <w:rPr>
          <w:rFonts w:ascii="Times New Roman" w:hAnsi="Times New Roman" w:cs="Times New Roman" w:eastAsia="Times New Roman" w:hint="default"/>
        </w:rPr>
        <w:t>3D</w:t>
      </w:r>
      <w:r>
        <w:rPr/>
        <w:t>可视、实时的指挥平台。 智慧社区整合物业资源，提供快捷报修、快速缴费等服务，打造</w:t>
      </w:r>
      <w:r>
        <w:rPr>
          <w:rFonts w:ascii="Times New Roman" w:hAnsi="Times New Roman" w:cs="Times New Roman" w:eastAsia="Times New Roman" w:hint="default"/>
        </w:rPr>
        <w:t>10</w:t>
      </w:r>
      <w:r>
        <w:rPr/>
        <w:t>分钟居民生活服务圈；智</w:t>
      </w:r>
      <w:r>
        <w:rPr>
          <w:spacing w:val="-112"/>
        </w:rPr>
        <w:t> </w:t>
      </w:r>
      <w:r>
        <w:rPr/>
        <w:t>慧政务以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为总体蓝图，构建以</w:t>
      </w:r>
      <w:r>
        <w:rPr>
          <w:rFonts w:ascii="Times New Roman" w:hAnsi="Times New Roman" w:cs="Times New Roman" w:eastAsia="Times New Roman" w:hint="default"/>
        </w:rPr>
        <w:t>“</w:t>
      </w:r>
      <w:r>
        <w:rPr/>
        <w:t>一号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一窗</w:t>
      </w:r>
      <w:r>
        <w:rPr>
          <w:rFonts w:ascii="Times New Roman" w:hAnsi="Times New Roman" w:cs="Times New Roman" w:eastAsia="Times New Roman" w:hint="default"/>
        </w:rPr>
        <w:t>”</w:t>
      </w:r>
      <w:r>
        <w:rPr/>
        <w:t>为核心的智慧政务</w:t>
      </w:r>
      <w:r>
        <w:rPr>
          <w:spacing w:val="-117"/>
        </w:rPr>
        <w:t> </w:t>
      </w:r>
      <w:r>
        <w:rPr/>
        <w:t>服务体系，助推</w:t>
      </w:r>
      <w:r>
        <w:rPr>
          <w:rFonts w:ascii="Times New Roman" w:hAnsi="Times New Roman" w:cs="Times New Roman" w:eastAsia="Times New Roman" w:hint="default"/>
        </w:rPr>
        <w:t>“</w:t>
      </w:r>
      <w:r>
        <w:rPr/>
        <w:t>一门式、一网式</w:t>
      </w:r>
      <w:r>
        <w:rPr>
          <w:rFonts w:ascii="Times New Roman" w:hAnsi="Times New Roman" w:cs="Times New Roman" w:eastAsia="Times New Roman" w:hint="default"/>
        </w:rPr>
        <w:t>”</w:t>
      </w:r>
      <w:r>
        <w:rPr/>
        <w:t>政府服务模式改革。</w:t>
      </w:r>
    </w:p>
    <w:p>
      <w:pPr>
        <w:pStyle w:val="Heading3"/>
        <w:spacing w:line="312" w:lineRule="exact" w:before="13"/>
        <w:ind w:left="634" w:right="985" w:firstLine="2"/>
        <w:jc w:val="left"/>
      </w:pPr>
      <w:r>
        <w:rPr>
          <w:rFonts w:ascii="宋体" w:hAnsi="宋体" w:cs="宋体" w:eastAsia="宋体" w:hint="default"/>
          <w:b/>
          <w:bCs/>
        </w:rPr>
        <w:t>②</w:t>
      </w:r>
      <w:r>
        <w:rPr/>
        <w:t>智慧组织 报告期内，公司开展了智慧党建产品的研发及应用，推出了针对政府、国企的系列党建</w:t>
      </w:r>
    </w:p>
    <w:p>
      <w:pPr>
        <w:pStyle w:val="Heading3"/>
        <w:spacing w:line="312" w:lineRule="exact"/>
        <w:ind w:right="985"/>
        <w:jc w:val="left"/>
      </w:pPr>
      <w:r>
        <w:rPr/>
        <w:t>产品，逐步形成了涵盖党、政、工、团的智慧组织管理体系。其中，基于大数据的党员评价 </w:t>
      </w:r>
      <w:r>
        <w:rPr>
          <w:spacing w:val="-2"/>
        </w:rPr>
        <w:t>体系和基于人工智能的党建机器人</w:t>
      </w:r>
      <w:r>
        <w:rPr>
          <w:rFonts w:ascii="Times New Roman" w:hAnsi="Times New Roman" w:cs="Times New Roman" w:eastAsia="Times New Roman" w:hint="default"/>
          <w:spacing w:val="-2"/>
        </w:rPr>
        <w:t>“</w:t>
      </w:r>
      <w:r>
        <w:rPr>
          <w:spacing w:val="-2"/>
        </w:rPr>
        <w:t>小智</w:t>
      </w:r>
      <w:r>
        <w:rPr>
          <w:rFonts w:ascii="Times New Roman" w:hAnsi="Times New Roman" w:cs="Times New Roman" w:eastAsia="Times New Roman" w:hint="default"/>
          <w:spacing w:val="-2"/>
        </w:rPr>
        <w:t>”</w:t>
      </w:r>
      <w:r>
        <w:rPr>
          <w:spacing w:val="-2"/>
        </w:rPr>
        <w:t>，旨在解决部分党员考核评价缺乏数据支撑等问题，</w:t>
      </w:r>
      <w:r>
        <w:rPr>
          <w:spacing w:val="-92"/>
        </w:rPr>
        <w:t> </w:t>
      </w:r>
      <w:r>
        <w:rPr>
          <w:spacing w:val="-92"/>
        </w:rPr>
      </w:r>
      <w:r>
        <w:rPr/>
        <w:t>为加强基层党建信息应用水平，增加组织和成员间沟通协调便利性提供了信息化解决方案。 该产品</w:t>
      </w:r>
      <w:r>
        <w:rPr>
          <w:rFonts w:ascii="Times New Roman" w:hAnsi="Times New Roman" w:cs="Times New Roman" w:eastAsia="Times New Roman" w:hint="default"/>
        </w:rPr>
        <w:t>2017</w:t>
      </w:r>
      <w:r>
        <w:rPr/>
        <w:t>年顺利通过</w:t>
      </w:r>
      <w:r>
        <w:rPr>
          <w:rFonts w:ascii="Times New Roman" w:hAnsi="Times New Roman" w:cs="Times New Roman" w:eastAsia="Times New Roman" w:hint="default"/>
        </w:rPr>
        <w:t>“</w:t>
      </w:r>
      <w:r>
        <w:rPr/>
        <w:t>国家电网电科院的移动应用安全测评</w:t>
      </w:r>
      <w:r>
        <w:rPr>
          <w:rFonts w:ascii="Times New Roman" w:hAnsi="Times New Roman" w:cs="Times New Roman" w:eastAsia="Times New Roman" w:hint="default"/>
        </w:rPr>
        <w:t>”</w:t>
      </w:r>
      <w:r>
        <w:rPr/>
        <w:t>，目前在湖南、江苏、甘肃、</w:t>
      </w:r>
      <w:r>
        <w:rPr>
          <w:spacing w:val="-80"/>
        </w:rPr>
        <w:t> </w:t>
      </w:r>
      <w:r>
        <w:rPr>
          <w:spacing w:val="-80"/>
        </w:rPr>
      </w:r>
      <w:r>
        <w:rPr>
          <w:spacing w:val="-3"/>
        </w:rPr>
        <w:t>北京等多个省市的政府和国企单位均有应用。智慧工会实现主动关怀，普惠服务，精准扶贫，</w:t>
      </w:r>
      <w:r>
        <w:rPr>
          <w:spacing w:val="-81"/>
        </w:rPr>
        <w:t> </w:t>
      </w:r>
      <w:r>
        <w:rPr>
          <w:spacing w:val="-81"/>
        </w:rPr>
      </w:r>
      <w:r>
        <w:rPr>
          <w:spacing w:val="-3"/>
        </w:rPr>
        <w:t>打造连接政府、企业、职工与第三方服务的互联网</w:t>
      </w:r>
      <w:r>
        <w:rPr>
          <w:rFonts w:ascii="Times New Roman" w:hAnsi="Times New Roman" w:cs="Times New Roman" w:eastAsia="Times New Roman" w:hint="default"/>
          <w:spacing w:val="-3"/>
        </w:rPr>
        <w:t>+</w:t>
      </w:r>
      <w:r>
        <w:rPr>
          <w:spacing w:val="-3"/>
        </w:rPr>
        <w:t>工会平台。公司产品先后在部分城市、政</w:t>
      </w:r>
      <w:r>
        <w:rPr>
          <w:spacing w:val="-95"/>
        </w:rPr>
        <w:t> </w:t>
      </w:r>
      <w:r>
        <w:rPr>
          <w:spacing w:val="-95"/>
        </w:rPr>
      </w:r>
      <w:r>
        <w:rPr/>
        <w:t>府、社区、工会成功上线，获得广泛好评。</w:t>
      </w:r>
    </w:p>
    <w:p>
      <w:pPr>
        <w:spacing w:line="312" w:lineRule="exact" w:before="0"/>
        <w:ind w:left="633" w:right="985"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）其他（高端装备、系统集成、培训、其他）</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报告期内，公司系统集成业务在传统</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设备系统集成</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业务方面保持稳定，在</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增值技术服</w:t>
      </w:r>
    </w:p>
    <w:p>
      <w:pPr>
        <w:pStyle w:val="Heading3"/>
        <w:spacing w:line="312" w:lineRule="exact"/>
        <w:ind w:right="1127"/>
        <w:jc w:val="left"/>
      </w:pPr>
      <w:r>
        <w:rPr/>
        <w:t>务</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增值产品研发</w:t>
      </w:r>
      <w:r>
        <w:rPr>
          <w:rFonts w:ascii="Times New Roman" w:hAnsi="Times New Roman" w:cs="Times New Roman" w:eastAsia="Times New Roman" w:hint="default"/>
        </w:rPr>
        <w:t>”</w:t>
      </w:r>
      <w:r>
        <w:rPr/>
        <w:t>两个方向取得了可喜的成果，并在</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云服务</w:t>
      </w:r>
      <w:r>
        <w:rPr>
          <w:rFonts w:ascii="Times New Roman" w:hAnsi="Times New Roman" w:cs="Times New Roman" w:eastAsia="Times New Roman" w:hint="default"/>
        </w:rPr>
        <w:t>”</w:t>
      </w:r>
      <w:r>
        <w:rPr/>
        <w:t>等技术业务领域</w:t>
      </w:r>
      <w:r>
        <w:rPr>
          <w:spacing w:val="-116"/>
        </w:rPr>
        <w:t> </w:t>
      </w:r>
      <w:r>
        <w:rPr/>
        <w:t>实现市场突破，整体稳中有升。</w:t>
      </w:r>
    </w:p>
    <w:p>
      <w:pPr>
        <w:spacing w:line="312" w:lineRule="exact" w:before="0"/>
        <w:ind w:left="634" w:right="8843" w:firstLine="10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、对外投资</w:t>
      </w:r>
      <w:r>
        <w:rPr>
          <w:rFonts w:ascii="宋体" w:hAnsi="宋体" w:cs="宋体" w:eastAsia="宋体" w:hint="default"/>
          <w:b/>
          <w:bCs/>
          <w:w w:val="99"/>
          <w:sz w:val="24"/>
          <w:szCs w:val="24"/>
        </w:rPr>
        <w:t> </w:t>
      </w:r>
      <w:r>
        <w:rPr>
          <w:rFonts w:ascii="宋体" w:hAnsi="宋体" w:cs="宋体" w:eastAsia="宋体" w:hint="default"/>
          <w:sz w:val="24"/>
          <w:szCs w:val="24"/>
        </w:rPr>
        <w:t>并购方面：</w:t>
      </w:r>
    </w:p>
    <w:p>
      <w:pPr>
        <w:pStyle w:val="Heading3"/>
        <w:spacing w:line="312" w:lineRule="exact"/>
        <w:ind w:right="1133" w:firstLine="480"/>
        <w:jc w:val="both"/>
      </w:pPr>
      <w:r>
        <w:rPr/>
        <w:t>报告期内，公司投资并购了昊美科技，现持有昊美科技</w:t>
      </w:r>
      <w:r>
        <w:rPr>
          <w:rFonts w:ascii="Times New Roman" w:hAnsi="Times New Roman" w:cs="Times New Roman" w:eastAsia="Times New Roman" w:hint="default"/>
        </w:rPr>
        <w:t>70.7103%</w:t>
      </w:r>
      <w:r>
        <w:rPr/>
        <w:t>的股权。本次收购将进 一步拓宽公司经营业务，提升公司整体竞争力和盈利能力，为公司在配电网信息化及智能化 领域打开新的发展空间，增强公司综合实力，有利于公司的长远发展。</w:t>
      </w:r>
    </w:p>
    <w:p>
      <w:pPr>
        <w:pStyle w:val="Heading3"/>
        <w:spacing w:line="312" w:lineRule="exact"/>
        <w:ind w:left="633" w:right="985"/>
        <w:jc w:val="left"/>
      </w:pPr>
      <w:r>
        <w:rPr/>
        <w:t>投资方面： 为布局区块链产业，同时借助第三方的资源，公司及全资子公司远光资本管理（横琴）</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jc w:val="both"/>
      </w:pPr>
      <w:r>
        <w:rPr/>
        <w:t>有限公司与启迪创业投资管理（天津）有限公司、广西启迪数字投资管理有限公司、启迪创 新（北京）资产管理有限公司合作共同发起成立合肥启迪远光区块链技术合伙企业（有限合 伙）。远光资本、启迪创业投资管理（天津）有限公司和广西启迪数字投资管理有限公司担 任普通合伙人。</w:t>
      </w:r>
    </w:p>
    <w:p>
      <w:pPr>
        <w:pStyle w:val="Heading3"/>
        <w:spacing w:line="312" w:lineRule="exact"/>
        <w:ind w:right="995" w:firstLine="480"/>
        <w:jc w:val="left"/>
      </w:pPr>
      <w:r>
        <w:rPr/>
        <w:t>为满足公司战略发展要求，利用公司产业资源，投资布局物联网、云计算、大数据、人 工智能、能源互联网行业企业，借助投资机构的专业优势，提升公司的投资能力和综合竞争 力，公司及全资子公司远光资本与浙江天堂硅谷资产管理集团有限公司、浙江天堂硅谷恒裕 </w:t>
      </w:r>
      <w:r>
        <w:rPr>
          <w:spacing w:val="-2"/>
        </w:rPr>
        <w:t>创业投资有限公司合作共同发起成立绍兴柯桥天堂硅谷远光股权投资合伙企业（有限合伙）。</w:t>
      </w:r>
      <w:r>
        <w:rPr/>
        <w:t> 公司全资子公司远光资本和浙江天堂硅谷恒裕创业投资有限公司担任普通合伙人。</w:t>
      </w:r>
    </w:p>
    <w:p>
      <w:pPr>
        <w:pStyle w:val="Heading3"/>
        <w:spacing w:line="312" w:lineRule="exact"/>
        <w:ind w:right="995" w:firstLine="480"/>
        <w:jc w:val="left"/>
      </w:pPr>
      <w:r>
        <w:rPr/>
        <w:t>为布局符合公司主营业务战略发展方向的智能物联产业项目，整合利用各方优势资源， </w:t>
      </w:r>
      <w:r>
        <w:rPr>
          <w:spacing w:val="-2"/>
        </w:rPr>
        <w:t>通过专业化的投资管理团队，提升公司整体竞争实力和盈利能力，实现公司股东利益最大化，</w:t>
      </w:r>
      <w:r>
        <w:rPr/>
        <w:t> 公司与深圳市粮食集团有限公司、深圳市远望谷投资管理有限公司合作共同发起成立深粮智 </w:t>
      </w:r>
      <w:r>
        <w:rPr>
          <w:spacing w:val="2"/>
        </w:rPr>
        <w:t>能物联股权投资基金（深圳）合伙企业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。同时，为做好智能物联基金管理工作，</w:t>
      </w:r>
      <w:r>
        <w:rPr>
          <w:spacing w:val="-101"/>
        </w:rPr>
        <w:t> </w:t>
      </w:r>
      <w:r>
        <w:rPr>
          <w:spacing w:val="-101"/>
        </w:rPr>
      </w:r>
      <w:r>
        <w:rPr/>
        <w:t>公司全资子公司远光资本与深粮集团、远望谷投资和深圳中时谦益资本有限公司共同组建深 圳市多禧股权投资基金管理有限公司，负责基金投资及投后管理事务。远光资本持有深圳市 多禧股权投资基金管理有限公司</w:t>
      </w:r>
      <w:r>
        <w:rPr>
          <w:rFonts w:ascii="Times New Roman" w:hAnsi="Times New Roman" w:cs="Times New Roman" w:eastAsia="Times New Roman" w:hint="default"/>
        </w:rPr>
        <w:t>26%</w:t>
      </w:r>
      <w:r>
        <w:rPr/>
        <w:t>股权。</w:t>
      </w:r>
    </w:p>
    <w:p>
      <w:pPr>
        <w:pStyle w:val="Heading3"/>
        <w:spacing w:line="312" w:lineRule="exact"/>
        <w:ind w:right="1129" w:firstLine="480"/>
        <w:jc w:val="both"/>
      </w:pPr>
      <w:r>
        <w:rPr/>
        <w:t>公司全资子公司远光资本与深圳市深粮多喜米商务有限公司、远望谷投资共同投资设立 深圳市深远数据技术有限公司，公司子公司远光资本持有深远数据公司</w:t>
      </w:r>
      <w:r>
        <w:rPr>
          <w:rFonts w:ascii="Times New Roman" w:hAnsi="Times New Roman" w:cs="Times New Roman" w:eastAsia="Times New Roman" w:hint="default"/>
        </w:rPr>
        <w:t>30%</w:t>
      </w:r>
      <w:r>
        <w:rPr/>
        <w:t>的股权。本次投</w:t>
      </w:r>
      <w:r>
        <w:rPr>
          <w:spacing w:val="-55"/>
        </w:rPr>
        <w:t> </w:t>
      </w:r>
      <w:r>
        <w:rPr>
          <w:spacing w:val="-55"/>
        </w:rPr>
      </w:r>
      <w:r>
        <w:rPr/>
        <w:t>资通过三方利用各自优势，推进粮食信息化业务开展。深粮集团利用粮食行业管理及运营等 优势，远望谷利用物联网技术硬件开发及推广优势和成熟经验，公司利用丰富的行业解决方</w:t>
      </w:r>
      <w:r>
        <w:rPr>
          <w:spacing w:val="-117"/>
        </w:rPr>
        <w:t> </w:t>
      </w:r>
      <w:r>
        <w:rPr>
          <w:spacing w:val="-117"/>
        </w:rPr>
      </w:r>
      <w:r>
        <w:rPr/>
        <w:t>案和集团管控经验，以及强有力的市场开拓经验，共同推进粮食行业领域信息化合作。</w:t>
      </w:r>
    </w:p>
    <w:p>
      <w:pPr>
        <w:pStyle w:val="Heading2"/>
        <w:spacing w:line="292" w:lineRule="exact"/>
        <w:ind w:left="636" w:right="985"/>
        <w:jc w:val="left"/>
        <w:rPr>
          <w:b w:val="0"/>
          <w:bCs w:val="0"/>
        </w:rPr>
      </w:pPr>
      <w:r>
        <w:rPr>
          <w:rFonts w:ascii="Times New Roman" w:hAnsi="Times New Roman" w:cs="Times New Roman" w:eastAsia="Times New Roman" w:hint="default"/>
        </w:rPr>
        <w:t>3</w:t>
      </w:r>
      <w:r>
        <w:rPr/>
        <w:t>、研发成果</w:t>
      </w:r>
      <w:r>
        <w:rPr>
          <w:b w:val="0"/>
          <w:bCs w:val="0"/>
        </w:rPr>
      </w:r>
    </w:p>
    <w:p>
      <w:pPr>
        <w:pStyle w:val="Heading3"/>
        <w:spacing w:line="312" w:lineRule="exact" w:before="20"/>
        <w:ind w:left="634" w:right="985"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）新产品</w:t>
      </w:r>
      <w:r>
        <w:rPr>
          <w:rFonts w:ascii="宋体" w:hAnsi="宋体" w:cs="宋体" w:eastAsia="宋体" w:hint="default"/>
          <w:b/>
          <w:bCs/>
          <w:w w:val="99"/>
        </w:rPr>
        <w:t> </w:t>
      </w:r>
      <w:r>
        <w:rPr/>
        <w:t>报告期内，公司优化了产业布局和产品战略，加大了大数据、人工智能、物联网、智慧</w:t>
      </w:r>
    </w:p>
    <w:p>
      <w:pPr>
        <w:pStyle w:val="Heading3"/>
        <w:spacing w:line="312" w:lineRule="exact"/>
        <w:ind w:right="1129"/>
        <w:jc w:val="both"/>
      </w:pPr>
      <w:r>
        <w:rPr>
          <w:spacing w:val="-5"/>
        </w:rPr>
        <w:t>能源、社会互联等领域的研发投入，进一步发展</w:t>
      </w:r>
      <w:r>
        <w:rPr>
          <w:rFonts w:ascii="Times New Roman" w:hAnsi="Times New Roman" w:cs="Times New Roman" w:eastAsia="Times New Roman" w:hint="default"/>
          <w:spacing w:val="-5"/>
        </w:rPr>
        <w:t>“</w:t>
      </w:r>
      <w:r>
        <w:rPr>
          <w:spacing w:val="-5"/>
        </w:rPr>
        <w:t>集团管理、智慧能源、智能物联、社会互联</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5"/>
        </w:rPr>
        <w:t> </w:t>
      </w:r>
      <w:r>
        <w:rPr/>
        <w:t>四大产业领域，研发推出了一系列新的产品。</w:t>
      </w:r>
    </w:p>
    <w:p>
      <w:pPr>
        <w:pStyle w:val="Heading3"/>
        <w:spacing w:line="312" w:lineRule="exact"/>
        <w:ind w:right="1132" w:firstLine="480"/>
        <w:jc w:val="both"/>
      </w:pPr>
      <w:r>
        <w:rPr/>
        <w:t>在集团管理方面，面向大中型集团企业发布了全面预算管理模型、电子发票服务平台、 </w:t>
      </w:r>
      <w:r>
        <w:rPr>
          <w:spacing w:val="-1"/>
        </w:rPr>
        <w:t>工程资金支付管控、资产管理</w:t>
      </w:r>
      <w:r>
        <w:rPr>
          <w:rFonts w:ascii="Times New Roman" w:hAnsi="Times New Roman" w:cs="Times New Roman" w:eastAsia="Times New Roman" w:hint="default"/>
          <w:spacing w:val="-1"/>
        </w:rPr>
        <w:t>2.0</w:t>
      </w:r>
      <w:r>
        <w:rPr>
          <w:spacing w:val="-1"/>
        </w:rPr>
        <w:t>、远光智慧商旅、报表编报过程管理、账务多账簿、账务微</w:t>
      </w:r>
      <w:r>
        <w:rPr>
          <w:spacing w:val="-103"/>
        </w:rPr>
        <w:t> </w:t>
      </w:r>
      <w:r>
        <w:rPr>
          <w:spacing w:val="-103"/>
        </w:rPr>
      </w:r>
      <w:r>
        <w:rPr/>
        <w:t>应用、应收应付管理、轻量化融资管理、多口径报表分析工具、审计管理信息系统、实用化 考核微应用等产品，同时大力研发智能机器人项目，包括智能银企对账机器人、光伏结算信 息自动核对机器人等多款财务机器人项目研发完成。</w:t>
      </w:r>
    </w:p>
    <w:p>
      <w:pPr>
        <w:pStyle w:val="Heading3"/>
        <w:spacing w:line="312" w:lineRule="exact"/>
        <w:ind w:left="154" w:right="1132" w:firstLine="480"/>
        <w:jc w:val="both"/>
      </w:pPr>
      <w:r>
        <w:rPr>
          <w:spacing w:val="-3"/>
        </w:rPr>
        <w:t>在人工智能</w:t>
      </w:r>
      <w:r>
        <w:rPr>
          <w:rFonts w:ascii="Times New Roman" w:hAnsi="Times New Roman" w:cs="Times New Roman" w:eastAsia="Times New Roman" w:hint="default"/>
          <w:spacing w:val="-3"/>
        </w:rPr>
        <w:t>+</w:t>
      </w:r>
      <w:r>
        <w:rPr>
          <w:spacing w:val="-3"/>
        </w:rPr>
        <w:t>信息系统方面，远光软件结合管理软件的发展思路，实现了基于具体的业务</w:t>
      </w:r>
      <w:r>
        <w:rPr/>
        <w:t> 应用场景的智能化服务，远光的</w:t>
      </w:r>
      <w:r>
        <w:rPr>
          <w:rFonts w:ascii="Times New Roman" w:hAnsi="Times New Roman" w:cs="Times New Roman" w:eastAsia="Times New Roman" w:hint="default"/>
        </w:rPr>
        <w:t>YG-CC</w:t>
      </w:r>
      <w:r>
        <w:rPr/>
        <w:t>智能机器人已经可以实现智能填单、智能提示、全文</w:t>
      </w:r>
      <w:r>
        <w:rPr>
          <w:w w:val="99"/>
        </w:rPr>
        <w:t> </w:t>
      </w:r>
      <w:r>
        <w:rPr/>
        <w:t>检索、智能客服、智能语音搜索、智能查询等功能。</w:t>
      </w:r>
    </w:p>
    <w:p>
      <w:pPr>
        <w:pStyle w:val="Heading3"/>
        <w:spacing w:line="312" w:lineRule="exact"/>
        <w:ind w:right="1132" w:firstLine="480"/>
        <w:jc w:val="both"/>
      </w:pPr>
      <w:r>
        <w:rPr/>
        <w:t>在智慧能源业务方面，发布了新一代的远光购售电云平台，为广大购售电公司提供了一 </w:t>
      </w:r>
      <w:r>
        <w:rPr>
          <w:spacing w:val="-3"/>
        </w:rPr>
        <w:t>体化的</w:t>
      </w:r>
      <w:r>
        <w:rPr>
          <w:rFonts w:ascii="Times New Roman" w:hAnsi="Times New Roman" w:cs="Times New Roman" w:eastAsia="Times New Roman" w:hint="default"/>
          <w:spacing w:val="-3"/>
        </w:rPr>
        <w:t>SAAS</w:t>
      </w:r>
      <w:r>
        <w:rPr>
          <w:spacing w:val="-3"/>
        </w:rPr>
        <w:t>服务应用，电量负荷预测模型，发布了配网营销管理系统，为具有配网经营权的</w:t>
      </w:r>
      <w:r>
        <w:rPr>
          <w:spacing w:val="-95"/>
        </w:rPr>
        <w:t> </w:t>
      </w:r>
      <w:r>
        <w:rPr>
          <w:spacing w:val="-95"/>
        </w:rPr>
      </w:r>
      <w:r>
        <w:rPr/>
        <w:t>企业提供一体化解决方案。为公司业绩稳定增长提供有效支撑，发布了多款移动及微应用， </w:t>
      </w:r>
      <w:r>
        <w:rPr>
          <w:spacing w:val="-1"/>
        </w:rPr>
        <w:t>包括售电利润计算器、维客</w:t>
      </w:r>
      <w:r>
        <w:rPr>
          <w:rFonts w:ascii="Times New Roman" w:hAnsi="Times New Roman" w:cs="Times New Roman" w:eastAsia="Times New Roman" w:hint="default"/>
          <w:spacing w:val="-1"/>
        </w:rPr>
        <w:t>CC</w:t>
      </w:r>
      <w:r>
        <w:rPr>
          <w:spacing w:val="-1"/>
        </w:rPr>
        <w:t>应用、客户关系管理</w:t>
      </w:r>
      <w:r>
        <w:rPr>
          <w:rFonts w:ascii="Times New Roman" w:hAnsi="Times New Roman" w:cs="Times New Roman" w:eastAsia="Times New Roman" w:hint="default"/>
          <w:spacing w:val="-1"/>
        </w:rPr>
        <w:t>APP</w:t>
      </w:r>
      <w:r>
        <w:rPr>
          <w:spacing w:val="-1"/>
        </w:rPr>
        <w:t>等；公司控股子公司昊美科技，为用</w:t>
      </w:r>
      <w:r>
        <w:rPr>
          <w:spacing w:val="-90"/>
        </w:rPr>
        <w:t> </w:t>
      </w:r>
      <w:r>
        <w:rPr>
          <w:spacing w:val="-90"/>
        </w:rPr>
      </w:r>
      <w:r>
        <w:rPr/>
        <w:t>户提供低压配网精益运管、能源</w:t>
      </w:r>
      <w:r>
        <w:rPr>
          <w:rFonts w:ascii="Times New Roman" w:hAnsi="Times New Roman" w:cs="Times New Roman" w:eastAsia="Times New Roman" w:hint="default"/>
        </w:rPr>
        <w:t>BDaaS</w:t>
      </w:r>
      <w:r>
        <w:rPr/>
        <w:t>之智能电管家、蓄电池在线监测及远程维护、社区电</w:t>
      </w:r>
      <w:r>
        <w:rPr>
          <w:spacing w:val="-60"/>
        </w:rPr>
        <w:t> </w:t>
      </w:r>
      <w:r>
        <w:rPr>
          <w:spacing w:val="-60"/>
        </w:rPr>
      </w:r>
      <w:r>
        <w:rPr/>
        <w:t>力交易等产品，进一步完善了公司能源互联网产品体系。</w:t>
      </w:r>
    </w:p>
    <w:p>
      <w:pPr>
        <w:pStyle w:val="Heading3"/>
        <w:spacing w:line="312" w:lineRule="exact"/>
        <w:ind w:right="1130" w:firstLine="480"/>
        <w:jc w:val="both"/>
      </w:pPr>
      <w:r>
        <w:rPr/>
        <w:t>在智能物联业务方面，公司面向电力行业，将燃料智能化产品进一步优化完善，发布了 煤质化验自动化、燃煤调用共享管控平台等新产品；面向通用企业发布了智能自动报账机、</w:t>
      </w:r>
      <w:r>
        <w:rPr>
          <w:spacing w:val="-112"/>
        </w:rPr>
        <w:t> </w:t>
      </w:r>
      <w:r>
        <w:rPr>
          <w:spacing w:val="-112"/>
        </w:rPr>
      </w:r>
      <w:r>
        <w:rPr/>
        <w:t>扫描精灵、发票查验终端、智能印章管理、文报解读（</w:t>
      </w:r>
      <w:r>
        <w:rPr>
          <w:rFonts w:ascii="Times New Roman" w:hAnsi="Times New Roman" w:cs="Times New Roman" w:eastAsia="Times New Roman" w:hint="default"/>
        </w:rPr>
        <w:t>Carbon To</w:t>
      </w:r>
      <w:r>
        <w:rPr>
          <w:rFonts w:ascii="Times New Roman" w:hAnsi="Times New Roman" w:cs="Times New Roman" w:eastAsia="Times New Roman" w:hint="default"/>
          <w:spacing w:val="18"/>
        </w:rPr>
        <w:t> </w:t>
      </w:r>
      <w:r>
        <w:rPr>
          <w:rFonts w:ascii="Times New Roman" w:hAnsi="Times New Roman" w:cs="Times New Roman" w:eastAsia="Times New Roman" w:hint="default"/>
        </w:rPr>
        <w:t>Electricity,</w:t>
      </w:r>
      <w:r>
        <w:rPr/>
        <w:t>缩写：</w:t>
      </w:r>
      <w:r>
        <w:rPr>
          <w:rFonts w:ascii="Times New Roman" w:hAnsi="Times New Roman" w:cs="Times New Roman" w:eastAsia="Times New Roman" w:hint="default"/>
        </w:rPr>
        <w:t>C2E</w:t>
      </w:r>
      <w:r>
        <w:rPr/>
        <w:t>）等</w:t>
      </w:r>
      <w:r>
        <w:rPr>
          <w:spacing w:val="1"/>
        </w:rPr>
        <w:t> </w:t>
      </w:r>
      <w:r>
        <w:rPr/>
        <w:t>新产品。</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firstLine="480"/>
        <w:jc w:val="both"/>
      </w:pPr>
      <w:r>
        <w:rPr/>
        <w:t>在社会互联业务方面，发布了电子党建、社员之家、财务家园等产品，满足组织与社员 之间的互动管理；公司研发了智慧消防、制度通、智慧政务、智慧社区等一系列社会服务产 品，旨在提升社会整体服务效率和水平，实现智慧民生。</w:t>
      </w:r>
    </w:p>
    <w:p>
      <w:pPr>
        <w:pStyle w:val="Heading3"/>
        <w:spacing w:line="225" w:lineRule="auto"/>
        <w:ind w:left="634" w:right="985"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）研发管理</w:t>
      </w:r>
      <w:r>
        <w:rPr>
          <w:rFonts w:ascii="宋体" w:hAnsi="宋体" w:cs="宋体" w:eastAsia="宋体" w:hint="default"/>
          <w:b/>
          <w:bCs/>
          <w:w w:val="99"/>
        </w:rPr>
        <w:t> </w:t>
      </w:r>
      <w:r>
        <w:rPr/>
        <w:t>报告期内，公司在研发管理方面积极探索，持续优化。公司一方面继续夯实增量瀑布模</w:t>
      </w:r>
    </w:p>
    <w:p>
      <w:pPr>
        <w:pStyle w:val="Heading3"/>
        <w:spacing w:line="312" w:lineRule="exact" w:before="30"/>
        <w:ind w:right="1130"/>
        <w:jc w:val="both"/>
      </w:pPr>
      <w:r>
        <w:rPr/>
        <w:t>型研发体系，进一步提升对矩阵式研发的项目群管理能力和实施方法论，为大型集团资源管</w:t>
      </w:r>
      <w:r>
        <w:rPr>
          <w:spacing w:val="-111"/>
        </w:rPr>
        <w:t> </w:t>
      </w:r>
      <w:r>
        <w:rPr>
          <w:spacing w:val="-111"/>
        </w:rPr>
      </w:r>
      <w:r>
        <w:rPr/>
        <w:t>理产品研发提供保障。另一方面积极探索敏捷研发模式，将敏捷研发体系与公司当前的研发 管理体系相融合，形成独具远光特色的敏捷项目管理规范，为新技术、新领域产品研发营造 </w:t>
      </w:r>
      <w:r>
        <w:rPr>
          <w:spacing w:val="-1"/>
        </w:rPr>
        <w:t>良性的生态环境。并结合</w:t>
      </w:r>
      <w:r>
        <w:rPr>
          <w:rFonts w:ascii="Times New Roman" w:hAnsi="Times New Roman" w:cs="Times New Roman" w:eastAsia="Times New Roman" w:hint="default"/>
          <w:spacing w:val="-1"/>
        </w:rPr>
        <w:t>DevOps</w:t>
      </w:r>
      <w:r>
        <w:rPr>
          <w:spacing w:val="-1"/>
        </w:rPr>
        <w:t>先进理念，借鉴业界最佳实践，借助可靠、可重复的自动化</w:t>
      </w:r>
      <w:r>
        <w:rPr>
          <w:spacing w:val="-111"/>
        </w:rPr>
        <w:t> </w:t>
      </w:r>
      <w:r>
        <w:rPr>
          <w:spacing w:val="-111"/>
        </w:rPr>
      </w:r>
      <w:r>
        <w:rPr>
          <w:spacing w:val="-2"/>
        </w:rPr>
        <w:t>流程工具，促进研发各环节的沟通协作，实现持续集成</w:t>
      </w:r>
      <w:r>
        <w:rPr>
          <w:rFonts w:ascii="Times New Roman" w:hAnsi="Times New Roman" w:cs="Times New Roman" w:eastAsia="Times New Roman" w:hint="default"/>
          <w:spacing w:val="-2"/>
        </w:rPr>
        <w:t>(CI)</w:t>
      </w:r>
      <w:r>
        <w:rPr>
          <w:spacing w:val="-2"/>
        </w:rPr>
        <w:t>、持续部署（</w:t>
      </w:r>
      <w:r>
        <w:rPr>
          <w:rFonts w:ascii="Times New Roman" w:hAnsi="Times New Roman" w:cs="Times New Roman" w:eastAsia="Times New Roman" w:hint="default"/>
          <w:spacing w:val="-2"/>
        </w:rPr>
        <w:t>CD)</w:t>
      </w:r>
      <w:r>
        <w:rPr>
          <w:spacing w:val="-2"/>
        </w:rPr>
        <w:t>。在提升内部交</w:t>
      </w:r>
      <w:r>
        <w:rPr>
          <w:spacing w:val="-91"/>
        </w:rPr>
        <w:t> </w:t>
      </w:r>
      <w:r>
        <w:rPr>
          <w:spacing w:val="-91"/>
        </w:rPr>
      </w:r>
      <w:r>
        <w:rPr/>
        <w:t>付效率的同时，通过自动化测试、代码检查、漏洞检测等手段以强化产品质量。</w:t>
      </w:r>
    </w:p>
    <w:p>
      <w:pPr>
        <w:pStyle w:val="Heading3"/>
        <w:spacing w:line="312" w:lineRule="exact"/>
        <w:ind w:left="634" w:right="985"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）新技术</w:t>
      </w:r>
      <w:r>
        <w:rPr>
          <w:rFonts w:ascii="宋体" w:hAnsi="宋体" w:cs="宋体" w:eastAsia="宋体" w:hint="default"/>
          <w:b/>
          <w:bCs/>
          <w:w w:val="99"/>
        </w:rPr>
        <w:t> </w:t>
      </w:r>
      <w:r>
        <w:rPr/>
        <w:t>报告期内，公司全力推进人工智能技术的研究应用，重点布局区块链技术，深入研究大</w:t>
      </w:r>
    </w:p>
    <w:p>
      <w:pPr>
        <w:pStyle w:val="Heading3"/>
        <w:spacing w:line="282" w:lineRule="exact"/>
        <w:ind w:left="154" w:right="985"/>
        <w:jc w:val="left"/>
      </w:pPr>
      <w:r>
        <w:rPr/>
        <w:t>数据业务。</w:t>
      </w:r>
    </w:p>
    <w:p>
      <w:pPr>
        <w:pStyle w:val="Heading3"/>
        <w:spacing w:line="312" w:lineRule="exact" w:before="29"/>
        <w:ind w:left="633" w:right="985"/>
        <w:jc w:val="left"/>
      </w:pPr>
      <w:r>
        <w:rPr/>
        <w:t>报告期内，公司全力推进人工智能技术的研究应用，主要包括： 应用方面，公司持续展开人工智能技术应用场景的挖掘，先后推出了广泛应用于企业管</w:t>
      </w:r>
    </w:p>
    <w:p>
      <w:pPr>
        <w:pStyle w:val="Heading3"/>
        <w:spacing w:line="312" w:lineRule="exact"/>
        <w:ind w:right="994"/>
        <w:jc w:val="left"/>
      </w:pPr>
      <w:r>
        <w:rPr/>
        <w:t>理、智慧城市等领域的智能解决方案，如</w:t>
      </w:r>
      <w:r>
        <w:rPr>
          <w:rFonts w:ascii="Times New Roman" w:hAnsi="Times New Roman" w:cs="Times New Roman" w:eastAsia="Times New Roman" w:hint="default"/>
        </w:rPr>
        <w:t>“</w:t>
      </w:r>
      <w:r>
        <w:rPr/>
        <w:t>财务机器人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管理机器人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智能客服</w:t>
      </w:r>
      <w:r>
        <w:rPr>
          <w:rFonts w:ascii="Times New Roman" w:hAnsi="Times New Roman" w:cs="Times New Roman" w:eastAsia="Times New Roman" w:hint="default"/>
        </w:rPr>
        <w:t>”</w:t>
      </w:r>
      <w:r>
        <w:rPr/>
        <w:t>等产品。 此外，还承担了多项相关科研课题，着力解决机器学习、专家系统等理论技术在系统运维、 财务工作等领域的应用问题。</w:t>
      </w:r>
    </w:p>
    <w:p>
      <w:pPr>
        <w:pStyle w:val="Heading3"/>
        <w:spacing w:line="312" w:lineRule="exact"/>
        <w:ind w:right="1133" w:firstLine="480"/>
        <w:jc w:val="both"/>
      </w:pPr>
      <w:r>
        <w:rPr/>
        <w:t>技术方面，公司人工智能实验室正进行以自然语言处理、知识图谱及智能对话系统等为 核心的认知科学应用研究，并以此为基础推动产品落地。</w:t>
      </w:r>
      <w:r>
        <w:rPr>
          <w:rFonts w:ascii="Times New Roman" w:hAnsi="Times New Roman" w:cs="Times New Roman" w:eastAsia="Times New Roman" w:hint="default"/>
        </w:rPr>
        <w:t>2017</w:t>
      </w:r>
      <w:r>
        <w:rPr/>
        <w:t>年被中国电子信息产业发展研</w:t>
      </w:r>
      <w:r>
        <w:rPr>
          <w:spacing w:val="-112"/>
        </w:rPr>
        <w:t> </w:t>
      </w:r>
      <w:r>
        <w:rPr>
          <w:spacing w:val="-112"/>
        </w:rPr>
      </w:r>
      <w:r>
        <w:rPr/>
        <w:t>究院评为</w:t>
      </w:r>
      <w:r>
        <w:rPr>
          <w:rFonts w:ascii="Times New Roman" w:hAnsi="Times New Roman" w:cs="Times New Roman" w:eastAsia="Times New Roman" w:hint="default"/>
        </w:rPr>
        <w:t>“</w:t>
      </w:r>
      <w:r>
        <w:rPr/>
        <w:t>中国人工智能产业领军企业</w:t>
      </w:r>
      <w:r>
        <w:rPr>
          <w:rFonts w:ascii="Times New Roman" w:hAnsi="Times New Roman" w:cs="Times New Roman" w:eastAsia="Times New Roman" w:hint="default"/>
        </w:rPr>
        <w:t>”</w:t>
      </w:r>
      <w:r>
        <w:rPr/>
        <w:t>。</w:t>
      </w:r>
    </w:p>
    <w:p>
      <w:pPr>
        <w:pStyle w:val="Heading3"/>
        <w:spacing w:line="312" w:lineRule="exact"/>
        <w:ind w:right="1133" w:firstLine="480"/>
        <w:jc w:val="both"/>
      </w:pPr>
      <w:r>
        <w:rPr>
          <w:spacing w:val="-2"/>
        </w:rPr>
        <w:t>合作层面，公司与澳门科技大学合作，成立了</w:t>
      </w:r>
      <w:r>
        <w:rPr>
          <w:rFonts w:ascii="Times New Roman" w:hAnsi="Times New Roman" w:cs="Times New Roman" w:eastAsia="Times New Roman" w:hint="default"/>
          <w:spacing w:val="-2"/>
        </w:rPr>
        <w:t>“</w:t>
      </w:r>
      <w:r>
        <w:rPr>
          <w:spacing w:val="-2"/>
        </w:rPr>
        <w:t>澳门科技大学远光软件人工智能联合实验</w:t>
      </w:r>
      <w:r>
        <w:rPr/>
        <w:t> </w:t>
      </w:r>
      <w:r>
        <w:rPr>
          <w:spacing w:val="-2"/>
        </w:rPr>
        <w:t>室</w:t>
      </w:r>
      <w:r>
        <w:rPr>
          <w:rFonts w:ascii="Times New Roman" w:hAnsi="Times New Roman" w:cs="Times New Roman" w:eastAsia="Times New Roman" w:hint="default"/>
          <w:spacing w:val="-2"/>
        </w:rPr>
        <w:t>”</w:t>
      </w:r>
      <w:r>
        <w:rPr>
          <w:spacing w:val="-2"/>
        </w:rPr>
        <w:t>，深入开展人工智能底层技术研究。与武汉大学计算机学院、华中科技大学人工智能研究</w:t>
      </w:r>
      <w:r>
        <w:rPr>
          <w:spacing w:val="-107"/>
        </w:rPr>
        <w:t> </w:t>
      </w:r>
      <w:r>
        <w:rPr>
          <w:spacing w:val="-107"/>
        </w:rPr>
      </w:r>
      <w:r>
        <w:rPr/>
        <w:t>所、百度人工智能实验室保持了良好的互动，共同推动前沿技术向落地产品的转化。</w:t>
      </w:r>
    </w:p>
    <w:p>
      <w:pPr>
        <w:pStyle w:val="Heading3"/>
        <w:spacing w:line="312" w:lineRule="exact"/>
        <w:ind w:right="1128" w:firstLine="480"/>
        <w:jc w:val="both"/>
      </w:pPr>
      <w:r>
        <w:rPr/>
        <w:t>公司将继续推进人工智能领域的研究探索，深入挖掘人工智能未来在企业管理、社会治 理方面的应用，开发基于机器学习和知识图谱的智能软件产品，构建新一代</w:t>
      </w:r>
      <w:r>
        <w:rPr>
          <w:rFonts w:ascii="Times New Roman" w:hAnsi="Times New Roman" w:cs="Times New Roman" w:eastAsia="Times New Roman" w:hint="default"/>
        </w:rPr>
        <w:t>“</w:t>
      </w:r>
      <w:r>
        <w:rPr/>
        <w:t>人机结合</w:t>
      </w:r>
      <w:r>
        <w:rPr>
          <w:rFonts w:ascii="Times New Roman" w:hAnsi="Times New Roman" w:cs="Times New Roman" w:eastAsia="Times New Roman" w:hint="default"/>
        </w:rPr>
        <w:t>”</w:t>
      </w:r>
      <w:r>
        <w:rPr/>
        <w:t>平台</w:t>
      </w:r>
      <w:r>
        <w:rPr>
          <w:spacing w:val="-78"/>
        </w:rPr>
        <w:t> </w:t>
      </w:r>
      <w:r>
        <w:rPr/>
        <w:t>体系，助力客户实现新的价值提升。</w:t>
      </w:r>
    </w:p>
    <w:p>
      <w:pPr>
        <w:pStyle w:val="Heading3"/>
        <w:spacing w:line="312" w:lineRule="exact"/>
        <w:ind w:right="1132" w:firstLine="480"/>
        <w:jc w:val="both"/>
      </w:pPr>
      <w:r>
        <w:rPr/>
        <w:t>公司是国内最早关注区块链技术、应用的企业之一，在多方面全面布局区块链技术与应 用，主要包括：</w:t>
      </w:r>
    </w:p>
    <w:p>
      <w:pPr>
        <w:pStyle w:val="Heading3"/>
        <w:spacing w:line="312" w:lineRule="exact"/>
        <w:ind w:right="985" w:firstLine="480"/>
        <w:jc w:val="left"/>
      </w:pPr>
      <w:r>
        <w:rPr>
          <w:spacing w:val="-5"/>
        </w:rPr>
        <w:t>资本层面，公司与启迪控股合作成立</w:t>
      </w:r>
      <w:r>
        <w:rPr>
          <w:rFonts w:ascii="Times New Roman" w:hAnsi="Times New Roman" w:cs="Times New Roman" w:eastAsia="Times New Roman" w:hint="default"/>
          <w:spacing w:val="-5"/>
        </w:rPr>
        <w:t>“</w:t>
      </w:r>
      <w:r>
        <w:rPr>
          <w:spacing w:val="-5"/>
        </w:rPr>
        <w:t>启迪远光区块链产业基金</w:t>
      </w:r>
      <w:r>
        <w:rPr>
          <w:rFonts w:ascii="Times New Roman" w:hAnsi="Times New Roman" w:cs="Times New Roman" w:eastAsia="Times New Roman" w:hint="default"/>
          <w:spacing w:val="-5"/>
        </w:rPr>
        <w:t>”</w:t>
      </w:r>
      <w:r>
        <w:rPr>
          <w:spacing w:val="-5"/>
        </w:rPr>
        <w:t>，基金规模</w:t>
      </w:r>
      <w:r>
        <w:rPr>
          <w:rFonts w:ascii="Times New Roman" w:hAnsi="Times New Roman" w:cs="Times New Roman" w:eastAsia="Times New Roman" w:hint="default"/>
          <w:spacing w:val="-5"/>
        </w:rPr>
        <w:t>2</w:t>
      </w:r>
      <w:r>
        <w:rPr>
          <w:spacing w:val="-5"/>
        </w:rPr>
        <w:t>亿元人民币，</w:t>
      </w:r>
      <w:r>
        <w:rPr/>
        <w:t> 重点卡位区块链核心技术产业；</w:t>
      </w:r>
    </w:p>
    <w:p>
      <w:pPr>
        <w:pStyle w:val="Heading3"/>
        <w:spacing w:line="312" w:lineRule="exact"/>
        <w:ind w:right="985" w:firstLine="480"/>
        <w:jc w:val="left"/>
      </w:pPr>
      <w:r>
        <w:rPr>
          <w:spacing w:val="-4"/>
        </w:rPr>
        <w:t>应用方面，</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6"/>
        </w:rPr>
        <w:t> </w:t>
      </w:r>
      <w:r>
        <w:rPr/>
        <w:t>年公司成立区块链应用事业部，专门从事区块链产品的技术应用和市场 推广，通过几年来的探索和积累，公司拥有了多个成熟的业务场景解决方案，主要通过区块 链、大数据、物联网等技术，通过自主创新研发的底层平台，结合公司能源互联网的发展方 </w:t>
      </w:r>
      <w:r>
        <w:rPr>
          <w:spacing w:val="-2"/>
        </w:rPr>
        <w:t>向，针对电力行业的</w:t>
      </w:r>
      <w:r>
        <w:rPr>
          <w:rFonts w:ascii="Times New Roman" w:hAnsi="Times New Roman" w:cs="Times New Roman" w:eastAsia="Times New Roman" w:hint="default"/>
          <w:spacing w:val="-2"/>
        </w:rPr>
        <w:t>“</w:t>
      </w:r>
      <w:r>
        <w:rPr>
          <w:spacing w:val="-2"/>
        </w:rPr>
        <w:t>发、输、配、售、用</w:t>
      </w:r>
      <w:r>
        <w:rPr>
          <w:rFonts w:ascii="Times New Roman" w:hAnsi="Times New Roman" w:cs="Times New Roman" w:eastAsia="Times New Roman" w:hint="default"/>
          <w:spacing w:val="-2"/>
        </w:rPr>
        <w:t>”</w:t>
      </w:r>
      <w:r>
        <w:rPr>
          <w:spacing w:val="-2"/>
        </w:rPr>
        <w:t>做了一系列的工作，并在购售电云合同解决方案、</w:t>
      </w:r>
      <w:r>
        <w:rPr>
          <w:spacing w:val="-96"/>
        </w:rPr>
        <w:t> </w:t>
      </w:r>
      <w:r>
        <w:rPr>
          <w:spacing w:val="-96"/>
        </w:rPr>
      </w:r>
      <w:r>
        <w:rPr/>
        <w:t>以电网为结算主体的电费结算私有链研究、电价智能合约与电力市场电费结算方案、电网企</w:t>
      </w:r>
      <w:r>
        <w:rPr>
          <w:spacing w:val="-115"/>
        </w:rPr>
        <w:t> </w:t>
      </w:r>
      <w:r>
        <w:rPr>
          <w:spacing w:val="-115"/>
        </w:rPr>
      </w:r>
      <w:r>
        <w:rPr/>
        <w:t>业私有链平台及应用场景研究等开展了关键技术研发工作，且已取得初步成果；</w:t>
      </w:r>
    </w:p>
    <w:p>
      <w:pPr>
        <w:pStyle w:val="Heading3"/>
        <w:spacing w:line="312" w:lineRule="exact"/>
        <w:ind w:right="1130" w:firstLine="480"/>
        <w:jc w:val="both"/>
      </w:pPr>
      <w:r>
        <w:rPr>
          <w:spacing w:val="-2"/>
        </w:rPr>
        <w:t>技术方面，公司区块链实验室，先后发起申请三项区块链相关技术专利，</w:t>
      </w:r>
      <w:r>
        <w:rPr>
          <w:rFonts w:ascii="Times New Roman" w:hAnsi="Times New Roman" w:cs="Times New Roman" w:eastAsia="Times New Roman" w:hint="default"/>
          <w:spacing w:val="-2"/>
        </w:rPr>
        <w:t>“</w:t>
      </w:r>
      <w:r>
        <w:rPr>
          <w:spacing w:val="-2"/>
        </w:rPr>
        <w:t>基于区块链的</w:t>
      </w:r>
      <w:r>
        <w:rPr/>
        <w:t> </w:t>
      </w:r>
      <w:r>
        <w:rPr>
          <w:spacing w:val="-2"/>
        </w:rPr>
        <w:t>可信电子证照应用平台</w:t>
      </w:r>
      <w:r>
        <w:rPr>
          <w:rFonts w:ascii="Times New Roman" w:hAnsi="Times New Roman" w:cs="Times New Roman" w:eastAsia="Times New Roman" w:hint="default"/>
          <w:spacing w:val="-2"/>
        </w:rPr>
        <w:t>”</w:t>
      </w:r>
      <w:r>
        <w:rPr>
          <w:spacing w:val="-2"/>
        </w:rPr>
        <w:t>荣获第一届中国区块链技术创新应用大赛全国二等奖，论文《区块链</w:t>
      </w:r>
      <w:r>
        <w:rPr>
          <w:spacing w:val="-108"/>
        </w:rPr>
        <w:t> </w:t>
      </w:r>
      <w:r>
        <w:rPr>
          <w:spacing w:val="-108"/>
        </w:rPr>
      </w:r>
      <w:r>
        <w:rPr/>
        <w:t>在智慧能源中的应用》获得全国博士后智慧城市论坛优秀论文奖；</w:t>
      </w:r>
    </w:p>
    <w:p>
      <w:pPr>
        <w:pStyle w:val="Heading3"/>
        <w:spacing w:line="312" w:lineRule="exact"/>
        <w:ind w:right="1131" w:firstLine="480"/>
        <w:jc w:val="both"/>
      </w:pPr>
      <w:r>
        <w:rPr>
          <w:spacing w:val="-2"/>
        </w:rPr>
        <w:t>合作层面，公司先后发起加入了</w:t>
      </w:r>
      <w:r>
        <w:rPr>
          <w:rFonts w:ascii="Times New Roman" w:hAnsi="Times New Roman" w:cs="Times New Roman" w:eastAsia="Times New Roman" w:hint="default"/>
          <w:spacing w:val="-2"/>
        </w:rPr>
        <w:t>“</w:t>
      </w:r>
      <w:r>
        <w:rPr>
          <w:spacing w:val="-2"/>
        </w:rPr>
        <w:t>中关村区块链产业联盟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中国区块链技术创新与应用</w:t>
      </w:r>
      <w:r>
        <w:rPr/>
        <w:t> </w:t>
      </w:r>
      <w:r>
        <w:rPr>
          <w:spacing w:val="-2"/>
        </w:rPr>
        <w:t>联盟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粤港澳区块链论坛</w:t>
      </w:r>
      <w:r>
        <w:rPr>
          <w:rFonts w:ascii="Times New Roman" w:hAnsi="Times New Roman" w:cs="Times New Roman" w:eastAsia="Times New Roman" w:hint="default"/>
          <w:spacing w:val="-2"/>
        </w:rPr>
        <w:t>”</w:t>
      </w:r>
      <w:r>
        <w:rPr>
          <w:spacing w:val="-2"/>
        </w:rPr>
        <w:t>等联盟组织，积极参与国内区块链相关产业合作洽谈，同时与清</w:t>
      </w:r>
      <w:r>
        <w:rPr>
          <w:spacing w:val="-81"/>
        </w:rPr>
        <w:t> </w:t>
      </w:r>
      <w:r>
        <w:rPr>
          <w:spacing w:val="-81"/>
        </w:rPr>
      </w:r>
      <w:r>
        <w:rPr/>
        <w:t>华能源互联网研究院、能源区块链实验室、万向区块链实验室等建立联系，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月由远</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634" w:right="985" w:hanging="480"/>
        <w:jc w:val="left"/>
      </w:pPr>
      <w:r>
        <w:rPr/>
        <w:t>光软件、远光区块链主办的</w:t>
      </w:r>
      <w:r>
        <w:rPr>
          <w:rFonts w:ascii="Times New Roman" w:hAnsi="Times New Roman" w:cs="Times New Roman" w:eastAsia="Times New Roman" w:hint="default"/>
        </w:rPr>
        <w:t>“</w:t>
      </w:r>
      <w:r>
        <w:rPr/>
        <w:t>首届粤港澳区块链技术创新与应用科技论坛</w:t>
      </w:r>
      <w:r>
        <w:rPr>
          <w:rFonts w:ascii="Times New Roman" w:hAnsi="Times New Roman" w:cs="Times New Roman" w:eastAsia="Times New Roman" w:hint="default"/>
        </w:rPr>
        <w:t>”</w:t>
      </w:r>
      <w:r>
        <w:rPr/>
        <w:t>在珠海成功召开。 公司将持续在区块链技术、应用方面投入，布局区块链未来在能源、智慧城市的应用，</w:t>
      </w:r>
    </w:p>
    <w:p>
      <w:pPr>
        <w:pStyle w:val="Heading3"/>
        <w:spacing w:line="312" w:lineRule="exact"/>
        <w:ind w:left="634" w:right="985" w:hanging="480"/>
        <w:jc w:val="left"/>
      </w:pPr>
      <w:r>
        <w:rPr/>
        <w:t>探索基于区块链技术的新一代财务记账模式。 报告期，公司重点研究大数据业务，积极推出企业智能大数据一站式服务平台等创新方</w:t>
      </w:r>
    </w:p>
    <w:p>
      <w:pPr>
        <w:pStyle w:val="Heading3"/>
        <w:spacing w:line="312" w:lineRule="exact"/>
        <w:ind w:left="154" w:right="994"/>
        <w:jc w:val="left"/>
      </w:pPr>
      <w:r>
        <w:rPr/>
        <w:t>案，支撑传统企业数字化管理转型，实现智慧升级；探索远光智慧园区能效管控应用，构建 </w:t>
      </w:r>
      <w:r>
        <w:rPr>
          <w:rFonts w:ascii="Times New Roman" w:hAnsi="Times New Roman" w:cs="Times New Roman" w:eastAsia="Times New Roman" w:hint="default"/>
        </w:rPr>
        <w:t>SaaS</w:t>
      </w:r>
      <w:r>
        <w:rPr/>
        <w:t>服务，充分利用云计算、物联网、大数据、人工智能等技术优势，满足智慧园区企业客</w:t>
      </w:r>
      <w:r>
        <w:rPr>
          <w:spacing w:val="-118"/>
        </w:rPr>
        <w:t> </w:t>
      </w:r>
      <w:r>
        <w:rPr>
          <w:spacing w:val="-118"/>
        </w:rPr>
      </w:r>
      <w:r>
        <w:rPr>
          <w:spacing w:val="-2"/>
        </w:rPr>
        <w:t>户对用能设备管理、用能过程监控及节能效率分析等核心需求，帮助客户科学发掘节能空间，</w:t>
      </w:r>
      <w:r>
        <w:rPr/>
        <w:t> 实现提高能源利用效率、降低能源运营管理难度及用能成本等目标，特别是帮助能耗较大的 企业在激烈的竞争中获得价格优势和服务优势。</w:t>
      </w:r>
    </w:p>
    <w:p>
      <w:pPr>
        <w:pStyle w:val="Heading3"/>
        <w:spacing w:line="312" w:lineRule="exact"/>
        <w:ind w:left="634" w:right="985" w:firstLine="2"/>
        <w:jc w:val="left"/>
      </w:pPr>
      <w:r>
        <w:rPr>
          <w:rFonts w:ascii="Times New Roman" w:hAnsi="Times New Roman" w:cs="Times New Roman" w:eastAsia="Times New Roman" w:hint="default"/>
          <w:b/>
          <w:bCs/>
        </w:rPr>
        <w:t>4</w:t>
      </w:r>
      <w:r>
        <w:rPr>
          <w:rFonts w:ascii="宋体" w:hAnsi="宋体" w:cs="宋体" w:eastAsia="宋体" w:hint="default"/>
          <w:b/>
          <w:bCs/>
        </w:rPr>
        <w:t>、市场推广</w:t>
      </w:r>
      <w:r>
        <w:rPr>
          <w:rFonts w:ascii="宋体" w:hAnsi="宋体" w:cs="宋体" w:eastAsia="宋体" w:hint="default"/>
          <w:b/>
          <w:bCs/>
          <w:w w:val="99"/>
        </w:rPr>
        <w:t> </w:t>
      </w:r>
      <w:r>
        <w:rPr>
          <w:spacing w:val="-1"/>
        </w:rPr>
        <w:t>报告期内，公司围绕国家</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战略规划，</w:t>
      </w:r>
      <w:r>
        <w:rPr>
          <w:rFonts w:ascii="Times New Roman" w:hAnsi="Times New Roman" w:cs="Times New Roman" w:eastAsia="Times New Roman" w:hint="default"/>
          <w:spacing w:val="-1"/>
        </w:rPr>
        <w:t>“</w:t>
      </w:r>
      <w:r>
        <w:rPr>
          <w:spacing w:val="-1"/>
        </w:rPr>
        <w:t>智慧能源行动计划</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、人工智</w:t>
      </w:r>
    </w:p>
    <w:p>
      <w:pPr>
        <w:pStyle w:val="Heading3"/>
        <w:spacing w:line="312" w:lineRule="exact"/>
        <w:ind w:right="1127"/>
        <w:jc w:val="both"/>
      </w:pPr>
      <w:r>
        <w:rPr/>
        <w:t>能国家战略、电力体制改革等政策指导，坚持以集团管理、智慧能源、智能物联、社会互联 </w:t>
      </w:r>
      <w:r>
        <w:rPr>
          <w:spacing w:val="2"/>
        </w:rPr>
        <w:t>四大业务方向为目标，持续推进纵横发展战略，加速</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云计算</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区块链</w:t>
      </w:r>
      <w:r>
        <w:rPr>
          <w:rFonts w:ascii="Times New Roman" w:hAnsi="Times New Roman" w:cs="Times New Roman" w:eastAsia="Times New Roman" w:hint="default"/>
          <w:spacing w:val="2"/>
        </w:rPr>
        <w:t>”</w:t>
      </w:r>
      <w:r>
        <w:rPr>
          <w:spacing w:val="2"/>
        </w:rPr>
        <w:t>等新</w:t>
      </w:r>
      <w:r>
        <w:rPr>
          <w:spacing w:val="-99"/>
        </w:rPr>
        <w:t> </w:t>
      </w:r>
      <w:r>
        <w:rPr/>
        <w:t>技术应用研究，拓展业务领域。市场推广对内持续推进品牌延伸战略，强化母、子公司品牌</w:t>
      </w:r>
      <w:r>
        <w:rPr>
          <w:spacing w:val="-114"/>
        </w:rPr>
        <w:t> </w:t>
      </w:r>
      <w:r>
        <w:rPr>
          <w:spacing w:val="-114"/>
        </w:rPr>
      </w:r>
      <w:r>
        <w:rPr>
          <w:spacing w:val="-5"/>
        </w:rPr>
        <w:t>联动，形成集团整体合力；对外培育核心品牌，提升知名度、美誉度，推动品牌价值的</w:t>
      </w:r>
      <w:r>
        <w:rPr>
          <w:rFonts w:ascii="Times New Roman" w:hAnsi="Times New Roman" w:cs="Times New Roman" w:eastAsia="Times New Roman" w:hint="default"/>
          <w:spacing w:val="-5"/>
        </w:rPr>
        <w:t>“</w:t>
      </w:r>
      <w:r>
        <w:rPr>
          <w:spacing w:val="-5"/>
        </w:rPr>
        <w:t>裂变</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4"/>
        </w:rPr>
        <w:t> </w:t>
      </w:r>
      <w:r>
        <w:rPr/>
        <w:t>及转化。</w:t>
      </w:r>
    </w:p>
    <w:p>
      <w:pPr>
        <w:pStyle w:val="Heading3"/>
        <w:spacing w:line="312" w:lineRule="exact"/>
        <w:ind w:left="154" w:right="1132" w:firstLine="480"/>
        <w:jc w:val="both"/>
      </w:pPr>
      <w:r>
        <w:rPr>
          <w:rFonts w:ascii="Times New Roman" w:hAnsi="Times New Roman" w:cs="Times New Roman" w:eastAsia="Times New Roman" w:hint="default"/>
        </w:rPr>
        <w:t>2017</w:t>
      </w:r>
      <w:r>
        <w:rPr/>
        <w:t>年，公司进一步加大与国内外行业组织、高等院校、优秀企业的沟通与协作，探索 行业变革、发展的新思路。报告期内，与澳门科技大学合作筹建人工智能实验室，与北京国 家会计学院等三家单位合作组建</w:t>
      </w:r>
      <w:r>
        <w:rPr>
          <w:rFonts w:ascii="Times New Roman" w:hAnsi="Times New Roman" w:cs="Times New Roman" w:eastAsia="Times New Roman" w:hint="default"/>
        </w:rPr>
        <w:t>“</w:t>
      </w:r>
      <w:r>
        <w:rPr/>
        <w:t>中国企业财务共享服务研究中心</w:t>
      </w:r>
      <w:r>
        <w:rPr>
          <w:rFonts w:ascii="Times New Roman" w:hAnsi="Times New Roman" w:cs="Times New Roman" w:eastAsia="Times New Roman" w:hint="default"/>
        </w:rPr>
        <w:t>”</w:t>
      </w:r>
      <w:r>
        <w:rPr/>
        <w:t>，与中德人工智能研究院</w:t>
      </w:r>
      <w:r>
        <w:rPr>
          <w:spacing w:val="-83"/>
        </w:rPr>
        <w:t> </w:t>
      </w:r>
      <w:r>
        <w:rPr>
          <w:spacing w:val="-83"/>
        </w:rPr>
      </w:r>
      <w:r>
        <w:rPr/>
        <w:t>达成战略合作，成为</w:t>
      </w:r>
      <w:r>
        <w:rPr>
          <w:rFonts w:ascii="Times New Roman" w:hAnsi="Times New Roman" w:cs="Times New Roman" w:eastAsia="Times New Roman" w:hint="default"/>
        </w:rPr>
        <w:t>“</w:t>
      </w:r>
      <w:r>
        <w:rPr/>
        <w:t>新理财中国</w:t>
      </w:r>
      <w:r>
        <w:rPr>
          <w:rFonts w:ascii="Times New Roman" w:hAnsi="Times New Roman" w:cs="Times New Roman" w:eastAsia="Times New Roman" w:hint="default"/>
        </w:rPr>
        <w:t>CFO</w:t>
      </w:r>
      <w:r>
        <w:rPr/>
        <w:t>领导力实训基地</w:t>
      </w:r>
      <w:r>
        <w:rPr>
          <w:rFonts w:ascii="Times New Roman" w:hAnsi="Times New Roman" w:cs="Times New Roman" w:eastAsia="Times New Roman" w:hint="default"/>
        </w:rPr>
        <w:t>”</w:t>
      </w:r>
      <w:r>
        <w:rPr/>
        <w:t>，借助外脑，加速科研进度，推进成</w:t>
      </w:r>
      <w:r>
        <w:rPr>
          <w:spacing w:val="-62"/>
        </w:rPr>
        <w:t> </w:t>
      </w:r>
      <w:r>
        <w:rPr>
          <w:spacing w:val="-62"/>
        </w:rPr>
      </w:r>
      <w:r>
        <w:rPr/>
        <w:t>果转化，不断优化升级技术平台和产品体系。</w:t>
      </w:r>
    </w:p>
    <w:p>
      <w:pPr>
        <w:pStyle w:val="Heading3"/>
        <w:spacing w:line="283" w:lineRule="exact"/>
        <w:ind w:left="634" w:right="985"/>
        <w:jc w:val="left"/>
      </w:pPr>
      <w:r>
        <w:rPr>
          <w:spacing w:val="-3"/>
        </w:rPr>
        <w:t>公司进一步加大与政府、行业、媒体的互动与交流，积极通过主办、参与产品技术大会、</w:t>
      </w:r>
    </w:p>
    <w:p>
      <w:pPr>
        <w:pStyle w:val="Heading3"/>
        <w:spacing w:line="312" w:lineRule="exact" w:before="30"/>
        <w:ind w:right="1131"/>
        <w:jc w:val="both"/>
      </w:pPr>
      <w:r>
        <w:rPr/>
        <w:t>主题论坛、营销推广会等活动，提升企业、产品、技术的曝光度和影响力。</w:t>
      </w:r>
      <w:r>
        <w:rPr>
          <w:rFonts w:ascii="Times New Roman" w:hAnsi="Times New Roman" w:cs="Times New Roman" w:eastAsia="Times New Roman" w:hint="default"/>
        </w:rPr>
        <w:t>2017</w:t>
      </w:r>
      <w:r>
        <w:rPr/>
        <w:t>年，公司大</w:t>
      </w:r>
      <w:r>
        <w:rPr>
          <w:spacing w:val="-110"/>
        </w:rPr>
        <w:t> </w:t>
      </w:r>
      <w:r>
        <w:rPr>
          <w:spacing w:val="-110"/>
        </w:rPr>
      </w:r>
      <w:r>
        <w:rPr/>
        <w:t>数据产品入选工业和信息化部《大数据优秀产品、服务和应用解决方案案例集》，并在</w:t>
      </w:r>
      <w:r>
        <w:rPr>
          <w:rFonts w:ascii="Times New Roman" w:hAnsi="Times New Roman" w:cs="Times New Roman" w:eastAsia="Times New Roman" w:hint="default"/>
        </w:rPr>
        <w:t>2017</w:t>
      </w:r>
      <w:r>
        <w:rPr>
          <w:rFonts w:ascii="Times New Roman" w:hAnsi="Times New Roman" w:cs="Times New Roman" w:eastAsia="Times New Roman" w:hint="default"/>
          <w:spacing w:val="-51"/>
        </w:rPr>
        <w:t> </w:t>
      </w:r>
      <w:r>
        <w:rPr/>
        <w:t>中国国际大数据产业博览会举办盛大发布会，向外界集中展示远光软件在大数据领域的业务 </w:t>
      </w:r>
      <w:r>
        <w:rPr>
          <w:spacing w:val="-2"/>
        </w:rPr>
        <w:t>布局和创新成果；</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月，由远光软件、远光区块链主办的</w:t>
      </w:r>
      <w:r>
        <w:rPr>
          <w:rFonts w:ascii="Times New Roman" w:hAnsi="Times New Roman" w:cs="Times New Roman" w:eastAsia="Times New Roman" w:hint="default"/>
          <w:spacing w:val="-2"/>
        </w:rPr>
        <w:t>“</w:t>
      </w:r>
      <w:r>
        <w:rPr>
          <w:spacing w:val="-2"/>
        </w:rPr>
        <w:t>首届粤港澳区块链技术创新</w:t>
      </w:r>
      <w:r>
        <w:rPr>
          <w:spacing w:val="-101"/>
        </w:rPr>
        <w:t> </w:t>
      </w:r>
      <w:r>
        <w:rPr/>
        <w:t>与应用科技论坛</w:t>
      </w:r>
      <w:r>
        <w:rPr>
          <w:rFonts w:ascii="Times New Roman" w:hAnsi="Times New Roman" w:cs="Times New Roman" w:eastAsia="Times New Roman" w:hint="default"/>
        </w:rPr>
        <w:t>”</w:t>
      </w:r>
      <w:r>
        <w:rPr/>
        <w:t>在珠海成功召开，逾</w:t>
      </w:r>
      <w:r>
        <w:rPr>
          <w:rFonts w:ascii="Times New Roman" w:hAnsi="Times New Roman" w:cs="Times New Roman" w:eastAsia="Times New Roman" w:hint="default"/>
        </w:rPr>
        <w:t>200</w:t>
      </w:r>
      <w:r>
        <w:rPr/>
        <w:t>名区块链业界人士、专家学者、技术爱好者参与了</w:t>
      </w:r>
      <w:r>
        <w:rPr>
          <w:spacing w:val="-79"/>
        </w:rPr>
        <w:t> </w:t>
      </w:r>
      <w:r>
        <w:rPr>
          <w:spacing w:val="-79"/>
        </w:rPr>
      </w:r>
      <w:r>
        <w:rPr/>
        <w:t>本次论坛。此外，由工业和信息化部信息化和软件服务业司提出，中国电子技术标准化研究</w:t>
      </w:r>
      <w:r>
        <w:rPr>
          <w:spacing w:val="-115"/>
        </w:rPr>
        <w:t> </w:t>
      </w:r>
      <w:r>
        <w:rPr>
          <w:spacing w:val="-115"/>
        </w:rPr>
      </w:r>
      <w:r>
        <w:rPr/>
        <w:t>院归口，中关村智联软件服务业质量创新联盟牵头，远光软件参与起草的行业标准《信息技 术软件项目度量元》获工信部批准，于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日正式实施；由中国软件行业协会牵头，</w:t>
      </w:r>
      <w:r>
        <w:rPr>
          <w:spacing w:val="-111"/>
        </w:rPr>
        <w:t> </w:t>
      </w:r>
      <w:r>
        <w:rPr/>
        <w:t>远光软件参与制定的团体标准《软件企业评估标准》和《软件产品评估标准》正式发布，自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日起实施。</w:t>
      </w:r>
    </w:p>
    <w:p>
      <w:pPr>
        <w:pStyle w:val="Heading3"/>
        <w:spacing w:line="312" w:lineRule="exact"/>
        <w:ind w:left="154" w:right="1135" w:firstLine="480"/>
        <w:jc w:val="both"/>
      </w:pPr>
      <w:r>
        <w:rPr/>
        <w:t>与此同时，公司积极拥抱新媒体时代，加速企业自媒体矩阵建设，持续深化母子品牌的 战略联动，贯彻面向目标市场的整合营销多渠道并联策略，为企业品牌，先进理念、创新产 品、典型项目的推广拓宽渠道，建立起立体化的触点，支撑品牌形象塑造、价值传播与影响</w:t>
      </w:r>
      <w:r>
        <w:rPr>
          <w:spacing w:val="-115"/>
        </w:rPr>
        <w:t> </w:t>
      </w:r>
      <w:r>
        <w:rPr>
          <w:spacing w:val="-115"/>
        </w:rPr>
      </w:r>
      <w:r>
        <w:rPr/>
        <w:t>力的全面提升。</w:t>
      </w:r>
    </w:p>
    <w:p>
      <w:pPr>
        <w:pStyle w:val="Heading3"/>
        <w:spacing w:line="312" w:lineRule="exact"/>
        <w:ind w:right="1089" w:firstLine="480"/>
        <w:jc w:val="both"/>
      </w:pPr>
      <w:r>
        <w:rPr/>
        <w:t>报告期内，公司董事长陈利浩出任广东省新的社会阶层人士联合会监事长、广东省政协 </w:t>
      </w:r>
      <w:r>
        <w:rPr>
          <w:spacing w:val="-2"/>
        </w:rPr>
        <w:t>研究咨询委员会首届委员、珠海市软件行业协会第六届理事会名誉会长，并获</w:t>
      </w:r>
      <w:r>
        <w:rPr>
          <w:rFonts w:ascii="Times New Roman" w:hAnsi="Times New Roman" w:cs="Times New Roman" w:eastAsia="Times New Roman" w:hint="default"/>
          <w:spacing w:val="-2"/>
        </w:rPr>
        <w:t>“2017</w:t>
      </w:r>
      <w:r>
        <w:rPr>
          <w:spacing w:val="-2"/>
        </w:rPr>
        <w:t>年中国产</w:t>
      </w:r>
      <w:r>
        <w:rPr>
          <w:spacing w:val="-103"/>
        </w:rPr>
        <w:t> </w:t>
      </w:r>
      <w:r>
        <w:rPr/>
        <w:t>业互联网与数字经济大会</w:t>
      </w:r>
      <w:r>
        <w:rPr>
          <w:rFonts w:ascii="Times New Roman" w:hAnsi="Times New Roman" w:cs="Times New Roman" w:eastAsia="Times New Roman" w:hint="default"/>
        </w:rPr>
        <w:t>”</w:t>
      </w:r>
      <w:r>
        <w:rPr/>
        <w:t>颁发</w:t>
      </w:r>
      <w:r>
        <w:rPr>
          <w:rFonts w:ascii="Times New Roman" w:hAnsi="Times New Roman" w:cs="Times New Roman" w:eastAsia="Times New Roman" w:hint="default"/>
        </w:rPr>
        <w:t>“2017</w:t>
      </w:r>
      <w:r>
        <w:rPr/>
        <w:t>中国产业互联网风云人物奖</w:t>
      </w:r>
      <w:r>
        <w:rPr>
          <w:rFonts w:ascii="Times New Roman" w:hAnsi="Times New Roman" w:cs="Times New Roman" w:eastAsia="Times New Roman" w:hint="default"/>
        </w:rPr>
        <w:t>”</w:t>
      </w:r>
      <w:r>
        <w:rPr/>
        <w:t>；在第七届中国公益节上， 获大会组委授予</w:t>
      </w:r>
      <w:r>
        <w:rPr>
          <w:rFonts w:ascii="Times New Roman" w:hAnsi="Times New Roman" w:cs="Times New Roman" w:eastAsia="Times New Roman" w:hint="default"/>
        </w:rPr>
        <w:t>“</w:t>
      </w:r>
      <w:r>
        <w:rPr/>
        <w:t>中国公益人物</w:t>
      </w:r>
      <w:r>
        <w:rPr>
          <w:rFonts w:ascii="Times New Roman" w:hAnsi="Times New Roman" w:cs="Times New Roman" w:eastAsia="Times New Roman" w:hint="default"/>
        </w:rPr>
        <w:t>”</w:t>
      </w:r>
      <w:r>
        <w:rPr/>
        <w:t>称号。公司总裁黄笑华出任珠海市软件行业协会第六届副会</w:t>
      </w:r>
    </w:p>
    <w:p>
      <w:pPr>
        <w:pStyle w:val="Heading3"/>
        <w:spacing w:line="312" w:lineRule="exact"/>
        <w:ind w:right="1132"/>
        <w:jc w:val="both"/>
      </w:pPr>
      <w:r>
        <w:rPr>
          <w:spacing w:val="-8"/>
        </w:rPr>
        <w:t>长，并荣获</w:t>
      </w:r>
      <w:r>
        <w:rPr>
          <w:spacing w:val="-55"/>
        </w:rPr>
        <w:t> </w:t>
      </w:r>
      <w:r>
        <w:rPr>
          <w:rFonts w:ascii="Times New Roman" w:hAnsi="Times New Roman" w:cs="Times New Roman" w:eastAsia="Times New Roman" w:hint="default"/>
        </w:rPr>
        <w:t>2017</w:t>
      </w:r>
      <w:r>
        <w:rPr/>
        <w:t>年度中国</w:t>
      </w:r>
      <w:r>
        <w:rPr>
          <w:rFonts w:ascii="Times New Roman" w:hAnsi="Times New Roman" w:cs="Times New Roman" w:eastAsia="Times New Roman" w:hint="default"/>
        </w:rPr>
        <w:t>ICT</w:t>
      </w:r>
      <w:r>
        <w:rPr/>
        <w:t>产业十大领袖人物</w:t>
      </w:r>
      <w:r>
        <w:rPr>
          <w:rFonts w:ascii="Times New Roman" w:hAnsi="Times New Roman" w:cs="Times New Roman" w:eastAsia="Times New Roman" w:hint="default"/>
        </w:rPr>
        <w:t>”</w:t>
      </w:r>
      <w:r>
        <w:rPr/>
        <w:t>荣誉称号。公司高级副总裁李美平受中国电 机工程学会聘任为</w:t>
      </w:r>
      <w:r>
        <w:rPr>
          <w:rFonts w:ascii="Times New Roman" w:hAnsi="Times New Roman" w:cs="Times New Roman" w:eastAsia="Times New Roman" w:hint="default"/>
        </w:rPr>
        <w:t>“</w:t>
      </w:r>
      <w:r>
        <w:rPr/>
        <w:t>电力信息化专业委员会第五届委员会委员</w:t>
      </w:r>
      <w:r>
        <w:rPr>
          <w:rFonts w:ascii="Times New Roman" w:hAnsi="Times New Roman" w:cs="Times New Roman" w:eastAsia="Times New Roman" w:hint="default"/>
        </w:rPr>
        <w:t>”</w:t>
      </w:r>
      <w:r>
        <w:rPr/>
        <w:t>。</w:t>
      </w:r>
    </w:p>
    <w:p>
      <w:pPr>
        <w:pStyle w:val="Heading3"/>
        <w:spacing w:line="312" w:lineRule="exact"/>
        <w:ind w:left="573" w:right="1126" w:firstLine="60"/>
        <w:jc w:val="left"/>
      </w:pPr>
      <w:r>
        <w:rPr>
          <w:spacing w:val="7"/>
        </w:rPr>
        <w:t>公司三度获评</w:t>
      </w:r>
      <w:r>
        <w:rPr>
          <w:rFonts w:ascii="Times New Roman" w:hAnsi="Times New Roman" w:cs="Times New Roman" w:eastAsia="Times New Roman" w:hint="default"/>
          <w:spacing w:val="7"/>
        </w:rPr>
        <w:t>“</w:t>
      </w:r>
      <w:r>
        <w:rPr>
          <w:spacing w:val="7"/>
        </w:rPr>
        <w:t>自主可靠企业核心软件品牌</w:t>
      </w:r>
      <w:r>
        <w:rPr>
          <w:rFonts w:ascii="Times New Roman" w:hAnsi="Times New Roman" w:cs="Times New Roman" w:eastAsia="Times New Roman" w:hint="default"/>
          <w:spacing w:val="7"/>
        </w:rPr>
        <w:t>”</w:t>
      </w:r>
      <w:r>
        <w:rPr>
          <w:spacing w:val="7"/>
        </w:rPr>
        <w:t>，入选广东省知识产权保护重点企业库；</w:t>
      </w:r>
      <w:r>
        <w:rPr/>
        <w:t> </w:t>
      </w:r>
      <w:r>
        <w:rPr>
          <w:spacing w:val="-3"/>
        </w:rPr>
        <w:t>并获中国电子信息产业发展研究院授予</w:t>
      </w:r>
      <w:r>
        <w:rPr>
          <w:rFonts w:ascii="Times New Roman" w:hAnsi="Times New Roman" w:cs="Times New Roman" w:eastAsia="Times New Roman" w:hint="default"/>
          <w:spacing w:val="-3"/>
        </w:rPr>
        <w:t>“2017</w:t>
      </w:r>
      <w:r>
        <w:rPr>
          <w:spacing w:val="-3"/>
        </w:rPr>
        <w:t>年度中国大数据行业标杆企业奖</w:t>
      </w:r>
      <w:r>
        <w:rPr>
          <w:rFonts w:ascii="Times New Roman" w:hAnsi="Times New Roman" w:cs="Times New Roman" w:eastAsia="Times New Roman" w:hint="default"/>
          <w:spacing w:val="-3"/>
        </w:rPr>
        <w:t>”</w:t>
      </w:r>
      <w:r>
        <w:rPr>
          <w:spacing w:val="-3"/>
        </w:rPr>
        <w:t>、中国软件</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27"/>
        <w:jc w:val="both"/>
      </w:pPr>
      <w:r>
        <w:rPr/>
        <w:t>大会授予</w:t>
      </w:r>
      <w:r>
        <w:rPr>
          <w:spacing w:val="52"/>
        </w:rPr>
        <w:t> </w:t>
      </w:r>
      <w:r>
        <w:rPr>
          <w:rFonts w:ascii="Times New Roman" w:hAnsi="Times New Roman" w:cs="Times New Roman" w:eastAsia="Times New Roman" w:hint="default"/>
        </w:rPr>
        <w:t>“2017</w:t>
      </w:r>
      <w:r>
        <w:rPr/>
        <w:t>中国人工智能产业领军企业</w:t>
      </w:r>
      <w:r>
        <w:rPr>
          <w:rFonts w:ascii="Times New Roman" w:hAnsi="Times New Roman" w:cs="Times New Roman" w:eastAsia="Times New Roman" w:hint="default"/>
        </w:rPr>
        <w:t>”</w:t>
      </w:r>
      <w:r>
        <w:rPr/>
        <w:t>荣誉称号、中国区块链技术应用峰会授予</w:t>
      </w:r>
      <w:r>
        <w:rPr>
          <w:rFonts w:ascii="Times New Roman" w:hAnsi="Times New Roman" w:cs="Times New Roman" w:eastAsia="Times New Roman" w:hint="default"/>
        </w:rPr>
        <w:t>“2017</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年度杰出区块链技术服务提供商</w:t>
      </w:r>
      <w:r>
        <w:rPr>
          <w:rFonts w:ascii="Times New Roman" w:hAnsi="Times New Roman" w:cs="Times New Roman" w:eastAsia="Times New Roman" w:hint="default"/>
        </w:rPr>
        <w:t>”</w:t>
      </w:r>
      <w:r>
        <w:rPr/>
        <w:t>荣誉称号、第十二届中国</w:t>
      </w:r>
      <w:r>
        <w:rPr>
          <w:rFonts w:ascii="Times New Roman" w:hAnsi="Times New Roman" w:cs="Times New Roman" w:eastAsia="Times New Roman" w:hint="default"/>
        </w:rPr>
        <w:t>CFO</w:t>
      </w:r>
      <w:r>
        <w:rPr/>
        <w:t>高峰论坛授予</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CFO</w:t>
      </w:r>
      <w:r>
        <w:rPr/>
        <w:t>首选</w:t>
      </w:r>
      <w:r>
        <w:rPr>
          <w:spacing w:val="-42"/>
        </w:rPr>
        <w:t> </w:t>
      </w:r>
      <w:r>
        <w:rPr/>
        <w:t>财务共享服务商</w:t>
      </w:r>
      <w:r>
        <w:rPr>
          <w:rFonts w:ascii="Times New Roman" w:hAnsi="Times New Roman" w:cs="Times New Roman" w:eastAsia="Times New Roman" w:hint="default"/>
        </w:rPr>
        <w:t>”</w:t>
      </w:r>
      <w:r>
        <w:rPr/>
        <w:t>荣誉称号，以及第六届中国公益节授予</w:t>
      </w:r>
      <w:r>
        <w:rPr>
          <w:rFonts w:ascii="Times New Roman" w:hAnsi="Times New Roman" w:cs="Times New Roman" w:eastAsia="Times New Roman" w:hint="default"/>
        </w:rPr>
        <w:t>“</w:t>
      </w:r>
      <w:r>
        <w:rPr/>
        <w:t>年度公益践行奖</w:t>
      </w:r>
      <w:r>
        <w:rPr>
          <w:rFonts w:ascii="Times New Roman" w:hAnsi="Times New Roman" w:cs="Times New Roman" w:eastAsia="Times New Roman" w:hint="default"/>
        </w:rPr>
        <w:t>”</w:t>
      </w:r>
      <w:r>
        <w:rPr/>
        <w:t>。</w:t>
      </w:r>
    </w:p>
    <w:p>
      <w:pPr>
        <w:pStyle w:val="Heading3"/>
        <w:spacing w:line="225" w:lineRule="auto"/>
        <w:ind w:right="1130" w:firstLine="480"/>
        <w:jc w:val="both"/>
      </w:pPr>
      <w:r>
        <w:rPr/>
        <w:t>公司产品获得业界广泛认可，远光资金管理软件获评</w:t>
      </w:r>
      <w:r>
        <w:rPr>
          <w:rFonts w:ascii="Times New Roman" w:hAnsi="Times New Roman" w:cs="Times New Roman" w:eastAsia="Times New Roman" w:hint="default"/>
        </w:rPr>
        <w:t>“</w:t>
      </w:r>
      <w:r>
        <w:rPr/>
        <w:t>资金管理软件用户推荐品牌</w:t>
      </w:r>
      <w:r>
        <w:rPr>
          <w:rFonts w:ascii="Times New Roman" w:hAnsi="Times New Roman" w:cs="Times New Roman" w:eastAsia="Times New Roman" w:hint="default"/>
        </w:rPr>
        <w:t>”</w:t>
      </w:r>
      <w:r>
        <w:rPr/>
        <w:t>；远</w:t>
      </w:r>
      <w:r>
        <w:rPr>
          <w:spacing w:val="1"/>
        </w:rPr>
        <w:t> </w:t>
      </w:r>
      <w:r>
        <w:rPr>
          <w:spacing w:val="-1"/>
        </w:rPr>
        <w:t>光信息实时反映软件获认定为</w:t>
      </w:r>
      <w:r>
        <w:rPr>
          <w:rFonts w:ascii="Times New Roman" w:hAnsi="Times New Roman" w:cs="Times New Roman" w:eastAsia="Times New Roman" w:hint="default"/>
          <w:spacing w:val="-1"/>
        </w:rPr>
        <w:t>“2017</w:t>
      </w:r>
      <w:r>
        <w:rPr>
          <w:spacing w:val="-1"/>
        </w:rPr>
        <w:t>年广东省优秀工业和行业应用软件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广东省高新技术产</w:t>
      </w:r>
      <w:r>
        <w:rPr>
          <w:spacing w:val="-118"/>
        </w:rPr>
        <w:t> </w:t>
      </w:r>
      <w:r>
        <w:rPr>
          <w:spacing w:val="-2"/>
        </w:rPr>
        <w:t>品</w:t>
      </w:r>
      <w:r>
        <w:rPr>
          <w:rFonts w:ascii="Times New Roman" w:hAnsi="Times New Roman" w:cs="Times New Roman" w:eastAsia="Times New Roman" w:hint="default"/>
          <w:spacing w:val="-2"/>
        </w:rPr>
        <w:t>”</w:t>
      </w:r>
      <w:r>
        <w:rPr>
          <w:spacing w:val="-2"/>
        </w:rPr>
        <w:t>；远光智慧党建信息系统获认定</w:t>
      </w:r>
      <w:r>
        <w:rPr>
          <w:rFonts w:ascii="Times New Roman" w:hAnsi="Times New Roman" w:cs="Times New Roman" w:eastAsia="Times New Roman" w:hint="default"/>
          <w:spacing w:val="-2"/>
        </w:rPr>
        <w:t>“</w:t>
      </w:r>
      <w:r>
        <w:rPr>
          <w:spacing w:val="-2"/>
        </w:rPr>
        <w:t>广东省高新技术产品</w:t>
      </w:r>
      <w:r>
        <w:rPr>
          <w:rFonts w:ascii="Times New Roman" w:hAnsi="Times New Roman" w:cs="Times New Roman" w:eastAsia="Times New Roman" w:hint="default"/>
          <w:spacing w:val="-2"/>
        </w:rPr>
        <w:t>”</w:t>
      </w:r>
      <w:r>
        <w:rPr>
          <w:spacing w:val="-2"/>
        </w:rPr>
        <w:t>；远光智控云财务共享服务解决方</w:t>
      </w:r>
      <w:r>
        <w:rPr>
          <w:spacing w:val="-82"/>
        </w:rPr>
        <w:t> </w:t>
      </w:r>
      <w:r>
        <w:rPr>
          <w:spacing w:val="-82"/>
        </w:rPr>
      </w:r>
      <w:r>
        <w:rPr/>
        <w:t>案获认定为</w:t>
      </w:r>
      <w:r>
        <w:rPr>
          <w:rFonts w:ascii="Times New Roman" w:hAnsi="Times New Roman" w:cs="Times New Roman" w:eastAsia="Times New Roman" w:hint="default"/>
        </w:rPr>
        <w:t>“2017</w:t>
      </w:r>
      <w:r>
        <w:rPr/>
        <w:t>年广东省优秀软件产品</w:t>
      </w:r>
      <w:r>
        <w:rPr>
          <w:rFonts w:ascii="Times New Roman" w:hAnsi="Times New Roman" w:cs="Times New Roman" w:eastAsia="Times New Roman" w:hint="default"/>
        </w:rPr>
        <w:t>”</w:t>
      </w:r>
      <w:r>
        <w:rPr/>
        <w:t>；远光集团报表管理软件获中国软件行业协会评定</w:t>
      </w:r>
      <w:r>
        <w:rPr>
          <w:spacing w:val="-86"/>
        </w:rPr>
        <w:t> </w:t>
      </w:r>
      <w:r>
        <w:rPr>
          <w:spacing w:val="-86"/>
        </w:rPr>
      </w:r>
      <w:r>
        <w:rPr/>
        <w:t>为</w:t>
      </w:r>
      <w:r>
        <w:rPr>
          <w:rFonts w:ascii="Times New Roman" w:hAnsi="Times New Roman" w:cs="Times New Roman" w:eastAsia="Times New Roman" w:hint="default"/>
        </w:rPr>
        <w:t>“2017</w:t>
      </w:r>
      <w:r>
        <w:rPr/>
        <w:t>年度创新软件产品</w:t>
      </w:r>
      <w:r>
        <w:rPr>
          <w:rFonts w:ascii="Times New Roman" w:hAnsi="Times New Roman" w:cs="Times New Roman" w:eastAsia="Times New Roman" w:hint="default"/>
        </w:rPr>
        <w:t>”</w:t>
      </w:r>
      <w:r>
        <w:rPr/>
        <w:t>；远光软件为澳门智慧旅游、智慧出行及智慧医疗设计的区块链</w:t>
      </w:r>
      <w:r>
        <w:rPr>
          <w:spacing w:val="-86"/>
        </w:rPr>
        <w:t> </w:t>
      </w:r>
      <w:r>
        <w:rPr>
          <w:spacing w:val="-86"/>
        </w:rPr>
      </w:r>
      <w:r>
        <w:rPr/>
        <w:t>应用解决方案在由澳门科学技术发展基金主办的</w:t>
      </w:r>
      <w:r>
        <w:rPr>
          <w:rFonts w:ascii="Times New Roman" w:hAnsi="Times New Roman" w:cs="Times New Roman" w:eastAsia="Times New Roman" w:hint="default"/>
        </w:rPr>
        <w:t>“</w:t>
      </w:r>
      <w:r>
        <w:rPr/>
        <w:t>青年智慧城市方案设计比赛</w:t>
      </w:r>
      <w:r>
        <w:rPr>
          <w:rFonts w:ascii="Times New Roman" w:hAnsi="Times New Roman" w:cs="Times New Roman" w:eastAsia="Times New Roman" w:hint="default"/>
        </w:rPr>
        <w:t>”</w:t>
      </w:r>
      <w:r>
        <w:rPr/>
        <w:t>中获成品组优</w:t>
      </w:r>
      <w:r>
        <w:rPr>
          <w:spacing w:val="-82"/>
        </w:rPr>
        <w:t> </w:t>
      </w:r>
      <w:r>
        <w:rPr>
          <w:spacing w:val="-82"/>
        </w:rPr>
      </w:r>
      <w:r>
        <w:rPr/>
        <w:t>良奖。</w:t>
      </w:r>
    </w:p>
    <w:p>
      <w:pPr>
        <w:pStyle w:val="Heading3"/>
        <w:spacing w:line="312" w:lineRule="exact" w:before="30"/>
        <w:ind w:left="633" w:right="985" w:firstLine="2"/>
        <w:jc w:val="left"/>
      </w:pPr>
      <w:r>
        <w:rPr>
          <w:rFonts w:ascii="Times New Roman" w:hAnsi="Times New Roman" w:cs="Times New Roman" w:eastAsia="Times New Roman" w:hint="default"/>
          <w:b/>
          <w:bCs/>
        </w:rPr>
        <w:t>5</w:t>
      </w:r>
      <w:r>
        <w:rPr>
          <w:rFonts w:ascii="宋体" w:hAnsi="宋体" w:cs="宋体" w:eastAsia="宋体" w:hint="default"/>
          <w:b/>
          <w:bCs/>
        </w:rPr>
        <w:t>、内部管理</w:t>
      </w:r>
      <w:r>
        <w:rPr>
          <w:rFonts w:ascii="宋体" w:hAnsi="宋体" w:cs="宋体" w:eastAsia="宋体" w:hint="default"/>
          <w:b/>
          <w:bCs/>
          <w:w w:val="99"/>
        </w:rPr>
        <w:t> </w:t>
      </w:r>
      <w:r>
        <w:rPr/>
        <w:t>报告期内，公司坚持</w:t>
      </w:r>
      <w:r>
        <w:rPr>
          <w:rFonts w:ascii="Times New Roman" w:hAnsi="Times New Roman" w:cs="Times New Roman" w:eastAsia="Times New Roman" w:hint="default"/>
        </w:rPr>
        <w:t>“</w:t>
      </w:r>
      <w:r>
        <w:rPr/>
        <w:t>转型、创新、精益、增效</w:t>
      </w:r>
      <w:r>
        <w:rPr>
          <w:rFonts w:ascii="Times New Roman" w:hAnsi="Times New Roman" w:cs="Times New Roman" w:eastAsia="Times New Roman" w:hint="default"/>
        </w:rPr>
        <w:t>”</w:t>
      </w:r>
      <w:r>
        <w:rPr/>
        <w:t>的经营方针，在集团内全面推行经营计</w:t>
      </w:r>
    </w:p>
    <w:p>
      <w:pPr>
        <w:pStyle w:val="Heading3"/>
        <w:spacing w:line="312" w:lineRule="exact"/>
        <w:ind w:right="1013"/>
        <w:jc w:val="both"/>
      </w:pPr>
      <w:r>
        <w:rPr/>
        <w:t>划，完善月度、季度滚动机制，实现公司重大事项的动态闭环管理；通过全业务模型梳理， 优化从市场（客户）需求到产品交付及运维的全面业务流程，贯通营销、研发、实施交付及 运维服务等工作衔接，促进产品研发质量和项目运作效率的提升；完善产品授权管理及专利 管理，进一步优化公司产品及专利布局；组织信息安全月、高效沟通月、产品与技术大赛等 </w:t>
      </w:r>
      <w:r>
        <w:rPr>
          <w:spacing w:val="-3"/>
        </w:rPr>
        <w:t>活动，进一步强化全员信息安全及高效协同意识，提升研发团队的研发技能，激发创新思维。</w:t>
      </w:r>
    </w:p>
    <w:p>
      <w:pPr>
        <w:pStyle w:val="Heading3"/>
        <w:spacing w:line="312" w:lineRule="exact"/>
        <w:ind w:right="1139" w:firstLine="480"/>
        <w:jc w:val="both"/>
      </w:pPr>
      <w:r>
        <w:rPr/>
        <w:t>报告期内，公司整合营销体系，以客户价值为导向，实施精细化经营，加强体系建设， 深入业务指导，注重价值创新，提升服务质量；成立电子党建事业部、区块链应用事业部， 进一步拓展公司新业务及新市场。</w:t>
      </w:r>
    </w:p>
    <w:p>
      <w:pPr>
        <w:pStyle w:val="Heading3"/>
        <w:spacing w:line="312" w:lineRule="exact"/>
        <w:ind w:right="1139" w:firstLine="480"/>
        <w:jc w:val="both"/>
      </w:pPr>
      <w:r>
        <w:rPr/>
        <w:t>报告期内，公司着力加强人才梯队建设，制订和落实干部管理办法，进一步提升管理团 队的工作效能，打造组织绩效提升的发动机；公司着力推动集团管控体系建设，完善内部交 易机制，进一步促进各事业单位的业务协同、资源共享、效益增长。</w:t>
      </w:r>
    </w:p>
    <w:p>
      <w:pPr>
        <w:pStyle w:val="Heading3"/>
        <w:spacing w:line="312" w:lineRule="exact"/>
        <w:ind w:right="1135" w:firstLine="480"/>
        <w:jc w:val="both"/>
      </w:pPr>
      <w:r>
        <w:rPr/>
        <w:t>报告期内，公司加强讲师体系以及课程体系的建设，促进经验的传承、知识的沉淀。公 司通过全面培训需求调研，结合业务端的能力现状，加大对业务端赋能。公司通过领导力工 作坊、储备干部训练营、金牌面试官、未来星培养等项目，持续推动人才培养与储备，并有</w:t>
      </w:r>
      <w:r>
        <w:rPr>
          <w:spacing w:val="-115"/>
        </w:rPr>
        <w:t> </w:t>
      </w:r>
      <w:r>
        <w:rPr>
          <w:spacing w:val="-115"/>
        </w:rPr>
      </w:r>
      <w:r>
        <w:rPr/>
        <w:t>效强化了相关的培训品牌。公司还组织安排日常的提能活动，促进全员能力的提升。另外， 公司积极推动企业文化有效落地，通过多种方式进行宣导，并使其与日常工作相融合，有效 提升组织凝聚力。</w:t>
      </w:r>
    </w:p>
    <w:p>
      <w:pPr>
        <w:pStyle w:val="Heading3"/>
        <w:spacing w:line="312" w:lineRule="exact"/>
        <w:ind w:right="1139" w:firstLine="480"/>
        <w:jc w:val="both"/>
      </w:pPr>
      <w:r>
        <w:rPr/>
        <w:t>报告期内，公司积极探索行业高端人才引进的方式，通过校企合作、博士后工作站、专 家聘用等方式，引进公司发展新领域、技术创新、产品创新等所需的高端人才，提升公司的 综合竞争力。</w:t>
      </w:r>
    </w:p>
    <w:p>
      <w:pPr>
        <w:pStyle w:val="Heading3"/>
        <w:spacing w:line="312" w:lineRule="exact"/>
        <w:ind w:right="1130" w:firstLine="480"/>
        <w:jc w:val="both"/>
      </w:pPr>
      <w:r>
        <w:rPr>
          <w:spacing w:val="-3"/>
        </w:rPr>
        <w:t>报告期内，公司通过培训需求调查全面诊断业务端的能力现状，并联合</w:t>
      </w:r>
      <w:r>
        <w:rPr>
          <w:rFonts w:ascii="Times New Roman" w:hAnsi="Times New Roman" w:cs="Times New Roman" w:eastAsia="Times New Roman" w:hint="default"/>
          <w:spacing w:val="-3"/>
        </w:rPr>
        <w:t>HRBP</w:t>
      </w:r>
      <w:r>
        <w:rPr>
          <w:spacing w:val="-3"/>
        </w:rPr>
        <w:t>，加大对业</w:t>
      </w:r>
      <w:r>
        <w:rPr/>
        <w:t> 务部门能力的培养；人才培养方面，新员工、内训师、骨干员工、储备干部及经理人等项目</w:t>
      </w:r>
      <w:r>
        <w:rPr>
          <w:spacing w:val="-115"/>
        </w:rPr>
        <w:t> </w:t>
      </w:r>
      <w:r>
        <w:rPr>
          <w:spacing w:val="-115"/>
        </w:rPr>
      </w:r>
      <w:r>
        <w:rPr/>
        <w:t>百花齐放，一系列人才培养项目按计划顺利开展，相关培训品牌形象也得到了有效提升；同 时，公司持续通过专题讲座、文化培训及主题活动等多种形式开展企业文化工作，并加大对 驻外机构、分（子）公司的人才培养及企业文化建设的支持力度，有效提高员工个人能力及 团队凝聚力，进一步强化内在驱动力与组织向心力。</w:t>
      </w:r>
    </w:p>
    <w:p>
      <w:pPr>
        <w:pStyle w:val="Heading3"/>
        <w:spacing w:line="312" w:lineRule="exact"/>
        <w:ind w:right="985" w:firstLine="480"/>
        <w:jc w:val="left"/>
      </w:pPr>
      <w:r>
        <w:rPr/>
        <w:t>报告期内，公司积极开展实习基地扩容、奖学金捐赠、专题讲座、毕业生就业指导、学 </w:t>
      </w:r>
      <w:r>
        <w:rPr>
          <w:spacing w:val="-3"/>
        </w:rPr>
        <w:t>科建设等多维度校企合作，为公司实施人才战略，大量引进高端人才打下扎实的基础。同时，</w:t>
      </w:r>
      <w:r>
        <w:rPr>
          <w:spacing w:val="-81"/>
        </w:rPr>
        <w:t> </w:t>
      </w:r>
      <w:r>
        <w:rPr>
          <w:spacing w:val="-81"/>
        </w:rPr>
      </w:r>
      <w:r>
        <w:rPr/>
        <w:t>与华北电力大学等知名院校的共建实验室项目在技术创新、新产品研发、人才培养与储备等</w:t>
      </w:r>
    </w:p>
    <w:p>
      <w:pPr>
        <w:pStyle w:val="Heading3"/>
        <w:spacing w:line="283" w:lineRule="exact"/>
        <w:ind w:right="0"/>
        <w:jc w:val="both"/>
      </w:pPr>
      <w:r>
        <w:rPr/>
        <w:t>方面初显成效。</w:t>
      </w:r>
    </w:p>
    <w:p>
      <w:pPr>
        <w:spacing w:after="0" w:line="283" w:lineRule="exact"/>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985"/>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r>
        <w:trPr>
          <w:trHeight w:val="102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1">
              <w:r>
                <w:rPr>
                  <w:rFonts w:ascii="Times New Roman" w:hAnsi="Times New Roman" w:cs="Times New Roman" w:eastAsia="Times New Roman" w:hint="default"/>
                  <w:sz w:val="18"/>
                  <w:szCs w:val="18"/>
                </w:rPr>
                <w:t>http://irm.cninfo.com.cn/ircs/ssgs/compa</w:t>
              </w:r>
            </w:hyperlink>
            <w:r>
              <w:rPr>
                <w:rFonts w:ascii="Times New Roman" w:hAnsi="Times New Roman" w:cs="Times New Roman" w:eastAsia="Times New Roman" w:hint="default"/>
                <w:sz w:val="18"/>
                <w:szCs w:val="18"/>
              </w:rPr>
              <w:t> nyIrmForSzse.do?stockcode=002063</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769" w:right="1747"/>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报告期内普通股利润分配政策，特别是现金分红政策的制定、执行或调整情况</w:t>
      </w:r>
    </w:p>
    <w:p>
      <w:pPr>
        <w:pStyle w:val="BodyText"/>
        <w:spacing w:line="338" w:lineRule="auto" w:before="117"/>
        <w:ind w:left="444" w:right="985"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报告期内，根据公司</w:t>
      </w:r>
      <w:r>
        <w:rPr>
          <w:rFonts w:ascii="Times New Roman" w:hAnsi="Times New Roman" w:cs="Times New Roman" w:eastAsia="Times New Roman" w:hint="default"/>
          <w:spacing w:val="-1"/>
        </w:rPr>
        <w:t>2016</w:t>
      </w:r>
      <w:r>
        <w:rPr>
          <w:spacing w:val="-1"/>
        </w:rPr>
        <w:t>年度股东大会审议通过的</w:t>
      </w:r>
      <w:r>
        <w:rPr>
          <w:rFonts w:ascii="Times New Roman" w:hAnsi="Times New Roman" w:cs="Times New Roman" w:eastAsia="Times New Roman" w:hint="default"/>
          <w:spacing w:val="-1"/>
        </w:rPr>
        <w:t>2016</w:t>
      </w:r>
      <w:r>
        <w:rPr>
          <w:spacing w:val="-1"/>
        </w:rPr>
        <w:t>年度利润分配方案：以公司现有总股本</w:t>
      </w:r>
      <w:r>
        <w:rPr>
          <w:rFonts w:ascii="Times New Roman" w:hAnsi="Times New Roman" w:cs="Times New Roman" w:eastAsia="Times New Roman" w:hint="default"/>
          <w:spacing w:val="-1"/>
        </w:rPr>
        <w:t>601,285,790</w:t>
      </w:r>
      <w:r>
        <w:rPr>
          <w:spacing w:val="-1"/>
        </w:rPr>
        <w:t>股为基数，向</w:t>
      </w:r>
    </w:p>
    <w:p>
      <w:pPr>
        <w:pStyle w:val="BodyText"/>
        <w:spacing w:line="230" w:lineRule="exact" w:before="0"/>
        <w:ind w:right="985"/>
        <w:jc w:val="left"/>
      </w:pPr>
      <w:r>
        <w:rPr/>
        <w:t>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w:t>
      </w:r>
      <w:r>
        <w:rPr/>
        <w:t>元人民币（含税）。公司于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日刊登了《</w:t>
      </w:r>
      <w:r>
        <w:rPr>
          <w:rFonts w:ascii="Times New Roman" w:hAnsi="Times New Roman" w:cs="Times New Roman" w:eastAsia="Times New Roman" w:hint="default"/>
        </w:rPr>
        <w:t>2016</w:t>
      </w:r>
      <w:r>
        <w:rPr/>
        <w:t>年度权益分派实施公告》，并于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w:t>
      </w:r>
    </w:p>
    <w:p>
      <w:pPr>
        <w:pStyle w:val="BodyText"/>
        <w:spacing w:line="240" w:lineRule="auto" w:before="63"/>
        <w:ind w:right="985"/>
        <w:jc w:val="left"/>
      </w:pPr>
      <w:r>
        <w:rPr/>
        <w:t>实施完毕。</w:t>
      </w: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985"/>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Heading3"/>
        <w:spacing w:line="225" w:lineRule="auto" w:before="69"/>
        <w:ind w:right="1129" w:firstLine="480"/>
        <w:jc w:val="both"/>
      </w:pPr>
      <w:r>
        <w:rPr>
          <w:rFonts w:ascii="Times New Roman" w:hAnsi="Times New Roman" w:cs="Times New Roman" w:eastAsia="Times New Roman" w:hint="default"/>
          <w:spacing w:val="-3"/>
        </w:rPr>
        <w:t>1</w:t>
      </w:r>
      <w:r>
        <w:rPr>
          <w:spacing w:val="-3"/>
        </w:rPr>
        <w:t>、公司</w:t>
      </w:r>
      <w:r>
        <w:rPr>
          <w:rFonts w:ascii="Times New Roman" w:hAnsi="Times New Roman" w:cs="Times New Roman" w:eastAsia="Times New Roman" w:hint="default"/>
          <w:spacing w:val="-3"/>
        </w:rPr>
        <w:t>2017</w:t>
      </w:r>
      <w:r>
        <w:rPr>
          <w:spacing w:val="-3"/>
        </w:rPr>
        <w:t>年度利润分配预案为：在综合考虑公司业务前景、资产状况以及市场环境的</w:t>
      </w:r>
      <w:r>
        <w:rPr/>
        <w:t> 前提下，以未来实施</w:t>
      </w:r>
      <w:r>
        <w:rPr>
          <w:rFonts w:ascii="Times New Roman" w:hAnsi="Times New Roman" w:cs="Times New Roman" w:eastAsia="Times New Roman" w:hint="default"/>
        </w:rPr>
        <w:t>2017</w:t>
      </w:r>
      <w:r>
        <w:rPr/>
        <w:t>年度权益分配方案时股权登记日的总股本为基数，向全体股东每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50"/>
        </w:rPr>
        <w:t> </w:t>
      </w:r>
      <w:r>
        <w:rPr>
          <w:spacing w:val="-1"/>
        </w:rPr>
        <w:t>股派发现金红利</w:t>
      </w:r>
      <w:r>
        <w:rPr>
          <w:rFonts w:ascii="Times New Roman" w:hAnsi="Times New Roman" w:cs="Times New Roman" w:eastAsia="Times New Roman" w:hint="default"/>
          <w:spacing w:val="-1"/>
        </w:rPr>
        <w:t>0.5</w:t>
      </w:r>
      <w:r>
        <w:rPr>
          <w:spacing w:val="-1"/>
        </w:rPr>
        <w:t>元（含税），送红股</w:t>
      </w:r>
      <w:r>
        <w:rPr>
          <w:rFonts w:ascii="Times New Roman" w:hAnsi="Times New Roman" w:cs="Times New Roman" w:eastAsia="Times New Roman" w:hint="default"/>
          <w:spacing w:val="-1"/>
        </w:rPr>
        <w:t>2</w:t>
      </w:r>
      <w:r>
        <w:rPr>
          <w:spacing w:val="-1"/>
        </w:rPr>
        <w:t>股（含税），以资本公积金向全体股东每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40"/>
        </w:rPr>
        <w:t> </w:t>
      </w:r>
      <w:r>
        <w:rPr/>
        <w:t>股。本次利润分配方案完成后，剩余未分配利润结转至以后年度。</w:t>
      </w:r>
    </w:p>
    <w:p>
      <w:pPr>
        <w:pStyle w:val="Heading3"/>
        <w:spacing w:line="228" w:lineRule="auto" w:before="52"/>
        <w:ind w:right="1111" w:firstLine="384"/>
        <w:jc w:val="left"/>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2016</w:t>
      </w:r>
      <w:r>
        <w:rPr>
          <w:spacing w:val="-2"/>
        </w:rPr>
        <w:t>年度权益分派方案为：以公司现有总股本</w:t>
      </w:r>
      <w:r>
        <w:rPr>
          <w:rFonts w:ascii="Times New Roman" w:hAnsi="Times New Roman" w:cs="Times New Roman" w:eastAsia="Times New Roman" w:hint="default"/>
          <w:spacing w:val="-2"/>
        </w:rPr>
        <w:t>601,285,790</w:t>
      </w:r>
      <w:r>
        <w:rPr>
          <w:spacing w:val="-2"/>
        </w:rPr>
        <w:t>股为基数，</w:t>
      </w:r>
      <w:r>
        <w:rPr>
          <w:spacing w:val="-27"/>
        </w:rPr>
        <w:t> </w:t>
      </w:r>
      <w:r>
        <w:rPr/>
        <w:t>向全体股东</w:t>
      </w:r>
      <w:r>
        <w:rPr/>
        <w:t> 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0.500000 </w:t>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 </w:t>
      </w:r>
      <w:r>
        <w:rPr/>
        <w:t>以</w:t>
      </w:r>
      <w:r>
        <w:rPr>
          <w:spacing w:val="-25"/>
        </w:rPr>
        <w:t> </w:t>
      </w:r>
      <w:r>
        <w:rPr/>
        <w:t>及持有首发前限售股</w:t>
      </w:r>
      <w:r>
        <w:rPr/>
        <w:t> 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0.450000</w:t>
      </w:r>
      <w:r>
        <w:rPr/>
        <w:t>元；持有非股改、</w:t>
      </w:r>
      <w:r>
        <w:rPr>
          <w:spacing w:val="-24"/>
        </w:rPr>
        <w:t> </w:t>
      </w:r>
      <w:r>
        <w:rPr/>
        <w:t>非首发限售股及无限售流通股的</w:t>
      </w:r>
      <w:r>
        <w:rPr/>
        <w:t> 个人股息红利税实行差别化税率征收，先按每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0.500000</w:t>
      </w:r>
      <w:r>
        <w:rPr>
          <w:rFonts w:ascii="Times New Roman" w:hAnsi="Times New Roman" w:cs="Times New Roman" w:eastAsia="Times New Roman" w:hint="default"/>
          <w:spacing w:val="-23"/>
        </w:rPr>
        <w:t> </w:t>
      </w:r>
      <w:r>
        <w:rPr/>
        <w:t>元，权益登记日后根据投资 者减持股票情况，再按实际持股期</w:t>
      </w:r>
      <w:r>
        <w:rPr>
          <w:spacing w:val="-78"/>
        </w:rPr>
        <w:t> </w:t>
      </w:r>
      <w:r>
        <w:rPr/>
        <w:t>限补缴税款；持有非股改、非首发限售股及无限售流通股</w:t>
      </w:r>
      <w:r>
        <w:rPr/>
        <w:t> 的证券投资基金所涉红 </w:t>
      </w:r>
      <w:r>
        <w:rPr>
          <w:spacing w:val="-4"/>
        </w:rPr>
        <w:t>利税，对香港投资者持有基金份额部分按</w:t>
      </w:r>
      <w:r>
        <w:rPr>
          <w:spacing w:val="-29"/>
        </w:rPr>
        <w:t> </w:t>
      </w:r>
      <w:r>
        <w:rPr>
          <w:rFonts w:ascii="Times New Roman" w:hAnsi="Times New Roman" w:cs="Times New Roman" w:eastAsia="Times New Roman" w:hint="default"/>
          <w:spacing w:val="-5"/>
        </w:rPr>
        <w:t>10%</w:t>
      </w:r>
      <w:r>
        <w:rPr>
          <w:spacing w:val="-5"/>
        </w:rPr>
        <w:t>征收，对内地投资者持</w:t>
      </w:r>
      <w:r>
        <w:rPr/>
        <w:t> 有基金份额 部分实行差别化税率征收；对于 </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13"/>
        </w:rPr>
        <w:t> </w:t>
      </w:r>
      <w:r>
        <w:rPr/>
        <w:t>外的其他非居民企业，本公司未</w:t>
      </w:r>
      <w:r>
        <w:rPr>
          <w:w w:val="99"/>
        </w:rPr>
        <w:t> </w:t>
      </w:r>
      <w:r>
        <w:rPr/>
        <w:t>代</w:t>
      </w:r>
      <w:r>
        <w:rPr>
          <w:spacing w:val="-24"/>
        </w:rPr>
        <w:t> </w:t>
      </w:r>
      <w:r>
        <w:rPr/>
        <w:t>扣代缴所得税，由纳税人在所得发生地缴纳）。该利润分配方案已于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日实施</w:t>
      </w:r>
      <w:r>
        <w:rPr>
          <w:w w:val="99"/>
        </w:rPr>
        <w:t> </w:t>
      </w:r>
      <w:r>
        <w:rPr/>
        <w:t>完毕。</w:t>
      </w:r>
    </w:p>
    <w:p>
      <w:pPr>
        <w:pStyle w:val="Heading3"/>
        <w:spacing w:line="228" w:lineRule="auto" w:before="53"/>
        <w:ind w:right="1130" w:firstLine="480"/>
        <w:jc w:val="both"/>
      </w:pP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2015</w:t>
      </w:r>
      <w:r>
        <w:rPr>
          <w:spacing w:val="-2"/>
        </w:rPr>
        <w:t>年度权益分派方案为：以公司现有总股本</w:t>
      </w:r>
      <w:r>
        <w:rPr>
          <w:rFonts w:ascii="Times New Roman" w:hAnsi="Times New Roman" w:cs="Times New Roman" w:eastAsia="Times New Roman" w:hint="default"/>
          <w:spacing w:val="-2"/>
        </w:rPr>
        <w:t>590,782,537</w:t>
      </w:r>
      <w:r>
        <w:rPr>
          <w:spacing w:val="-2"/>
        </w:rPr>
        <w:t>股为基数，向全体股东</w:t>
      </w:r>
      <w:r>
        <w:rPr/>
        <w:t> </w:t>
      </w:r>
      <w:r>
        <w:rPr>
          <w:spacing w:val="-1"/>
        </w:rPr>
        <w:t>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0.500000</w:t>
      </w:r>
      <w:r>
        <w:rPr>
          <w:spacing w:val="-1"/>
        </w:rPr>
        <w:t>元人民币现金（含税；扣税后，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以及持有股改限售股、首发限</w:t>
      </w:r>
      <w:r>
        <w:rPr>
          <w:spacing w:val="-113"/>
        </w:rPr>
        <w:t> </w:t>
      </w:r>
      <w:r>
        <w:rPr>
          <w:spacing w:val="-113"/>
        </w:rPr>
      </w:r>
      <w:r>
        <w:rPr/>
        <w:t>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0.450000</w:t>
      </w:r>
      <w:r>
        <w:rPr/>
        <w:t>元；持有非股改、非首发限售股及无限售流通</w:t>
      </w:r>
      <w:r>
        <w:rPr>
          <w:spacing w:val="-38"/>
        </w:rPr>
        <w:t> </w:t>
      </w:r>
      <w:r>
        <w:rPr>
          <w:spacing w:val="-38"/>
        </w:rPr>
      </w:r>
      <w:r>
        <w:rPr/>
        <w:t>股的个人股息红利税实行差别化税率征收，先按每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0.500000</w:t>
      </w:r>
      <w:r>
        <w:rPr/>
        <w:t>元，权益登记日后根据投</w:t>
      </w:r>
      <w:r>
        <w:rPr>
          <w:spacing w:val="-35"/>
        </w:rPr>
        <w:t> </w:t>
      </w:r>
      <w:r>
        <w:rPr>
          <w:spacing w:val="-35"/>
        </w:rPr>
      </w:r>
      <w:r>
        <w:rPr/>
        <w:t>资者减持股票情况，再按实际持股期限补缴税款；持有非股改、非首发限售股及无限售流通 股的证券投资基金所涉红利税，对香港投资者持有基金份额部分按</w:t>
      </w:r>
      <w:r>
        <w:rPr>
          <w:rFonts w:ascii="Times New Roman" w:hAnsi="Times New Roman" w:cs="Times New Roman" w:eastAsia="Times New Roman" w:hint="default"/>
        </w:rPr>
        <w:t>10%</w:t>
      </w:r>
      <w:r>
        <w:rPr/>
        <w:t>征收，对内地投资者</w:t>
      </w:r>
    </w:p>
    <w:p>
      <w:pPr>
        <w:spacing w:after="0" w:line="228"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25" w:lineRule="auto" w:before="42"/>
        <w:ind w:right="1130"/>
        <w:jc w:val="both"/>
      </w:pPr>
      <w:r>
        <w:rPr/>
        <w:t>持有基金份额部分实行差别化税率征收</w:t>
      </w:r>
      <w:r>
        <w:rPr>
          <w:rFonts w:ascii="Times New Roman" w:hAnsi="Times New Roman" w:cs="Times New Roman" w:eastAsia="Times New Roman" w:hint="default"/>
        </w:rPr>
        <w:t>ª</w:t>
      </w:r>
      <w:r>
        <w:rPr/>
        <w:t>；对于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外的其他非居民企业，本公司未</w:t>
      </w:r>
      <w:r>
        <w:rPr>
          <w:spacing w:val="-56"/>
        </w:rPr>
        <w:t> </w:t>
      </w:r>
      <w:r>
        <w:rPr>
          <w:spacing w:val="-56"/>
        </w:rPr>
      </w:r>
      <w:r>
        <w:rPr>
          <w:spacing w:val="-2"/>
        </w:rPr>
        <w:t>代扣代缴所得税，由纳税人在所得发生地缴纳。）。该利润分配方案已于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日实施</w:t>
      </w:r>
      <w:r>
        <w:rPr>
          <w:spacing w:val="-116"/>
        </w:rPr>
        <w:t> </w:t>
      </w:r>
      <w:r>
        <w:rPr/>
        <w:t>完毕。</w:t>
      </w:r>
    </w:p>
    <w:p>
      <w:pPr>
        <w:pStyle w:val="BodyText"/>
        <w:spacing w:line="240" w:lineRule="auto" w:before="89"/>
        <w:ind w:right="0"/>
        <w:jc w:val="both"/>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30,350,719.40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172,272,603.75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30,064,289.50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131,374,311.56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29,539,126.85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121,227,460.02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公司报告期内盈利且母公司可供普通股股东分配利润为正但未提出普通股现金红利分配预案</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3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607,014,388.00</w:t>
            </w:r>
          </w:p>
        </w:tc>
      </w:tr>
      <w:tr>
        <w:trPr>
          <w:trHeight w:val="391" w:hRule="exact"/>
        </w:trPr>
        <w:tc>
          <w:tcPr>
            <w:tcW w:w="3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vMerge/>
            <w:tcBorders>
              <w:left w:val="single" w:sz="9" w:space="0" w:color="D2D2D2"/>
              <w:right w:val="single" w:sz="4" w:space="0" w:color="000000"/>
            </w:tcBorders>
          </w:tcPr>
          <w:p>
            <w:pPr/>
          </w:p>
        </w:tc>
      </w:tr>
      <w:tr>
        <w:trPr>
          <w:trHeight w:val="161" w:hRule="exact"/>
        </w:trPr>
        <w:tc>
          <w:tcPr>
            <w:tcW w:w="3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161" w:hRule="exact"/>
        </w:trPr>
        <w:tc>
          <w:tcPr>
            <w:tcW w:w="3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30,350,719.40</w:t>
            </w:r>
          </w:p>
        </w:tc>
      </w:tr>
      <w:tr>
        <w:trPr>
          <w:trHeight w:val="391" w:hRule="exact"/>
        </w:trPr>
        <w:tc>
          <w:tcPr>
            <w:tcW w:w="3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vMerge/>
            <w:tcBorders>
              <w:left w:val="single" w:sz="9" w:space="0" w:color="D2D2D2"/>
              <w:right w:val="single" w:sz="4" w:space="0" w:color="000000"/>
            </w:tcBorders>
          </w:tcPr>
          <w:p>
            <w:pPr/>
          </w:p>
        </w:tc>
      </w:tr>
      <w:tr>
        <w:trPr>
          <w:trHeight w:val="161" w:hRule="exact"/>
        </w:trPr>
        <w:tc>
          <w:tcPr>
            <w:tcW w:w="3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1,033,967,901.17</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85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年度母公司实现的净利润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179,268,611.49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元，根据《公司法》以及《公司章程》的规定，按净利润的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17,926,861.15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元，本年度实现可供股东分配的利润为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161,341,750.34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元；加上以前年度未分配利润</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894,095,934.44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元，本年度可供股东分配的未分配利润为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1,055,437,684.78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3"/>
                <w:sz w:val="18"/>
                <w:szCs w:val="18"/>
              </w:rPr>
              <w:t> </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年度合并报表实现归属上市公司</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股东的净利润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172,272,603.75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元，根据《公司法》以及《公司章程》的规定，计提法定盈余公积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17,926,861.15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元，本年度</w:t>
            </w:r>
          </w:p>
          <w:p>
            <w:pPr>
              <w:pStyle w:val="TableParagraph"/>
              <w:spacing w:line="300" w:lineRule="auto" w:before="63"/>
              <w:ind w:left="22" w:right="32"/>
              <w:jc w:val="both"/>
              <w:rPr>
                <w:rFonts w:ascii="宋体" w:hAnsi="宋体" w:cs="宋体" w:eastAsia="宋体" w:hint="default"/>
                <w:sz w:val="18"/>
                <w:szCs w:val="18"/>
              </w:rPr>
            </w:pPr>
            <w:r>
              <w:rPr>
                <w:rFonts w:ascii="宋体" w:hAnsi="宋体" w:cs="宋体" w:eastAsia="宋体" w:hint="default"/>
                <w:sz w:val="18"/>
                <w:szCs w:val="18"/>
              </w:rPr>
              <w:t>实现可供股东分配的利润为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154,345,742.60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元；加上以前年度未分配利润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879,622,158.57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元，本年度可供股东分配的未分 配利润为 </w:t>
            </w:r>
            <w:r>
              <w:rPr>
                <w:rFonts w:ascii="Times New Roman" w:hAnsi="Times New Roman" w:cs="Times New Roman" w:eastAsia="Times New Roman" w:hint="default"/>
                <w:sz w:val="18"/>
                <w:szCs w:val="18"/>
              </w:rPr>
              <w:t>1,033,967,901.17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根据合并报表、母公司报表中可供分配利润孰低原则，本年度可供股东分配的未分配利</w:t>
            </w:r>
            <w:r>
              <w:rPr>
                <w:rFonts w:ascii="宋体" w:hAnsi="宋体" w:cs="宋体" w:eastAsia="宋体" w:hint="default"/>
                <w:sz w:val="18"/>
                <w:szCs w:val="18"/>
              </w:rPr>
              <w:t> 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1,033,967,901.17 </w:t>
            </w:r>
            <w:r>
              <w:rPr>
                <w:rFonts w:ascii="宋体" w:hAnsi="宋体" w:cs="宋体" w:eastAsia="宋体" w:hint="default"/>
                <w:sz w:val="18"/>
                <w:szCs w:val="18"/>
              </w:rPr>
              <w:t>元。</w:t>
            </w:r>
            <w:r>
              <w:rPr>
                <w:rFonts w:ascii="宋体" w:hAnsi="宋体" w:cs="宋体" w:eastAsia="宋体" w:hint="default"/>
                <w:spacing w:val="50"/>
                <w:sz w:val="18"/>
                <w:szCs w:val="18"/>
              </w:rPr>
              <w:t> </w:t>
            </w:r>
            <w:r>
              <w:rPr>
                <w:rFonts w:ascii="宋体" w:hAnsi="宋体" w:cs="宋体" w:eastAsia="宋体" w:hint="default"/>
                <w:sz w:val="18"/>
                <w:szCs w:val="18"/>
              </w:rPr>
              <w:t>在综合考虑公司业务前景、资产状况以及市场环境的前提下，以未来实施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方案时股权登记日的总股本为基数，向全体股东每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，以资本公积</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股。以目前公司总股本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607,014,388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股为基数，预计派发现金红利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30,350,719.40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元，送红股</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674" w:lineRule="exact"/>
        <w:ind w:left="15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5pt;height:33.75pt;mso-position-horizontal-relative:char;mso-position-vertical-relative:line" type="#_x0000_t202" filled="false" stroked="true" strokeweight=".48pt" strokecolor="#000000">
            <w10:anchorlock/>
            <v:textbox inset="0,0,0,0">
              <w:txbxContent>
                <w:p>
                  <w:pPr>
                    <w:pStyle w:val="BodyText"/>
                    <w:spacing w:line="240" w:lineRule="auto" w:before="10"/>
                    <w:ind w:left="22" w:right="0"/>
                    <w:jc w:val="left"/>
                  </w:pPr>
                  <w:r>
                    <w:rPr>
                      <w:rFonts w:ascii="Times New Roman" w:hAnsi="Times New Roman" w:cs="Times New Roman" w:eastAsia="Times New Roman" w:hint="default"/>
                    </w:rPr>
                    <w:t>121,402,878</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121,402,878</w:t>
                  </w:r>
                  <w:r>
                    <w:rPr>
                      <w:rFonts w:ascii="Times New Roman" w:hAnsi="Times New Roman" w:cs="Times New Roman" w:eastAsia="Times New Roman" w:hint="default"/>
                      <w:spacing w:val="-2"/>
                    </w:rPr>
                    <w:t> </w:t>
                  </w:r>
                  <w:r>
                    <w:rPr/>
                    <w:t>股，转增金额没有超过报告期末</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的余额。本次利润分配方案完</w:t>
                  </w:r>
                </w:p>
                <w:p>
                  <w:pPr>
                    <w:pStyle w:val="BodyText"/>
                    <w:spacing w:line="240" w:lineRule="auto" w:before="64"/>
                    <w:ind w:left="22" w:right="0"/>
                    <w:jc w:val="left"/>
                  </w:pPr>
                  <w:r>
                    <w:rPr/>
                    <w:t>成后，剩余未分配利润为</w:t>
                  </w:r>
                  <w:r>
                    <w:rPr>
                      <w:spacing w:val="-47"/>
                    </w:rPr>
                    <w:t> </w:t>
                  </w:r>
                  <w:r>
                    <w:rPr>
                      <w:rFonts w:ascii="Times New Roman" w:hAnsi="Times New Roman" w:cs="Times New Roman" w:eastAsia="Times New Roman" w:hint="default"/>
                    </w:rPr>
                    <w:t>882,214,303.77</w:t>
                  </w:r>
                  <w:r>
                    <w:rPr>
                      <w:rFonts w:ascii="Times New Roman" w:hAnsi="Times New Roman" w:cs="Times New Roman" w:eastAsia="Times New Roman" w:hint="default"/>
                      <w:spacing w:val="-1"/>
                    </w:rPr>
                    <w:t> </w:t>
                  </w:r>
                  <w:r>
                    <w:rPr/>
                    <w:t>元，结转至以后年度。利润分配方案符合公司章程和相关法律法规的规定。</w:t>
                  </w:r>
                </w:p>
              </w:txbxContent>
            </v:textbox>
          </v:shape>
        </w:pict>
      </w:r>
      <w:r>
        <w:rPr>
          <w:rFonts w:ascii="宋体" w:hAnsi="宋体" w:cs="宋体" w:eastAsia="宋体" w:hint="default"/>
          <w:position w:val="-12"/>
          <w:sz w:val="20"/>
          <w:szCs w:val="20"/>
        </w:rPr>
      </w:r>
    </w:p>
    <w:p>
      <w:pPr>
        <w:spacing w:line="240" w:lineRule="auto" w:before="7"/>
        <w:rPr>
          <w:rFonts w:ascii="宋体" w:hAnsi="宋体" w:cs="宋体" w:eastAsia="宋体" w:hint="default"/>
          <w:sz w:val="18"/>
          <w:szCs w:val="18"/>
        </w:rPr>
      </w:pPr>
    </w:p>
    <w:p>
      <w:pPr>
        <w:pStyle w:val="Heading2"/>
        <w:spacing w:line="240" w:lineRule="auto" w:before="26"/>
        <w:ind w:left="154" w:right="985"/>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985"/>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 w:right="21"/>
              <w:jc w:val="left"/>
              <w:rPr>
                <w:rFonts w:ascii="宋体" w:hAnsi="宋体" w:cs="宋体" w:eastAsia="宋体" w:hint="default"/>
                <w:sz w:val="18"/>
                <w:szCs w:val="18"/>
              </w:rPr>
            </w:pPr>
            <w:r>
              <w:rPr>
                <w:rFonts w:ascii="宋体" w:hAnsi="宋体" w:cs="宋体" w:eastAsia="宋体" w:hint="default"/>
                <w:sz w:val="18"/>
                <w:szCs w:val="18"/>
              </w:rPr>
              <w:t>陈利浩、林芝 地区荣光科 技有限公司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41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00" w:lineRule="auto"/>
              <w:ind w:left="17" w:right="89"/>
              <w:jc w:val="both"/>
              <w:rPr>
                <w:rFonts w:ascii="宋体" w:hAnsi="宋体" w:cs="宋体" w:eastAsia="宋体" w:hint="default"/>
                <w:sz w:val="18"/>
                <w:szCs w:val="18"/>
              </w:rPr>
            </w:pPr>
            <w:r>
              <w:rPr>
                <w:rFonts w:ascii="宋体" w:hAnsi="宋体" w:cs="宋体" w:eastAsia="宋体" w:hint="default"/>
                <w:sz w:val="18"/>
                <w:szCs w:val="18"/>
              </w:rPr>
              <w:t>袁志武</w:t>
            </w:r>
            <w:r>
              <w:rPr>
                <w:rFonts w:ascii="Times New Roman" w:hAnsi="Times New Roman" w:cs="Times New Roman" w:eastAsia="Times New Roman" w:hint="default"/>
                <w:sz w:val="18"/>
                <w:szCs w:val="18"/>
              </w:rPr>
              <w:t>;</w:t>
            </w:r>
            <w:r>
              <w:rPr>
                <w:rFonts w:ascii="宋体" w:hAnsi="宋体" w:cs="宋体" w:eastAsia="宋体" w:hint="default"/>
                <w:sz w:val="18"/>
                <w:szCs w:val="18"/>
              </w:rPr>
              <w:t>徐勇</w:t>
            </w:r>
            <w:r>
              <w:rPr>
                <w:rFonts w:ascii="Times New Roman" w:hAnsi="Times New Roman" w:cs="Times New Roman" w:eastAsia="Times New Roman" w:hint="default"/>
                <w:sz w:val="18"/>
                <w:szCs w:val="18"/>
              </w:rPr>
              <w:t>; </w:t>
            </w:r>
            <w:r>
              <w:rPr>
                <w:rFonts w:ascii="宋体" w:hAnsi="宋体" w:cs="宋体" w:eastAsia="宋体" w:hint="default"/>
                <w:sz w:val="18"/>
                <w:szCs w:val="18"/>
              </w:rPr>
              <w:t>范晓霞</w:t>
            </w:r>
            <w:r>
              <w:rPr>
                <w:rFonts w:ascii="Times New Roman" w:hAnsi="Times New Roman" w:cs="Times New Roman" w:eastAsia="Times New Roman" w:hint="default"/>
                <w:sz w:val="18"/>
                <w:szCs w:val="18"/>
              </w:rPr>
              <w:t>;</w:t>
            </w:r>
            <w:r>
              <w:rPr>
                <w:rFonts w:ascii="宋体" w:hAnsi="宋体" w:cs="宋体" w:eastAsia="宋体" w:hint="default"/>
                <w:sz w:val="18"/>
                <w:szCs w:val="18"/>
              </w:rPr>
              <w:t>吴卫</w:t>
            </w:r>
            <w:r>
              <w:rPr>
                <w:rFonts w:ascii="Times New Roman" w:hAnsi="Times New Roman" w:cs="Times New Roman" w:eastAsia="Times New Roman" w:hint="default"/>
                <w:sz w:val="18"/>
                <w:szCs w:val="18"/>
              </w:rPr>
              <w:t>; </w:t>
            </w:r>
            <w:r>
              <w:rPr>
                <w:rFonts w:ascii="宋体" w:hAnsi="宋体" w:cs="宋体" w:eastAsia="宋体" w:hint="default"/>
                <w:sz w:val="18"/>
                <w:szCs w:val="18"/>
              </w:rPr>
              <w:t>李文斌</w:t>
            </w:r>
            <w:r>
              <w:rPr>
                <w:rFonts w:ascii="Times New Roman" w:hAnsi="Times New Roman" w:cs="Times New Roman" w:eastAsia="Times New Roman" w:hint="default"/>
                <w:sz w:val="18"/>
                <w:szCs w:val="18"/>
              </w:rPr>
              <w:t>;</w:t>
            </w:r>
            <w:r>
              <w:rPr>
                <w:rFonts w:ascii="宋体" w:hAnsi="宋体" w:cs="宋体" w:eastAsia="宋体" w:hint="default"/>
                <w:sz w:val="18"/>
                <w:szCs w:val="18"/>
              </w:rPr>
              <w:t>黄苏</w:t>
            </w:r>
            <w:r>
              <w:rPr>
                <w:rFonts w:ascii="Times New Roman" w:hAnsi="Times New Roman" w:cs="Times New Roman" w:eastAsia="Times New Roman" w:hint="default"/>
                <w:sz w:val="18"/>
                <w:szCs w:val="18"/>
              </w:rPr>
              <w:t>; </w:t>
            </w:r>
            <w:r>
              <w:rPr>
                <w:rFonts w:ascii="宋体" w:hAnsi="宋体" w:cs="宋体" w:eastAsia="宋体" w:hint="default"/>
                <w:sz w:val="18"/>
                <w:szCs w:val="18"/>
              </w:rPr>
              <w:t>刘刚</w:t>
            </w:r>
            <w:r>
              <w:rPr>
                <w:rFonts w:ascii="Times New Roman" w:hAnsi="Times New Roman" w:cs="Times New Roman" w:eastAsia="Times New Roman" w:hint="default"/>
                <w:sz w:val="18"/>
                <w:szCs w:val="18"/>
              </w:rPr>
              <w:t>;</w:t>
            </w:r>
            <w:r>
              <w:rPr>
                <w:rFonts w:ascii="宋体" w:hAnsi="宋体" w:cs="宋体" w:eastAsia="宋体" w:hint="default"/>
                <w:sz w:val="18"/>
                <w:szCs w:val="18"/>
              </w:rPr>
              <w:t>杨海生</w:t>
            </w:r>
            <w:r>
              <w:rPr>
                <w:rFonts w:ascii="Times New Roman" w:hAnsi="Times New Roman" w:cs="Times New Roman" w:eastAsia="Times New Roman" w:hint="default"/>
                <w:sz w:val="18"/>
                <w:szCs w:val="18"/>
              </w:rPr>
              <w:t>; </w:t>
            </w:r>
            <w:r>
              <w:rPr>
                <w:rFonts w:ascii="宋体" w:hAnsi="宋体" w:cs="宋体" w:eastAsia="宋体" w:hint="default"/>
                <w:sz w:val="18"/>
                <w:szCs w:val="18"/>
              </w:rPr>
              <w:t>吕勇</w:t>
            </w:r>
            <w:r>
              <w:rPr>
                <w:rFonts w:ascii="Times New Roman" w:hAnsi="Times New Roman" w:cs="Times New Roman" w:eastAsia="Times New Roman" w:hint="default"/>
                <w:sz w:val="18"/>
                <w:szCs w:val="18"/>
              </w:rPr>
              <w:t>;</w:t>
            </w:r>
            <w:r>
              <w:rPr>
                <w:rFonts w:ascii="宋体" w:hAnsi="宋体" w:cs="宋体" w:eastAsia="宋体" w:hint="default"/>
                <w:sz w:val="18"/>
                <w:szCs w:val="18"/>
              </w:rPr>
              <w:t>盛晓兴</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根据协议约 </w:t>
            </w:r>
            <w:r>
              <w:rPr>
                <w:rFonts w:ascii="宋体" w:hAnsi="宋体" w:cs="宋体" w:eastAsia="宋体" w:hint="default"/>
                <w:spacing w:val="-2"/>
                <w:sz w:val="18"/>
                <w:szCs w:val="18"/>
              </w:rPr>
              <w:t>定，瑞翔科技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p>
          <w:p>
            <w:pPr>
              <w:pStyle w:val="TableParagraph"/>
              <w:spacing w:line="300" w:lineRule="auto"/>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承诺净利润</w:t>
            </w:r>
          </w:p>
          <w:p>
            <w:pPr>
              <w:pStyle w:val="TableParagraph"/>
              <w:spacing w:line="314" w:lineRule="auto" w:before="31"/>
              <w:ind w:left="22" w:right="21"/>
              <w:jc w:val="left"/>
              <w:rPr>
                <w:rFonts w:ascii="宋体" w:hAnsi="宋体" w:cs="宋体" w:eastAsia="宋体" w:hint="default"/>
                <w:sz w:val="18"/>
                <w:szCs w:val="18"/>
              </w:rPr>
            </w:pPr>
            <w:r>
              <w:rPr>
                <w:rFonts w:ascii="宋体" w:hAnsi="宋体" w:cs="宋体" w:eastAsia="宋体" w:hint="default"/>
                <w:sz w:val="18"/>
                <w:szCs w:val="18"/>
              </w:rPr>
              <w:t>（指瑞翔科 技会计报表 中经审计的 扣除非经常 性损益后的 </w:t>
            </w:r>
            <w:r>
              <w:rPr>
                <w:rFonts w:ascii="宋体" w:hAnsi="宋体" w:cs="宋体" w:eastAsia="宋体" w:hint="default"/>
                <w:spacing w:val="-2"/>
                <w:sz w:val="18"/>
                <w:szCs w:val="18"/>
              </w:rPr>
              <w:t>净利润）分别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不得低于人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元，若瑞翔科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技在业绩承 诺期限内当 年的实际净 利润数不低 于承诺净利 润数</w:t>
            </w:r>
            <w:r>
              <w:rPr>
                <w:rFonts w:ascii="Times New Roman" w:hAnsi="Times New Roman" w:cs="Times New Roman" w:eastAsia="Times New Roman" w:hint="default"/>
                <w:sz w:val="18"/>
                <w:szCs w:val="18"/>
              </w:rPr>
              <w:t>,</w:t>
            </w:r>
            <w:r>
              <w:rPr>
                <w:rFonts w:ascii="宋体" w:hAnsi="宋体" w:cs="宋体" w:eastAsia="宋体" w:hint="default"/>
                <w:sz w:val="18"/>
                <w:szCs w:val="18"/>
              </w:rPr>
              <w:t>则购买 的远光软件</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41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股票依次按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度</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比例于每一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年度分别进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行解锁；若瑞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翔科技在业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内当年的实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解锁当年度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对应比例的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股票；未能解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锁的剩余部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分股票须于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瑞翔科技自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计实现净利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润达到人民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后一周内方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可解锁。若瑞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翔科技自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年实现的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净利润数仍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未达到承诺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净利润数人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元，承诺人将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用现金弥补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瑞翔科技自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计实现的净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利润数与承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差额后一周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内方可解锁。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55.039993pt;margin-top:72.47998pt;width:55.8pt;height:344.25pt;mso-position-horizontal-relative:page;mso-position-vertical-relative:page;z-index:-1206448" coordorigin="5101,1450" coordsize="1116,6885">
            <v:group style="position:absolute;left:5101;top:1450;width:1116;height:6534" coordorigin="5101,1450" coordsize="1116,6534">
              <v:shape style="position:absolute;left:5101;top:1450;width:1116;height:6534" coordorigin="5101,1450" coordsize="1116,6534" path="m5101,7983l6217,7983,6217,1450,5101,1450,5101,7983xe" filled="true" fillcolor="#ffffff" stroked="false">
                <v:path arrowok="t"/>
                <v:fill type="solid"/>
              </v:shape>
            </v:group>
            <v:group style="position:absolute;left:5124;top:7983;width:1071;height:352" coordorigin="5124,7983" coordsize="1071,352">
              <v:shape style="position:absolute;left:5124;top:7983;width:1071;height:352" coordorigin="5124,7983" coordsize="1071,352" path="m5124,8334l6194,8334,6194,7983,5124,7983,5124,83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5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一、王建军、</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齐志刚、赵向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新的业绩承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诺及补偿安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、昊美科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经审计的的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净利润（扣除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非经常性损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益）分别不低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昊美科技经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9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3" w:right="21"/>
              <w:jc w:val="left"/>
              <w:rPr>
                <w:rFonts w:ascii="宋体" w:hAnsi="宋体" w:cs="宋体" w:eastAsia="宋体" w:hint="default"/>
                <w:sz w:val="18"/>
                <w:szCs w:val="18"/>
              </w:rPr>
            </w:pPr>
            <w:r>
              <w:rPr>
                <w:rFonts w:ascii="宋体" w:hAnsi="宋体" w:cs="宋体" w:eastAsia="宋体" w:hint="default"/>
                <w:spacing w:val="-2"/>
                <w:sz w:val="18"/>
                <w:szCs w:val="18"/>
              </w:rPr>
              <w:t>封仕勇、杭州</w:t>
            </w:r>
            <w:r>
              <w:rPr>
                <w:rFonts w:ascii="宋体" w:hAnsi="宋体" w:cs="宋体" w:eastAsia="宋体" w:hint="default"/>
                <w:sz w:val="18"/>
                <w:szCs w:val="18"/>
              </w:rPr>
              <w:t> 飞涅投资管</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营业务在</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理合伙企业</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业绩承诺期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9" w:space="0" w:color="FFFFFF"/>
            </w:tcBorders>
          </w:tcPr>
          <w:p>
            <w:pPr>
              <w:pStyle w:val="TableParagraph"/>
              <w:spacing w:line="319" w:lineRule="auto" w:before="78"/>
              <w:ind w:left="23" w:right="3"/>
              <w:jc w:val="left"/>
              <w:rPr>
                <w:rFonts w:ascii="宋体" w:hAnsi="宋体" w:cs="宋体" w:eastAsia="宋体" w:hint="default"/>
                <w:sz w:val="18"/>
                <w:szCs w:val="18"/>
              </w:rPr>
            </w:pPr>
            <w:r>
              <w:rPr>
                <w:rFonts w:ascii="宋体" w:hAnsi="宋体" w:cs="宋体" w:eastAsia="宋体" w:hint="default"/>
                <w:spacing w:val="-17"/>
                <w:sz w:val="18"/>
                <w:szCs w:val="18"/>
              </w:rPr>
              <w:t>伙）、李红祥</w:t>
            </w:r>
            <w:r>
              <w:rPr>
                <w:rFonts w:ascii="宋体" w:hAnsi="宋体" w:cs="宋体" w:eastAsia="宋体" w:hint="default"/>
                <w:sz w:val="18"/>
                <w:szCs w:val="18"/>
              </w:rPr>
              <w:t> 梁志君、刘润 标、马三光、</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齐志刚、邵</w:t>
            </w:r>
          </w:p>
        </w:tc>
        <w:tc>
          <w:tcPr>
            <w:tcW w:w="1126" w:type="dxa"/>
            <w:tcBorders>
              <w:top w:val="nil" w:sz="6" w:space="0" w:color="auto"/>
              <w:left w:val="single" w:sz="9" w:space="0" w:color="FFFFFF"/>
              <w:bottom w:val="nil" w:sz="6" w:space="0" w:color="auto"/>
              <w:right w:val="single" w:sz="4" w:space="0" w:color="000000"/>
            </w:tcBorders>
          </w:tcPr>
          <w:p>
            <w:pPr>
              <w:pStyle w:val="TableParagraph"/>
              <w:spacing w:line="196" w:lineRule="exact" w:before="78"/>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业绩承诺及</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当年实现的</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净利润达到 或高于承诺 </w:t>
            </w:r>
            <w:r>
              <w:rPr>
                <w:rFonts w:ascii="宋体" w:hAnsi="宋体" w:cs="宋体" w:eastAsia="宋体" w:hint="default"/>
                <w:spacing w:val="-2"/>
                <w:sz w:val="18"/>
                <w:szCs w:val="18"/>
              </w:rPr>
              <w:t>的净利润，则</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79"/>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燕、王建军、</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购买的远光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徐飞鹏、杨玉</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软件的股票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56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3" w:right="0"/>
              <w:jc w:val="left"/>
              <w:rPr>
                <w:rFonts w:ascii="宋体" w:hAnsi="宋体" w:cs="宋体" w:eastAsia="宋体" w:hint="default"/>
                <w:sz w:val="18"/>
                <w:szCs w:val="18"/>
              </w:rPr>
            </w:pPr>
            <w:r>
              <w:rPr>
                <w:rFonts w:ascii="宋体" w:hAnsi="宋体" w:cs="宋体" w:eastAsia="宋体" w:hint="default"/>
                <w:sz w:val="18"/>
                <w:szCs w:val="18"/>
              </w:rPr>
              <w:t>山、赵向新</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2" w:right="-1"/>
              <w:jc w:val="left"/>
              <w:rPr>
                <w:rFonts w:ascii="宋体" w:hAnsi="宋体" w:cs="宋体" w:eastAsia="宋体" w:hint="default"/>
                <w:sz w:val="18"/>
                <w:szCs w:val="18"/>
              </w:rPr>
            </w:pPr>
            <w:r>
              <w:rPr>
                <w:rFonts w:ascii="宋体" w:hAnsi="宋体" w:cs="宋体" w:eastAsia="宋体" w:hint="default"/>
                <w:sz w:val="18"/>
                <w:szCs w:val="18"/>
              </w:rPr>
              <w:t>分别按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比例逐年解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w:t>
            </w:r>
            <w:r>
              <w:rPr>
                <w:rFonts w:ascii="Times New Roman" w:hAnsi="Times New Roman" w:cs="Times New Roman" w:eastAsia="Times New Roman" w:hint="default"/>
                <w:sz w:val="18"/>
                <w:szCs w:val="18"/>
              </w:rPr>
              <w:t>2</w:t>
            </w:r>
            <w:r>
              <w:rPr>
                <w:rFonts w:ascii="宋体" w:hAnsi="宋体" w:cs="宋体" w:eastAsia="宋体" w:hint="default"/>
                <w:sz w:val="18"/>
                <w:szCs w:val="18"/>
              </w:rPr>
              <w:t>、昊美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科技的业绩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承诺期当年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实现的净利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润未达到承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诺的净利润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时，需以现金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进行业绩补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偿，补偿后方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可解锁对应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比例股票；业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绩承诺期届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满时，如期末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减值额高于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已补偿金额，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承诺人须补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偿期末减值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额与已补偿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金额的差额，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补偿完毕后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方可解锁最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后年度的对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应比例股票。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如承诺人未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能以现金补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偿，远光软件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有权要求其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以补偿年度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司股权按补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偿当年净资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产作价补偿。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二、马三光、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邵燕、李红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祥、杨玉山、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徐飞鹏、刘润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标、梁志君、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封仕勇、杭州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飞涅投资管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理合伙企业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及补偿安排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、昊美科技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审计的净利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润（扣除非经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常性损益）分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别不低于人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元。昊美科技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经营业务在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年的业绩承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诺期当年实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达到或高于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承诺的净利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9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润，则购买的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远光软件股 票分别按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的</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比例逐年解 锁该部分股 票；</w:t>
            </w:r>
            <w:r>
              <w:rPr>
                <w:rFonts w:ascii="Times New Roman" w:hAnsi="Times New Roman" w:cs="Times New Roman" w:eastAsia="Times New Roman" w:hint="default"/>
                <w:sz w:val="18"/>
                <w:szCs w:val="18"/>
              </w:rPr>
              <w:t>2</w:t>
            </w:r>
            <w:r>
              <w:rPr>
                <w:rFonts w:ascii="宋体" w:hAnsi="宋体" w:cs="宋体" w:eastAsia="宋体" w:hint="default"/>
                <w:sz w:val="18"/>
                <w:szCs w:val="18"/>
              </w:rPr>
              <w:t>、昊美 科技的业绩 承诺期当年 实现的净利 润未达到承 诺的净利润 时，需以现金 进行业绩补 偿，补偿后方 可解锁对应 比例股票；业 绩承诺期届 满时，如期末 减值额高于 已补偿金额， 承诺人须补 偿期末减值 额与已补偿 金额的差额， 补偿完毕后 方可解锁最 后年度的对 应比例股票。 如承诺人未 能以现金补 偿，远光软件 有权要求其 以补偿年度 拥有标的公 司股权按补 偿当年净资 产作价补偿。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985"/>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539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长沙远光瑞翔 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1,123.2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因上游部分材 料价格上涨， 导致成本上 升，毛利率下 降；同时公司 加大了对研发 的投入，新增 了许多新的研 发项目，目前 尚未产生明显 的经济效益， 随着新项目产 品的亮相和产 品的升级，此 前研发投入将 为公司以后年 度贡献利润。</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公告编号为</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2014-086</w:t>
            </w:r>
            <w:r>
              <w:rPr>
                <w:rFonts w:ascii="宋体" w:hAnsi="宋体" w:cs="宋体" w:eastAsia="宋体" w:hint="default"/>
                <w:sz w:val="18"/>
                <w:szCs w:val="18"/>
              </w:rPr>
              <w:t>《关</w:t>
            </w:r>
          </w:p>
          <w:p>
            <w:pPr>
              <w:pStyle w:val="TableParagraph"/>
              <w:spacing w:line="319" w:lineRule="auto" w:before="63"/>
              <w:ind w:left="22" w:right="65"/>
              <w:jc w:val="both"/>
              <w:rPr>
                <w:rFonts w:ascii="宋体" w:hAnsi="宋体" w:cs="宋体" w:eastAsia="宋体" w:hint="default"/>
                <w:sz w:val="18"/>
                <w:szCs w:val="18"/>
              </w:rPr>
            </w:pPr>
            <w:r>
              <w:rPr>
                <w:rFonts w:ascii="宋体" w:hAnsi="宋体" w:cs="宋体" w:eastAsia="宋体" w:hint="default"/>
                <w:sz w:val="18"/>
                <w:szCs w:val="18"/>
              </w:rPr>
              <w:t>于全资子公司 对外投资收购 股权的公告》</w:t>
            </w:r>
          </w:p>
        </w:tc>
      </w:tr>
      <w:tr>
        <w:trPr>
          <w:trHeight w:val="321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91"/>
              <w:jc w:val="left"/>
              <w:rPr>
                <w:rFonts w:ascii="宋体" w:hAnsi="宋体" w:cs="宋体" w:eastAsia="宋体" w:hint="default"/>
                <w:sz w:val="18"/>
                <w:szCs w:val="18"/>
              </w:rPr>
            </w:pPr>
            <w:r>
              <w:rPr>
                <w:rFonts w:ascii="宋体" w:hAnsi="宋体" w:cs="宋体" w:eastAsia="宋体" w:hint="default"/>
                <w:sz w:val="18"/>
                <w:szCs w:val="18"/>
              </w:rPr>
              <w:t>杭州昊美科技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1,078.19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部分客户的信 息化建设规划 变更，导致公 司已经承接的 部分项目招投 标工作推迟到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w:t>
            </w:r>
          </w:p>
          <w:p>
            <w:pPr>
              <w:pStyle w:val="TableParagraph"/>
              <w:spacing w:line="309" w:lineRule="auto"/>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年度收入 结算与确认受 到一定影响。</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公告编号为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2017-030</w:t>
            </w:r>
            <w:r>
              <w:rPr>
                <w:rFonts w:ascii="宋体" w:hAnsi="宋体" w:cs="宋体" w:eastAsia="宋体" w:hint="default"/>
                <w:sz w:val="18"/>
                <w:szCs w:val="18"/>
              </w:rPr>
              <w:t>《关</w:t>
            </w:r>
          </w:p>
          <w:p>
            <w:pPr>
              <w:pStyle w:val="TableParagraph"/>
              <w:spacing w:line="319"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于对外投资的 公告》</w:t>
            </w:r>
          </w:p>
        </w:tc>
      </w:tr>
    </w:tbl>
    <w:p>
      <w:pPr>
        <w:pStyle w:val="BodyText"/>
        <w:spacing w:line="240" w:lineRule="auto" w:before="51"/>
        <w:ind w:left="154" w:right="985"/>
        <w:jc w:val="left"/>
      </w:pPr>
      <w:r>
        <w:rPr/>
        <w:t>公司股东、交易对手方在报告年度经营业绩做出的承诺情况</w:t>
      </w:r>
    </w:p>
    <w:p>
      <w:pPr>
        <w:pStyle w:val="BodyText"/>
        <w:spacing w:line="240" w:lineRule="auto" w:before="117"/>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663" w:firstLine="36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日召开的第五届董事会第十五次会议审议通过了《关于全资子公司对外投资收购股权的 </w:t>
      </w:r>
      <w:r>
        <w:rPr>
          <w:spacing w:val="-2"/>
        </w:rPr>
        <w:t>议案》，公司全资子公司珠海横琴新区集睿思信息技术有限公司（后更名为</w:t>
      </w:r>
      <w:r>
        <w:rPr>
          <w:rFonts w:ascii="Times New Roman" w:hAnsi="Times New Roman" w:cs="Times New Roman" w:eastAsia="Times New Roman" w:hint="default"/>
          <w:spacing w:val="-2"/>
        </w:rPr>
        <w:t>“</w:t>
      </w:r>
      <w:r>
        <w:rPr>
          <w:spacing w:val="-2"/>
        </w:rPr>
        <w:t>远光资本管理（横琴）有限公司</w:t>
      </w:r>
      <w:r>
        <w:rPr>
          <w:rFonts w:ascii="Times New Roman" w:hAnsi="Times New Roman" w:cs="Times New Roman" w:eastAsia="Times New Roman" w:hint="default"/>
          <w:spacing w:val="-2"/>
        </w:rPr>
        <w:t>”</w:t>
      </w:r>
      <w:r>
        <w:rPr>
          <w:spacing w:val="-2"/>
        </w:rPr>
        <w:t>）出资</w:t>
      </w:r>
      <w:r>
        <w:rPr>
          <w:spacing w:val="-51"/>
        </w:rPr>
        <w:t> </w:t>
      </w:r>
      <w:r>
        <w:rPr>
          <w:spacing w:val="-51"/>
        </w:rPr>
      </w:r>
      <w:r>
        <w:rPr/>
        <w:t>收购长沙瑞翔科技有限公司（后更名为</w:t>
      </w:r>
      <w:r>
        <w:rPr>
          <w:rFonts w:ascii="Times New Roman" w:hAnsi="Times New Roman" w:cs="Times New Roman" w:eastAsia="Times New Roman" w:hint="default"/>
        </w:rPr>
        <w:t>“</w:t>
      </w:r>
      <w:r>
        <w:rPr/>
        <w:t>长沙远光瑞翔科技有限公司</w:t>
      </w:r>
      <w:r>
        <w:rPr>
          <w:rFonts w:ascii="Times New Roman" w:hAnsi="Times New Roman" w:cs="Times New Roman" w:eastAsia="Times New Roman" w:hint="default"/>
        </w:rPr>
        <w:t>”</w:t>
      </w:r>
      <w:r>
        <w:rPr/>
        <w:t>）</w:t>
      </w:r>
      <w:r>
        <w:rPr>
          <w:spacing w:val="-18"/>
        </w:rPr>
        <w:t> </w:t>
      </w:r>
      <w:r>
        <w:rPr>
          <w:rFonts w:ascii="Times New Roman" w:hAnsi="Times New Roman" w:cs="Times New Roman" w:eastAsia="Times New Roman" w:hint="default"/>
        </w:rPr>
        <w:t>70%</w:t>
      </w:r>
      <w:r>
        <w:rPr/>
        <w:t>的股权，根据交易各方签署的《股权收 购协议》，瑞翔科技十名自然人股东承诺，收到全部股权收购款后</w:t>
      </w:r>
      <w:r>
        <w:rPr>
          <w:rFonts w:ascii="Times New Roman" w:hAnsi="Times New Roman" w:cs="Times New Roman" w:eastAsia="Times New Roman" w:hint="default"/>
        </w:rPr>
        <w:t>60</w:t>
      </w:r>
      <w:r>
        <w:rPr/>
        <w:t>个工作日内，将其中的</w:t>
      </w:r>
      <w:r>
        <w:rPr>
          <w:rFonts w:ascii="Times New Roman" w:hAnsi="Times New Roman" w:cs="Times New Roman" w:eastAsia="Times New Roman" w:hint="default"/>
        </w:rPr>
        <w:t>1,600</w:t>
      </w:r>
      <w:r>
        <w:rPr/>
        <w:t>万元专项用于从二 级市场购买远光软件股票，并自愿将相应股票进行锁定。具体详见公司于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日披露的《关于长沙瑞翔科技 有限公司股东完成股份购买并承诺锁定的公告》（公告编号：</w:t>
      </w:r>
      <w:r>
        <w:rPr>
          <w:spacing w:val="-18"/>
        </w:rPr>
        <w:t> </w:t>
      </w:r>
      <w:r>
        <w:rPr>
          <w:rFonts w:ascii="Times New Roman" w:hAnsi="Times New Roman" w:cs="Times New Roman" w:eastAsia="Times New Roman" w:hint="default"/>
        </w:rPr>
        <w:t>2015-009</w:t>
      </w:r>
      <w:r>
        <w:rPr/>
        <w:t>）。根据瑞翔科技</w:t>
      </w:r>
      <w:r>
        <w:rPr>
          <w:rFonts w:ascii="Times New Roman" w:hAnsi="Times New Roman" w:cs="Times New Roman" w:eastAsia="Times New Roman" w:hint="default"/>
        </w:rPr>
        <w:t>2017</w:t>
      </w:r>
      <w:r>
        <w:rPr/>
        <w:t>年度审计报告，瑞翔 科技</w:t>
      </w:r>
      <w:r>
        <w:rPr>
          <w:rFonts w:ascii="Times New Roman" w:hAnsi="Times New Roman" w:cs="Times New Roman" w:eastAsia="Times New Roman" w:hint="default"/>
        </w:rPr>
        <w:t>2017</w:t>
      </w:r>
      <w:r>
        <w:rPr/>
        <w:t>年度实现扣除非经常性损益后的净利润</w:t>
      </w:r>
      <w:r>
        <w:rPr>
          <w:rFonts w:ascii="Times New Roman" w:hAnsi="Times New Roman" w:cs="Times New Roman" w:eastAsia="Times New Roman" w:hint="default"/>
        </w:rPr>
        <w:t>1123.20</w:t>
      </w:r>
      <w:r>
        <w:rPr/>
        <w:t>万元，未达到预测的业绩</w:t>
      </w:r>
      <w:r>
        <w:rPr>
          <w:rFonts w:ascii="Times New Roman" w:hAnsi="Times New Roman" w:cs="Times New Roman" w:eastAsia="Times New Roman" w:hint="default"/>
        </w:rPr>
        <w:t>1390</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年实现扣 除非经常性损益后的累计净利润 </w:t>
      </w:r>
      <w:r>
        <w:rPr>
          <w:rFonts w:ascii="Times New Roman" w:hAnsi="Times New Roman" w:cs="Times New Roman" w:eastAsia="Times New Roman" w:hint="default"/>
        </w:rPr>
        <w:t>3379.39</w:t>
      </w:r>
      <w:r>
        <w:rPr>
          <w:rFonts w:ascii="Times New Roman" w:hAnsi="Times New Roman" w:cs="Times New Roman" w:eastAsia="Times New Roman" w:hint="default"/>
          <w:spacing w:val="6"/>
        </w:rPr>
        <w:t> </w:t>
      </w:r>
      <w:r>
        <w:rPr/>
        <w:t>万元，累计预测的业绩</w:t>
      </w:r>
      <w:r>
        <w:rPr>
          <w:rFonts w:ascii="Times New Roman" w:hAnsi="Times New Roman" w:cs="Times New Roman" w:eastAsia="Times New Roman" w:hint="default"/>
        </w:rPr>
        <w:t>3500</w:t>
      </w:r>
      <w:r>
        <w:rPr/>
        <w:t>万元，累计未达业绩</w:t>
      </w:r>
      <w:r>
        <w:rPr>
          <w:rFonts w:ascii="Times New Roman" w:hAnsi="Times New Roman" w:cs="Times New Roman" w:eastAsia="Times New Roman" w:hint="default"/>
        </w:rPr>
        <w:t>120.61</w:t>
      </w:r>
      <w:r>
        <w:rPr/>
        <w:t>万元。</w:t>
      </w:r>
    </w:p>
    <w:p>
      <w:pPr>
        <w:pStyle w:val="BodyText"/>
        <w:spacing w:line="300" w:lineRule="auto" w:before="13"/>
        <w:ind w:right="1131" w:firstLine="360"/>
        <w:jc w:val="both"/>
      </w:pPr>
      <w:r>
        <w:rPr>
          <w:rFonts w:ascii="Times New Roman" w:hAnsi="Times New Roman" w:cs="Times New Roman" w:eastAsia="Times New Roman" w:hint="default"/>
        </w:rPr>
        <w:t>2</w:t>
      </w:r>
      <w:r>
        <w:rPr/>
        <w:t>、</w:t>
      </w:r>
      <w:r>
        <w:rPr>
          <w:spacing w:val="-19"/>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日召开第六届董事会第四次会议，审议通过了《关于对外投资的议案》，同意公司收购昊美科 </w:t>
      </w:r>
      <w:r>
        <w:rPr>
          <w:spacing w:val="-2"/>
        </w:rPr>
        <w:t>技</w:t>
      </w:r>
      <w:r>
        <w:rPr>
          <w:rFonts w:ascii="Times New Roman" w:hAnsi="Times New Roman" w:cs="Times New Roman" w:eastAsia="Times New Roman" w:hint="default"/>
          <w:spacing w:val="-2"/>
        </w:rPr>
        <w:t>67%</w:t>
      </w:r>
      <w:r>
        <w:rPr>
          <w:spacing w:val="-2"/>
        </w:rPr>
        <w:t>的股权，并向昊美科技增资，收购及增资后，公司持有昊美科技</w:t>
      </w:r>
      <w:r>
        <w:rPr>
          <w:rFonts w:ascii="Times New Roman" w:hAnsi="Times New Roman" w:cs="Times New Roman" w:eastAsia="Times New Roman" w:hint="default"/>
          <w:spacing w:val="-2"/>
        </w:rPr>
        <w:t>70.71%</w:t>
      </w:r>
      <w:r>
        <w:rPr>
          <w:spacing w:val="-2"/>
        </w:rPr>
        <w:t>的股权。根据交易各方签署的《股权收购及增</w:t>
      </w:r>
      <w:r>
        <w:rPr>
          <w:spacing w:val="-45"/>
        </w:rPr>
        <w:t> </w:t>
      </w:r>
      <w:r>
        <w:rPr>
          <w:spacing w:val="-45"/>
        </w:rPr>
      </w:r>
      <w:r>
        <w:rPr>
          <w:spacing w:val="-1"/>
        </w:rPr>
        <w:t>资协议》及补充协议，昊美科技股东承诺，收到首期股权转让款之日起</w:t>
      </w:r>
      <w:r>
        <w:rPr>
          <w:rFonts w:ascii="Times New Roman" w:hAnsi="Times New Roman" w:cs="Times New Roman" w:eastAsia="Times New Roman" w:hint="default"/>
          <w:spacing w:val="-1"/>
        </w:rPr>
        <w:t>10</w:t>
      </w:r>
      <w:r>
        <w:rPr>
          <w:spacing w:val="-1"/>
        </w:rPr>
        <w:t>个工作日内，用股权转让款总金额</w:t>
      </w:r>
      <w:r>
        <w:rPr>
          <w:rFonts w:ascii="Times New Roman" w:hAnsi="Times New Roman" w:cs="Times New Roman" w:eastAsia="Times New Roman" w:hint="default"/>
          <w:spacing w:val="-1"/>
        </w:rPr>
        <w:t>30%</w:t>
      </w:r>
      <w:r>
        <w:rPr>
          <w:spacing w:val="-1"/>
        </w:rPr>
        <w:t>的资金在二</w:t>
      </w:r>
      <w:r>
        <w:rPr/>
        <w:t> 级市场购买远光软件股票，并自愿将相应股票进行锁定。具体详见于公司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日披露的《远光软件股份有限公司关</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216.800003pt;margin-top:479.379974pt;width:158.450pt;height:15.6pt;mso-position-horizontal-relative:page;mso-position-vertical-relative:page;z-index:-1206376" coordorigin="4336,9588" coordsize="3169,312">
            <v:shape style="position:absolute;left:4336;top:9588;width:3169;height:312" coordorigin="4336,9588" coordsize="3169,312" path="m4336,9900l7504,9900,7504,9588,4336,9588,4336,9900xe" filled="true" fillcolor="#ffffff" stroked="false">
              <v:path arrowok="t"/>
              <v:fill type="solid"/>
            </v:shape>
            <w10:wrap type="none"/>
          </v:group>
        </w:pict>
      </w:r>
    </w:p>
    <w:p>
      <w:pPr>
        <w:pStyle w:val="BodyText"/>
        <w:spacing w:line="300" w:lineRule="auto"/>
        <w:ind w:right="1118"/>
        <w:jc w:val="left"/>
      </w:pPr>
      <w:r>
        <w:rPr/>
        <w:t>于杭州昊美科技有限公司股东完成股份购买并承诺锁定的公告》（</w:t>
      </w:r>
      <w:r>
        <w:rPr>
          <w:spacing w:val="35"/>
        </w:rPr>
        <w:t> </w:t>
      </w:r>
      <w:r>
        <w:rPr/>
        <w:t>公告编号为</w:t>
      </w:r>
      <w:r>
        <w:rPr>
          <w:rFonts w:ascii="Times New Roman" w:hAnsi="Times New Roman" w:cs="Times New Roman" w:eastAsia="Times New Roman" w:hint="default"/>
        </w:rPr>
        <w:t>2017-040</w:t>
      </w:r>
      <w:r>
        <w:rPr/>
        <w:t>）。根据昊美科技</w:t>
      </w:r>
      <w:r>
        <w:rPr>
          <w:rFonts w:ascii="Times New Roman" w:hAnsi="Times New Roman" w:cs="Times New Roman" w:eastAsia="Times New Roman" w:hint="default"/>
        </w:rPr>
        <w:t>2017</w:t>
      </w:r>
      <w:r>
        <w:rPr/>
        <w:t>年度审计报 告，昊美科技</w:t>
      </w:r>
      <w:r>
        <w:rPr>
          <w:rFonts w:ascii="Times New Roman" w:hAnsi="Times New Roman" w:cs="Times New Roman" w:eastAsia="Times New Roman" w:hint="default"/>
        </w:rPr>
        <w:t>2017</w:t>
      </w:r>
      <w:r>
        <w:rPr/>
        <w:t>年度实现扣除非经常性损益后的净利润</w:t>
      </w:r>
      <w:r>
        <w:rPr>
          <w:rFonts w:ascii="Times New Roman" w:hAnsi="Times New Roman" w:cs="Times New Roman" w:eastAsia="Times New Roman" w:hint="default"/>
        </w:rPr>
        <w:t>1078.19</w:t>
      </w:r>
      <w:r>
        <w:rPr/>
        <w:t>万元，未达到预测的业绩</w:t>
      </w:r>
      <w:r>
        <w:rPr>
          <w:rFonts w:ascii="Times New Roman" w:hAnsi="Times New Roman" w:cs="Times New Roman" w:eastAsia="Times New Roman" w:hint="default"/>
        </w:rPr>
        <w:t>1150</w:t>
      </w:r>
      <w:r>
        <w:rPr/>
        <w:t>万元。</w:t>
      </w:r>
    </w:p>
    <w:p>
      <w:pPr>
        <w:spacing w:line="240" w:lineRule="auto" w:before="4"/>
        <w:rPr>
          <w:rFonts w:ascii="宋体" w:hAnsi="宋体" w:cs="宋体" w:eastAsia="宋体" w:hint="default"/>
          <w:sz w:val="20"/>
          <w:szCs w:val="20"/>
        </w:rPr>
      </w:pPr>
    </w:p>
    <w:p>
      <w:pPr>
        <w:pStyle w:val="Heading2"/>
        <w:spacing w:line="240" w:lineRule="auto"/>
        <w:ind w:left="154" w:right="985"/>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985"/>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5"/>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pict>
          <v:shape style="position:absolute;margin-left:370.69101pt;margin-top:108.011749pt;width:164.15pt;height:47.3pt;mso-position-horizontal-relative:page;mso-position-vertical-relative:paragraph;z-index:-1206424" type="#_x0000_t202" filled="false" stroked="false">
            <v:textbox inset="0,0,0,0">
              <w:txbxContent>
                <w:p>
                  <w:pPr>
                    <w:pStyle w:val="BodyText"/>
                    <w:spacing w:line="205" w:lineRule="exact" w:before="0"/>
                    <w:ind w:left="0" w:right="0"/>
                    <w:jc w:val="left"/>
                  </w:pPr>
                  <w:r>
                    <w:rPr/>
                    <w:t>》</w:t>
                  </w:r>
                </w:p>
              </w:txbxContent>
            </v:textbox>
            <w10:wrap type="none"/>
          </v:shape>
        </w:pict>
      </w:r>
      <w:r>
        <w:rPr/>
        <w:pict>
          <v:group style="position:absolute;margin-left:375.519989pt;margin-top:108.011749pt;width:159.950pt;height:47.3pt;mso-position-horizontal-relative:page;mso-position-vertical-relative:paragraph;z-index:-1206400" coordorigin="7510,2160" coordsize="3199,946">
            <v:group style="position:absolute;left:7522;top:2160;width:3175;height:946" coordorigin="7522,2160" coordsize="3175,946">
              <v:shape style="position:absolute;left:7522;top:2160;width:3175;height:946" coordorigin="7522,2160" coordsize="3175,946" path="m7522,3106l10697,3106,10697,2160,7522,2160,7522,3106xe" filled="true" fillcolor="#ffffff" stroked="false">
                <v:path arrowok="t"/>
                <v:fill type="solid"/>
              </v:shape>
            </v:group>
            <v:group style="position:absolute;left:7515;top:3100;width:3189;height:2" coordorigin="7515,3100" coordsize="3189,2">
              <v:shape style="position:absolute;left:7515;top:3100;width:3189;height:2" coordorigin="7515,3100" coordsize="3189,0" path="m7515,3100l10704,3100e" filled="false" stroked="true" strokeweight=".48pt" strokecolor="#ffffff">
                <v:path arrowok="t"/>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8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鉴于国家财政部对《企业会计准则第</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政府补助》（财会</w:t>
            </w:r>
            <w:r>
              <w:rPr>
                <w:rFonts w:ascii="Times New Roman" w:hAnsi="Times New Roman" w:cs="Times New Roman" w:eastAsia="Times New Roman" w:hint="default"/>
                <w:sz w:val="18"/>
                <w:szCs w:val="18"/>
              </w:rPr>
              <w:t>[2017]15</w:t>
            </w:r>
            <w:r>
              <w:rPr>
                <w:rFonts w:ascii="宋体" w:hAnsi="宋体" w:cs="宋体" w:eastAsia="宋体" w:hint="default"/>
                <w:sz w:val="18"/>
                <w:szCs w:val="18"/>
              </w:rPr>
              <w:t>号）进 行了修订并予以印发，准则于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日起施行。公司需按照相关文件要求进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行会计政策变更。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日召开第六届董事会 </w:t>
            </w:r>
            <w:r>
              <w:rPr>
                <w:rFonts w:ascii="宋体" w:hAnsi="宋体" w:cs="宋体" w:eastAsia="宋体" w:hint="default"/>
                <w:spacing w:val="-4"/>
                <w:sz w:val="18"/>
                <w:szCs w:val="18"/>
              </w:rPr>
              <w:t>第八次会议，审议通过了《关于会计政策</w:t>
            </w:r>
            <w:r>
              <w:rPr>
                <w:rFonts w:ascii="宋体" w:hAnsi="宋体" w:cs="宋体" w:eastAsia="宋体" w:hint="default"/>
                <w:sz w:val="18"/>
                <w:szCs w:val="18"/>
              </w:rPr>
              <w:t> 变更的议案》。具体内容请见</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 </w:t>
            </w:r>
            <w:r>
              <w:rPr>
                <w:rFonts w:ascii="Times New Roman" w:hAnsi="Times New Roman" w:cs="Times New Roman" w:eastAsia="Times New Roman" w:hint="default"/>
                <w:spacing w:val="-9"/>
                <w:sz w:val="18"/>
                <w:szCs w:val="18"/>
              </w:rPr>
              <w:t>16</w:t>
            </w:r>
            <w:r>
              <w:rPr>
                <w:rFonts w:ascii="宋体" w:hAnsi="宋体" w:cs="宋体" w:eastAsia="宋体" w:hint="default"/>
                <w:spacing w:val="-9"/>
                <w:sz w:val="18"/>
                <w:szCs w:val="18"/>
              </w:rPr>
              <w:t>日刊登于《证券时报》、《中国证券报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和巨潮资讯网上的《关于会计政策变更的</w:t>
            </w:r>
            <w:r>
              <w:rPr>
                <w:rFonts w:ascii="宋体" w:hAnsi="宋体" w:cs="宋体" w:eastAsia="宋体" w:hint="default"/>
                <w:sz w:val="18"/>
                <w:szCs w:val="18"/>
              </w:rPr>
              <w:t> 公告》。</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重分类调减</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 </w:t>
            </w:r>
            <w:r>
              <w:rPr>
                <w:rFonts w:ascii="宋体" w:hAnsi="宋体" w:cs="宋体" w:eastAsia="宋体" w:hint="default"/>
                <w:spacing w:val="-1"/>
                <w:sz w:val="18"/>
                <w:szCs w:val="18"/>
              </w:rPr>
              <w:t>入</w:t>
            </w:r>
            <w:r>
              <w:rPr>
                <w:rFonts w:ascii="Times New Roman" w:hAnsi="Times New Roman" w:cs="Times New Roman" w:eastAsia="Times New Roman" w:hint="default"/>
                <w:spacing w:val="-1"/>
                <w:sz w:val="18"/>
                <w:szCs w:val="18"/>
              </w:rPr>
              <w:t>”30,559,381.17</w:t>
            </w:r>
            <w:r>
              <w:rPr>
                <w:rFonts w:ascii="Times New Roman" w:hAnsi="Times New Roman" w:cs="Times New Roman" w:eastAsia="Times New Roman" w:hint="default"/>
                <w:sz w:val="18"/>
                <w:szCs w:val="18"/>
              </w:rPr>
              <w:t> </w:t>
            </w:r>
            <w:r>
              <w:rPr>
                <w:rFonts w:ascii="宋体" w:hAnsi="宋体" w:cs="宋体" w:eastAsia="宋体" w:hint="default"/>
                <w:spacing w:val="-7"/>
                <w:w w:val="100"/>
                <w:sz w:val="18"/>
                <w:szCs w:val="18"/>
              </w:rPr>
              <w:t>元、列示</w:t>
            </w:r>
            <w:r>
              <w:rPr>
                <w:rFonts w:ascii="Times New Roman" w:hAnsi="Times New Roman" w:cs="Times New Roman" w:eastAsia="Times New Roman" w:hint="default"/>
                <w:spacing w:val="-7"/>
                <w:w w:val="100"/>
                <w:sz w:val="18"/>
                <w:szCs w:val="18"/>
              </w:rPr>
              <w:t>2017</w:t>
            </w:r>
            <w:r>
              <w:rPr>
                <w:rFonts w:ascii="宋体" w:hAnsi="宋体" w:cs="宋体" w:eastAsia="宋体" w:hint="default"/>
                <w:spacing w:val="-7"/>
                <w:w w:val="100"/>
                <w:sz w:val="18"/>
                <w:szCs w:val="18"/>
              </w:rPr>
              <w:t>年度</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其他</w:t>
            </w:r>
            <w:r>
              <w:rPr>
                <w:rFonts w:ascii="宋体" w:hAnsi="宋体" w:cs="宋体" w:eastAsia="宋体" w:hint="default"/>
                <w:spacing w:val="-86"/>
                <w:w w:val="100"/>
                <w:sz w:val="18"/>
                <w:szCs w:val="18"/>
              </w:rPr>
              <w:t> </w:t>
            </w:r>
            <w:r>
              <w:rPr>
                <w:rFonts w:ascii="宋体" w:hAnsi="宋体" w:cs="宋体" w:eastAsia="宋体" w:hint="default"/>
                <w:sz w:val="18"/>
                <w:szCs w:val="18"/>
              </w:rPr>
              <w:t>收益</w:t>
            </w:r>
            <w:r>
              <w:rPr>
                <w:rFonts w:ascii="Times New Roman" w:hAnsi="Times New Roman" w:cs="Times New Roman" w:eastAsia="Times New Roman" w:hint="default"/>
                <w:sz w:val="18"/>
                <w:szCs w:val="18"/>
              </w:rPr>
              <w:t>”30,559,381.17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w:t>
            </w:r>
          </w:p>
        </w:tc>
      </w:tr>
      <w:tr>
        <w:trPr>
          <w:trHeight w:val="3547" w:hRule="exact"/>
        </w:trPr>
        <w:tc>
          <w:tcPr>
            <w:tcW w:w="3191" w:type="dxa"/>
            <w:tcBorders>
              <w:top w:val="single" w:sz="6" w:space="0" w:color="000000"/>
              <w:left w:val="single" w:sz="6" w:space="0" w:color="000000"/>
              <w:bottom w:val="single" w:sz="6" w:space="0" w:color="000000"/>
              <w:right w:val="single" w:sz="7" w:space="0" w:color="000000"/>
            </w:tcBorders>
          </w:tcPr>
          <w:p>
            <w:pPr>
              <w:pStyle w:val="TableParagraph"/>
              <w:spacing w:line="304" w:lineRule="auto" w:before="62"/>
              <w:ind w:left="2" w:right="-20"/>
              <w:jc w:val="left"/>
              <w:rPr>
                <w:rFonts w:ascii="宋体" w:hAnsi="宋体" w:cs="宋体" w:eastAsia="宋体" w:hint="default"/>
                <w:sz w:val="18"/>
                <w:szCs w:val="18"/>
              </w:rPr>
            </w:pPr>
            <w:r>
              <w:rPr>
                <w:rFonts w:ascii="宋体" w:hAnsi="宋体" w:cs="宋体" w:eastAsia="宋体" w:hint="default"/>
                <w:sz w:val="18"/>
                <w:szCs w:val="18"/>
              </w:rPr>
              <w:t>鉴于国家财政部于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日发布 </w:t>
            </w:r>
            <w:r>
              <w:rPr>
                <w:rFonts w:ascii="宋体" w:hAnsi="宋体" w:cs="宋体" w:eastAsia="宋体" w:hint="default"/>
                <w:spacing w:val="-4"/>
                <w:sz w:val="18"/>
                <w:szCs w:val="18"/>
              </w:rPr>
              <w:t>了关于印发《企业会计准则第</w:t>
            </w:r>
            <w:r>
              <w:rPr>
                <w:rFonts w:ascii="Times New Roman" w:hAnsi="Times New Roman" w:cs="Times New Roman" w:eastAsia="Times New Roman" w:hint="default"/>
                <w:spacing w:val="-4"/>
                <w:sz w:val="18"/>
                <w:szCs w:val="18"/>
              </w:rPr>
              <w:t>42</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持有</w:t>
            </w:r>
            <w:r>
              <w:rPr>
                <w:rFonts w:ascii="宋体" w:hAnsi="宋体" w:cs="宋体" w:eastAsia="宋体" w:hint="default"/>
                <w:spacing w:val="-85"/>
                <w:sz w:val="18"/>
                <w:szCs w:val="18"/>
              </w:rPr>
              <w:t> </w:t>
            </w:r>
            <w:r>
              <w:rPr>
                <w:rFonts w:ascii="宋体" w:hAnsi="宋体" w:cs="宋体" w:eastAsia="宋体" w:hint="default"/>
                <w:spacing w:val="-3"/>
                <w:sz w:val="18"/>
                <w:szCs w:val="18"/>
              </w:rPr>
              <w:t>待售的非流动资产、处置组和终止经营》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的通知（财会</w:t>
            </w:r>
            <w:r>
              <w:rPr>
                <w:rFonts w:ascii="Times New Roman" w:hAnsi="Times New Roman" w:cs="Times New Roman" w:eastAsia="Times New Roman" w:hint="default"/>
                <w:sz w:val="18"/>
                <w:szCs w:val="18"/>
              </w:rPr>
              <w:t>[2017]13</w:t>
            </w:r>
            <w:r>
              <w:rPr>
                <w:rFonts w:ascii="宋体" w:hAnsi="宋体" w:cs="宋体" w:eastAsia="宋体" w:hint="default"/>
                <w:sz w:val="18"/>
                <w:szCs w:val="18"/>
              </w:rPr>
              <w:t>号），自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日起施行；</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日发布了</w:t>
            </w:r>
          </w:p>
          <w:p>
            <w:pPr>
              <w:pStyle w:val="TableParagraph"/>
              <w:spacing w:line="312" w:lineRule="auto" w:before="9"/>
              <w:ind w:left="2" w:right="1"/>
              <w:jc w:val="left"/>
              <w:rPr>
                <w:rFonts w:ascii="宋体" w:hAnsi="宋体" w:cs="宋体" w:eastAsia="宋体" w:hint="default"/>
                <w:sz w:val="18"/>
                <w:szCs w:val="18"/>
              </w:rPr>
            </w:pPr>
            <w:r>
              <w:rPr>
                <w:rFonts w:ascii="宋体" w:hAnsi="宋体" w:cs="宋体" w:eastAsia="宋体" w:hint="default"/>
                <w:sz w:val="18"/>
                <w:szCs w:val="18"/>
              </w:rPr>
              <w:t>《关于修订印发一般企业财务报表格式 的通知》（财会</w:t>
            </w:r>
            <w:r>
              <w:rPr>
                <w:rFonts w:ascii="Times New Roman" w:hAnsi="Times New Roman" w:cs="Times New Roman" w:eastAsia="Times New Roman" w:hint="default"/>
                <w:sz w:val="18"/>
                <w:szCs w:val="18"/>
              </w:rPr>
              <w:t>[2017]30</w:t>
            </w:r>
            <w:r>
              <w:rPr>
                <w:rFonts w:ascii="宋体" w:hAnsi="宋体" w:cs="宋体" w:eastAsia="宋体" w:hint="default"/>
                <w:sz w:val="18"/>
                <w:szCs w:val="18"/>
              </w:rPr>
              <w:t>号），执行企业 会计准则的非金融企业应当按照企业会 计准则和通知要求编制</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年度及以后 </w:t>
            </w:r>
            <w:r>
              <w:rPr>
                <w:rFonts w:ascii="宋体" w:hAnsi="宋体" w:cs="宋体" w:eastAsia="宋体" w:hint="default"/>
                <w:spacing w:val="-4"/>
                <w:sz w:val="18"/>
                <w:szCs w:val="18"/>
              </w:rPr>
              <w:t>期间的财务报表，公司需按照相关文件要</w:t>
            </w:r>
            <w:r>
              <w:rPr>
                <w:rFonts w:ascii="宋体" w:hAnsi="宋体" w:cs="宋体" w:eastAsia="宋体" w:hint="default"/>
                <w:sz w:val="18"/>
                <w:szCs w:val="18"/>
              </w:rPr>
              <w:t> 求进行会计政策变更。</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307" w:lineRule="auto" w:before="62"/>
              <w:ind w:left="1"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日召开第六届董事会 </w:t>
            </w:r>
            <w:r>
              <w:rPr>
                <w:rFonts w:ascii="宋体" w:hAnsi="宋体" w:cs="宋体" w:eastAsia="宋体" w:hint="default"/>
                <w:spacing w:val="-4"/>
                <w:sz w:val="18"/>
                <w:szCs w:val="18"/>
              </w:rPr>
              <w:t>第十七次会议，审议通过了《关于会计政</w:t>
            </w:r>
            <w:r>
              <w:rPr>
                <w:rFonts w:ascii="宋体" w:hAnsi="宋体" w:cs="宋体" w:eastAsia="宋体" w:hint="default"/>
                <w:sz w:val="18"/>
                <w:szCs w:val="18"/>
              </w:rPr>
              <w:t> 策变更的议案》。具体内容请见</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 </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27</w:t>
            </w:r>
            <w:r>
              <w:rPr>
                <w:rFonts w:ascii="宋体" w:hAnsi="宋体" w:cs="宋体" w:eastAsia="宋体" w:hint="default"/>
                <w:spacing w:val="-4"/>
                <w:sz w:val="18"/>
                <w:szCs w:val="18"/>
              </w:rPr>
              <w:t>日刊登于《证券时报》、《中国证券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w:t>
            </w:r>
            <w:r>
              <w:rPr>
                <w:rFonts w:ascii="宋体" w:hAnsi="宋体" w:cs="宋体" w:eastAsia="宋体" w:hint="default"/>
                <w:spacing w:val="-19"/>
                <w:sz w:val="18"/>
                <w:szCs w:val="18"/>
              </w:rPr>
              <w:t> </w:t>
            </w:r>
            <w:r>
              <w:rPr>
                <w:rFonts w:ascii="宋体" w:hAnsi="宋体" w:cs="宋体" w:eastAsia="宋体" w:hint="default"/>
                <w:sz w:val="18"/>
                <w:szCs w:val="18"/>
              </w:rPr>
              <w:t>和巨潮资讯网上的《关于会计政策</w:t>
            </w:r>
            <w:r>
              <w:rPr>
                <w:rFonts w:ascii="宋体" w:hAnsi="宋体" w:cs="宋体" w:eastAsia="宋体" w:hint="default"/>
                <w:sz w:val="18"/>
                <w:szCs w:val="18"/>
              </w:rPr>
              <w:t> 变更的公告》。</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列示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1"/>
                <w:sz w:val="18"/>
                <w:szCs w:val="18"/>
              </w:rPr>
              <w:t>166,683,791.26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pacing w:val="-7"/>
                <w:w w:val="100"/>
                <w:sz w:val="18"/>
                <w:szCs w:val="18"/>
              </w:rPr>
              <w:t>元、</w:t>
            </w:r>
            <w:r>
              <w:rPr>
                <w:rFonts w:ascii="Times New Roman" w:hAnsi="Times New Roman" w:cs="Times New Roman" w:eastAsia="Times New Roman" w:hint="default"/>
                <w:spacing w:val="-7"/>
                <w:w w:val="100"/>
                <w:sz w:val="18"/>
                <w:szCs w:val="18"/>
              </w:rPr>
              <w:t>2016</w:t>
            </w:r>
            <w:r>
              <w:rPr>
                <w:rFonts w:ascii="宋体" w:hAnsi="宋体" w:cs="宋体" w:eastAsia="宋体" w:hint="default"/>
                <w:spacing w:val="-7"/>
                <w:w w:val="100"/>
                <w:sz w:val="18"/>
                <w:szCs w:val="18"/>
              </w:rPr>
              <w:t>年度</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持续经营净</w:t>
            </w:r>
          </w:p>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Times New Roman" w:hAnsi="Times New Roman" w:cs="Times New Roman" w:eastAsia="Times New Roman" w:hint="default"/>
                <w:sz w:val="18"/>
                <w:szCs w:val="18"/>
              </w:rPr>
              <w:t>” 142,089,799.45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985"/>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46" w:hRule="exact"/>
        </w:trPr>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433"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434" w:right="73"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434" w:right="72"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435" w:right="72"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434" w:right="73"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5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253"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73" w:right="72"/>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74" w:right="71"/>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39"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4"/>
              <w:jc w:val="left"/>
              <w:rPr>
                <w:rFonts w:ascii="宋体" w:hAnsi="宋体" w:cs="宋体" w:eastAsia="宋体" w:hint="default"/>
                <w:sz w:val="18"/>
                <w:szCs w:val="18"/>
              </w:rPr>
            </w:pPr>
            <w:r>
              <w:rPr>
                <w:rFonts w:ascii="宋体" w:hAnsi="宋体" w:cs="宋体" w:eastAsia="宋体" w:hint="default"/>
                <w:sz w:val="18"/>
                <w:szCs w:val="18"/>
              </w:rPr>
              <w:t>杭州昊美科 技有限公司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75,771,196.00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70.71%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股权转移日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40,448,424.34</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9,496,721.12</w:t>
            </w:r>
          </w:p>
        </w:tc>
      </w:tr>
      <w:tr>
        <w:trPr>
          <w:trHeight w:val="739" w:hRule="exact"/>
        </w:trPr>
        <w:tc>
          <w:tcPr>
            <w:tcW w:w="1064" w:type="dxa"/>
            <w:vMerge w:val="restart"/>
            <w:tcBorders>
              <w:top w:val="single" w:sz="6" w:space="0" w:color="000000"/>
              <w:left w:val="single" w:sz="6" w:space="0" w:color="000000"/>
              <w:right w:val="single" w:sz="6" w:space="0" w:color="000000"/>
            </w:tcBorders>
          </w:tcPr>
          <w:p>
            <w:pPr>
              <w:pStyle w:val="TableParagraph"/>
              <w:spacing w:line="316" w:lineRule="auto" w:before="62"/>
              <w:ind w:left="2" w:right="144"/>
              <w:jc w:val="both"/>
              <w:rPr>
                <w:rFonts w:ascii="宋体" w:hAnsi="宋体" w:cs="宋体" w:eastAsia="宋体" w:hint="default"/>
                <w:sz w:val="18"/>
                <w:szCs w:val="18"/>
              </w:rPr>
            </w:pPr>
            <w:r>
              <w:rPr>
                <w:rFonts w:ascii="宋体" w:hAnsi="宋体" w:cs="宋体" w:eastAsia="宋体" w:hint="default"/>
                <w:sz w:val="18"/>
                <w:szCs w:val="18"/>
              </w:rPr>
              <w:t>北京智和管 理咨询有限 公司</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3,600,000.00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062"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股权转移日</w:t>
            </w:r>
          </w:p>
        </w:tc>
        <w:tc>
          <w:tcPr>
            <w:tcW w:w="1062" w:type="dxa"/>
            <w:vMerge w:val="restart"/>
            <w:tcBorders>
              <w:top w:val="single" w:sz="6" w:space="0" w:color="000000"/>
              <w:left w:val="single" w:sz="6" w:space="0" w:color="000000"/>
              <w:right w:val="single" w:sz="6" w:space="0" w:color="000000"/>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13,324,804.32</w:t>
            </w:r>
          </w:p>
        </w:tc>
        <w:tc>
          <w:tcPr>
            <w:tcW w:w="1062" w:type="dxa"/>
            <w:vMerge w:val="restart"/>
            <w:tcBorders>
              <w:top w:val="single" w:sz="6" w:space="0" w:color="000000"/>
              <w:left w:val="single" w:sz="6" w:space="0" w:color="000000"/>
              <w:right w:val="single" w:sz="6" w:space="0" w:color="000000"/>
            </w:tcBorders>
          </w:tcPr>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6,361,090.59</w:t>
            </w:r>
          </w:p>
        </w:tc>
      </w:tr>
      <w:tr>
        <w:trPr>
          <w:trHeight w:val="739" w:hRule="exact"/>
        </w:trPr>
        <w:tc>
          <w:tcPr>
            <w:tcW w:w="1064" w:type="dxa"/>
            <w:vMerge/>
            <w:tcBorders>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1,600,000.00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32.00%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vMerge/>
            <w:tcBorders>
              <w:left w:val="single" w:sz="6" w:space="0" w:color="000000"/>
              <w:bottom w:val="single" w:sz="6" w:space="0" w:color="000000"/>
              <w:right w:val="single" w:sz="6" w:space="0" w:color="000000"/>
            </w:tcBorders>
          </w:tcPr>
          <w:p>
            <w:pPr/>
          </w:p>
        </w:tc>
        <w:tc>
          <w:tcPr>
            <w:tcW w:w="1062" w:type="dxa"/>
            <w:vMerge/>
            <w:tcBorders>
              <w:left w:val="single" w:sz="6" w:space="0" w:color="000000"/>
              <w:bottom w:val="single" w:sz="6" w:space="0" w:color="000000"/>
              <w:right w:val="single" w:sz="6" w:space="0" w:color="000000"/>
            </w:tcBorders>
          </w:tcPr>
          <w:p>
            <w:pPr/>
          </w:p>
        </w:tc>
        <w:tc>
          <w:tcPr>
            <w:tcW w:w="1062" w:type="dxa"/>
            <w:vMerge/>
            <w:tcBorders>
              <w:left w:val="single" w:sz="6" w:space="0" w:color="000000"/>
              <w:bottom w:val="single" w:sz="6" w:space="0" w:color="000000"/>
              <w:right w:val="single" w:sz="6" w:space="0" w:color="000000"/>
            </w:tcBorders>
          </w:tcPr>
          <w:p>
            <w:pPr/>
          </w:p>
        </w:tc>
        <w:tc>
          <w:tcPr>
            <w:tcW w:w="1062" w:type="dxa"/>
            <w:vMerge/>
            <w:tcBorders>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985"/>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瑞华会计师事务所（特殊普通合伙人）</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王淑燕、郑会涛</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985"/>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985"/>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本报告期公司无重大诉讼、仲裁事项。</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22" w:lineRule="exact" w:before="51"/>
        <w:ind w:left="633" w:right="98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年限制性股票激励计划实施情况</w:t>
      </w:r>
    </w:p>
    <w:p>
      <w:pPr>
        <w:pStyle w:val="Heading3"/>
        <w:spacing w:line="312" w:lineRule="exact" w:before="20"/>
        <w:ind w:right="1130" w:firstLine="48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日，公司第五届董事会第三十六次会议审议通过了《关于回购注销</w:t>
      </w:r>
      <w:r>
        <w:rPr>
          <w:rFonts w:ascii="Times New Roman" w:hAnsi="Times New Roman" w:cs="Times New Roman" w:eastAsia="Times New Roman" w:hint="default"/>
          <w:spacing w:val="-2"/>
        </w:rPr>
        <w:t>2014</w:t>
      </w:r>
      <w:r>
        <w:rPr>
          <w:spacing w:val="-2"/>
        </w:rPr>
        <w:t>年限</w:t>
      </w:r>
      <w:r>
        <w:rPr/>
        <w:t> 制性股票激励计划第二期未达到解锁条件限制性股票的议案》，同意对因未满足公司</w:t>
      </w:r>
      <w:r>
        <w:rPr>
          <w:rFonts w:ascii="Times New Roman" w:hAnsi="Times New Roman" w:cs="Times New Roman" w:eastAsia="Times New Roman" w:hint="default"/>
        </w:rPr>
        <w:t>2014</w:t>
      </w:r>
      <w:r>
        <w:rPr/>
        <w:t>年</w:t>
      </w:r>
      <w:r>
        <w:rPr>
          <w:spacing w:val="-110"/>
        </w:rPr>
        <w:t> </w:t>
      </w:r>
      <w:r>
        <w:rPr/>
        <w:t>限制性股票激励计划规定的第二期解锁条件的所有激励对象已获授但尚未解锁的第二期限制</w:t>
      </w:r>
      <w:r>
        <w:rPr>
          <w:spacing w:val="-112"/>
        </w:rPr>
        <w:t> </w:t>
      </w:r>
      <w:r>
        <w:rPr>
          <w:spacing w:val="-112"/>
        </w:rPr>
      </w:r>
      <w:r>
        <w:rPr/>
        <w:t>性股票共计</w:t>
      </w:r>
      <w:r>
        <w:rPr>
          <w:rFonts w:ascii="Times New Roman" w:hAnsi="Times New Roman" w:cs="Times New Roman" w:eastAsia="Times New Roman" w:hint="default"/>
        </w:rPr>
        <w:t>5,277,547</w:t>
      </w:r>
      <w:r>
        <w:rPr/>
        <w:t>股进行回购注销。本次限制性股票回购注销后，公司</w:t>
      </w:r>
      <w:r>
        <w:rPr>
          <w:rFonts w:ascii="Times New Roman" w:hAnsi="Times New Roman" w:cs="Times New Roman" w:eastAsia="Times New Roman" w:hint="default"/>
        </w:rPr>
        <w:t>2014</w:t>
      </w:r>
      <w:r>
        <w:rPr/>
        <w:t>年股权激励计</w:t>
      </w:r>
      <w:r>
        <w:rPr>
          <w:spacing w:val="-107"/>
        </w:rPr>
        <w:t> </w:t>
      </w:r>
      <w:r>
        <w:rPr>
          <w:spacing w:val="-107"/>
        </w:rPr>
      </w:r>
      <w:r>
        <w:rPr>
          <w:spacing w:val="-2"/>
        </w:rPr>
        <w:t>划授予的尚未解锁的限制性股票已全部回购注销。具体内容详见公司于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9"/>
        </w:rPr>
        <w:t> </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日在《证券时报》、《中国证券报》以及巨潮资讯网（</w:t>
      </w:r>
      <w:hyperlink r:id="rId10">
        <w:r>
          <w:rPr>
            <w:rFonts w:ascii="Times New Roman" w:hAnsi="Times New Roman" w:cs="Times New Roman" w:eastAsia="Times New Roman" w:hint="default"/>
            <w:spacing w:val="-3"/>
          </w:rPr>
          <w:t>www.cninfo.com.cn</w:t>
        </w:r>
      </w:hyperlink>
      <w:r>
        <w:rPr>
          <w:spacing w:val="-3"/>
        </w:rPr>
        <w:t>）的相关公</w:t>
      </w:r>
      <w:r>
        <w:rPr>
          <w:spacing w:val="-88"/>
        </w:rPr>
        <w:t> </w:t>
      </w:r>
      <w:r>
        <w:rPr>
          <w:spacing w:val="-88"/>
        </w:rPr>
      </w:r>
      <w:r>
        <w:rPr/>
        <w:t>告。</w:t>
      </w:r>
    </w:p>
    <w:p>
      <w:pPr>
        <w:pStyle w:val="Heading3"/>
        <w:spacing w:line="292" w:lineRule="exact"/>
        <w:ind w:left="634" w:right="98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年限制性股票激励计划实施情况</w:t>
      </w:r>
    </w:p>
    <w:p>
      <w:pPr>
        <w:pStyle w:val="Heading3"/>
        <w:spacing w:line="312" w:lineRule="exact"/>
        <w:ind w:left="634" w:right="985"/>
        <w:jc w:val="left"/>
      </w:pPr>
      <w:r>
        <w:rPr/>
        <w:t>（</w:t>
      </w:r>
      <w:r>
        <w:rPr>
          <w:rFonts w:ascii="Times New Roman" w:hAnsi="Times New Roman" w:cs="Times New Roman" w:eastAsia="Times New Roman" w:hint="default"/>
        </w:rPr>
        <w:t>1</w:t>
      </w:r>
      <w:r>
        <w:rPr/>
        <w:t>）回购注销</w:t>
      </w:r>
    </w:p>
    <w:p>
      <w:pPr>
        <w:pStyle w:val="Heading3"/>
        <w:spacing w:line="312" w:lineRule="exact"/>
        <w:ind w:left="730" w:right="985"/>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22</w:t>
      </w:r>
      <w:r>
        <w:rPr>
          <w:spacing w:val="3"/>
        </w:rPr>
        <w:t>日第六届董事会第四次会议，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日第六届董事会第八次会议，</w:t>
      </w:r>
    </w:p>
    <w:p>
      <w:pPr>
        <w:pStyle w:val="Heading3"/>
        <w:spacing w:line="312" w:lineRule="exact" w:before="20"/>
        <w:ind w:right="113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日第六届董事会第十二次会议，以及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2017</w:t>
      </w:r>
      <w:r>
        <w:rPr>
          <w:spacing w:val="-2"/>
        </w:rPr>
        <w:t>年第二次临时股东大会分</w:t>
      </w:r>
      <w:r>
        <w:rPr>
          <w:spacing w:val="-104"/>
        </w:rPr>
        <w:t> </w:t>
      </w:r>
      <w:r>
        <w:rPr/>
        <w:t>别审议通过《关于回购注销</w:t>
      </w:r>
      <w:r>
        <w:rPr>
          <w:rFonts w:ascii="Times New Roman" w:hAnsi="Times New Roman" w:cs="Times New Roman" w:eastAsia="Times New Roman" w:hint="default"/>
        </w:rPr>
        <w:t>2016</w:t>
      </w:r>
      <w:r>
        <w:rPr/>
        <w:t>年限制性股票激励计划部分限制性股票的议案》，同意对部</w:t>
      </w:r>
      <w:r>
        <w:rPr>
          <w:spacing w:val="-115"/>
        </w:rPr>
        <w:t> </w:t>
      </w:r>
      <w:r>
        <w:rPr>
          <w:spacing w:val="-115"/>
        </w:rPr>
      </w:r>
      <w:r>
        <w:rPr/>
        <w:t>分因离职、在首次授予股票第一个解除限售期对应绩效考核年度绩效未完全达标的激励对象 </w:t>
      </w:r>
      <w:r>
        <w:rPr>
          <w:spacing w:val="-2"/>
        </w:rPr>
        <w:t>获授的首次授予尚未解锁的全部或部分限制性股票进行回购注销，具体情况详见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53"/>
        </w:rPr>
        <w:t> </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日在《证券时报》、</w:t>
      </w:r>
    </w:p>
    <w:p>
      <w:pPr>
        <w:pStyle w:val="Heading3"/>
        <w:spacing w:line="291" w:lineRule="exact"/>
        <w:ind w:right="0"/>
        <w:jc w:val="both"/>
      </w:pPr>
      <w:r>
        <w:rPr/>
        <w:t>《中国证券报》以及巨潮资讯网（</w:t>
      </w:r>
      <w:hyperlink r:id="rId10">
        <w:r>
          <w:rPr>
            <w:rFonts w:ascii="Times New Roman" w:hAnsi="Times New Roman" w:cs="Times New Roman" w:eastAsia="Times New Roman" w:hint="default"/>
          </w:rPr>
          <w:t>www.cninfo.com.cn</w:t>
        </w:r>
      </w:hyperlink>
      <w:r>
        <w:rPr/>
        <w:t>）的相关公告。</w:t>
      </w:r>
    </w:p>
    <w:p>
      <w:pPr>
        <w:pStyle w:val="Heading3"/>
        <w:spacing w:line="312" w:lineRule="exact"/>
        <w:ind w:left="633" w:right="985"/>
        <w:jc w:val="left"/>
      </w:pPr>
      <w:r>
        <w:rPr/>
        <w:t>（</w:t>
      </w:r>
      <w:r>
        <w:rPr>
          <w:rFonts w:ascii="Times New Roman" w:hAnsi="Times New Roman" w:cs="Times New Roman" w:eastAsia="Times New Roman" w:hint="default"/>
        </w:rPr>
        <w:t>2</w:t>
      </w:r>
      <w:r>
        <w:rPr/>
        <w:t>）预留股份授予</w:t>
      </w:r>
    </w:p>
    <w:p>
      <w:pPr>
        <w:pStyle w:val="Heading3"/>
        <w:spacing w:line="312" w:lineRule="exact" w:before="20"/>
        <w:ind w:left="154" w:right="1132" w:firstLine="57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日第六届董事会第七次会议，审议通过了《关于向激励对象授予预留限制 </w:t>
      </w:r>
      <w:r>
        <w:rPr>
          <w:spacing w:val="-2"/>
        </w:rPr>
        <w:t>性股票的议案》，公司董事会确定以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日为本次预留限制性股票的授予日，向激励</w:t>
      </w:r>
      <w:r>
        <w:rPr>
          <w:spacing w:val="-116"/>
        </w:rPr>
        <w:t> </w:t>
      </w:r>
      <w:r>
        <w:rPr>
          <w:spacing w:val="-116"/>
        </w:rPr>
      </w:r>
      <w:r>
        <w:rPr/>
        <w:t>对象授予预留限制性股票。具体情况详见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日在《证券时报》、</w:t>
      </w:r>
    </w:p>
    <w:p>
      <w:pPr>
        <w:pStyle w:val="Heading3"/>
        <w:spacing w:line="291" w:lineRule="exact"/>
        <w:ind w:right="0"/>
        <w:jc w:val="both"/>
      </w:pPr>
      <w:r>
        <w:rPr/>
        <w:t>《中国证券报》以及巨潮资讯网（</w:t>
      </w:r>
      <w:hyperlink r:id="rId10">
        <w:r>
          <w:rPr>
            <w:rFonts w:ascii="Times New Roman" w:hAnsi="Times New Roman" w:cs="Times New Roman" w:eastAsia="Times New Roman" w:hint="default"/>
          </w:rPr>
          <w:t>www.cninfo.com.cn</w:t>
        </w:r>
      </w:hyperlink>
      <w:r>
        <w:rPr/>
        <w:t>）的相关公告。</w:t>
      </w:r>
    </w:p>
    <w:p>
      <w:pPr>
        <w:pStyle w:val="Heading3"/>
        <w:spacing w:line="312" w:lineRule="exact"/>
        <w:ind w:left="633" w:right="985"/>
        <w:jc w:val="left"/>
      </w:pPr>
      <w:r>
        <w:rPr/>
        <w:t>（</w:t>
      </w:r>
      <w:r>
        <w:rPr>
          <w:rFonts w:ascii="Times New Roman" w:hAnsi="Times New Roman" w:cs="Times New Roman" w:eastAsia="Times New Roman" w:hint="default"/>
        </w:rPr>
        <w:t>3</w:t>
      </w:r>
      <w:r>
        <w:rPr/>
        <w:t>）首期授予股票第一个解除限售期解锁</w:t>
      </w:r>
    </w:p>
    <w:p>
      <w:pPr>
        <w:pStyle w:val="Heading3"/>
        <w:spacing w:line="225" w:lineRule="auto" w:before="6"/>
        <w:ind w:right="1132" w:firstLine="57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日第六届董事会第十二次会议，审议通过了《关于</w:t>
      </w:r>
      <w:r>
        <w:rPr>
          <w:rFonts w:ascii="Times New Roman" w:hAnsi="Times New Roman" w:cs="Times New Roman" w:eastAsia="Times New Roman" w:hint="default"/>
        </w:rPr>
        <w:t>2016</w:t>
      </w:r>
      <w:r>
        <w:rPr/>
        <w:t>年限制性股票激励 计划首期授予股票第一个解除限售期可解锁的议案》，</w:t>
      </w:r>
      <w:r>
        <w:rPr>
          <w:rFonts w:ascii="Times New Roman" w:hAnsi="Times New Roman" w:cs="Times New Roman" w:eastAsia="Times New Roman" w:hint="default"/>
        </w:rPr>
        <w:t>2016</w:t>
      </w:r>
      <w:r>
        <w:rPr/>
        <w:t>年限制性股票激励计划首期授予</w:t>
      </w:r>
      <w:r>
        <w:rPr>
          <w:spacing w:val="-113"/>
        </w:rPr>
        <w:t> </w:t>
      </w:r>
      <w:r>
        <w:rPr>
          <w:spacing w:val="-113"/>
        </w:rPr>
      </w:r>
      <w:r>
        <w:rPr>
          <w:spacing w:val="-2"/>
        </w:rPr>
        <w:t>股票第一个解除限售期股份解锁，具体情况详见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日在《证券时</w:t>
      </w:r>
      <w:r>
        <w:rPr>
          <w:spacing w:val="-108"/>
        </w:rPr>
        <w:t> </w:t>
      </w:r>
      <w:r>
        <w:rPr>
          <w:spacing w:val="-108"/>
        </w:rPr>
      </w:r>
      <w:r>
        <w:rPr/>
        <w:t>报》、《中国证券报》以及巨潮资讯网（</w:t>
      </w:r>
      <w:hyperlink r:id="rId10">
        <w:r>
          <w:rPr>
            <w:rFonts w:ascii="Times New Roman" w:hAnsi="Times New Roman" w:cs="Times New Roman" w:eastAsia="Times New Roman" w:hint="default"/>
          </w:rPr>
          <w:t>www.cninfo.com.cn</w:t>
        </w:r>
      </w:hyperlink>
      <w:r>
        <w:rPr/>
        <w:t>）的相关公告。</w:t>
      </w:r>
    </w:p>
    <w:p>
      <w:pPr>
        <w:spacing w:after="0" w:line="225"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985"/>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14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46"/>
              <w:jc w:val="both"/>
              <w:rPr>
                <w:rFonts w:ascii="宋体" w:hAnsi="宋体" w:cs="宋体" w:eastAsia="宋体" w:hint="default"/>
                <w:sz w:val="18"/>
                <w:szCs w:val="18"/>
              </w:rPr>
            </w:pPr>
            <w:r>
              <w:rPr>
                <w:rFonts w:ascii="宋体" w:hAnsi="宋体" w:cs="宋体" w:eastAsia="宋体" w:hint="default"/>
                <w:sz w:val="18"/>
                <w:szCs w:val="18"/>
              </w:rPr>
              <w:t>国电电力 发展股份 有限公司 及其子公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允价值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49,785,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421.64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4,978.5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49,785,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421.64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远光软 件股份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年度日 常关联 交易金 额预计 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14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国网吉林 省电力有 限公司及 其子公司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一致行 动人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允价值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8,479,8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58.49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847.99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8,479,8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58.49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远光软 件股份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年度日 常关联 交易金 额预计 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2547"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国网福建 省电力有 限公司及 其子公司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允价值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499.86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499.86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远光软 件股份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年度日 常关联 交易金 额预计</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6"/>
              <w:jc w:val="both"/>
              <w:rPr>
                <w:rFonts w:ascii="宋体" w:hAnsi="宋体" w:cs="宋体" w:eastAsia="宋体" w:hint="default"/>
                <w:sz w:val="18"/>
                <w:szCs w:val="18"/>
              </w:rPr>
            </w:pPr>
            <w:r>
              <w:rPr>
                <w:rFonts w:ascii="宋体" w:hAnsi="宋体" w:cs="宋体" w:eastAsia="宋体" w:hint="default"/>
                <w:sz w:val="18"/>
                <w:szCs w:val="18"/>
              </w:rPr>
              <w:t>北京融和 晟源售电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公司董 事担任 董事的 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允价值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522,069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52.21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522,069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公司预计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年度销售商品及提供服务关联交易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万元，报告期已发生</w:t>
            </w:r>
          </w:p>
          <w:p>
            <w:pPr>
              <w:pStyle w:val="TableParagraph"/>
              <w:spacing w:line="240" w:lineRule="auto" w:before="6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7653.99  </w:t>
            </w:r>
            <w:r>
              <w:rPr>
                <w:rFonts w:ascii="宋体" w:hAnsi="宋体" w:cs="宋体" w:eastAsia="宋体" w:hint="default"/>
                <w:sz w:val="18"/>
                <w:szCs w:val="18"/>
              </w:rPr>
              <w:t>万元，占预计年度总金额的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38.27%</w:t>
            </w:r>
            <w:r>
              <w:rPr>
                <w:rFonts w:ascii="宋体" w:hAnsi="宋体" w:cs="宋体" w:eastAsia="宋体" w:hint="default"/>
                <w:sz w:val="18"/>
                <w:szCs w:val="18"/>
              </w:rPr>
              <w:t>。</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left="154" w:right="985"/>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985"/>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4"/>
        <w:spacing w:line="240" w:lineRule="auto"/>
        <w:ind w:right="985"/>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985"/>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985"/>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right="985"/>
        <w:jc w:val="left"/>
      </w:pPr>
      <w:r>
        <w:rPr>
          <w:spacing w:val="-1"/>
        </w:rPr>
        <w:t>（</w:t>
      </w:r>
      <w:r>
        <w:rPr>
          <w:rFonts w:ascii="Times New Roman" w:hAnsi="Times New Roman" w:cs="Times New Roman" w:eastAsia="Times New Roman" w:hint="default"/>
          <w:spacing w:val="-1"/>
        </w:rPr>
        <w:t>1</w:t>
      </w:r>
      <w:r>
        <w:rPr>
          <w:spacing w:val="-1"/>
        </w:rPr>
        <w:t>）报告期内，公司将北京朗琴部分房产（朗琴国际</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10</w:t>
      </w:r>
      <w:r>
        <w:rPr>
          <w:spacing w:val="-1"/>
        </w:rPr>
        <w:t>层</w:t>
      </w:r>
      <w:r>
        <w:rPr>
          <w:rFonts w:ascii="Times New Roman" w:hAnsi="Times New Roman" w:cs="Times New Roman" w:eastAsia="Times New Roman" w:hint="default"/>
          <w:spacing w:val="-1"/>
        </w:rPr>
        <w:t>901</w:t>
      </w:r>
      <w:r>
        <w:rPr>
          <w:spacing w:val="-1"/>
        </w:rPr>
        <w:t>出租给东方邦信金融科技（上海）有限公司北京分公司办</w:t>
      </w:r>
      <w:r>
        <w:rPr>
          <w:spacing w:val="-66"/>
        </w:rPr>
        <w:t> </w:t>
      </w:r>
      <w:r>
        <w:rPr>
          <w:spacing w:val="-66"/>
        </w:rPr>
      </w:r>
      <w:r>
        <w:rPr/>
        <w:t>公使用，出租面积</w:t>
      </w:r>
      <w:r>
        <w:rPr>
          <w:rFonts w:ascii="Times New Roman" w:hAnsi="Times New Roman" w:cs="Times New Roman" w:eastAsia="Times New Roman" w:hint="default"/>
        </w:rPr>
        <w:t>1390.57</w:t>
      </w:r>
      <w:r>
        <w:rPr/>
        <w:t>平方米、租期三年、租金为</w:t>
      </w:r>
      <w:r>
        <w:rPr>
          <w:rFonts w:ascii="Times New Roman" w:hAnsi="Times New Roman" w:cs="Times New Roman" w:eastAsia="Times New Roman" w:hint="default"/>
        </w:rPr>
        <w:t>291,845.88</w:t>
      </w:r>
      <w:r>
        <w:rPr/>
        <w:t>元</w:t>
      </w:r>
      <w:r>
        <w:rPr>
          <w:rFonts w:ascii="Times New Roman" w:hAnsi="Times New Roman" w:cs="Times New Roman" w:eastAsia="Times New Roman" w:hint="default"/>
        </w:rPr>
        <w:t>/</w:t>
      </w:r>
      <w:r>
        <w:rPr/>
        <w:t>月（含税），报告期租金收入</w:t>
      </w:r>
      <w:r>
        <w:rPr>
          <w:rFonts w:ascii="Times New Roman" w:hAnsi="Times New Roman" w:cs="Times New Roman" w:eastAsia="Times New Roman" w:hint="default"/>
        </w:rPr>
        <w:t>3,335,381.48</w:t>
      </w:r>
      <w:r>
        <w:rPr/>
        <w:t>元。</w:t>
      </w:r>
    </w:p>
    <w:p>
      <w:pPr>
        <w:pStyle w:val="BodyText"/>
        <w:spacing w:line="300" w:lineRule="auto" w:before="13"/>
        <w:ind w:left="154" w:right="1172"/>
        <w:jc w:val="left"/>
      </w:pPr>
      <w:r>
        <w:rPr/>
        <w:t>（</w:t>
      </w:r>
      <w:r>
        <w:rPr>
          <w:rFonts w:ascii="Times New Roman" w:hAnsi="Times New Roman" w:cs="Times New Roman" w:eastAsia="Times New Roman" w:hint="default"/>
        </w:rPr>
        <w:t>2</w:t>
      </w:r>
      <w:r>
        <w:rPr/>
        <w:t>）报告期内，公司将北京朗琴部分房产（朗琴国际</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层</w:t>
      </w:r>
      <w:r>
        <w:rPr>
          <w:rFonts w:ascii="Times New Roman" w:hAnsi="Times New Roman" w:cs="Times New Roman" w:eastAsia="Times New Roman" w:hint="default"/>
        </w:rPr>
        <w:t>1001</w:t>
      </w:r>
      <w:r>
        <w:rPr/>
        <w:t>室）出租给北京安信乐布医疗用品有限公司办公使用， 出租面积</w:t>
      </w:r>
      <w:r>
        <w:rPr>
          <w:rFonts w:ascii="Times New Roman" w:hAnsi="Times New Roman" w:cs="Times New Roman" w:eastAsia="Times New Roman" w:hint="default"/>
        </w:rPr>
        <w:t>460.00</w:t>
      </w:r>
      <w:r>
        <w:rPr/>
        <w:t>平方米、租期两年、租金为</w:t>
      </w:r>
      <w:r>
        <w:rPr>
          <w:rFonts w:ascii="Times New Roman" w:hAnsi="Times New Roman" w:cs="Times New Roman" w:eastAsia="Times New Roman" w:hint="default"/>
        </w:rPr>
        <w:t>102,139</w:t>
      </w:r>
      <w:r>
        <w:rPr/>
        <w:t>元</w:t>
      </w:r>
      <w:r>
        <w:rPr>
          <w:rFonts w:ascii="Times New Roman" w:hAnsi="Times New Roman" w:cs="Times New Roman" w:eastAsia="Times New Roman" w:hint="default"/>
        </w:rPr>
        <w:t>/</w:t>
      </w:r>
      <w:r>
        <w:rPr/>
        <w:t>月（含税），报告期租金收入</w:t>
      </w:r>
      <w:r>
        <w:rPr>
          <w:rFonts w:ascii="Times New Roman" w:hAnsi="Times New Roman" w:cs="Times New Roman" w:eastAsia="Times New Roman" w:hint="default"/>
        </w:rPr>
        <w:t>647,614.28</w:t>
      </w:r>
      <w:r>
        <w:rPr/>
        <w:t>元。</w:t>
      </w:r>
    </w:p>
    <w:p>
      <w:pPr>
        <w:pStyle w:val="BodyText"/>
        <w:spacing w:line="300" w:lineRule="auto" w:before="13"/>
        <w:ind w:right="985"/>
        <w:jc w:val="left"/>
      </w:pPr>
      <w:r>
        <w:rPr>
          <w:spacing w:val="-2"/>
        </w:rPr>
        <w:t>（</w:t>
      </w:r>
      <w:r>
        <w:rPr>
          <w:rFonts w:ascii="Times New Roman" w:hAnsi="Times New Roman" w:cs="Times New Roman" w:eastAsia="Times New Roman" w:hint="default"/>
          <w:spacing w:val="-2"/>
        </w:rPr>
        <w:t>3</w:t>
      </w:r>
      <w:r>
        <w:rPr>
          <w:spacing w:val="-2"/>
        </w:rPr>
        <w:t>）报告期内，公司将北京朗琴部分房产（朗琴国际</w:t>
      </w:r>
      <w:r>
        <w:rPr>
          <w:rFonts w:ascii="Times New Roman" w:hAnsi="Times New Roman" w:cs="Times New Roman" w:eastAsia="Times New Roman" w:hint="default"/>
          <w:spacing w:val="-2"/>
        </w:rPr>
        <w:t>A</w:t>
      </w:r>
      <w:r>
        <w:rPr>
          <w:spacing w:val="-2"/>
        </w:rPr>
        <w:t>座</w:t>
      </w:r>
      <w:r>
        <w:rPr>
          <w:rFonts w:ascii="Times New Roman" w:hAnsi="Times New Roman" w:cs="Times New Roman" w:eastAsia="Times New Roman" w:hint="default"/>
          <w:spacing w:val="-2"/>
        </w:rPr>
        <w:t>10</w:t>
      </w:r>
      <w:r>
        <w:rPr>
          <w:spacing w:val="-2"/>
        </w:rPr>
        <w:t>层</w:t>
      </w:r>
      <w:r>
        <w:rPr>
          <w:rFonts w:ascii="Times New Roman" w:hAnsi="Times New Roman" w:cs="Times New Roman" w:eastAsia="Times New Roman" w:hint="default"/>
          <w:spacing w:val="-2"/>
        </w:rPr>
        <w:t>1006</w:t>
      </w:r>
      <w:r>
        <w:rPr>
          <w:spacing w:val="-2"/>
        </w:rPr>
        <w:t>室）出租给吴智奇办公使用，出租面积</w:t>
      </w:r>
      <w:r>
        <w:rPr>
          <w:rFonts w:ascii="Times New Roman" w:hAnsi="Times New Roman" w:cs="Times New Roman" w:eastAsia="Times New Roman" w:hint="default"/>
          <w:spacing w:val="-2"/>
        </w:rPr>
        <w:t>170.00</w:t>
      </w:r>
      <w:r>
        <w:rPr>
          <w:spacing w:val="-2"/>
        </w:rPr>
        <w:t>平方米、租</w:t>
      </w:r>
      <w:r>
        <w:rPr>
          <w:spacing w:val="-53"/>
        </w:rPr>
        <w:t> </w:t>
      </w:r>
      <w:r>
        <w:rPr>
          <w:spacing w:val="-53"/>
        </w:rPr>
      </w:r>
      <w:r>
        <w:rPr/>
        <w:t>期两年、租金为</w:t>
      </w:r>
      <w:r>
        <w:rPr>
          <w:rFonts w:ascii="Times New Roman" w:hAnsi="Times New Roman" w:cs="Times New Roman" w:eastAsia="Times New Roman" w:hint="default"/>
        </w:rPr>
        <w:t>465,375</w:t>
      </w:r>
      <w:r>
        <w:rPr/>
        <w:t>元</w:t>
      </w:r>
      <w:r>
        <w:rPr>
          <w:rFonts w:ascii="Times New Roman" w:hAnsi="Times New Roman" w:cs="Times New Roman" w:eastAsia="Times New Roman" w:hint="default"/>
        </w:rPr>
        <w:t>/</w:t>
      </w:r>
      <w:r>
        <w:rPr/>
        <w:t>年（含税），报告期租金收入</w:t>
      </w:r>
      <w:r>
        <w:rPr>
          <w:rFonts w:ascii="Times New Roman" w:hAnsi="Times New Roman" w:cs="Times New Roman" w:eastAsia="Times New Roman" w:hint="default"/>
        </w:rPr>
        <w:t>221,607.14</w:t>
      </w:r>
      <w:r>
        <w:rPr/>
        <w:t>元。</w:t>
      </w:r>
    </w:p>
    <w:p>
      <w:pPr>
        <w:pStyle w:val="BodyText"/>
        <w:spacing w:line="319" w:lineRule="auto" w:before="13"/>
        <w:ind w:right="1119"/>
        <w:jc w:val="left"/>
      </w:pPr>
      <w:r>
        <w:rPr>
          <w:spacing w:val="-1"/>
        </w:rPr>
        <w:t>（</w:t>
      </w:r>
      <w:r>
        <w:rPr>
          <w:rFonts w:ascii="Times New Roman" w:hAnsi="Times New Roman" w:cs="Times New Roman" w:eastAsia="Times New Roman" w:hint="default"/>
          <w:spacing w:val="-1"/>
        </w:rPr>
        <w:t>4</w:t>
      </w:r>
      <w:r>
        <w:rPr>
          <w:spacing w:val="-1"/>
        </w:rPr>
        <w:t>）报告期内，公司将海南华凯江海庭房产（华凯江海庭</w:t>
      </w:r>
      <w:r>
        <w:rPr>
          <w:rFonts w:ascii="Times New Roman" w:hAnsi="Times New Roman" w:cs="Times New Roman" w:eastAsia="Times New Roman" w:hint="default"/>
          <w:spacing w:val="-1"/>
        </w:rPr>
        <w:t>C</w:t>
      </w:r>
      <w:r>
        <w:rPr>
          <w:spacing w:val="-1"/>
        </w:rPr>
        <w:t>栋</w:t>
      </w:r>
      <w:r>
        <w:rPr>
          <w:rFonts w:ascii="Times New Roman" w:hAnsi="Times New Roman" w:cs="Times New Roman" w:eastAsia="Times New Roman" w:hint="default"/>
          <w:spacing w:val="-1"/>
        </w:rPr>
        <w:t>C05</w:t>
      </w:r>
      <w:r>
        <w:rPr>
          <w:spacing w:val="-1"/>
        </w:rPr>
        <w:t>房）出租给海口美兰伯克利音乐工作室办公使用，出租面</w:t>
      </w:r>
      <w:r>
        <w:rPr/>
        <w:t> 积</w:t>
      </w:r>
      <w:r>
        <w:rPr>
          <w:rFonts w:ascii="Times New Roman" w:hAnsi="Times New Roman" w:cs="Times New Roman" w:eastAsia="Times New Roman" w:hint="default"/>
        </w:rPr>
        <w:t>275.26</w:t>
      </w:r>
      <w:r>
        <w:rPr/>
        <w:t>平方米、租期叁年、租金为</w:t>
      </w:r>
      <w:r>
        <w:rPr>
          <w:rFonts w:ascii="Times New Roman" w:hAnsi="Times New Roman" w:cs="Times New Roman" w:eastAsia="Times New Roman" w:hint="default"/>
        </w:rPr>
        <w:t>198,187.2</w:t>
      </w:r>
      <w:r>
        <w:rPr/>
        <w:t>元</w:t>
      </w:r>
      <w:r>
        <w:rPr>
          <w:rFonts w:ascii="Times New Roman" w:hAnsi="Times New Roman" w:cs="Times New Roman" w:eastAsia="Times New Roman" w:hint="default"/>
        </w:rPr>
        <w:t>/</w:t>
      </w:r>
      <w:r>
        <w:rPr/>
        <w:t>年（含税），报告期租金收入</w:t>
      </w:r>
      <w:r>
        <w:rPr>
          <w:rFonts w:ascii="Times New Roman" w:hAnsi="Times New Roman" w:cs="Times New Roman" w:eastAsia="Times New Roman" w:hint="default"/>
        </w:rPr>
        <w:t>94,374.86</w:t>
      </w:r>
      <w:r>
        <w:rPr/>
        <w:t>元。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36"/>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985"/>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11"/>
        <w:gridCol w:w="925"/>
        <w:gridCol w:w="1305"/>
        <w:gridCol w:w="1048"/>
        <w:gridCol w:w="1046"/>
        <w:gridCol w:w="1055"/>
        <w:gridCol w:w="785"/>
        <w:gridCol w:w="785"/>
      </w:tblGrid>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3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远光共创智能科技股 份有限公司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杭州昊美科技有限公 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3,600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985"/>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985"/>
        <w:jc w:val="left"/>
      </w:pPr>
      <w:r>
        <w:rPr/>
        <w:t>单项金额重大或安全性较低、流动性较差、不保本的高风险委托理财具体情况</w:t>
      </w:r>
    </w:p>
    <w:p>
      <w:pPr>
        <w:pStyle w:val="BodyText"/>
        <w:spacing w:line="338" w:lineRule="auto" w:before="117"/>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985"/>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985"/>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spacing w:line="547" w:lineRule="auto" w:before="0"/>
        <w:ind w:left="153" w:right="3643" w:firstLine="0"/>
        <w:jc w:val="left"/>
        <w:rPr>
          <w:rFonts w:ascii="宋体" w:hAnsi="宋体" w:cs="宋体" w:eastAsia="宋体" w:hint="default"/>
          <w:sz w:val="21"/>
          <w:szCs w:val="21"/>
        </w:rPr>
      </w:pPr>
      <w:bookmarkStart w:name="1、履行社会责任情况" w:id="97"/>
      <w:bookmarkEnd w:id="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社会责任情况详见公司于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日在巨潮资讯网披露的《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年度社会责任报告》。 </w:t>
      </w:r>
      <w:bookmarkStart w:name="2、履行精准扶贫社会责任情况" w:id="98"/>
      <w:bookmarkEnd w:id="9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BodyText"/>
        <w:spacing w:line="240" w:lineRule="auto" w:before="50"/>
        <w:ind w:right="985"/>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4" w:right="5712"/>
        <w:jc w:val="left"/>
      </w:pPr>
      <w:r>
        <w:rPr/>
        <w:t>上市公司及其子公司是否属于环境保护部门公布的重点排污单位 否</w:t>
      </w:r>
    </w:p>
    <w:p>
      <w:pPr>
        <w:pStyle w:val="Heading5"/>
        <w:spacing w:line="273" w:lineRule="auto" w:before="2"/>
        <w:ind w:left="154" w:right="985" w:firstLine="420"/>
        <w:jc w:val="left"/>
      </w:pPr>
      <w:r>
        <w:rPr>
          <w:spacing w:val="-1"/>
        </w:rPr>
        <w:t>公司以向集团企业提供管理信息化产品及服务为主要经营方向，不属于环境保护部门公布的重点排污</w:t>
      </w:r>
      <w:r>
        <w:rPr/>
        <w:t> </w:t>
      </w:r>
      <w:r>
        <w:rPr>
          <w:spacing w:val="-1"/>
        </w:rPr>
        <w:t>单位，在日常生产经营过程中不存在产生、排放污染物等不利环境保护的情形。公司董事长陈利浩亲自编</w:t>
      </w:r>
    </w:p>
    <w:p>
      <w:pPr>
        <w:spacing w:after="0" w:line="273"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pPr>
      <w:r>
        <w:rPr/>
        <w:t>写并印制两版《低碳</w:t>
      </w:r>
      <w:r>
        <w:rPr>
          <w:rFonts w:ascii="Times New Roman" w:hAnsi="Times New Roman" w:cs="Times New Roman" w:eastAsia="Times New Roman" w:hint="default"/>
        </w:rPr>
        <w:t>100</w:t>
      </w:r>
      <w:r>
        <w:rPr/>
        <w:t>》，成为员工日常低碳行为准则，取得良好成效。</w:t>
      </w:r>
    </w:p>
    <w:p>
      <w:pPr>
        <w:spacing w:line="240" w:lineRule="auto" w:before="12"/>
        <w:rPr>
          <w:rFonts w:ascii="宋体" w:hAnsi="宋体" w:cs="宋体" w:eastAsia="宋体" w:hint="default"/>
          <w:sz w:val="22"/>
          <w:szCs w:val="22"/>
        </w:rPr>
      </w:pPr>
    </w:p>
    <w:p>
      <w:pPr>
        <w:pStyle w:val="Heading2"/>
        <w:spacing w:line="240" w:lineRule="auto"/>
        <w:ind w:right="985"/>
        <w:jc w:val="left"/>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985"/>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日公司第五届董事会第三十二次会议审议通过了《非公开发行股票预案》及相关议案，并经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日公司</w:t>
      </w:r>
    </w:p>
    <w:p>
      <w:pPr>
        <w:pStyle w:val="BodyText"/>
        <w:spacing w:line="276" w:lineRule="auto" w:before="63"/>
        <w:ind w:right="1033"/>
        <w:jc w:val="left"/>
      </w:pPr>
      <w:r>
        <w:rPr>
          <w:rFonts w:ascii="Times New Roman" w:hAnsi="Times New Roman" w:cs="Times New Roman" w:eastAsia="Times New Roman" w:hint="default"/>
        </w:rPr>
        <w:t>2016</w:t>
      </w:r>
      <w:r>
        <w:rPr/>
        <w:t>年第三次临时股东大会审议通过，具体情况详见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日公司在《证券时报》、《中国证券报》 以及巨潮资讯网</w:t>
      </w:r>
      <w:r>
        <w:rPr>
          <w:sz w:val="21"/>
          <w:szCs w:val="21"/>
        </w:rPr>
        <w:t>（</w:t>
      </w:r>
      <w:hyperlink r:id="rId10">
        <w:r>
          <w:rPr>
            <w:rFonts w:ascii="Times New Roman" w:hAnsi="Times New Roman" w:cs="Times New Roman" w:eastAsia="Times New Roman" w:hint="default"/>
            <w:sz w:val="21"/>
            <w:szCs w:val="21"/>
          </w:rPr>
          <w:t>www.cninfo.com.cn</w:t>
        </w:r>
      </w:hyperlink>
      <w:r>
        <w:rPr/>
        <w:t>）发布的相关公告。</w:t>
      </w:r>
    </w:p>
    <w:p>
      <w:pPr>
        <w:spacing w:line="240" w:lineRule="auto" w:before="10"/>
        <w:rPr>
          <w:rFonts w:ascii="宋体" w:hAnsi="宋体" w:cs="宋体" w:eastAsia="宋体" w:hint="default"/>
          <w:sz w:val="24"/>
          <w:szCs w:val="24"/>
        </w:rPr>
      </w:pPr>
    </w:p>
    <w:p>
      <w:pPr>
        <w:pStyle w:val="BodyText"/>
        <w:spacing w:line="278" w:lineRule="auto" w:before="0"/>
        <w:ind w:right="985"/>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日，公司披露《关于非公开发行股票申请获得中国证券监督管理委员会受理的公告》，具体详见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4"/>
        </w:rPr>
        <w:t> </w:t>
      </w:r>
      <w:r>
        <w:rPr/>
        <w:t>日公司在《证券时报》、《中国证券报》以及巨潮资讯网</w:t>
      </w:r>
      <w:r>
        <w:rPr>
          <w:sz w:val="21"/>
          <w:szCs w:val="21"/>
        </w:rPr>
        <w:t>（</w:t>
      </w:r>
      <w:hyperlink r:id="rId10">
        <w:r>
          <w:rPr>
            <w:rFonts w:ascii="Times New Roman" w:hAnsi="Times New Roman" w:cs="Times New Roman" w:eastAsia="Times New Roman" w:hint="default"/>
            <w:sz w:val="21"/>
            <w:szCs w:val="21"/>
          </w:rPr>
          <w:t>www.cninfo.com.cn</w:t>
        </w:r>
      </w:hyperlink>
      <w:r>
        <w:rPr/>
        <w:t>）发布的相关公告。</w:t>
      </w:r>
      <w:r>
        <w:rPr>
          <w:w w:val="99"/>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日，公司披露《关于收到</w:t>
      </w:r>
      <w:r>
        <w:rPr>
          <w:rFonts w:ascii="Times New Roman" w:hAnsi="Times New Roman" w:cs="Times New Roman" w:eastAsia="Times New Roman" w:hint="default"/>
        </w:rPr>
        <w:t>&lt;</w:t>
      </w:r>
      <w:r>
        <w:rPr/>
        <w:t>中国证监会行政许可项目审查反馈意见通知书</w:t>
      </w:r>
      <w:r>
        <w:rPr>
          <w:rFonts w:ascii="Times New Roman" w:hAnsi="Times New Roman" w:cs="Times New Roman" w:eastAsia="Times New Roman" w:hint="default"/>
        </w:rPr>
        <w:t>&gt;</w:t>
      </w:r>
      <w:r>
        <w:rPr/>
        <w:t>的公告》，具体详见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w:t>
      </w:r>
      <w:r>
        <w:rPr>
          <w:w w:val="99"/>
        </w:rPr>
        <w:t> </w:t>
      </w:r>
      <w:r>
        <w:rPr/>
        <w:t>公司在《证券时报》、《中国证券报》以及巨潮资讯网</w:t>
      </w:r>
      <w:r>
        <w:rPr>
          <w:sz w:val="21"/>
          <w:szCs w:val="21"/>
        </w:rPr>
        <w:t>（</w:t>
      </w:r>
      <w:hyperlink r:id="rId10">
        <w:r>
          <w:rPr>
            <w:rFonts w:ascii="Times New Roman" w:hAnsi="Times New Roman" w:cs="Times New Roman" w:eastAsia="Times New Roman" w:hint="default"/>
            <w:sz w:val="21"/>
            <w:szCs w:val="21"/>
          </w:rPr>
          <w:t>www.cninfo.com.cn</w:t>
        </w:r>
      </w:hyperlink>
      <w:r>
        <w:rPr/>
        <w:t>）发布的相关公告。</w:t>
      </w:r>
      <w:r>
        <w:rPr>
          <w:w w:val="99"/>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日，公司披露《关于</w:t>
      </w:r>
      <w:r>
        <w:rPr>
          <w:rFonts w:ascii="Times New Roman" w:hAnsi="Times New Roman" w:cs="Times New Roman" w:eastAsia="Times New Roman" w:hint="default"/>
          <w:spacing w:val="-2"/>
        </w:rPr>
        <w:t>2016</w:t>
      </w:r>
      <w:r>
        <w:rPr>
          <w:spacing w:val="-2"/>
        </w:rPr>
        <w:t>年非公开发行股票申请文件反馈意见回复的公告》，具体详见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日公司在</w:t>
      </w:r>
    </w:p>
    <w:p>
      <w:pPr>
        <w:pStyle w:val="BodyText"/>
        <w:spacing w:line="285" w:lineRule="auto" w:before="5"/>
        <w:ind w:right="985"/>
        <w:jc w:val="left"/>
      </w:pPr>
      <w:r>
        <w:rPr/>
        <w:t>《证券时报》、《中国证券报》以及巨潮资讯网</w:t>
      </w:r>
      <w:r>
        <w:rPr>
          <w:sz w:val="21"/>
          <w:szCs w:val="21"/>
        </w:rPr>
        <w:t>（</w:t>
      </w:r>
      <w:hyperlink r:id="rId10">
        <w:r>
          <w:rPr>
            <w:rFonts w:ascii="Times New Roman" w:hAnsi="Times New Roman" w:cs="Times New Roman" w:eastAsia="Times New Roman" w:hint="default"/>
            <w:sz w:val="21"/>
            <w:szCs w:val="21"/>
          </w:rPr>
          <w:t>www.cninfo.com.cn</w:t>
        </w:r>
      </w:hyperlink>
      <w:r>
        <w:rPr/>
        <w:t>）发布的相关公告。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6</w:t>
      </w:r>
      <w:r>
        <w:rPr>
          <w:spacing w:val="-1"/>
        </w:rPr>
        <w:t>日，中国证监会发行审核委员会对公司非公开发行</w:t>
      </w:r>
      <w:r>
        <w:rPr>
          <w:rFonts w:ascii="Times New Roman" w:hAnsi="Times New Roman" w:cs="Times New Roman" w:eastAsia="Times New Roman" w:hint="default"/>
          <w:spacing w:val="-1"/>
        </w:rPr>
        <w:t>A</w:t>
      </w:r>
      <w:r>
        <w:rPr>
          <w:spacing w:val="-1"/>
        </w:rPr>
        <w:t>股股票的申请进行了审核，根据会议结果，公司本次非公开</w:t>
      </w:r>
      <w:r>
        <w:rPr>
          <w:spacing w:val="-67"/>
        </w:rPr>
        <w:t> </w:t>
      </w:r>
      <w:r>
        <w:rPr>
          <w:spacing w:val="-67"/>
        </w:rPr>
      </w:r>
      <w:r>
        <w:rPr>
          <w:spacing w:val="-2"/>
        </w:rPr>
        <w:t>发行股票申请获得通过，目前公司尚未收到中国证监会的书面核准文件，具体详见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日公司在《证券时报》、《中</w:t>
      </w:r>
      <w:r>
        <w:rPr>
          <w:spacing w:val="-59"/>
        </w:rPr>
        <w:t> </w:t>
      </w:r>
      <w:r>
        <w:rPr>
          <w:spacing w:val="-59"/>
        </w:rPr>
      </w:r>
      <w:r>
        <w:rPr/>
        <w:t>国证券报》以及巨潮资讯网</w:t>
      </w:r>
      <w:r>
        <w:rPr>
          <w:sz w:val="21"/>
          <w:szCs w:val="21"/>
        </w:rPr>
        <w:t>（</w:t>
      </w:r>
      <w:hyperlink r:id="rId10">
        <w:r>
          <w:rPr>
            <w:rFonts w:ascii="Times New Roman" w:hAnsi="Times New Roman" w:cs="Times New Roman" w:eastAsia="Times New Roman" w:hint="default"/>
            <w:sz w:val="21"/>
            <w:szCs w:val="21"/>
          </w:rPr>
          <w:t>www.cninfo.com.cn</w:t>
        </w:r>
      </w:hyperlink>
      <w:r>
        <w:rPr/>
        <w:t>）发布的相关公告。</w:t>
      </w:r>
    </w:p>
    <w:p>
      <w:pPr>
        <w:pStyle w:val="BodyText"/>
        <w:spacing w:line="240" w:lineRule="auto" w:before="2"/>
        <w:ind w:left="154" w:right="985"/>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20</w:t>
      </w:r>
      <w:r>
        <w:rPr/>
        <w:t>日，公司披露了《关于实施</w:t>
      </w:r>
      <w:r>
        <w:rPr>
          <w:rFonts w:ascii="Times New Roman" w:hAnsi="Times New Roman" w:cs="Times New Roman" w:eastAsia="Times New Roman" w:hint="default"/>
        </w:rPr>
        <w:t>2016</w:t>
      </w:r>
      <w:r>
        <w:rPr/>
        <w:t>年年度权益分派方案后调整非公开发行股票发行底价和发行数量的公告</w:t>
      </w:r>
      <w:r>
        <w:rPr>
          <w:spacing w:val="-57"/>
        </w:rPr>
        <w:t> </w:t>
      </w:r>
      <w:r>
        <w:rPr>
          <w:spacing w:val="-28"/>
        </w:rPr>
        <w:t>》，</w:t>
      </w:r>
      <w:r>
        <w:rPr/>
      </w:r>
    </w:p>
    <w:p>
      <w:pPr>
        <w:pStyle w:val="BodyText"/>
        <w:spacing w:line="240" w:lineRule="auto" w:before="63"/>
        <w:ind w:right="985"/>
        <w:jc w:val="left"/>
      </w:pPr>
      <w:r>
        <w:rPr/>
        <w:t>鉴于公司 </w:t>
      </w:r>
      <w:r>
        <w:rPr>
          <w:rFonts w:ascii="Times New Roman" w:hAnsi="Times New Roman" w:cs="Times New Roman" w:eastAsia="Times New Roman" w:hint="default"/>
        </w:rPr>
        <w:t>2016 </w:t>
      </w:r>
      <w:r>
        <w:rPr/>
        <w:t>年度利润分配方案已实施完毕，根据公司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年度非公开发行股票发行方案，本次非公开发行股票的发行</w:t>
      </w:r>
    </w:p>
    <w:p>
      <w:pPr>
        <w:pStyle w:val="BodyText"/>
        <w:spacing w:line="240" w:lineRule="auto" w:before="63"/>
        <w:ind w:right="985"/>
        <w:jc w:val="left"/>
        <w:rPr>
          <w:rFonts w:ascii="Times New Roman" w:hAnsi="Times New Roman" w:cs="Times New Roman" w:eastAsia="Times New Roman" w:hint="default"/>
        </w:rPr>
      </w:pPr>
      <w:r>
        <w:rPr/>
        <w:t>底价由 </w:t>
      </w:r>
      <w:r>
        <w:rPr>
          <w:rFonts w:ascii="Times New Roman" w:hAnsi="Times New Roman" w:cs="Times New Roman" w:eastAsia="Times New Roman" w:hint="default"/>
        </w:rPr>
        <w:t>13.17 </w:t>
      </w:r>
      <w:r>
        <w:rPr/>
        <w:t>元</w:t>
      </w:r>
      <w:r>
        <w:rPr>
          <w:rFonts w:ascii="Times New Roman" w:hAnsi="Times New Roman" w:cs="Times New Roman" w:eastAsia="Times New Roman" w:hint="default"/>
        </w:rPr>
        <w:t>/</w:t>
      </w:r>
      <w:r>
        <w:rPr/>
        <w:t>股调整为 </w:t>
      </w:r>
      <w:r>
        <w:rPr>
          <w:rFonts w:ascii="Times New Roman" w:hAnsi="Times New Roman" w:cs="Times New Roman" w:eastAsia="Times New Roman" w:hint="default"/>
        </w:rPr>
        <w:t>13.12</w:t>
      </w:r>
      <w:r>
        <w:rPr/>
        <w:t>元</w:t>
      </w:r>
      <w:r>
        <w:rPr>
          <w:rFonts w:ascii="Times New Roman" w:hAnsi="Times New Roman" w:cs="Times New Roman" w:eastAsia="Times New Roman" w:hint="default"/>
        </w:rPr>
        <w:t>/</w:t>
      </w:r>
      <w:r>
        <w:rPr/>
        <w:t>股，发行数量由不超过 </w:t>
      </w:r>
      <w:r>
        <w:rPr>
          <w:rFonts w:ascii="Times New Roman" w:hAnsi="Times New Roman" w:cs="Times New Roman" w:eastAsia="Times New Roman" w:hint="default"/>
        </w:rPr>
        <w:t>45,182,232 </w:t>
      </w:r>
      <w:r>
        <w:rPr/>
        <w:t>股调整为不超过 </w:t>
      </w:r>
      <w:r>
        <w:rPr>
          <w:rFonts w:ascii="Times New Roman" w:hAnsi="Times New Roman" w:cs="Times New Roman" w:eastAsia="Times New Roman" w:hint="default"/>
        </w:rPr>
        <w:t>45,354,420 </w:t>
      </w:r>
      <w:r>
        <w:rPr/>
        <w:t>股。具体内容详见</w:t>
      </w:r>
      <w:r>
        <w:rPr>
          <w:spacing w:val="-16"/>
        </w:rPr>
        <w:t> </w:t>
      </w:r>
      <w:r>
        <w:rPr>
          <w:rFonts w:ascii="Times New Roman" w:hAnsi="Times New Roman" w:cs="Times New Roman" w:eastAsia="Times New Roman" w:hint="default"/>
        </w:rPr>
        <w:t>2017</w:t>
      </w:r>
    </w:p>
    <w:p>
      <w:pPr>
        <w:spacing w:before="37"/>
        <w:ind w:left="153" w:right="985" w:firstLine="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日在《《证券时报》、《中国证券报》以及巨潮资讯网</w:t>
      </w: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18"/>
          <w:szCs w:val="18"/>
        </w:rPr>
        <w:t>）发布的相关公告。</w:t>
      </w:r>
    </w:p>
    <w:p>
      <w:pPr>
        <w:pStyle w:val="BodyText"/>
        <w:spacing w:line="240" w:lineRule="auto" w:before="47"/>
        <w:ind w:left="154" w:right="985"/>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15 </w:t>
      </w:r>
      <w:r>
        <w:rPr/>
        <w:t>日，公司披露了《关于非公开发行股票获得中国证监会核准批文的公告 》，具体详见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4"/>
        </w:rPr>
        <w:t> </w:t>
      </w:r>
      <w:r>
        <w:rPr/>
        <w:t>日</w:t>
      </w:r>
    </w:p>
    <w:p>
      <w:pPr>
        <w:spacing w:before="37"/>
        <w:ind w:left="153" w:right="985" w:firstLine="0"/>
        <w:jc w:val="left"/>
        <w:rPr>
          <w:rFonts w:ascii="宋体" w:hAnsi="宋体" w:cs="宋体" w:eastAsia="宋体" w:hint="default"/>
          <w:sz w:val="18"/>
          <w:szCs w:val="18"/>
        </w:rPr>
      </w:pPr>
      <w:r>
        <w:rPr>
          <w:rFonts w:ascii="宋体" w:hAnsi="宋体" w:cs="宋体" w:eastAsia="宋体" w:hint="default"/>
          <w:sz w:val="18"/>
          <w:szCs w:val="18"/>
        </w:rPr>
        <w:t>《证券时报》、《中国证券报》以及巨潮资讯网</w:t>
      </w: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18"/>
          <w:szCs w:val="18"/>
        </w:rPr>
        <w:t>）发布的相关公告。</w:t>
      </w:r>
    </w:p>
    <w:p>
      <w:pPr>
        <w:pStyle w:val="BodyText"/>
        <w:spacing w:line="290" w:lineRule="auto" w:before="46"/>
        <w:ind w:right="985"/>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5 </w:t>
      </w:r>
      <w:r>
        <w:rPr>
          <w:spacing w:val="-3"/>
        </w:rPr>
        <w:t>日，公司召开 </w:t>
      </w:r>
      <w:r>
        <w:rPr>
          <w:rFonts w:ascii="Times New Roman" w:hAnsi="Times New Roman" w:cs="Times New Roman" w:eastAsia="Times New Roman" w:hint="default"/>
        </w:rPr>
        <w:t>2017</w:t>
      </w:r>
      <w:r>
        <w:rPr>
          <w:rFonts w:ascii="Times New Roman" w:hAnsi="Times New Roman" w:cs="Times New Roman" w:eastAsia="Times New Roman" w:hint="default"/>
          <w:spacing w:val="30"/>
        </w:rPr>
        <w:t> </w:t>
      </w:r>
      <w:r>
        <w:rPr/>
        <w:t>年第二次临时股东大会，审议通过了《关于延长公司非公开发行股票股东大会决议有效 </w:t>
      </w:r>
      <w:r>
        <w:rPr>
          <w:spacing w:val="-2"/>
        </w:rPr>
        <w:t>期的议案》、《关于提请股东大会延长授权董事会全权办理本次非公开发行股票相关事宜的授权有效期的议案》等与本次非</w:t>
      </w:r>
      <w:r>
        <w:rPr>
          <w:spacing w:val="-65"/>
        </w:rPr>
        <w:t> </w:t>
      </w:r>
      <w:r>
        <w:rPr>
          <w:spacing w:val="-65"/>
        </w:rPr>
      </w:r>
      <w:r>
        <w:rPr>
          <w:spacing w:val="-5"/>
          <w:w w:val="99"/>
        </w:rPr>
        <w:t>公开发行有关的议案。具体详见</w:t>
      </w:r>
      <w:r>
        <w:rPr>
          <w:rFonts w:ascii="Times New Roman" w:hAnsi="Times New Roman" w:cs="Times New Roman" w:eastAsia="Times New Roman" w:hint="default"/>
          <w:spacing w:val="-5"/>
          <w:w w:val="99"/>
        </w:rPr>
        <w:t>2017</w:t>
      </w:r>
      <w:r>
        <w:rPr>
          <w:spacing w:val="-5"/>
          <w:w w:val="99"/>
        </w:rPr>
        <w:t>年</w:t>
      </w:r>
      <w:r>
        <w:rPr>
          <w:rFonts w:ascii="Times New Roman" w:hAnsi="Times New Roman" w:cs="Times New Roman" w:eastAsia="Times New Roman" w:hint="default"/>
          <w:spacing w:val="-5"/>
          <w:w w:val="99"/>
        </w:rPr>
        <w:t>9</w:t>
      </w:r>
      <w:r>
        <w:rPr>
          <w:spacing w:val="-5"/>
          <w:w w:val="99"/>
        </w:rPr>
        <w:t>月</w:t>
      </w:r>
      <w:r>
        <w:rPr>
          <w:rFonts w:ascii="Times New Roman" w:hAnsi="Times New Roman" w:cs="Times New Roman" w:eastAsia="Times New Roman" w:hint="default"/>
          <w:spacing w:val="-5"/>
          <w:w w:val="99"/>
        </w:rPr>
        <w:t>6</w:t>
      </w:r>
      <w:r>
        <w:rPr>
          <w:spacing w:val="-5"/>
          <w:w w:val="99"/>
        </w:rPr>
        <w:t>日公司在《证券时报》、《中国证券报》以及巨潮资讯网</w:t>
      </w:r>
      <w:r>
        <w:rPr>
          <w:spacing w:val="-5"/>
          <w:w w:val="99"/>
          <w:sz w:val="21"/>
          <w:szCs w:val="21"/>
        </w:rPr>
        <w:t>（</w:t>
      </w:r>
      <w:hyperlink r:id="rId10">
        <w:r>
          <w:rPr>
            <w:rFonts w:ascii="Times New Roman" w:hAnsi="Times New Roman" w:cs="Times New Roman" w:eastAsia="Times New Roman" w:hint="default"/>
            <w:spacing w:val="-5"/>
            <w:w w:val="99"/>
            <w:sz w:val="21"/>
            <w:szCs w:val="21"/>
          </w:rPr>
          <w:t>www.cninfo.com.cn</w:t>
        </w:r>
      </w:hyperlink>
      <w:r>
        <w:rPr>
          <w:spacing w:val="-5"/>
          <w:w w:val="99"/>
        </w:rPr>
        <w:t>）</w:t>
      </w:r>
      <w:r>
        <w:rPr>
          <w:spacing w:val="-56"/>
          <w:w w:val="99"/>
        </w:rPr>
        <w:t> </w:t>
      </w:r>
      <w:r>
        <w:rPr/>
        <w:t>发布的相关公告。</w:t>
      </w:r>
    </w:p>
    <w:p>
      <w:pPr>
        <w:pStyle w:val="BodyText"/>
        <w:spacing w:line="288" w:lineRule="auto" w:before="38"/>
        <w:ind w:right="1174"/>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日，公司披露了《非公开发行股票之发行情况报告暨上市公告书》本次非公开发行新增股份 </w:t>
      </w:r>
      <w:r>
        <w:rPr>
          <w:rFonts w:ascii="Times New Roman" w:hAnsi="Times New Roman" w:cs="Times New Roman" w:eastAsia="Times New Roman" w:hint="default"/>
        </w:rPr>
        <w:t>4,542,682</w:t>
      </w:r>
      <w:r>
        <w:rPr>
          <w:rFonts w:ascii="Times New Roman" w:hAnsi="Times New Roman" w:cs="Times New Roman" w:eastAsia="Times New Roman" w:hint="default"/>
          <w:spacing w:val="8"/>
        </w:rPr>
        <w:t> </w:t>
      </w:r>
      <w:r>
        <w:rPr/>
        <w:t>股人民 币普通股（</w:t>
      </w:r>
      <w:r>
        <w:rPr>
          <w:rFonts w:ascii="Times New Roman" w:hAnsi="Times New Roman" w:cs="Times New Roman" w:eastAsia="Times New Roman" w:hint="default"/>
        </w:rPr>
        <w:t>A </w:t>
      </w:r>
      <w:r>
        <w:rPr/>
        <w:t>股），将于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24"/>
        </w:rPr>
        <w:t> </w:t>
      </w:r>
      <w:r>
        <w:rPr/>
        <w:t>日在深圳证券交易所上市。具体详见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日公司在《证券时报》、《中 国证券报》以及巨潮资讯网</w:t>
      </w:r>
      <w:r>
        <w:rPr>
          <w:sz w:val="21"/>
          <w:szCs w:val="21"/>
        </w:rPr>
        <w:t>（</w:t>
      </w:r>
      <w:hyperlink r:id="rId10">
        <w:r>
          <w:rPr>
            <w:rFonts w:ascii="Times New Roman" w:hAnsi="Times New Roman" w:cs="Times New Roman" w:eastAsia="Times New Roman" w:hint="default"/>
            <w:sz w:val="21"/>
            <w:szCs w:val="21"/>
          </w:rPr>
          <w:t>www.cninfo.com.cn</w:t>
        </w:r>
      </w:hyperlink>
      <w:r>
        <w:rPr/>
        <w:t>）发布的相关公告。</w:t>
      </w:r>
    </w:p>
    <w:p>
      <w:pPr>
        <w:spacing w:line="240" w:lineRule="auto" w:before="4"/>
        <w:rPr>
          <w:rFonts w:ascii="宋体" w:hAnsi="宋体" w:cs="宋体" w:eastAsia="宋体" w:hint="default"/>
          <w:sz w:val="19"/>
          <w:szCs w:val="19"/>
        </w:rPr>
      </w:pPr>
    </w:p>
    <w:p>
      <w:pPr>
        <w:pStyle w:val="Heading2"/>
        <w:spacing w:line="240" w:lineRule="auto"/>
        <w:ind w:left="154" w:right="985"/>
        <w:jc w:val="left"/>
        <w:rPr>
          <w:b w:val="0"/>
          <w:bCs w:val="0"/>
        </w:rPr>
      </w:pPr>
      <w:bookmarkStart w:name="二十、公司子公司重大事项" w:id="101"/>
      <w:bookmarkEnd w:id="101"/>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985"/>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80,156,58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1,418,760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-14,180,9</w:t>
            </w:r>
            <w:r>
              <w:rPr>
                <w:rFonts w:ascii="Times New Roman"/>
                <w:sz w:val="18"/>
              </w:rPr>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-12,762,1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67,394,43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11.18%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79,930,60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1,418,760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-14,136,2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-12,717,4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67,213,13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11.15%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79,930,60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1,418,760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-14,136,2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-12,717,4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67,213,13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11.15%</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-44,679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181,304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-44,679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181,304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526,406,7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86.79%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8,772,764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8,772,764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88.82%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526,406,7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86.79%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8,772,764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8,772,764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88.82%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606,563,3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1,418,760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-5,408,14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-3,989,38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602,573,9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985"/>
        <w:jc w:val="left"/>
      </w:pPr>
      <w:r>
        <w:rPr/>
        <w:t>股份变动的原因</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12" w:lineRule="exact" w:before="82"/>
        <w:ind w:right="1131"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日，公司第五届董事会第三十六次会议审议通过《关于回购注销</w:t>
      </w:r>
      <w:r>
        <w:rPr>
          <w:rFonts w:ascii="Times New Roman" w:hAnsi="Times New Roman" w:cs="Times New Roman" w:eastAsia="Times New Roman" w:hint="default"/>
        </w:rPr>
        <w:t>2014</w:t>
      </w:r>
      <w:r>
        <w:rPr/>
        <w:t>年 限制性股票激励计划第二期未达到解锁条件限制性股票的议案》，同意对因未满足公司</w:t>
      </w:r>
      <w:r>
        <w:rPr>
          <w:rFonts w:ascii="Times New Roman" w:hAnsi="Times New Roman" w:cs="Times New Roman" w:eastAsia="Times New Roman" w:hint="default"/>
        </w:rPr>
        <w:t>2014</w:t>
      </w:r>
      <w:r>
        <w:rPr>
          <w:rFonts w:ascii="Times New Roman" w:hAnsi="Times New Roman" w:cs="Times New Roman" w:eastAsia="Times New Roman" w:hint="default"/>
          <w:spacing w:val="-51"/>
        </w:rPr>
        <w:t> </w:t>
      </w:r>
      <w:r>
        <w:rPr/>
        <w:t>年限制性股票激励计划规定的第二期解锁条件的所有激励对象已获授但尚未解锁的第二期限</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22" w:lineRule="exact" w:before="26"/>
        <w:ind w:right="985"/>
        <w:jc w:val="left"/>
      </w:pPr>
      <w:r>
        <w:rPr>
          <w:spacing w:val="25"/>
        </w:rPr>
        <w:t>制性股票共计</w:t>
      </w:r>
      <w:r>
        <w:rPr>
          <w:spacing w:val="-77"/>
        </w:rPr>
        <w:t> </w:t>
      </w:r>
      <w:r>
        <w:rPr>
          <w:rFonts w:ascii="Times New Roman" w:hAnsi="Times New Roman" w:cs="Times New Roman" w:eastAsia="Times New Roman" w:hint="default"/>
        </w:rPr>
        <w:t>5,277,547</w:t>
      </w:r>
      <w:r>
        <w:rPr>
          <w:rFonts w:ascii="Times New Roman" w:hAnsi="Times New Roman" w:cs="Times New Roman" w:eastAsia="Times New Roman" w:hint="default"/>
          <w:spacing w:val="-17"/>
        </w:rPr>
        <w:t> </w:t>
      </w:r>
      <w:r>
        <w:rPr>
          <w:spacing w:val="29"/>
        </w:rPr>
        <w:t>股进行回购注销。上述股份回购注销完成后公司股本总额由</w:t>
      </w:r>
      <w:r>
        <w:rPr>
          <w:spacing w:val="-89"/>
        </w:rPr>
        <w:t> </w:t>
      </w:r>
      <w:r>
        <w:rPr/>
      </w:r>
    </w:p>
    <w:p>
      <w:pPr>
        <w:pStyle w:val="Heading3"/>
        <w:spacing w:line="312" w:lineRule="exact"/>
        <w:ind w:right="985"/>
        <w:jc w:val="left"/>
      </w:pPr>
      <w:r>
        <w:rPr>
          <w:rFonts w:ascii="Times New Roman" w:hAnsi="Times New Roman" w:cs="Times New Roman" w:eastAsia="Times New Roman" w:hint="default"/>
        </w:rPr>
        <w:t>606,563,337</w:t>
      </w:r>
      <w:r>
        <w:rPr/>
        <w:t>股变更</w:t>
      </w:r>
      <w:r>
        <w:rPr>
          <w:rFonts w:ascii="Times New Roman" w:hAnsi="Times New Roman" w:cs="Times New Roman" w:eastAsia="Times New Roman" w:hint="default"/>
        </w:rPr>
        <w:t>601,285,790</w:t>
      </w:r>
      <w:r>
        <w:rPr/>
        <w:t>股；</w:t>
      </w:r>
    </w:p>
    <w:p>
      <w:pPr>
        <w:pStyle w:val="Heading3"/>
        <w:spacing w:line="225" w:lineRule="auto" w:before="6"/>
        <w:ind w:left="154" w:right="1132"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日，公司第六届董事会第七次会议审议通过了《关于向激励对象授予预 留限制性股票的议案》，同意向激励对象授予预留限制性股票</w:t>
      </w:r>
      <w:r>
        <w:rPr>
          <w:rFonts w:ascii="Times New Roman" w:hAnsi="Times New Roman" w:cs="Times New Roman" w:eastAsia="Times New Roman" w:hint="default"/>
        </w:rPr>
        <w:t>1,418,760</w:t>
      </w:r>
      <w:r>
        <w:rPr/>
        <w:t>股。上述股份登记完</w:t>
      </w:r>
      <w:r>
        <w:rPr>
          <w:spacing w:val="-109"/>
        </w:rPr>
        <w:t> </w:t>
      </w:r>
      <w:r>
        <w:rPr>
          <w:spacing w:val="-109"/>
        </w:rPr>
      </w:r>
      <w:r>
        <w:rPr/>
        <w:t>成后公司股本总额由</w:t>
      </w:r>
      <w:r>
        <w:rPr>
          <w:rFonts w:ascii="Times New Roman" w:hAnsi="Times New Roman" w:cs="Times New Roman" w:eastAsia="Times New Roman" w:hint="default"/>
        </w:rPr>
        <w:t>601,285,790  </w:t>
      </w:r>
      <w:r>
        <w:rPr/>
        <w:t>股变更为</w:t>
      </w:r>
      <w:r>
        <w:rPr>
          <w:rFonts w:ascii="Times New Roman" w:hAnsi="Times New Roman" w:cs="Times New Roman" w:eastAsia="Times New Roman" w:hint="default"/>
        </w:rPr>
        <w:t>602,704,550</w:t>
      </w:r>
      <w:r>
        <w:rPr>
          <w:rFonts w:ascii="Times New Roman" w:hAnsi="Times New Roman" w:cs="Times New Roman" w:eastAsia="Times New Roman" w:hint="default"/>
          <w:spacing w:val="12"/>
        </w:rPr>
        <w:t> </w:t>
      </w:r>
      <w:r>
        <w:rPr/>
        <w:t>股。</w:t>
      </w:r>
    </w:p>
    <w:p>
      <w:pPr>
        <w:pStyle w:val="Heading3"/>
        <w:spacing w:line="312" w:lineRule="exact" w:before="13"/>
        <w:ind w:right="1132" w:firstLine="48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日，公司</w:t>
      </w:r>
      <w:r>
        <w:rPr>
          <w:rFonts w:ascii="Times New Roman" w:hAnsi="Times New Roman" w:cs="Times New Roman" w:eastAsia="Times New Roman" w:hint="default"/>
          <w:spacing w:val="-2"/>
        </w:rPr>
        <w:t>2017</w:t>
      </w:r>
      <w:r>
        <w:rPr>
          <w:spacing w:val="-2"/>
        </w:rPr>
        <w:t>年第二次临时股东大会审议通过了《关于回购注销</w:t>
      </w:r>
      <w:r>
        <w:rPr>
          <w:rFonts w:ascii="Times New Roman" w:hAnsi="Times New Roman" w:cs="Times New Roman" w:eastAsia="Times New Roman" w:hint="default"/>
          <w:spacing w:val="-2"/>
        </w:rPr>
        <w:t>2016</w:t>
      </w:r>
      <w:r>
        <w:rPr>
          <w:spacing w:val="-2"/>
        </w:rPr>
        <w:t>年限</w:t>
      </w:r>
      <w:r>
        <w:rPr/>
        <w:t> 制性股票激励计划部分限制性股票的议案》，同意因离职已不符合激励条件的原激励对象吴 明等</w:t>
      </w:r>
      <w:r>
        <w:rPr>
          <w:rFonts w:ascii="Times New Roman" w:hAnsi="Times New Roman" w:cs="Times New Roman" w:eastAsia="Times New Roman" w:hint="default"/>
        </w:rPr>
        <w:t>9</w:t>
      </w:r>
      <w:r>
        <w:rPr/>
        <w:t>人已获授但尚未解锁的限制性股票共计</w:t>
      </w:r>
      <w:r>
        <w:rPr>
          <w:rFonts w:ascii="Times New Roman" w:hAnsi="Times New Roman" w:cs="Times New Roman" w:eastAsia="Times New Roman" w:hint="default"/>
        </w:rPr>
        <w:t>130,600</w:t>
      </w:r>
      <w:r>
        <w:rPr/>
        <w:t>股进行回购注销。上述股份回购注销完</w:t>
      </w:r>
      <w:r>
        <w:rPr>
          <w:spacing w:val="-36"/>
        </w:rPr>
        <w:t> </w:t>
      </w:r>
      <w:r>
        <w:rPr>
          <w:spacing w:val="-36"/>
        </w:rPr>
      </w:r>
      <w:r>
        <w:rPr/>
        <w:t>成后公司股本由</w:t>
      </w:r>
      <w:r>
        <w:rPr>
          <w:rFonts w:ascii="Times New Roman" w:hAnsi="Times New Roman" w:cs="Times New Roman" w:eastAsia="Times New Roman" w:hint="default"/>
        </w:rPr>
        <w:t>602,704,550</w:t>
      </w:r>
      <w:r>
        <w:rPr/>
        <w:t>股变更为</w:t>
      </w:r>
      <w:r>
        <w:rPr>
          <w:rFonts w:ascii="Times New Roman" w:hAnsi="Times New Roman" w:cs="Times New Roman" w:eastAsia="Times New Roman" w:hint="default"/>
        </w:rPr>
        <w:t>602,573,950</w:t>
      </w:r>
      <w:r>
        <w:rPr/>
        <w:t>股。</w:t>
      </w:r>
    </w:p>
    <w:p>
      <w:pPr>
        <w:pStyle w:val="BodyText"/>
        <w:spacing w:line="240" w:lineRule="auto" w:before="59"/>
        <w:ind w:right="985"/>
        <w:jc w:val="left"/>
      </w:pPr>
      <w:r>
        <w:rPr/>
        <w:t>股份变动的批准情况</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22" w:lineRule="exact" w:before="51"/>
        <w:ind w:left="633" w:right="98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年限制性股票回购注销的批准情况</w:t>
      </w:r>
    </w:p>
    <w:p>
      <w:pPr>
        <w:pStyle w:val="Heading3"/>
        <w:spacing w:line="312" w:lineRule="exact" w:before="20"/>
        <w:ind w:right="1128" w:firstLine="48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日，公司第五届董事会第三十六次会议审议通过《关于回购注销</w:t>
      </w:r>
      <w:r>
        <w:rPr>
          <w:rFonts w:ascii="Times New Roman" w:hAnsi="Times New Roman" w:cs="Times New Roman" w:eastAsia="Times New Roman" w:hint="default"/>
          <w:spacing w:val="-2"/>
        </w:rPr>
        <w:t>2014</w:t>
      </w:r>
      <w:r>
        <w:rPr>
          <w:spacing w:val="-2"/>
        </w:rPr>
        <w:t>年限制</w:t>
      </w:r>
      <w:r>
        <w:rPr/>
        <w:t> 性股票激励计划第二期未达到解锁条件限制性股票的议案》，同意对因未满足公司</w:t>
      </w:r>
      <w:r>
        <w:rPr>
          <w:rFonts w:ascii="Times New Roman" w:hAnsi="Times New Roman" w:cs="Times New Roman" w:eastAsia="Times New Roman" w:hint="default"/>
        </w:rPr>
        <w:t>2014</w:t>
      </w:r>
      <w:r>
        <w:rPr/>
        <w:t>年限</w:t>
      </w:r>
      <w:r>
        <w:rPr>
          <w:spacing w:val="-107"/>
        </w:rPr>
        <w:t> </w:t>
      </w:r>
      <w:r>
        <w:rPr/>
        <w:t>制性股票激励计划规定的第二期解锁条件的所有激励对象已获授但尚未解锁的第二期限制性</w:t>
      </w:r>
      <w:r>
        <w:rPr/>
        <w:t> 股票共计</w:t>
      </w:r>
      <w:r>
        <w:rPr>
          <w:rFonts w:ascii="Times New Roman" w:hAnsi="Times New Roman" w:cs="Times New Roman" w:eastAsia="Times New Roman" w:hint="default"/>
        </w:rPr>
        <w:t>5,277,547</w:t>
      </w:r>
      <w:r>
        <w:rPr/>
        <w:t>股进行回购注销。</w:t>
      </w:r>
    </w:p>
    <w:p>
      <w:pPr>
        <w:pStyle w:val="Heading3"/>
        <w:spacing w:line="291" w:lineRule="exact"/>
        <w:ind w:left="634" w:right="98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年限制性股票回购注销及预留股份授予登记的批准情况</w:t>
      </w:r>
    </w:p>
    <w:p>
      <w:pPr>
        <w:pStyle w:val="Heading3"/>
        <w:spacing w:line="312" w:lineRule="exact" w:before="20"/>
        <w:ind w:left="154" w:right="1138"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日，公司第六届董事会第七次会议审议通过了《关于向激励对象授予 预留限制性股票的议案》，同意向激励对象授予预留限制性股票</w:t>
      </w:r>
      <w:r>
        <w:rPr>
          <w:rFonts w:ascii="Times New Roman" w:hAnsi="Times New Roman" w:cs="Times New Roman" w:eastAsia="Times New Roman" w:hint="default"/>
        </w:rPr>
        <w:t>1,418,760</w:t>
      </w:r>
      <w:r>
        <w:rPr/>
        <w:t>股。</w:t>
      </w:r>
    </w:p>
    <w:p>
      <w:pPr>
        <w:pStyle w:val="Heading3"/>
        <w:spacing w:line="312" w:lineRule="exact"/>
        <w:ind w:right="1129" w:firstLine="48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5</w:t>
      </w:r>
      <w:r>
        <w:rPr>
          <w:spacing w:val="3"/>
        </w:rPr>
        <w:t>日，公司</w:t>
      </w:r>
      <w:r>
        <w:rPr>
          <w:rFonts w:ascii="Times New Roman" w:hAnsi="Times New Roman" w:cs="Times New Roman" w:eastAsia="Times New Roman" w:hint="default"/>
          <w:spacing w:val="3"/>
        </w:rPr>
        <w:t>2017</w:t>
      </w:r>
      <w:r>
        <w:rPr>
          <w:spacing w:val="3"/>
        </w:rPr>
        <w:t>年第二次临时股东大会审议通过了《关于回购注销</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t>年限制性股票激励计划部分限制性股票的议案》，同意因离职已不符合激励条件的原激励对</w:t>
      </w:r>
      <w:r>
        <w:rPr>
          <w:spacing w:val="-115"/>
        </w:rPr>
        <w:t> </w:t>
      </w:r>
      <w:r>
        <w:rPr>
          <w:spacing w:val="-115"/>
        </w:rPr>
      </w:r>
      <w:r>
        <w:rPr/>
        <w:t>象吴明等</w:t>
      </w:r>
      <w:r>
        <w:rPr>
          <w:rFonts w:ascii="Times New Roman" w:hAnsi="Times New Roman" w:cs="Times New Roman" w:eastAsia="Times New Roman" w:hint="default"/>
        </w:rPr>
        <w:t>3</w:t>
      </w:r>
      <w:r>
        <w:rPr/>
        <w:t>人、余承龙等</w:t>
      </w:r>
      <w:r>
        <w:rPr>
          <w:rFonts w:ascii="Times New Roman" w:hAnsi="Times New Roman" w:cs="Times New Roman" w:eastAsia="Times New Roman" w:hint="default"/>
        </w:rPr>
        <w:t>6</w:t>
      </w:r>
      <w:r>
        <w:rPr/>
        <w:t>人已获授但尚未解锁的限制性股票共计</w:t>
      </w:r>
      <w:r>
        <w:rPr>
          <w:rFonts w:ascii="Times New Roman" w:hAnsi="Times New Roman" w:cs="Times New Roman" w:eastAsia="Times New Roman" w:hint="default"/>
        </w:rPr>
        <w:t>130,600</w:t>
      </w:r>
      <w:r>
        <w:rPr/>
        <w:t>股进行回购注销。</w:t>
      </w:r>
    </w:p>
    <w:p>
      <w:pPr>
        <w:pStyle w:val="BodyText"/>
        <w:spacing w:line="240" w:lineRule="auto" w:before="60"/>
        <w:ind w:right="985"/>
        <w:jc w:val="left"/>
      </w:pPr>
      <w:r>
        <w:rPr/>
        <w:t>股份变动的过户情况</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12" w:lineRule="exact" w:before="82"/>
        <w:ind w:right="1049" w:firstLine="480"/>
        <w:jc w:val="both"/>
      </w:pPr>
      <w:r>
        <w:rPr>
          <w:rFonts w:ascii="Times New Roman" w:hAnsi="Times New Roman" w:cs="Times New Roman" w:eastAsia="Times New Roman" w:hint="default"/>
          <w:spacing w:val="-2"/>
        </w:rPr>
        <w:t>1</w:t>
      </w:r>
      <w:r>
        <w:rPr>
          <w:spacing w:val="-2"/>
        </w:rPr>
        <w:t>、经中国证券登记结算有限责任公司深圳分公司确认，因未满足公司</w:t>
      </w:r>
      <w:r>
        <w:rPr>
          <w:rFonts w:ascii="Times New Roman" w:hAnsi="Times New Roman" w:cs="Times New Roman" w:eastAsia="Times New Roman" w:hint="default"/>
          <w:spacing w:val="-2"/>
        </w:rPr>
        <w:t>2014</w:t>
      </w:r>
      <w:r>
        <w:rPr>
          <w:spacing w:val="-2"/>
        </w:rPr>
        <w:t>年限制性股票</w:t>
      </w:r>
      <w:r>
        <w:rPr/>
        <w:t> </w:t>
      </w:r>
      <w:r>
        <w:rPr>
          <w:spacing w:val="6"/>
        </w:rPr>
        <w:t>激励计划规定第二期解锁条件的所有激励对象已获授但尚未解锁的第二期限制性股票共计</w:t>
      </w:r>
      <w:r>
        <w:rPr>
          <w:spacing w:val="-86"/>
        </w:rPr>
        <w:t> </w:t>
      </w:r>
      <w:r>
        <w:rPr>
          <w:spacing w:val="-86"/>
        </w:rPr>
      </w:r>
      <w:r>
        <w:rPr>
          <w:rFonts w:ascii="Times New Roman" w:hAnsi="Times New Roman" w:cs="Times New Roman" w:eastAsia="Times New Roman" w:hint="default"/>
        </w:rPr>
        <w:t>5,277,547</w:t>
      </w:r>
      <w:r>
        <w:rPr/>
        <w:t>股的回购注销事宜已于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日办理完成。本次限制性股票回购注销完成后， 公司股本总额由</w:t>
      </w:r>
      <w:r>
        <w:rPr>
          <w:rFonts w:ascii="Times New Roman" w:hAnsi="Times New Roman" w:cs="Times New Roman" w:eastAsia="Times New Roman" w:hint="default"/>
        </w:rPr>
        <w:t>606,563,337</w:t>
      </w:r>
      <w:r>
        <w:rPr/>
        <w:t>股变更为</w:t>
      </w:r>
      <w:r>
        <w:rPr>
          <w:rFonts w:ascii="Times New Roman" w:hAnsi="Times New Roman" w:cs="Times New Roman" w:eastAsia="Times New Roman" w:hint="default"/>
        </w:rPr>
        <w:t>601,285,790</w:t>
      </w:r>
      <w:r>
        <w:rPr/>
        <w:t>股。</w:t>
      </w:r>
    </w:p>
    <w:p>
      <w:pPr>
        <w:pStyle w:val="Heading3"/>
        <w:spacing w:line="312" w:lineRule="exact"/>
        <w:ind w:right="1130" w:firstLine="480"/>
        <w:jc w:val="both"/>
      </w:pPr>
      <w:r>
        <w:rPr>
          <w:rFonts w:ascii="Times New Roman" w:hAnsi="Times New Roman" w:cs="Times New Roman" w:eastAsia="Times New Roman" w:hint="default"/>
          <w:spacing w:val="-2"/>
        </w:rPr>
        <w:t>2</w:t>
      </w:r>
      <w:r>
        <w:rPr>
          <w:spacing w:val="-2"/>
        </w:rPr>
        <w:t>、经中国证券登记结算有限责任公司深圳分公司确认，公司</w:t>
      </w:r>
      <w:r>
        <w:rPr>
          <w:rFonts w:ascii="Times New Roman" w:hAnsi="Times New Roman" w:cs="Times New Roman" w:eastAsia="Times New Roman" w:hint="default"/>
          <w:spacing w:val="-2"/>
        </w:rPr>
        <w:t>2016</w:t>
      </w:r>
      <w:r>
        <w:rPr>
          <w:spacing w:val="-2"/>
        </w:rPr>
        <w:t>年限制性股票预留股份</w:t>
      </w:r>
      <w:r>
        <w:rPr/>
        <w:t> </w:t>
      </w:r>
      <w:r>
        <w:rPr>
          <w:spacing w:val="-2"/>
        </w:rPr>
        <w:t>登记完成，上市日期为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日。本次限制性股票预留股份登记完成后，公司股本总额</w:t>
      </w:r>
      <w:r>
        <w:rPr>
          <w:spacing w:val="-116"/>
        </w:rPr>
        <w:t> </w:t>
      </w:r>
      <w:r>
        <w:rPr>
          <w:spacing w:val="-116"/>
        </w:rPr>
      </w:r>
      <w:r>
        <w:rPr/>
        <w:t>由</w:t>
      </w:r>
      <w:r>
        <w:rPr>
          <w:rFonts w:ascii="Times New Roman" w:hAnsi="Times New Roman" w:cs="Times New Roman" w:eastAsia="Times New Roman" w:hint="default"/>
        </w:rPr>
        <w:t>601,285,790  </w:t>
      </w:r>
      <w:r>
        <w:rPr/>
        <w:t>股变更为</w:t>
      </w:r>
      <w:r>
        <w:rPr>
          <w:rFonts w:ascii="Times New Roman" w:hAnsi="Times New Roman" w:cs="Times New Roman" w:eastAsia="Times New Roman" w:hint="default"/>
        </w:rPr>
        <w:t>602,704,550</w:t>
      </w:r>
      <w:r>
        <w:rPr>
          <w:rFonts w:ascii="Times New Roman" w:hAnsi="Times New Roman" w:cs="Times New Roman" w:eastAsia="Times New Roman" w:hint="default"/>
          <w:spacing w:val="12"/>
        </w:rPr>
        <w:t> </w:t>
      </w:r>
      <w:r>
        <w:rPr/>
        <w:t>股。</w:t>
      </w:r>
    </w:p>
    <w:p>
      <w:pPr>
        <w:pStyle w:val="Heading3"/>
        <w:spacing w:line="312" w:lineRule="exact"/>
        <w:ind w:right="1131" w:firstLine="480"/>
        <w:jc w:val="both"/>
      </w:pPr>
      <w:r>
        <w:rPr>
          <w:rFonts w:ascii="Times New Roman" w:hAnsi="Times New Roman" w:cs="Times New Roman" w:eastAsia="Times New Roman" w:hint="default"/>
          <w:spacing w:val="-3"/>
        </w:rPr>
        <w:t>3</w:t>
      </w:r>
      <w:r>
        <w:rPr>
          <w:spacing w:val="-3"/>
        </w:rPr>
        <w:t>、经中国证券登记结算有限责任公司深圳分公司确认，因离职已不符合激励条件的原激</w:t>
      </w:r>
      <w:r>
        <w:rPr/>
        <w:t> </w:t>
      </w:r>
      <w:r>
        <w:rPr>
          <w:spacing w:val="-2"/>
        </w:rPr>
        <w:t>励对象吴明等</w:t>
      </w:r>
      <w:r>
        <w:rPr>
          <w:rFonts w:ascii="Times New Roman" w:hAnsi="Times New Roman" w:cs="Times New Roman" w:eastAsia="Times New Roman" w:hint="default"/>
          <w:spacing w:val="-2"/>
        </w:rPr>
        <w:t>9</w:t>
      </w:r>
      <w:r>
        <w:rPr>
          <w:spacing w:val="-2"/>
        </w:rPr>
        <w:t>名激励对象已获授但尚未解锁的限制性股票的回购注销事宜（第六届董事会第</w:t>
      </w:r>
      <w:r>
        <w:rPr/>
        <w:t> 四次会议、第六届董事会第八次会议审议通过）已于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日办理完成。本次限制性</w:t>
      </w:r>
      <w:r>
        <w:rPr>
          <w:spacing w:val="-109"/>
        </w:rPr>
        <w:t> </w:t>
      </w:r>
      <w:r>
        <w:rPr>
          <w:spacing w:val="-109"/>
        </w:rPr>
      </w:r>
      <w:r>
        <w:rPr/>
        <w:t>股票回购注销完成后，公司股本总额由</w:t>
      </w:r>
      <w:r>
        <w:rPr>
          <w:rFonts w:ascii="Times New Roman" w:hAnsi="Times New Roman" w:cs="Times New Roman" w:eastAsia="Times New Roman" w:hint="default"/>
        </w:rPr>
        <w:t>602,704,550</w:t>
      </w:r>
      <w:r>
        <w:rPr/>
        <w:t>股变更为</w:t>
      </w:r>
      <w:r>
        <w:rPr>
          <w:rFonts w:ascii="Times New Roman" w:hAnsi="Times New Roman" w:cs="Times New Roman" w:eastAsia="Times New Roman" w:hint="default"/>
        </w:rPr>
        <w:t>602,573,950</w:t>
      </w:r>
      <w:r>
        <w:rPr/>
        <w:t>股。</w:t>
      </w:r>
    </w:p>
    <w:p>
      <w:pPr>
        <w:pStyle w:val="BodyText"/>
        <w:spacing w:line="240" w:lineRule="auto" w:before="59"/>
        <w:ind w:right="985"/>
        <w:jc w:val="left"/>
      </w:pPr>
      <w:r>
        <w:rPr/>
        <w:t>股份变动对最近一年和最近一期基本每股收益和稀释每股收益、归属于公司普通股股东的每股净资产等财务指标的影响</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12" w:lineRule="exact" w:before="82"/>
        <w:ind w:right="1131" w:firstLine="480"/>
        <w:jc w:val="both"/>
      </w:pPr>
      <w:r>
        <w:rPr>
          <w:rFonts w:ascii="Times New Roman" w:hAnsi="Times New Roman" w:cs="Times New Roman" w:eastAsia="Times New Roman" w:hint="default"/>
          <w:spacing w:val="-3"/>
        </w:rPr>
        <w:t>1</w:t>
      </w:r>
      <w:r>
        <w:rPr>
          <w:spacing w:val="-3"/>
        </w:rPr>
        <w:t>、报告期内，限制性股票回购注销与授予对最近一年和最近一期基本每股收益和稀释每</w:t>
      </w:r>
      <w:r>
        <w:rPr/>
        <w:t> 股收益影响甚微。</w:t>
      </w:r>
    </w:p>
    <w:p>
      <w:pPr>
        <w:pStyle w:val="Heading3"/>
        <w:spacing w:line="312" w:lineRule="exact"/>
        <w:ind w:right="1132" w:firstLine="480"/>
        <w:jc w:val="both"/>
      </w:pPr>
      <w:r>
        <w:rPr>
          <w:rFonts w:ascii="Times New Roman" w:hAnsi="Times New Roman" w:cs="Times New Roman" w:eastAsia="Times New Roman" w:hint="default"/>
          <w:spacing w:val="-8"/>
        </w:rPr>
        <w:t>2</w:t>
      </w:r>
      <w:r>
        <w:rPr>
          <w:spacing w:val="-8"/>
        </w:rPr>
        <w:t>、由于限制性股票的潜在回购业务确认负债（作收购库存股处理）【财政部会计司《</w:t>
      </w:r>
      <w:r>
        <w:rPr>
          <w:rFonts w:ascii="Times New Roman" w:hAnsi="Times New Roman" w:cs="Times New Roman" w:eastAsia="Times New Roman" w:hint="default"/>
          <w:spacing w:val="-8"/>
        </w:rPr>
        <w:t>2014</w:t>
      </w:r>
      <w:r>
        <w:rPr>
          <w:rFonts w:ascii="Times New Roman" w:hAnsi="Times New Roman" w:cs="Times New Roman" w:eastAsia="Times New Roman" w:hint="default"/>
        </w:rPr>
        <w:t> </w:t>
      </w:r>
      <w:r>
        <w:rPr>
          <w:spacing w:val="4"/>
        </w:rPr>
        <w:t>年</w:t>
      </w:r>
      <w:r>
        <w:rPr>
          <w:rFonts w:ascii="Times New Roman" w:hAnsi="Times New Roman" w:cs="Times New Roman" w:eastAsia="Times New Roman" w:hint="default"/>
          <w:spacing w:val="4"/>
        </w:rPr>
        <w:t>4-5</w:t>
      </w:r>
      <w:r>
        <w:rPr>
          <w:spacing w:val="4"/>
        </w:rPr>
        <w:t>月会计师事务所提交的专业技术问题的研讨情况及财政部就有关会计处理征询函的复</w:t>
      </w:r>
      <w:r>
        <w:rPr/>
        <w:t> </w:t>
      </w:r>
      <w:r>
        <w:rPr>
          <w:spacing w:val="2"/>
        </w:rPr>
        <w:t>函通报》】，报告期限制性股票回购注销影响每股净资产增加</w:t>
      </w:r>
      <w:r>
        <w:rPr>
          <w:rFonts w:ascii="Times New Roman" w:hAnsi="Times New Roman" w:cs="Times New Roman" w:eastAsia="Times New Roman" w:hint="default"/>
          <w:spacing w:val="2"/>
        </w:rPr>
        <w:t>0.0303</w:t>
      </w:r>
      <w:r>
        <w:rPr>
          <w:spacing w:val="2"/>
        </w:rPr>
        <w:t>元、限制性股票授予影</w:t>
      </w:r>
      <w:r>
        <w:rPr>
          <w:spacing w:val="-118"/>
        </w:rPr>
        <w:t> </w:t>
      </w:r>
      <w:r>
        <w:rPr>
          <w:spacing w:val="-118"/>
        </w:rPr>
      </w:r>
      <w:r>
        <w:rPr/>
        <w:t>响每股净资产减少</w:t>
      </w:r>
      <w:r>
        <w:rPr>
          <w:spacing w:val="-24"/>
        </w:rPr>
        <w:t> </w:t>
      </w:r>
      <w:r>
        <w:rPr>
          <w:rFonts w:ascii="Times New Roman" w:hAnsi="Times New Roman" w:cs="Times New Roman" w:eastAsia="Times New Roman" w:hint="default"/>
        </w:rPr>
        <w:t>0.0081</w:t>
      </w:r>
      <w:r>
        <w:rPr/>
        <w:t>元，限制性股票解锁影响每股净资产增加</w:t>
      </w:r>
      <w:r>
        <w:rPr>
          <w:rFonts w:ascii="Times New Roman" w:hAnsi="Times New Roman" w:cs="Times New Roman" w:eastAsia="Times New Roman" w:hint="default"/>
        </w:rPr>
        <w:t>0.0726</w:t>
      </w:r>
      <w:r>
        <w:rPr/>
        <w:t>元。</w:t>
      </w:r>
    </w:p>
    <w:p>
      <w:pPr>
        <w:spacing w:after="0" w:line="312" w:lineRule="exact"/>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公司认为必要或证券监管机构要求披露的其他内容</w:t>
      </w:r>
    </w:p>
    <w:p>
      <w:pPr>
        <w:pStyle w:val="BodyText"/>
        <w:spacing w:line="240" w:lineRule="auto" w:before="116"/>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0" w:right="1136"/>
        <w:jc w:val="right"/>
      </w:pPr>
      <w:r>
        <w:rPr/>
        <w:pict>
          <v:shape style="position:absolute;margin-left:56.459999pt;margin-top:-165.848282pt;width:479.35pt;height:573.6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51,956,543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2,405,445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54,361,988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13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合计增持 </w:t>
                        </w:r>
                        <w:r>
                          <w:rPr>
                            <w:rFonts w:ascii="Times New Roman" w:hAnsi="Times New Roman" w:cs="Times New Roman" w:eastAsia="Times New Roman" w:hint="default"/>
                            <w:sz w:val="18"/>
                            <w:szCs w:val="18"/>
                          </w:rPr>
                          <w:t>3207260</w:t>
                        </w:r>
                        <w:r>
                          <w:rPr>
                            <w:rFonts w:ascii="Times New Roman" w:hAnsi="Times New Roman" w:cs="Times New Roman" w:eastAsia="Times New Roman" w:hint="default"/>
                            <w:spacing w:val="2"/>
                            <w:sz w:val="18"/>
                            <w:szCs w:val="18"/>
                          </w:rPr>
                          <w:t> </w:t>
                        </w:r>
                        <w:r>
                          <w:rPr>
                            <w:rFonts w:ascii="宋体" w:hAnsi="宋体" w:cs="宋体" w:eastAsia="宋体" w:hint="default"/>
                            <w:spacing w:val="-22"/>
                            <w:sz w:val="18"/>
                            <w:szCs w:val="18"/>
                          </w:rPr>
                          <w:t>股，增加</w:t>
                        </w:r>
                      </w:p>
                      <w:p>
                        <w:pPr>
                          <w:pStyle w:val="TableParagraph"/>
                          <w:spacing w:line="312"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2405445 </w:t>
                        </w:r>
                        <w:r>
                          <w:rPr>
                            <w:rFonts w:ascii="宋体" w:hAnsi="宋体" w:cs="宋体" w:eastAsia="宋体" w:hint="default"/>
                            <w:sz w:val="18"/>
                            <w:szCs w:val="18"/>
                          </w:rPr>
                          <w:t>股；期末限售原 因为董事锁定限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72"/>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p>
                    </w:tc>
                  </w:tr>
                  <w:tr>
                    <w:trPr>
                      <w:trHeight w:val="81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2" w:lineRule="auto" w:before="61"/>
                          <w:ind w:left="22" w:right="29"/>
                          <w:jc w:val="left"/>
                          <w:rPr>
                            <w:rFonts w:ascii="宋体" w:hAnsi="宋体" w:cs="宋体" w:eastAsia="宋体" w:hint="default"/>
                            <w:sz w:val="18"/>
                            <w:szCs w:val="18"/>
                          </w:rPr>
                        </w:pPr>
                        <w:r>
                          <w:rPr>
                            <w:rFonts w:ascii="宋体" w:hAnsi="宋体" w:cs="宋体" w:eastAsia="宋体" w:hint="default"/>
                            <w:sz w:val="18"/>
                            <w:szCs w:val="18"/>
                          </w:rPr>
                          <w:t>日增持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 </w:t>
                        </w:r>
                        <w:r>
                          <w:rPr>
                            <w:rFonts w:ascii="宋体" w:hAnsi="宋体" w:cs="宋体" w:eastAsia="宋体" w:hint="default"/>
                            <w:sz w:val="18"/>
                            <w:szCs w:val="18"/>
                          </w:rPr>
                          <w:t>股，增加限售股 </w:t>
                        </w:r>
                        <w:r>
                          <w:rPr>
                            <w:rFonts w:ascii="Times New Roman" w:hAnsi="Times New Roman" w:cs="Times New Roman" w:eastAsia="Times New Roman" w:hint="default"/>
                            <w:sz w:val="18"/>
                            <w:szCs w:val="18"/>
                          </w:rPr>
                          <w:t>135000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股；期末 限售原因为股权 激励限售、高管 锁定限售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算其本年度可转 让股份法定额 度，并在额度内 对无限售流通股 份解锁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51346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p>
                        <w:pPr>
                          <w:pStyle w:val="TableParagraph"/>
                          <w:spacing w:line="240" w:lineRule="auto" w:before="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2" w:right="29"/>
                          <w:jc w:val="both"/>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股，在本 年度可转让额度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w:t>
                        </w:r>
                      </w:p>
                      <w:p>
                        <w:pPr>
                          <w:pStyle w:val="TableParagraph"/>
                          <w:spacing w:line="312" w:lineRule="auto" w:before="5"/>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期末限售股份解</w:t>
                        </w:r>
                        <w:r>
                          <w:rPr>
                            <w:rFonts w:ascii="宋体" w:hAnsi="宋体" w:cs="宋体" w:eastAsia="宋体" w:hint="default"/>
                            <w:sz w:val="18"/>
                            <w:szCs w:val="18"/>
                          </w:rPr>
                          <w:t> 锁安排：每年按 照上年最后一个</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2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419"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94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749" w:right="0"/>
                          <w:jc w:val="left"/>
                          <w:rPr>
                            <w:rFonts w:ascii="Times New Roman" w:hAnsi="Times New Roman" w:cs="Times New Roman" w:eastAsia="Times New Roman" w:hint="default"/>
                            <w:sz w:val="18"/>
                            <w:szCs w:val="18"/>
                          </w:rPr>
                        </w:pPr>
                        <w:r>
                          <w:rPr>
                            <w:rFonts w:ascii="Times New Roman"/>
                            <w:sz w:val="18"/>
                          </w:rPr>
                          <w:t>305,909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40" w:right="0"/>
                          <w:jc w:val="left"/>
                          <w:rPr>
                            <w:rFonts w:ascii="Times New Roman" w:hAnsi="Times New Roman" w:cs="Times New Roman" w:eastAsia="Times New Roman" w:hint="default"/>
                            <w:sz w:val="18"/>
                            <w:szCs w:val="18"/>
                          </w:rPr>
                        </w:pPr>
                        <w:r>
                          <w:rPr>
                            <w:rFonts w:ascii="Times New Roman"/>
                            <w:sz w:val="18"/>
                          </w:rPr>
                          <w:t>39,887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40" w:right="0"/>
                          <w:jc w:val="left"/>
                          <w:rPr>
                            <w:rFonts w:ascii="Times New Roman" w:hAnsi="Times New Roman" w:cs="Times New Roman" w:eastAsia="Times New Roman" w:hint="default"/>
                            <w:sz w:val="18"/>
                            <w:szCs w:val="18"/>
                          </w:rPr>
                        </w:pPr>
                        <w:r>
                          <w:rPr>
                            <w:rFonts w:ascii="Times New Roman"/>
                            <w:sz w:val="18"/>
                          </w:rPr>
                          <w:t>23,625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751" w:right="0"/>
                          <w:jc w:val="left"/>
                          <w:rPr>
                            <w:rFonts w:ascii="Times New Roman" w:hAnsi="Times New Roman" w:cs="Times New Roman" w:eastAsia="Times New Roman" w:hint="default"/>
                            <w:sz w:val="18"/>
                            <w:szCs w:val="18"/>
                          </w:rPr>
                        </w:pPr>
                        <w:r>
                          <w:rPr>
                            <w:rFonts w:ascii="Times New Roman"/>
                            <w:sz w:val="18"/>
                          </w:rPr>
                          <w:t>263,664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增加限</w:t>
                        </w:r>
                      </w:p>
                      <w:p>
                        <w:pPr>
                          <w:pStyle w:val="TableParagraph"/>
                          <w:spacing w:line="312" w:lineRule="auto" w:before="63"/>
                          <w:ind w:left="22" w:right="71"/>
                          <w:jc w:val="both"/>
                          <w:rPr>
                            <w:rFonts w:ascii="宋体" w:hAnsi="宋体" w:cs="宋体" w:eastAsia="宋体" w:hint="default"/>
                            <w:sz w:val="18"/>
                            <w:szCs w:val="18"/>
                          </w:rPr>
                        </w:pPr>
                        <w:r>
                          <w:rPr>
                            <w:rFonts w:ascii="宋体" w:hAnsi="宋体" w:cs="宋体" w:eastAsia="宋体" w:hint="default"/>
                            <w:sz w:val="18"/>
                            <w:szCs w:val="18"/>
                          </w:rPr>
                          <w:t>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期末限售原因为</w:t>
                        </w:r>
                        <w:r>
                          <w:rPr>
                            <w:rFonts w:ascii="宋体" w:hAnsi="宋体" w:cs="宋体" w:eastAsia="宋体" w:hint="default"/>
                            <w:sz w:val="18"/>
                            <w:szCs w:val="18"/>
                          </w:rPr>
                          <w:t> 股权激励限售、 高管锁定限售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算其本年度可转 让股份法定额 度，并在额度内 对无限售流通股 份解锁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29926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p>
                        <w:pPr>
                          <w:pStyle w:val="TableParagraph"/>
                          <w:spacing w:line="240" w:lineRule="auto" w:before="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股，在本 年度可转让额度 内，实际上市流 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9961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2017</w:t>
                        </w:r>
                      </w:p>
                      <w:p>
                        <w:pPr>
                          <w:pStyle w:val="TableParagraph"/>
                          <w:spacing w:line="240" w:lineRule="auto" w:before="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日，因</w:t>
                        </w:r>
                      </w:p>
                      <w:p>
                        <w:pPr>
                          <w:pStyle w:val="TableParagraph"/>
                          <w:spacing w:line="312" w:lineRule="auto" w:before="63"/>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期末限售股份解</w:t>
                        </w:r>
                        <w:r>
                          <w:rPr>
                            <w:rFonts w:ascii="宋体" w:hAnsi="宋体" w:cs="宋体" w:eastAsia="宋体" w:hint="default"/>
                            <w:sz w:val="18"/>
                            <w:szCs w:val="18"/>
                          </w:rPr>
                          <w:t> 锁安排：每年按 照上年最后一个 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0"/>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2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17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106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284,997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45,002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48,375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262,387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增加限</w:t>
                        </w:r>
                      </w:p>
                      <w:p>
                        <w:pPr>
                          <w:pStyle w:val="TableParagraph"/>
                          <w:spacing w:line="312" w:lineRule="auto" w:before="63"/>
                          <w:ind w:left="22" w:right="71"/>
                          <w:jc w:val="both"/>
                          <w:rPr>
                            <w:rFonts w:ascii="宋体" w:hAnsi="宋体" w:cs="宋体" w:eastAsia="宋体" w:hint="default"/>
                            <w:sz w:val="18"/>
                            <w:szCs w:val="18"/>
                          </w:rPr>
                        </w:pPr>
                        <w:r>
                          <w:rPr>
                            <w:rFonts w:ascii="宋体" w:hAnsi="宋体" w:cs="宋体" w:eastAsia="宋体" w:hint="default"/>
                            <w:sz w:val="18"/>
                            <w:szCs w:val="18"/>
                          </w:rPr>
                          <w:t>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期末限售原因为</w:t>
                        </w:r>
                        <w:r>
                          <w:rPr>
                            <w:rFonts w:ascii="宋体" w:hAnsi="宋体" w:cs="宋体" w:eastAsia="宋体" w:hint="default"/>
                            <w:sz w:val="18"/>
                            <w:szCs w:val="18"/>
                          </w:rPr>
                          <w:t> 股权激励限售、 高管锁定限售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算其本年度可转 让股份法定额 度，并在额度内 对无限售流通股 份解锁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9014 </w:t>
                        </w:r>
                        <w:r>
                          <w:rPr>
                            <w:rFonts w:ascii="宋体" w:hAnsi="宋体" w:cs="宋体" w:eastAsia="宋体" w:hint="default"/>
                            <w:sz w:val="18"/>
                            <w:szCs w:val="18"/>
                          </w:rPr>
                          <w:t>股；</w:t>
                        </w:r>
                      </w:p>
                      <w:p>
                        <w:pPr>
                          <w:pStyle w:val="TableParagraph"/>
                          <w:spacing w:line="240" w:lineRule="auto" w:before="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股，在本 年度可转让额度 内，实际上市流 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35988</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股；</w:t>
                        </w:r>
                        <w:r>
                          <w:rPr>
                            <w:rFonts w:ascii="Times New Roman" w:hAnsi="Times New Roman" w:cs="Times New Roman" w:eastAsia="Times New Roman" w:hint="default"/>
                            <w:spacing w:val="-15"/>
                            <w:sz w:val="18"/>
                            <w:szCs w:val="18"/>
                          </w:rPr>
                          <w:t>2017</w:t>
                        </w:r>
                      </w:p>
                      <w:p>
                        <w:pPr>
                          <w:pStyle w:val="TableParagraph"/>
                          <w:spacing w:line="240" w:lineRule="auto" w:before="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日，因</w:t>
                        </w:r>
                      </w:p>
                      <w:p>
                        <w:pPr>
                          <w:pStyle w:val="TableParagraph"/>
                          <w:spacing w:line="314" w:lineRule="auto" w:before="63"/>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期末限售股份解</w:t>
                        </w:r>
                        <w:r>
                          <w:rPr>
                            <w:rFonts w:ascii="宋体" w:hAnsi="宋体" w:cs="宋体" w:eastAsia="宋体" w:hint="default"/>
                            <w:sz w:val="18"/>
                            <w:szCs w:val="18"/>
                          </w:rPr>
                          <w:t> 锁安排：每年按 照上年最后一个 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0"/>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94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316" w:lineRule="auto" w:before="6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日聘任高管，增 加限售股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29304</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31500 </w:t>
            </w:r>
            <w:r>
              <w:rPr>
                <w:rFonts w:ascii="宋体" w:hAnsi="宋体" w:cs="宋体" w:eastAsia="宋体" w:hint="default"/>
                <w:sz w:val="18"/>
                <w:szCs w:val="18"/>
              </w:rPr>
              <w:t>股，增加限售股 </w:t>
            </w:r>
            <w:r>
              <w:rPr>
                <w:rFonts w:ascii="Times New Roman" w:hAnsi="Times New Roman" w:cs="Times New Roman" w:eastAsia="Times New Roman" w:hint="default"/>
                <w:sz w:val="18"/>
                <w:szCs w:val="18"/>
              </w:rPr>
              <w:t>23625</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股；期末限</w:t>
            </w:r>
            <w:r>
              <w:rPr>
                <w:rFonts w:ascii="宋体" w:hAnsi="宋体" w:cs="宋体" w:eastAsia="宋体" w:hint="default"/>
                <w:sz w:val="18"/>
                <w:szCs w:val="18"/>
              </w:rPr>
              <w:t> 售原因为股权激 励限售、高管锁 定限售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股，在本年</w:t>
            </w:r>
            <w:r>
              <w:rPr>
                <w:rFonts w:ascii="宋体" w:hAnsi="宋体" w:cs="宋体" w:eastAsia="宋体" w:hint="default"/>
                <w:sz w:val="18"/>
                <w:szCs w:val="18"/>
              </w:rPr>
              <w:t> 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w:t>
            </w:r>
          </w:p>
          <w:p>
            <w:pPr>
              <w:pStyle w:val="TableParagraph"/>
              <w:spacing w:line="314" w:lineRule="auto" w:before="5"/>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期末限售股份解</w:t>
            </w:r>
            <w:r>
              <w:rPr>
                <w:rFonts w:ascii="宋体" w:hAnsi="宋体" w:cs="宋体" w:eastAsia="宋体" w:hint="default"/>
                <w:sz w:val="18"/>
                <w:szCs w:val="18"/>
              </w:rPr>
              <w:t> 锁安排：每年按 照上年最后一个 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254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230,156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51,075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251,075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7" w:lineRule="auto" w:before="61"/>
              <w:ind w:left="22" w:right="23"/>
              <w:jc w:val="left"/>
              <w:rPr>
                <w:rFonts w:ascii="宋体" w:hAnsi="宋体" w:cs="宋体" w:eastAsia="宋体" w:hint="default"/>
                <w:sz w:val="18"/>
                <w:szCs w:val="18"/>
              </w:rPr>
            </w:pP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27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增加限售股</w:t>
            </w:r>
            <w:r>
              <w:rPr>
                <w:rFonts w:ascii="宋体" w:hAnsi="宋体" w:cs="宋体" w:eastAsia="宋体" w:hint="default"/>
                <w:sz w:val="18"/>
                <w:szCs w:val="18"/>
              </w:rPr>
              <w:t> </w:t>
            </w:r>
            <w:r>
              <w:rPr>
                <w:rFonts w:ascii="Times New Roman" w:hAnsi="Times New Roman" w:cs="Times New Roman" w:eastAsia="Times New Roman" w:hint="default"/>
                <w:sz w:val="18"/>
                <w:szCs w:val="18"/>
              </w:rPr>
              <w:t>51075</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股；期末限</w:t>
            </w:r>
            <w:r>
              <w:rPr>
                <w:rFonts w:ascii="宋体" w:hAnsi="宋体" w:cs="宋体" w:eastAsia="宋体" w:hint="default"/>
                <w:sz w:val="18"/>
                <w:szCs w:val="18"/>
              </w:rPr>
              <w:t> 售原因为股权激 励限售、高管锁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股，在本年</w:t>
            </w:r>
            <w:r>
              <w:rPr>
                <w:rFonts w:ascii="宋体" w:hAnsi="宋体" w:cs="宋体" w:eastAsia="宋体" w:hint="default"/>
                <w:sz w:val="18"/>
                <w:szCs w:val="18"/>
              </w:rPr>
              <w:t> 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92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91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w:t>
                        </w:r>
                      </w:p>
                      <w:p>
                        <w:pPr>
                          <w:pStyle w:val="TableParagraph"/>
                          <w:spacing w:line="314" w:lineRule="auto" w:before="63"/>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期末限售股份解</w:t>
                        </w:r>
                        <w:r>
                          <w:rPr>
                            <w:rFonts w:ascii="宋体" w:hAnsi="宋体" w:cs="宋体" w:eastAsia="宋体" w:hint="default"/>
                            <w:sz w:val="18"/>
                            <w:szCs w:val="18"/>
                          </w:rPr>
                          <w:t> 锁安排：每年按 照上年最后一个 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69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245,226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27,387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49,125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240,981</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2" w:right="-44"/>
                          <w:jc w:val="left"/>
                          <w:rPr>
                            <w:rFonts w:ascii="宋体" w:hAnsi="宋体" w:cs="宋体" w:eastAsia="宋体" w:hint="default"/>
                            <w:sz w:val="18"/>
                            <w:szCs w:val="18"/>
                          </w:rPr>
                        </w:pPr>
                        <w:r>
                          <w:rPr>
                            <w:rFonts w:ascii="宋体" w:hAnsi="宋体" w:cs="宋体" w:eastAsia="宋体" w:hint="default"/>
                            <w:spacing w:val="-17"/>
                            <w:sz w:val="18"/>
                            <w:szCs w:val="18"/>
                          </w:rPr>
                          <w:t>日、</w:t>
                        </w:r>
                        <w:r>
                          <w:rPr>
                            <w:rFonts w:ascii="Times New Roman" w:hAnsi="Times New Roman" w:cs="Times New Roman" w:eastAsia="Times New Roman" w:hint="default"/>
                            <w:spacing w:val="-17"/>
                            <w:sz w:val="18"/>
                            <w:szCs w:val="18"/>
                          </w:rPr>
                          <w:t>12 </w:t>
                        </w:r>
                        <w:r>
                          <w:rPr>
                            <w:rFonts w:ascii="宋体" w:hAnsi="宋体" w:cs="宋体" w:eastAsia="宋体" w:hint="default"/>
                            <w:spacing w:val="-17"/>
                            <w:sz w:val="18"/>
                            <w:szCs w:val="18"/>
                          </w:rPr>
                          <w:t>日、</w:t>
                        </w:r>
                        <w:r>
                          <w:rPr>
                            <w:rFonts w:ascii="Times New Roman" w:hAnsi="Times New Roman" w:cs="Times New Roman" w:eastAsia="Times New Roman" w:hint="default"/>
                            <w:spacing w:val="-17"/>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pacing w:val="-17"/>
                            <w:sz w:val="18"/>
                            <w:szCs w:val="18"/>
                          </w:rPr>
                          <w:t>日、</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日增持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65500 </w:t>
                        </w:r>
                        <w:r>
                          <w:rPr>
                            <w:rFonts w:ascii="宋体" w:hAnsi="宋体" w:cs="宋体" w:eastAsia="宋体" w:hint="default"/>
                            <w:sz w:val="18"/>
                            <w:szCs w:val="18"/>
                          </w:rPr>
                          <w:t>股，增加限售股 </w:t>
                        </w:r>
                        <w:r>
                          <w:rPr>
                            <w:rFonts w:ascii="Times New Roman" w:hAnsi="Times New Roman" w:cs="Times New Roman" w:eastAsia="Times New Roman" w:hint="default"/>
                            <w:sz w:val="18"/>
                            <w:szCs w:val="18"/>
                          </w:rPr>
                          <w:t>49125</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股；期末限</w:t>
                        </w:r>
                        <w:r>
                          <w:rPr>
                            <w:rFonts w:ascii="宋体" w:hAnsi="宋体" w:cs="宋体" w:eastAsia="宋体" w:hint="default"/>
                            <w:sz w:val="18"/>
                            <w:szCs w:val="18"/>
                          </w:rPr>
                          <w:t> 售原因为股权激 励限售、高管锁 定限售</w:t>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1"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算其本年度可转 让股份法定额 度，并在额度内 对无限售流通股 份解锁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19243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p>
                        <w:pPr>
                          <w:pStyle w:val="TableParagraph"/>
                          <w:spacing w:line="240" w:lineRule="auto" w:before="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3"/>
                          <w:ind w:left="11"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股，在本年</w:t>
                        </w:r>
                        <w:r>
                          <w:rPr>
                            <w:rFonts w:ascii="宋体" w:hAnsi="宋体" w:cs="宋体" w:eastAsia="宋体" w:hint="default"/>
                            <w:sz w:val="18"/>
                            <w:szCs w:val="18"/>
                          </w:rPr>
                          <w:t> 度可转让额度 内，实际上市流 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8144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2017</w:t>
                        </w:r>
                      </w:p>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日，因</w:t>
                        </w:r>
                      </w:p>
                      <w:p>
                        <w:pPr>
                          <w:pStyle w:val="TableParagraph"/>
                          <w:spacing w:line="309" w:lineRule="auto" w:before="63"/>
                          <w:ind w:left="11"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spacing w:line="240" w:lineRule="auto" w:before="0"/>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p>
      <w:pPr>
        <w:spacing w:line="312" w:lineRule="exact"/>
        <w:ind w:left="838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5.55pt;height:15.6pt;mso-position-horizontal-relative:char;mso-position-vertical-relative:line" coordorigin="0,0" coordsize="1311,312">
            <v:group style="position:absolute;left:0;top:0;width:1311;height:312" coordorigin="0,0" coordsize="1311,312">
              <v:shape style="position:absolute;left:0;top:0;width:1311;height:312" coordorigin="0,0" coordsize="1311,312" path="m0,312l1310,312,1310,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10"/>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2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66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期末限售股份解</w:t>
                        </w:r>
                        <w:r>
                          <w:rPr>
                            <w:rFonts w:ascii="宋体" w:hAnsi="宋体" w:cs="宋体" w:eastAsia="宋体" w:hint="default"/>
                            <w:sz w:val="18"/>
                            <w:szCs w:val="18"/>
                          </w:rPr>
                          <w:t> 锁安排：每年按 照上年最后一个 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81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234,997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32,502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47,850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224,362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21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增加限售股</w:t>
                        </w:r>
                        <w:r>
                          <w:rPr>
                            <w:rFonts w:ascii="宋体" w:hAnsi="宋体" w:cs="宋体" w:eastAsia="宋体" w:hint="default"/>
                            <w:sz w:val="18"/>
                            <w:szCs w:val="18"/>
                          </w:rPr>
                          <w:t> </w:t>
                        </w:r>
                        <w:r>
                          <w:rPr>
                            <w:rFonts w:ascii="Times New Roman" w:hAnsi="Times New Roman" w:cs="Times New Roman" w:eastAsia="Times New Roman" w:hint="default"/>
                            <w:sz w:val="18"/>
                            <w:szCs w:val="18"/>
                          </w:rPr>
                          <w:t>47850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股；期末限</w:t>
                        </w:r>
                        <w:r>
                          <w:rPr>
                            <w:rFonts w:ascii="宋体" w:hAnsi="宋体" w:cs="宋体" w:eastAsia="宋体" w:hint="default"/>
                            <w:sz w:val="18"/>
                            <w:szCs w:val="18"/>
                          </w:rPr>
                          <w:t> 售原因为股权激 励限售、高管锁 定限售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算其本年度可转 让股份法定额 度，并在额度内 对无限售流通股 份解锁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9014 </w:t>
                        </w:r>
                        <w:r>
                          <w:rPr>
                            <w:rFonts w:ascii="宋体" w:hAnsi="宋体" w:cs="宋体" w:eastAsia="宋体" w:hint="default"/>
                            <w:sz w:val="18"/>
                            <w:szCs w:val="18"/>
                          </w:rPr>
                          <w:t>股；</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股，在本年</w:t>
                        </w:r>
                        <w:r>
                          <w:rPr>
                            <w:rFonts w:ascii="宋体" w:hAnsi="宋体" w:cs="宋体" w:eastAsia="宋体" w:hint="default"/>
                            <w:sz w:val="18"/>
                            <w:szCs w:val="18"/>
                          </w:rPr>
                          <w:t> 度可转让额度 内，实际上市流 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23488</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股；</w:t>
                        </w:r>
                        <w:r>
                          <w:rPr>
                            <w:rFonts w:ascii="Times New Roman" w:hAnsi="Times New Roman" w:cs="Times New Roman" w:eastAsia="Times New Roman" w:hint="default"/>
                            <w:spacing w:val="-15"/>
                            <w:sz w:val="18"/>
                            <w:szCs w:val="18"/>
                          </w:rPr>
                          <w:t>2017</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日，因</w:t>
                        </w:r>
                      </w:p>
                      <w:p>
                        <w:pPr>
                          <w:pStyle w:val="TableParagraph"/>
                          <w:spacing w:line="312" w:lineRule="auto" w:before="63"/>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 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期末限售股份解</w:t>
                        </w:r>
                        <w:r>
                          <w:rPr>
                            <w:rFonts w:ascii="宋体" w:hAnsi="宋体" w:cs="宋体" w:eastAsia="宋体" w:hint="default"/>
                            <w:sz w:val="18"/>
                            <w:szCs w:val="18"/>
                          </w:rPr>
                          <w:t> 锁安排：每年按 照上年最后一个</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2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79"/>
                    <w:gridCol w:w="1355"/>
                  </w:tblGrid>
                  <w:tr>
                    <w:trPr>
                      <w:trHeight w:val="4419"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1"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94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749" w:right="0"/>
                          <w:jc w:val="left"/>
                          <w:rPr>
                            <w:rFonts w:ascii="Times New Roman" w:hAnsi="Times New Roman" w:cs="Times New Roman" w:eastAsia="Times New Roman" w:hint="default"/>
                            <w:sz w:val="18"/>
                            <w:szCs w:val="18"/>
                          </w:rPr>
                        </w:pPr>
                        <w:r>
                          <w:rPr>
                            <w:rFonts w:ascii="Times New Roman"/>
                            <w:sz w:val="18"/>
                          </w:rPr>
                          <w:t>203,750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40" w:right="0"/>
                          <w:jc w:val="lef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40" w:right="0"/>
                          <w:jc w:val="lef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751" w:right="0"/>
                          <w:jc w:val="left"/>
                          <w:rPr>
                            <w:rFonts w:ascii="Times New Roman" w:hAnsi="Times New Roman" w:cs="Times New Roman" w:eastAsia="Times New Roman" w:hint="default"/>
                            <w:sz w:val="18"/>
                            <w:szCs w:val="18"/>
                          </w:rPr>
                        </w:pPr>
                        <w:r>
                          <w:rPr>
                            <w:rFonts w:ascii="Times New Roman"/>
                            <w:sz w:val="18"/>
                          </w:rPr>
                          <w:t>198,750</w:t>
                        </w:r>
                      </w:p>
                    </w:tc>
                    <w:tc>
                      <w:tcPr>
                        <w:tcW w:w="137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1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日增持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 增加限售股 </w:t>
                        </w: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股；期末限</w:t>
                        </w:r>
                        <w:r>
                          <w:rPr>
                            <w:rFonts w:ascii="宋体" w:hAnsi="宋体" w:cs="宋体" w:eastAsia="宋体" w:hint="default"/>
                            <w:sz w:val="18"/>
                            <w:szCs w:val="18"/>
                          </w:rPr>
                          <w:t> 售原因为股权激 励限售、高管锁 定限售</w:t>
                        </w:r>
                      </w:p>
                    </w:tc>
                    <w:tc>
                      <w:tcPr>
                        <w:tcW w:w="1355"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算其本年度可转 让股份法定额 度，并在额度内 对无限售流通股 份解锁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3750 </w:t>
                        </w:r>
                        <w:r>
                          <w:rPr>
                            <w:rFonts w:ascii="宋体" w:hAnsi="宋体" w:cs="宋体" w:eastAsia="宋体" w:hint="default"/>
                            <w:sz w:val="18"/>
                            <w:szCs w:val="18"/>
                          </w:rPr>
                          <w:t>股；</w:t>
                        </w:r>
                      </w:p>
                      <w:p>
                        <w:pPr>
                          <w:pStyle w:val="TableParagraph"/>
                          <w:spacing w:line="240" w:lineRule="auto" w:before="1"/>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0" w:lineRule="atLeast" w:before="12"/>
                          <w:ind w:right="29"/>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w:t>
                        </w:r>
                      </w:p>
                      <w:p>
                        <w:pPr>
                          <w:pStyle w:val="TableParagraph"/>
                          <w:spacing w:line="107"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锁，解除限售股</w:t>
                        </w:r>
                      </w:p>
                      <w:p>
                        <w:pPr>
                          <w:pStyle w:val="TableParagraph"/>
                          <w:spacing w:line="314" w:lineRule="auto" w:before="76"/>
                          <w:ind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股，在本年</w:t>
                        </w:r>
                        <w:r>
                          <w:rPr>
                            <w:rFonts w:ascii="宋体" w:hAnsi="宋体" w:cs="宋体" w:eastAsia="宋体" w:hint="default"/>
                            <w:sz w:val="18"/>
                            <w:szCs w:val="18"/>
                          </w:rPr>
                          <w:t> 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 末限售股份解锁 安排：每年按照 上年最后一个交 易日登记在其名 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line="624" w:lineRule="exact"/>
        <w:ind w:left="8387"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65.55pt;height:31.2pt;mso-position-horizontal-relative:char;mso-position-vertical-relative:line" coordorigin="0,0" coordsize="1311,624">
            <v:group style="position:absolute;left:0;top:0;width:1311;height:312" coordorigin="0,0" coordsize="1311,312">
              <v:shape style="position:absolute;left:0;top:0;width:1311;height:312" coordorigin="0,0" coordsize="1311,312" path="m0,312l1310,312,1310,0,0,0,0,312xe" filled="true" fillcolor="#ffffff" stroked="false">
                <v:path arrowok="t"/>
                <v:fill type="solid"/>
              </v:shape>
            </v:group>
            <v:group style="position:absolute;left:0;top:312;width:1311;height:312" coordorigin="0,312" coordsize="1311,312">
              <v:shape style="position:absolute;left:0;top:312;width:1311;height:312" coordorigin="0,312" coordsize="1311,312" path="m0,624l1310,624,1310,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6.5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79"/>
                    <w:gridCol w:w="1355"/>
                  </w:tblGrid>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94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220,774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55,194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48,750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193,556</w:t>
                        </w:r>
                      </w:p>
                    </w:tc>
                    <w:tc>
                      <w:tcPr>
                        <w:tcW w:w="137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日增持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65000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 增加限售股 </w:t>
                        </w:r>
                        <w:r>
                          <w:rPr>
                            <w:rFonts w:ascii="Times New Roman" w:hAnsi="Times New Roman" w:cs="Times New Roman" w:eastAsia="Times New Roman" w:hint="default"/>
                            <w:sz w:val="18"/>
                            <w:szCs w:val="18"/>
                          </w:rPr>
                          <w:t>48750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股；期末限</w:t>
                        </w:r>
                        <w:r>
                          <w:rPr>
                            <w:rFonts w:ascii="宋体" w:hAnsi="宋体" w:cs="宋体" w:eastAsia="宋体" w:hint="default"/>
                            <w:sz w:val="18"/>
                            <w:szCs w:val="18"/>
                          </w:rPr>
                          <w:t> 售原因为股权激 励限售、高管锁 定限售</w:t>
                        </w:r>
                      </w:p>
                    </w:tc>
                    <w:tc>
                      <w:tcPr>
                        <w:tcW w:w="135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1"/>
                          <w:ind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 性股票第一期解 锁，解除限售股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股，在本年</w:t>
                        </w:r>
                        <w:r>
                          <w:rPr>
                            <w:rFonts w:ascii="宋体" w:hAnsi="宋体" w:cs="宋体" w:eastAsia="宋体" w:hint="default"/>
                            <w:sz w:val="18"/>
                            <w:szCs w:val="18"/>
                          </w:rPr>
                          <w:t> 度可转让额度 内，实际上市流 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55194</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股；</w:t>
                        </w:r>
                        <w:r>
                          <w:rPr>
                            <w:rFonts w:ascii="Times New Roman" w:hAnsi="Times New Roman" w:cs="Times New Roman" w:eastAsia="Times New Roman" w:hint="default"/>
                            <w:spacing w:val="-15"/>
                            <w:sz w:val="18"/>
                            <w:szCs w:val="18"/>
                          </w:rPr>
                          <w:t>2017</w:t>
                        </w:r>
                      </w:p>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日，因</w:t>
                        </w:r>
                      </w:p>
                      <w:p>
                        <w:pPr>
                          <w:pStyle w:val="TableParagraph"/>
                          <w:spacing w:line="312" w:lineRule="exact" w:before="23"/>
                          <w:ind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票第二期未达标 回购注销减少限 售股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20774 </w:t>
                        </w:r>
                        <w:r>
                          <w:rPr>
                            <w:rFonts w:ascii="宋体" w:hAnsi="宋体" w:cs="宋体" w:eastAsia="宋体" w:hint="default"/>
                            <w:sz w:val="18"/>
                            <w:szCs w:val="18"/>
                          </w:rPr>
                          <w:t>股。</w:t>
                        </w:r>
                      </w:p>
                      <w:p>
                        <w:pPr>
                          <w:pStyle w:val="TableParagraph"/>
                          <w:spacing w:line="79"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期末限售股份解</w:t>
                        </w:r>
                      </w:p>
                      <w:p>
                        <w:pPr>
                          <w:pStyle w:val="TableParagraph"/>
                          <w:spacing w:line="316" w:lineRule="auto" w:before="76"/>
                          <w:ind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锁安排：每年按 照上年最后一个 交易日登记在其 名下的股份为基 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 其本年度可转让 股份法定额度， 并在额度内对无 限售条件的流通 股进行解锁；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票限售根据激励 管理办法，第二 期、第三期达到 业绩条件后解除 限售</w:t>
                        </w:r>
                        <w:r>
                          <w:rPr>
                            <w:rFonts w:ascii="Times New Roman" w:hAnsi="Times New Roman" w:cs="Times New Roman" w:eastAsia="Times New Roman" w:hint="default"/>
                            <w:sz w:val="18"/>
                            <w:szCs w:val="18"/>
                          </w:rPr>
                          <w:t>"</w:t>
                        </w:r>
                      </w:p>
                    </w:tc>
                  </w:tr>
                  <w:tr>
                    <w:trPr>
                      <w:trHeight w:val="28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z w:val="18"/>
                          </w:rPr>
                          <w:t>25,405,522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11,464,795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z w:val="18"/>
                          </w:rPr>
                          <w:t>1,504,935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z w:val="18"/>
                          </w:rPr>
                          <w:t>10,248,515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本期其他增加限 售原因有聘任高 级管理人员、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票预留股份登 记、董事高级管 理人员增持；期 末限售原因为高 管限售、股权激</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本期解除限售原 因有其他高管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算其本年度可转 让股份法定额</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624" w:lineRule="exact"/>
        <w:ind w:left="8387"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65.55pt;height:31.2pt;mso-position-horizontal-relative:char;mso-position-vertical-relative:line" coordorigin="0,0" coordsize="1311,624">
            <v:group style="position:absolute;left:0;top:0;width:1311;height:312" coordorigin="0,0" coordsize="1311,312">
              <v:shape style="position:absolute;left:0;top:0;width:1311;height:312" coordorigin="0,0" coordsize="1311,312" path="m0,312l1310,312,1310,0,0,0,0,312xe" filled="true" fillcolor="#ffffff" stroked="false">
                <v:path arrowok="t"/>
                <v:fill type="solid"/>
              </v:shape>
            </v:group>
            <v:group style="position:absolute;left:0;top:312;width:1311;height:312" coordorigin="0,312" coordsize="1311,312">
              <v:shape style="position:absolute;left:0;top:312;width:1311;height:312" coordorigin="0,312" coordsize="1311,312" path="m0,624l1310,624,1310,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0"/>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励限售、瑞翔科 技原股东所持股 权专用款购买股 份限售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度，并在额度内 对无限售流通股 份解锁；离任董 事离任满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月，所持股份全 部解锁。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80,156,588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11,766,113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4,412,109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67,394,437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985"/>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left"/>
              <w:rPr>
                <w:rFonts w:ascii="宋体" w:hAnsi="宋体" w:cs="宋体" w:eastAsia="宋体" w:hint="default"/>
                <w:sz w:val="18"/>
                <w:szCs w:val="18"/>
              </w:rPr>
            </w:pPr>
            <w:r>
              <w:rPr>
                <w:rFonts w:ascii="宋体" w:hAnsi="宋体" w:cs="宋体" w:eastAsia="宋体" w:hint="default"/>
                <w:sz w:val="18"/>
                <w:szCs w:val="18"/>
              </w:rPr>
              <w:t>限制性股票预留 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1,418,760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1,418,760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2"/>
        <w:ind w:right="3008"/>
        <w:jc w:val="left"/>
      </w:pPr>
      <w:r>
        <w:rPr/>
        <w:t>报告期内证券发行（不含优先股）情况的说明 报告期内，公司</w:t>
      </w:r>
      <w:r>
        <w:rPr>
          <w:rFonts w:ascii="Times New Roman" w:hAnsi="Times New Roman" w:cs="Times New Roman" w:eastAsia="Times New Roman" w:hint="default"/>
        </w:rPr>
        <w:t>2016</w:t>
      </w:r>
      <w:r>
        <w:rPr/>
        <w:t>年限制性股票预留股份完成登记，授予价格</w:t>
      </w:r>
      <w:r>
        <w:rPr>
          <w:rFonts w:ascii="Times New Roman" w:hAnsi="Times New Roman" w:cs="Times New Roman" w:eastAsia="Times New Roman" w:hint="default"/>
        </w:rPr>
        <w:t>5.18</w:t>
      </w:r>
      <w:r>
        <w:rPr/>
        <w:t>元</w:t>
      </w:r>
      <w:r>
        <w:rPr>
          <w:rFonts w:ascii="Times New Roman" w:hAnsi="Times New Roman" w:cs="Times New Roman" w:eastAsia="Times New Roman" w:hint="default"/>
        </w:rPr>
        <w:t>/</w:t>
      </w:r>
      <w:r>
        <w:rPr/>
        <w:t>股，授予数量</w:t>
      </w:r>
      <w:r>
        <w:rPr>
          <w:rFonts w:ascii="Times New Roman" w:hAnsi="Times New Roman" w:cs="Times New Roman" w:eastAsia="Times New Roman" w:hint="default"/>
        </w:rPr>
        <w:t>1,418,760</w:t>
      </w:r>
      <w:r>
        <w:rPr/>
        <w:t>股。</w:t>
      </w:r>
    </w:p>
    <w:p>
      <w:pPr>
        <w:spacing w:line="240" w:lineRule="auto" w:before="5"/>
        <w:rPr>
          <w:rFonts w:ascii="宋体" w:hAnsi="宋体" w:cs="宋体" w:eastAsia="宋体" w:hint="default"/>
          <w:sz w:val="18"/>
          <w:szCs w:val="18"/>
        </w:rPr>
      </w:pPr>
    </w:p>
    <w:p>
      <w:pPr>
        <w:pStyle w:val="Heading4"/>
        <w:spacing w:line="240" w:lineRule="auto"/>
        <w:ind w:right="985"/>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13" w:lineRule="exact" w:before="51"/>
        <w:ind w:left="633" w:right="985"/>
        <w:jc w:val="left"/>
      </w:pPr>
      <w:r>
        <w:rPr/>
        <w:t>一、公司股份总数变动情况的说明</w:t>
      </w:r>
    </w:p>
    <w:p>
      <w:pPr>
        <w:pStyle w:val="Heading3"/>
        <w:spacing w:line="312" w:lineRule="exact" w:before="29"/>
        <w:ind w:left="154" w:right="1135"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日，公司完成因未满足公司</w:t>
      </w:r>
      <w:r>
        <w:rPr>
          <w:rFonts w:ascii="Times New Roman" w:hAnsi="Times New Roman" w:cs="Times New Roman" w:eastAsia="Times New Roman" w:hint="default"/>
        </w:rPr>
        <w:t>2014</w:t>
      </w:r>
      <w:r>
        <w:rPr/>
        <w:t>年限制性股票激励计划规定第二期解锁 </w:t>
      </w:r>
      <w:r>
        <w:rPr>
          <w:spacing w:val="26"/>
        </w:rPr>
        <w:t>条件的所有激励对象已获授但尚未解锁的限制性股票的回购注销，</w:t>
      </w:r>
      <w:r>
        <w:rPr>
          <w:spacing w:val="-78"/>
        </w:rPr>
        <w:t> </w:t>
      </w:r>
      <w:r>
        <w:rPr>
          <w:spacing w:val="23"/>
        </w:rPr>
        <w:t>公司股本总额由</w:t>
      </w:r>
      <w:r>
        <w:rPr>
          <w:spacing w:val="-106"/>
        </w:rPr>
        <w:t> </w:t>
      </w:r>
      <w:r>
        <w:rPr>
          <w:spacing w:val="-106"/>
        </w:rPr>
      </w:r>
      <w:r>
        <w:rPr>
          <w:rFonts w:ascii="Times New Roman" w:hAnsi="Times New Roman" w:cs="Times New Roman" w:eastAsia="Times New Roman" w:hint="default"/>
        </w:rPr>
        <w:t>606,563,337</w:t>
      </w:r>
      <w:r>
        <w:rPr/>
        <w:t>股变更为</w:t>
      </w:r>
      <w:r>
        <w:rPr>
          <w:rFonts w:ascii="Times New Roman" w:hAnsi="Times New Roman" w:cs="Times New Roman" w:eastAsia="Times New Roman" w:hint="default"/>
        </w:rPr>
        <w:t>601,285,790</w:t>
      </w:r>
      <w:r>
        <w:rPr/>
        <w:t>股。</w:t>
      </w:r>
    </w:p>
    <w:p>
      <w:pPr>
        <w:pStyle w:val="Heading3"/>
        <w:spacing w:line="291" w:lineRule="exact"/>
        <w:ind w:left="634" w:right="98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2016</w:t>
      </w:r>
      <w:r>
        <w:rPr/>
        <w:t>年限制性股票预留股份登记完成后上市，公司股本总额由</w:t>
      </w:r>
    </w:p>
    <w:p>
      <w:pPr>
        <w:pStyle w:val="Heading3"/>
        <w:spacing w:line="312" w:lineRule="exact"/>
        <w:ind w:left="154" w:right="985"/>
        <w:jc w:val="left"/>
      </w:pPr>
      <w:r>
        <w:rPr>
          <w:rFonts w:ascii="Times New Roman" w:hAnsi="Times New Roman" w:cs="Times New Roman" w:eastAsia="Times New Roman" w:hint="default"/>
        </w:rPr>
        <w:t>601,285,790  </w:t>
      </w:r>
      <w:r>
        <w:rPr/>
        <w:t>股变更为</w:t>
      </w:r>
      <w:r>
        <w:rPr>
          <w:rFonts w:ascii="Times New Roman" w:hAnsi="Times New Roman" w:cs="Times New Roman" w:eastAsia="Times New Roman" w:hint="default"/>
        </w:rPr>
        <w:t>602,704,550</w:t>
      </w:r>
      <w:r>
        <w:rPr>
          <w:rFonts w:ascii="Times New Roman" w:hAnsi="Times New Roman" w:cs="Times New Roman" w:eastAsia="Times New Roman" w:hint="default"/>
          <w:spacing w:val="12"/>
        </w:rPr>
        <w:t> </w:t>
      </w:r>
      <w:r>
        <w:rPr/>
        <w:t>股。</w:t>
      </w:r>
    </w:p>
    <w:p>
      <w:pPr>
        <w:pStyle w:val="Heading3"/>
        <w:spacing w:line="312" w:lineRule="exact" w:before="20"/>
        <w:ind w:left="154" w:right="1049"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日，公司完成</w:t>
      </w:r>
      <w:r>
        <w:rPr>
          <w:rFonts w:ascii="Times New Roman" w:hAnsi="Times New Roman" w:cs="Times New Roman" w:eastAsia="Times New Roman" w:hint="default"/>
        </w:rPr>
        <w:t>2016</w:t>
      </w:r>
      <w:r>
        <w:rPr/>
        <w:t>年限制性股票激励计划部分限制性股票的回购注销， 公司股本总额由</w:t>
      </w:r>
      <w:r>
        <w:rPr>
          <w:rFonts w:ascii="Times New Roman" w:hAnsi="Times New Roman" w:cs="Times New Roman" w:eastAsia="Times New Roman" w:hint="default"/>
        </w:rPr>
        <w:t>602,704,550</w:t>
      </w:r>
      <w:r>
        <w:rPr/>
        <w:t>股变更为</w:t>
      </w:r>
      <w:r>
        <w:rPr>
          <w:rFonts w:ascii="Times New Roman" w:hAnsi="Times New Roman" w:cs="Times New Roman" w:eastAsia="Times New Roman" w:hint="default"/>
        </w:rPr>
        <w:t>602,573,950</w:t>
      </w:r>
      <w:r>
        <w:rPr/>
        <w:t>股。</w:t>
      </w:r>
    </w:p>
    <w:p>
      <w:pPr>
        <w:pStyle w:val="Heading3"/>
        <w:spacing w:line="282" w:lineRule="exact"/>
        <w:ind w:left="634" w:right="985"/>
        <w:jc w:val="left"/>
      </w:pPr>
      <w:r>
        <w:rPr/>
        <w:t>二、公司资产和负债结构变动情况说明</w:t>
      </w:r>
    </w:p>
    <w:p>
      <w:pPr>
        <w:pStyle w:val="Heading3"/>
        <w:spacing w:line="232" w:lineRule="auto" w:before="7"/>
        <w:ind w:right="1131" w:firstLine="480"/>
        <w:jc w:val="both"/>
        <w:rPr>
          <w:rFonts w:ascii="Times New Roman" w:hAnsi="Times New Roman" w:cs="Times New Roman" w:eastAsia="Times New Roman" w:hint="default"/>
        </w:rPr>
      </w:pPr>
      <w:r>
        <w:rPr>
          <w:spacing w:val="-1"/>
        </w:rPr>
        <w:t>根据财政部会计司《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4-5</w:t>
      </w:r>
      <w:r>
        <w:rPr>
          <w:spacing w:val="-1"/>
        </w:rPr>
        <w:t>月会计师事务所提交的专业技术问题的研讨情况及财政部</w:t>
      </w:r>
      <w:r>
        <w:rPr/>
        <w:t> </w:t>
      </w:r>
      <w:r>
        <w:rPr>
          <w:spacing w:val="-2"/>
        </w:rPr>
        <w:t>就有关会计处理征询函的复函通报》，</w:t>
      </w:r>
      <w:r>
        <w:rPr>
          <w:rFonts w:ascii="Times New Roman" w:hAnsi="Times New Roman" w:cs="Times New Roman" w:eastAsia="Times New Roman" w:hint="default"/>
          <w:spacing w:val="-2"/>
        </w:rPr>
        <w:t>“</w:t>
      </w:r>
      <w:r>
        <w:rPr>
          <w:spacing w:val="-2"/>
        </w:rPr>
        <w:t>向职工发行的限制性股票按有关规定履行了注册登记</w:t>
      </w:r>
      <w:r>
        <w:rPr>
          <w:spacing w:val="-107"/>
        </w:rPr>
        <w:t> </w:t>
      </w:r>
      <w:r>
        <w:rPr/>
        <w:t>等增资手续的，在授予日，企业应当根据收到的职工缴纳的认股款确认股本和资本公积（股</w:t>
      </w:r>
      <w:r>
        <w:rPr>
          <w:spacing w:val="-113"/>
        </w:rPr>
        <w:t> </w:t>
      </w:r>
      <w:r>
        <w:rPr>
          <w:spacing w:val="-113"/>
        </w:rPr>
      </w:r>
      <w:r>
        <w:rPr/>
        <w:t>本溢价），同时就回购义务确认负债（作收购库存股处理）；在锁定期和解锁期内，企业应 当按照《企业会计准则第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股份支付》的相关规定进行会计处理。</w:t>
      </w:r>
      <w:r>
        <w:rPr>
          <w:rFonts w:ascii="Times New Roman" w:hAnsi="Times New Roman" w:cs="Times New Roman" w:eastAsia="Times New Roman" w:hint="default"/>
        </w:rPr>
        <w:t>”</w:t>
      </w:r>
      <w:r>
        <w:rPr/>
        <w:t>据此规定</w:t>
      </w:r>
      <w:r>
        <w:rPr>
          <w:rFonts w:ascii="Times New Roman" w:hAnsi="Times New Roman" w:cs="Times New Roman" w:eastAsia="Times New Roman" w:hint="default"/>
        </w:rPr>
        <w:t>:</w:t>
      </w:r>
    </w:p>
    <w:p>
      <w:pPr>
        <w:pStyle w:val="Heading3"/>
        <w:spacing w:line="303" w:lineRule="exact"/>
        <w:ind w:left="634" w:right="985"/>
        <w:jc w:val="left"/>
      </w:pPr>
      <w:r>
        <w:rPr>
          <w:rFonts w:ascii="Times New Roman" w:hAnsi="Times New Roman" w:cs="Times New Roman" w:eastAsia="Times New Roman" w:hint="default"/>
          <w:spacing w:val="14"/>
        </w:rPr>
        <w:t>1</w:t>
      </w:r>
      <w:r>
        <w:rPr>
          <w:spacing w:val="14"/>
        </w:rPr>
        <w:t>、报告期内，限制性股票回购注销导致公司货币资金减少</w:t>
      </w:r>
      <w:r>
        <w:rPr>
          <w:spacing w:val="-67"/>
        </w:rPr>
        <w:t> </w:t>
      </w:r>
      <w:r>
        <w:rPr>
          <w:rFonts w:ascii="Times New Roman" w:hAnsi="Times New Roman" w:cs="Times New Roman" w:eastAsia="Times New Roman" w:hint="default"/>
          <w:spacing w:val="5"/>
        </w:rPr>
        <w:t>45349354.30</w:t>
      </w:r>
      <w:r>
        <w:rPr>
          <w:spacing w:val="5"/>
        </w:rPr>
        <w:t>元</w:t>
      </w:r>
      <w:r>
        <w:rPr>
          <w:rFonts w:ascii="Times New Roman" w:hAnsi="Times New Roman" w:cs="Times New Roman" w:eastAsia="Times New Roman" w:hint="default"/>
          <w:spacing w:val="5"/>
        </w:rPr>
        <w:t>,</w:t>
      </w:r>
      <w:r>
        <w:rPr>
          <w:spacing w:val="5"/>
        </w:rPr>
        <w:t>负债减少</w:t>
      </w:r>
    </w:p>
    <w:p>
      <w:pPr>
        <w:pStyle w:val="Heading3"/>
        <w:spacing w:line="322" w:lineRule="exact"/>
        <w:ind w:left="154" w:right="985"/>
        <w:jc w:val="left"/>
      </w:pPr>
      <w:r>
        <w:rPr>
          <w:rFonts w:ascii="Times New Roman" w:hAnsi="Times New Roman" w:cs="Times New Roman" w:eastAsia="Times New Roman" w:hint="default"/>
        </w:rPr>
        <w:t>45349354.30</w:t>
      </w:r>
      <w:r>
        <w:rPr/>
        <w:t>元，不影响所有者权益合计金额。</w:t>
      </w:r>
    </w:p>
    <w:p>
      <w:pPr>
        <w:spacing w:after="0" w:line="32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0" w:firstLine="480"/>
        <w:jc w:val="both"/>
      </w:pPr>
      <w:r>
        <w:rPr>
          <w:rFonts w:ascii="Times New Roman" w:hAnsi="Times New Roman" w:cs="Times New Roman" w:eastAsia="Times New Roman" w:hint="default"/>
          <w:spacing w:val="2"/>
        </w:rPr>
        <w:t>2</w:t>
      </w:r>
      <w:r>
        <w:rPr>
          <w:spacing w:val="2"/>
        </w:rPr>
        <w:t>、报告期内，公司因</w:t>
      </w:r>
      <w:r>
        <w:rPr>
          <w:rFonts w:ascii="Times New Roman" w:hAnsi="Times New Roman" w:cs="Times New Roman" w:eastAsia="Times New Roman" w:hint="default"/>
          <w:spacing w:val="2"/>
        </w:rPr>
        <w:t>“</w:t>
      </w:r>
      <w:r>
        <w:rPr>
          <w:spacing w:val="2"/>
        </w:rPr>
        <w:t>股权激励计划回购义务</w:t>
      </w:r>
      <w:r>
        <w:rPr>
          <w:rFonts w:ascii="Times New Roman" w:hAnsi="Times New Roman" w:cs="Times New Roman" w:eastAsia="Times New Roman" w:hint="default"/>
          <w:spacing w:val="2"/>
        </w:rPr>
        <w:t>”</w:t>
      </w:r>
      <w:r>
        <w:rPr>
          <w:spacing w:val="2"/>
        </w:rPr>
        <w:t>全额确认一项负债并作收购库存股处理</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确认库存股</w:t>
      </w:r>
      <w:r>
        <w:rPr>
          <w:rFonts w:ascii="Times New Roman" w:hAnsi="Times New Roman" w:cs="Times New Roman" w:eastAsia="Times New Roman" w:hint="default"/>
          <w:spacing w:val="-2"/>
        </w:rPr>
        <w:t>7349176.80</w:t>
      </w:r>
      <w:r>
        <w:rPr>
          <w:spacing w:val="-2"/>
        </w:rPr>
        <w:t>元，导致公司货币资金增加</w:t>
      </w:r>
      <w:r>
        <w:rPr>
          <w:rFonts w:ascii="Times New Roman" w:hAnsi="Times New Roman" w:cs="Times New Roman" w:eastAsia="Times New Roman" w:hint="default"/>
          <w:spacing w:val="-2"/>
        </w:rPr>
        <w:t>7349176.80</w:t>
      </w:r>
      <w:r>
        <w:rPr>
          <w:spacing w:val="-2"/>
        </w:rPr>
        <w:t>元</w:t>
      </w:r>
      <w:r>
        <w:rPr>
          <w:rFonts w:ascii="Times New Roman" w:hAnsi="Times New Roman" w:cs="Times New Roman" w:eastAsia="Times New Roman" w:hint="default"/>
          <w:spacing w:val="-2"/>
        </w:rPr>
        <w:t>,</w:t>
      </w:r>
      <w:r>
        <w:rPr>
          <w:spacing w:val="-2"/>
        </w:rPr>
        <w:t>负债增加</w:t>
      </w:r>
      <w:r>
        <w:rPr>
          <w:rFonts w:ascii="Times New Roman" w:hAnsi="Times New Roman" w:cs="Times New Roman" w:eastAsia="Times New Roman" w:hint="default"/>
          <w:spacing w:val="-2"/>
        </w:rPr>
        <w:t>7349176.80</w:t>
      </w:r>
      <w:r>
        <w:rPr>
          <w:spacing w:val="-2"/>
        </w:rPr>
        <w:t>元，不影</w:t>
      </w:r>
      <w:r>
        <w:rPr>
          <w:spacing w:val="-88"/>
        </w:rPr>
        <w:t> </w:t>
      </w:r>
      <w:r>
        <w:rPr>
          <w:spacing w:val="-88"/>
        </w:rPr>
      </w:r>
      <w:r>
        <w:rPr/>
        <w:t>响所有者权益合计金额。</w:t>
      </w:r>
    </w:p>
    <w:p>
      <w:pPr>
        <w:pStyle w:val="Heading3"/>
        <w:spacing w:line="292" w:lineRule="exact"/>
        <w:ind w:left="0" w:right="1129"/>
        <w:jc w:val="right"/>
        <w:rPr>
          <w:rFonts w:ascii="Times New Roman" w:hAnsi="Times New Roman" w:cs="Times New Roman" w:eastAsia="Times New Roman" w:hint="default"/>
        </w:rPr>
      </w:pPr>
      <w:r>
        <w:rPr>
          <w:rFonts w:ascii="Times New Roman" w:hAnsi="Times New Roman" w:cs="Times New Roman" w:eastAsia="Times New Roman" w:hint="default"/>
        </w:rPr>
        <w:t>3</w:t>
      </w:r>
      <w:r>
        <w:rPr/>
        <w:t>、报告期内，公司因</w:t>
      </w:r>
      <w:r>
        <w:rPr>
          <w:rFonts w:ascii="Times New Roman" w:hAnsi="Times New Roman" w:cs="Times New Roman" w:eastAsia="Times New Roman" w:hint="default"/>
        </w:rPr>
        <w:t>2016</w:t>
      </w:r>
      <w:r>
        <w:rPr/>
        <w:t>年限制性股票激励计划第一期解锁导致负债减少</w:t>
      </w:r>
      <w:r>
        <w:rPr>
          <w:rFonts w:ascii="Times New Roman" w:hAnsi="Times New Roman" w:cs="Times New Roman" w:eastAsia="Times New Roman" w:hint="default"/>
        </w:rPr>
        <w:t>43752023.04</w:t>
      </w:r>
    </w:p>
    <w:p>
      <w:pPr>
        <w:pStyle w:val="Heading3"/>
        <w:spacing w:line="322" w:lineRule="exact"/>
        <w:ind w:left="154" w:right="985"/>
        <w:jc w:val="left"/>
      </w:pPr>
      <w:r>
        <w:rPr/>
        <w:t>元，净资产增加</w:t>
      </w:r>
      <w:r>
        <w:rPr>
          <w:rFonts w:ascii="Times New Roman" w:hAnsi="Times New Roman" w:cs="Times New Roman" w:eastAsia="Times New Roman" w:hint="default"/>
        </w:rPr>
        <w:t>43752023.04</w:t>
      </w:r>
      <w:r>
        <w:rPr/>
        <w:t>元。</w:t>
      </w:r>
    </w:p>
    <w:p>
      <w:pPr>
        <w:spacing w:line="240" w:lineRule="auto" w:before="4"/>
        <w:rPr>
          <w:rFonts w:ascii="宋体" w:hAnsi="宋体" w:cs="宋体" w:eastAsia="宋体" w:hint="default"/>
          <w:sz w:val="23"/>
          <w:szCs w:val="23"/>
        </w:rPr>
      </w:pPr>
    </w:p>
    <w:p>
      <w:pPr>
        <w:pStyle w:val="Heading4"/>
        <w:spacing w:line="240" w:lineRule="auto"/>
        <w:ind w:right="985"/>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51,399</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59,754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3"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72,482,65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3,207,260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54,361,98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18,120,66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8" w:type="dxa"/>
            <w:gridSpan w:val="2"/>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国电电力发展股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37,601,62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37,601,62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4,136,839</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国网福建省电力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国网吉林省电力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陈卓婷</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8,949,817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2,624,400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8,949,817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7,639,300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7,639,300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限公司－华夏新 经济灵活配置混 合型发起式证券 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7,124,803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7,124,803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6,441,328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-4,869,64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6,291,328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3,543,423</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份有限公司－易 方达瑞惠灵活配 置混合型发起式 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6,129,043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6,129,043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份有限公司－嘉 实事件驱动股票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5,760,390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5,760,390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上述股东中，国网福建省电力有限公司与国网吉林省电力有限公司存在关联关系，两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者的实际控制人均是国家电网公司。未知其他股东之间是否具有关联关系，也未知是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37,601,625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37,601,625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34,765,546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34,765,546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18,120,663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18,120,663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16,653,767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16,653,767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陈卓婷</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8,949,817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8,949,817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7,639,300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7,639,300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中国银行股份有限公司－华夏新经 济灵活配置混合型发起式证券投资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7,124,803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7,124,803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6,291,328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6,291,328</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中国农业银行股份有限公司－易方 达瑞惠灵活配置混合型发起式证券 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6,129,043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6,129,043</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中国工商银行股份有限公司－嘉实 事件驱动股票型证券投资基金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5,760,390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5,760,390</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上述股东中，国网福建省电力有限公司与国网吉林省电力有限公司存在关联关系，两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者的实际控制人均是国家电网公司。未知其他股东之间是否具有关联关系，也未知是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否属于一致行动人。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98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98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3"/>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0" w:right="1140"/>
        <w:jc w:val="right"/>
      </w:pPr>
      <w:r>
        <w:rPr/>
        <w:pict>
          <v:shape style="position:absolute;margin-left:56.459999pt;margin-top:-119.048264pt;width:479.2pt;height:221.3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年以来，陈利浩先生一直在公司任职。目前还担任国家会计信息化委 </w:t>
                        </w:r>
                        <w:r>
                          <w:rPr>
                            <w:rFonts w:ascii="宋体" w:hAnsi="宋体" w:cs="宋体" w:eastAsia="宋体" w:hint="default"/>
                            <w:spacing w:val="-1"/>
                            <w:sz w:val="18"/>
                            <w:szCs w:val="18"/>
                          </w:rPr>
                          <w:t>员会委员；九三学社中央委员会人资环委副主任、促创工委副主任；广东省政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协研究咨询委员会委员；广东省新的社会阶层人士联合会监事长；珠海市浙江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商会会长；林芝地区荣光科技有限公司执行董事兼总经理、珠海市浩天投资有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限公司执行董事兼总经理、珠海市载舟企业管理有限公司执行董事兼总经理； </w:t>
                        </w:r>
                        <w:r>
                          <w:rPr>
                            <w:rFonts w:ascii="宋体" w:hAnsi="宋体" w:cs="宋体" w:eastAsia="宋体" w:hint="default"/>
                            <w:spacing w:val="-4"/>
                            <w:sz w:val="18"/>
                            <w:szCs w:val="18"/>
                          </w:rPr>
                          <w:t>远光资本管理（横琴）有限公司董事长、远光软件（北京）有限公司执行董事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远光共创智能科技股份有限公司董事长、珠海高远电能科技有限公司董事长、 </w:t>
                        </w:r>
                        <w:r>
                          <w:rPr>
                            <w:rFonts w:ascii="宋体" w:hAnsi="宋体" w:cs="宋体" w:eastAsia="宋体" w:hint="default"/>
                            <w:spacing w:val="-1"/>
                            <w:sz w:val="18"/>
                            <w:szCs w:val="18"/>
                          </w:rPr>
                          <w:t>杭州昊美科技有限公司董事长、珠海远光软件产业有限公司监事；广东省依依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关爱儿童基金会创始人等。</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154" w:right="985"/>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985"/>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0" w:right="1139"/>
        <w:jc w:val="right"/>
      </w:pPr>
      <w:r>
        <w:rPr/>
        <w:pict>
          <v:shape style="position:absolute;margin-left:56.459999pt;margin-top:-119.048279pt;width:479.2pt;height:205.7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年以来，陈利浩先生一直在公司任职。目前还担任国家会计信息化委 </w:t>
                        </w:r>
                        <w:r>
                          <w:rPr>
                            <w:rFonts w:ascii="宋体" w:hAnsi="宋体" w:cs="宋体" w:eastAsia="宋体" w:hint="default"/>
                            <w:spacing w:val="-1"/>
                            <w:sz w:val="18"/>
                            <w:szCs w:val="18"/>
                          </w:rPr>
                          <w:t>员会委员；九三学社中央委员会人资环委副主任、促创工委副主任；广东省政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协研究咨询委员会委员；广东省新的社会阶层人士联合会监事长；珠海市浙江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商会会长；林芝地区荣光科技有限公司执行董事兼总经理、珠海市浩天投资有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限公司执行董事兼总经理、珠海市载舟企业管理有限公司执行董事兼总经理； </w:t>
                        </w:r>
                        <w:r>
                          <w:rPr>
                            <w:rFonts w:ascii="宋体" w:hAnsi="宋体" w:cs="宋体" w:eastAsia="宋体" w:hint="default"/>
                            <w:spacing w:val="-4"/>
                            <w:sz w:val="18"/>
                            <w:szCs w:val="18"/>
                          </w:rPr>
                          <w:t>远光资本管理（横琴）有限公司董事长、远光软件（北京）有限公司执行董事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远光共创智能科技股份有限公司董事长、珠海高远电能科技有限公司董事长、 </w:t>
                        </w:r>
                        <w:r>
                          <w:rPr>
                            <w:rFonts w:ascii="宋体" w:hAnsi="宋体" w:cs="宋体" w:eastAsia="宋体" w:hint="default"/>
                            <w:spacing w:val="-1"/>
                            <w:sz w:val="18"/>
                            <w:szCs w:val="18"/>
                          </w:rPr>
                          <w:t>杭州昊美科技有限公司董事长、珠海远光软件产业有限公司监事；广东省依依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关爱儿童基金会创始人等。</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0"/>
        <w:ind w:left="154" w:right="985"/>
        <w:jc w:val="left"/>
      </w:pPr>
      <w:r>
        <w:rPr/>
        <w:t>实际控制人报告期内变更</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4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7"/>
          <w:szCs w:val="17"/>
        </w:rPr>
      </w:pPr>
    </w:p>
    <w:p>
      <w:pPr>
        <w:spacing w:line="3330" w:lineRule="exact"/>
        <w:ind w:left="1356"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592210" cy="21145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2" cstate="print"/>
                    <a:stretch>
                      <a:fillRect/>
                    </a:stretch>
                  </pic:blipFill>
                  <pic:spPr>
                    <a:xfrm>
                      <a:off x="0" y="0"/>
                      <a:ext cx="4592210" cy="2114550"/>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16"/>
          <w:szCs w:val="16"/>
        </w:rPr>
      </w:pPr>
    </w:p>
    <w:p>
      <w:pPr>
        <w:pStyle w:val="Heading3"/>
        <w:spacing w:line="240" w:lineRule="auto"/>
        <w:ind w:right="985"/>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985"/>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985"/>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69,275,39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3,207,260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72,482,65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1,055,174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1,205,024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职工代表 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230,156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360,213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319,994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358,511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高级副总 裁、财务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270,572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220,774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290,452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329,969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290,452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264,469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269,994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307,811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265,000</w:t>
            </w:r>
          </w:p>
        </w:tc>
      </w:tr>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73,353,12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3,952,060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-262,966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77,042,22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985"/>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r>
    </w:tbl>
    <w:p>
      <w:pPr>
        <w:spacing w:line="240" w:lineRule="auto" w:before="2"/>
        <w:rPr>
          <w:rFonts w:ascii="宋体" w:hAnsi="宋体" w:cs="宋体" w:eastAsia="宋体" w:hint="default"/>
          <w:sz w:val="18"/>
          <w:szCs w:val="18"/>
        </w:rPr>
      </w:pPr>
    </w:p>
    <w:p>
      <w:pPr>
        <w:pStyle w:val="Heading2"/>
        <w:spacing w:line="240" w:lineRule="auto" w:before="26"/>
        <w:ind w:left="154" w:right="985"/>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公司现任董事、监事、高级管理人员专业背景、主要工作经历以及目前在公司的主要职责</w:t>
      </w:r>
    </w:p>
    <w:p>
      <w:pPr>
        <w:pStyle w:val="Heading3"/>
        <w:spacing w:line="237" w:lineRule="auto" w:before="69"/>
        <w:ind w:right="995" w:firstLine="482"/>
        <w:jc w:val="left"/>
      </w:pPr>
      <w:r>
        <w:rPr>
          <w:rFonts w:ascii="宋体" w:hAnsi="宋体" w:cs="宋体" w:eastAsia="宋体" w:hint="default"/>
          <w:b/>
          <w:bCs/>
        </w:rPr>
        <w:t>陈利浩先生</w:t>
      </w:r>
      <w:r>
        <w:rPr/>
        <w:t>，董事长，中国国籍，</w:t>
      </w:r>
      <w:r>
        <w:rPr>
          <w:rFonts w:ascii="Times New Roman" w:hAnsi="Times New Roman" w:cs="Times New Roman" w:eastAsia="Times New Roman" w:hint="default"/>
        </w:rPr>
        <w:t>1955</w:t>
      </w:r>
      <w:r>
        <w:rPr/>
        <w:t>年生，毕业于上海电力学院。自</w:t>
      </w:r>
      <w:r>
        <w:rPr>
          <w:rFonts w:ascii="Times New Roman" w:hAnsi="Times New Roman" w:cs="Times New Roman" w:eastAsia="Times New Roman" w:hint="default"/>
        </w:rPr>
        <w:t>1998</w:t>
      </w:r>
      <w:r>
        <w:rPr/>
        <w:t>年以来，陈 利浩先生一直在公司任职。目前还担任国家会计信息化委员会委员；九三学社中央委员会人 资环委副主任、促创工委副主任；广东省政协研究咨询委员会委员；广东省新的社会阶层人 士联合会监事长；珠海市浙江商会会长；林芝地区荣光科技有限公司执行董事兼总经理、珠 </w:t>
      </w:r>
      <w:r>
        <w:rPr>
          <w:spacing w:val="-2"/>
        </w:rPr>
        <w:t>海市浩天投资有限公司执行董事兼总经理、珠海市载舟企业管理有限公司执行董事兼总经理；</w:t>
      </w:r>
      <w:r>
        <w:rPr/>
        <w:t> 远光资本管理（横琴）有限公司董事长、远光软件（北京）有限公司执行董事、远光共创智 能科技股份有限公司董事长、珠海高远电能科技有限公司董事长、杭州昊美科技有限公司董</w:t>
      </w:r>
      <w:r>
        <w:rPr>
          <w:spacing w:val="-110"/>
        </w:rPr>
        <w:t> </w:t>
      </w:r>
      <w:r>
        <w:rPr>
          <w:spacing w:val="-110"/>
        </w:rPr>
      </w:r>
      <w:r>
        <w:rPr/>
        <w:t>事长、珠海远光软件产业有限公司监事；广东省依依关爱儿童基金会创始人等。</w:t>
      </w:r>
    </w:p>
    <w:p>
      <w:pPr>
        <w:pStyle w:val="Heading3"/>
        <w:spacing w:line="312" w:lineRule="exact" w:before="29"/>
        <w:ind w:right="1131" w:firstLine="480"/>
        <w:jc w:val="both"/>
      </w:pPr>
      <w:r>
        <w:rPr>
          <w:rFonts w:ascii="宋体" w:hAnsi="宋体" w:cs="宋体" w:eastAsia="宋体" w:hint="default"/>
          <w:b/>
          <w:bCs/>
        </w:rPr>
        <w:t>刘全先生</w:t>
      </w:r>
      <w:r>
        <w:rPr/>
        <w:t>，副董事长，中国国籍，</w:t>
      </w:r>
      <w:r>
        <w:rPr>
          <w:rFonts w:ascii="Times New Roman" w:hAnsi="Times New Roman" w:cs="Times New Roman" w:eastAsia="Times New Roman" w:hint="default"/>
        </w:rPr>
        <w:t>1972</w:t>
      </w:r>
      <w:r>
        <w:rPr/>
        <w:t>年生，中共党员，研究生学历，工程师，现任持 </w:t>
      </w:r>
      <w:r>
        <w:rPr>
          <w:spacing w:val="-2"/>
        </w:rPr>
        <w:t>有公司股份</w:t>
      </w:r>
      <w:r>
        <w:rPr>
          <w:rFonts w:ascii="Times New Roman" w:hAnsi="Times New Roman" w:cs="Times New Roman" w:eastAsia="Times New Roman" w:hint="default"/>
          <w:spacing w:val="-2"/>
        </w:rPr>
        <w:t>5%</w:t>
      </w:r>
      <w:r>
        <w:rPr>
          <w:spacing w:val="-2"/>
        </w:rPr>
        <w:t>以上股东国电电力发展股份有限公司法律事务与信息管理部主任、国电电力发</w:t>
      </w:r>
      <w:r>
        <w:rPr>
          <w:spacing w:val="-80"/>
        </w:rPr>
        <w:t> </w:t>
      </w:r>
      <w:r>
        <w:rPr>
          <w:spacing w:val="-80"/>
        </w:rPr>
      </w:r>
      <w:r>
        <w:rPr/>
        <w:t>展股份有限公司总法律顾问，刘全先生还担任北京太阳宫燃气热电有限公司董事、国电内蒙 古上海庙热电有限公司副董事长。刘全先生历任北京第二热电厂厂办秘书、厂办副主任、计 划科副科长，山西漳电国电王坪发电有限公司董事，国电电力发展股份有限公司总经理工作 部业务经理、总经理工作部主任助理、总经理工作部副主任、总经理工作部主任。</w:t>
      </w:r>
    </w:p>
    <w:p>
      <w:pPr>
        <w:pStyle w:val="Heading3"/>
        <w:spacing w:line="232" w:lineRule="auto" w:before="18"/>
        <w:ind w:left="154" w:right="1133" w:firstLine="480"/>
        <w:jc w:val="both"/>
      </w:pPr>
      <w:r>
        <w:rPr>
          <w:rFonts w:ascii="宋体" w:hAnsi="宋体" w:cs="宋体" w:eastAsia="宋体" w:hint="default"/>
          <w:b/>
          <w:bCs/>
        </w:rPr>
        <w:t>黄笑华先生</w:t>
      </w:r>
      <w:r>
        <w:rPr/>
        <w:t>，副董事长、总裁，中国国籍，</w:t>
      </w:r>
      <w:r>
        <w:rPr>
          <w:rFonts w:ascii="Times New Roman" w:hAnsi="Times New Roman" w:cs="Times New Roman" w:eastAsia="Times New Roman" w:hint="default"/>
        </w:rPr>
        <w:t>1971</w:t>
      </w:r>
      <w:r>
        <w:rPr/>
        <w:t>年生。</w:t>
      </w:r>
      <w:r>
        <w:rPr>
          <w:rFonts w:ascii="Times New Roman" w:hAnsi="Times New Roman" w:cs="Times New Roman" w:eastAsia="Times New Roman" w:hint="default"/>
        </w:rPr>
        <w:t>1993</w:t>
      </w:r>
      <w:r>
        <w:rPr/>
        <w:t>年毕业于西安交通大学，获 学士学位；</w:t>
      </w:r>
      <w:r>
        <w:rPr>
          <w:rFonts w:ascii="Times New Roman" w:hAnsi="Times New Roman" w:cs="Times New Roman" w:eastAsia="Times New Roman" w:hint="default"/>
        </w:rPr>
        <w:t>2007</w:t>
      </w:r>
      <w:r>
        <w:rPr/>
        <w:t>年获清华大学</w:t>
      </w:r>
      <w:r>
        <w:rPr>
          <w:rFonts w:ascii="Times New Roman" w:hAnsi="Times New Roman" w:cs="Times New Roman" w:eastAsia="Times New Roman" w:hint="default"/>
        </w:rPr>
        <w:t>EMBA</w:t>
      </w:r>
      <w:r>
        <w:rPr/>
        <w:t>学位。自</w:t>
      </w:r>
      <w:r>
        <w:rPr>
          <w:rFonts w:ascii="Times New Roman" w:hAnsi="Times New Roman" w:cs="Times New Roman" w:eastAsia="Times New Roman" w:hint="default"/>
        </w:rPr>
        <w:t>1998</w:t>
      </w:r>
      <w:r>
        <w:rPr/>
        <w:t>年以来，黄笑华先生一直在公司任职。报</w:t>
      </w:r>
      <w:r>
        <w:rPr>
          <w:spacing w:val="-76"/>
        </w:rPr>
        <w:t> </w:t>
      </w:r>
      <w:r>
        <w:rPr>
          <w:spacing w:val="-76"/>
        </w:rPr>
      </w:r>
      <w:r>
        <w:rPr/>
        <w:t>告期还担任远光资本管理（横琴）有限公司董事、南京远光广安科技有限公司董事长、珠海 高远电能科技有限公司董事、珠海远光软件产业有限公司董事长兼总经理、北京融和晟源售 电有限公司董事、珠海市锐创股权投资咨询中心（有限合伙）执行事务合伙人；广东省依依 关爱儿童基金会理事。</w:t>
      </w:r>
    </w:p>
    <w:p>
      <w:pPr>
        <w:pStyle w:val="Heading3"/>
        <w:spacing w:line="312" w:lineRule="exact" w:before="68"/>
        <w:ind w:right="1134" w:firstLine="480"/>
        <w:jc w:val="both"/>
      </w:pPr>
      <w:r>
        <w:rPr>
          <w:rFonts w:ascii="宋体" w:hAnsi="宋体" w:cs="宋体" w:eastAsia="宋体" w:hint="default"/>
          <w:b/>
          <w:bCs/>
        </w:rPr>
        <w:t>林国华先生</w:t>
      </w:r>
      <w:r>
        <w:rPr/>
        <w:t>，董事，中国香港，</w:t>
      </w:r>
      <w:r>
        <w:rPr>
          <w:rFonts w:ascii="Times New Roman" w:hAnsi="Times New Roman" w:cs="Times New Roman" w:eastAsia="Times New Roman" w:hint="default"/>
        </w:rPr>
        <w:t>1962</w:t>
      </w:r>
      <w:r>
        <w:rPr/>
        <w:t>年生，浸会大学工商管理学士，现任香港万恒生科 技有限公司总经理、珠海远光软件产业有限公司副董事长。林国华先生曾任法国永兴洋行行 政部主管，美国霍尼韦尔公司市场经理，香港万事利电脑系统有限公司董事、副总经理。</w:t>
      </w:r>
    </w:p>
    <w:p>
      <w:pPr>
        <w:pStyle w:val="Heading3"/>
        <w:spacing w:line="302" w:lineRule="exact"/>
        <w:ind w:left="633" w:right="985"/>
        <w:jc w:val="left"/>
      </w:pPr>
      <w:r>
        <w:rPr>
          <w:rFonts w:ascii="宋体" w:hAnsi="宋体" w:cs="宋体" w:eastAsia="宋体" w:hint="default"/>
          <w:b/>
          <w:bCs/>
        </w:rPr>
        <w:t>向万红先生</w:t>
      </w:r>
      <w:r>
        <w:rPr/>
        <w:t>，董事、副总裁，中国国籍，</w:t>
      </w:r>
      <w:r>
        <w:rPr>
          <w:rFonts w:ascii="Times New Roman" w:hAnsi="Times New Roman" w:cs="Times New Roman" w:eastAsia="Times New Roman" w:hint="default"/>
        </w:rPr>
        <w:t>1978</w:t>
      </w:r>
      <w:r>
        <w:rPr/>
        <w:t>年生，专科学历。向万红先生自</w:t>
      </w:r>
      <w:r>
        <w:rPr>
          <w:rFonts w:ascii="Times New Roman" w:hAnsi="Times New Roman" w:cs="Times New Roman" w:eastAsia="Times New Roman" w:hint="default"/>
        </w:rPr>
        <w:t>2000</w:t>
      </w:r>
      <w:r>
        <w:rPr/>
        <w:t>年在</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26"/>
        <w:jc w:val="both"/>
      </w:pPr>
      <w:r>
        <w:rPr/>
        <w:t>公司任职，历任项目组经理、</w:t>
      </w:r>
      <w:r>
        <w:rPr>
          <w:rFonts w:ascii="Times New Roman" w:hAnsi="Times New Roman" w:cs="Times New Roman" w:eastAsia="Times New Roman" w:hint="default"/>
        </w:rPr>
        <w:t>ERP</w:t>
      </w:r>
      <w:r>
        <w:rPr/>
        <w:t>软件部经理、总裁助理，并于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月期间</w:t>
      </w:r>
      <w:r>
        <w:rPr>
          <w:spacing w:val="-51"/>
        </w:rPr>
        <w:t> </w:t>
      </w:r>
      <w:r>
        <w:rPr/>
        <w:t>担任公司职工代表监事，目前还担任公司工会主席、子公司珠海远光移动互联科技有限公司</w:t>
      </w:r>
      <w:r>
        <w:rPr/>
        <w:t> 执行董事兼总经理、珠海市青年联合会委员。向万红先生自</w:t>
      </w:r>
      <w:r>
        <w:rPr>
          <w:rFonts w:ascii="Times New Roman" w:hAnsi="Times New Roman" w:cs="Times New Roman" w:eastAsia="Times New Roman" w:hint="default"/>
        </w:rPr>
        <w:t>1999</w:t>
      </w:r>
      <w:r>
        <w:rPr/>
        <w:t>年开始从事企业管理软件的</w:t>
      </w:r>
      <w:r>
        <w:rPr>
          <w:spacing w:val="-111"/>
        </w:rPr>
        <w:t> </w:t>
      </w:r>
      <w:r>
        <w:rPr>
          <w:spacing w:val="-111"/>
        </w:rPr>
      </w:r>
      <w:r>
        <w:rPr/>
        <w:t>研发工作，曾在长春市吉联软件公司、珠海市创我科技公司任职。</w:t>
      </w:r>
    </w:p>
    <w:p>
      <w:pPr>
        <w:pStyle w:val="Heading3"/>
        <w:spacing w:line="312" w:lineRule="exact"/>
        <w:ind w:right="1128" w:firstLine="480"/>
        <w:jc w:val="right"/>
      </w:pPr>
      <w:r>
        <w:rPr>
          <w:rFonts w:ascii="宋体" w:hAnsi="宋体" w:cs="宋体" w:eastAsia="宋体" w:hint="default"/>
          <w:b/>
          <w:bCs/>
        </w:rPr>
        <w:t>周立先生</w:t>
      </w:r>
      <w:r>
        <w:rPr/>
        <w:t>，职工代表董事、高级副总裁，中国国籍，</w:t>
      </w:r>
      <w:r>
        <w:rPr>
          <w:rFonts w:ascii="Times New Roman" w:hAnsi="Times New Roman" w:cs="Times New Roman" w:eastAsia="Times New Roman" w:hint="default"/>
        </w:rPr>
        <w:t>1965</w:t>
      </w:r>
      <w:r>
        <w:rPr/>
        <w:t>年生，毕业于华南理工大学， </w:t>
      </w:r>
      <w:r>
        <w:rPr>
          <w:spacing w:val="-2"/>
        </w:rPr>
        <w:t>硕士研究生。自</w:t>
      </w:r>
      <w:r>
        <w:rPr>
          <w:rFonts w:ascii="Times New Roman" w:hAnsi="Times New Roman" w:cs="Times New Roman" w:eastAsia="Times New Roman" w:hint="default"/>
          <w:spacing w:val="-2"/>
        </w:rPr>
        <w:t>1998</w:t>
      </w:r>
      <w:r>
        <w:rPr>
          <w:spacing w:val="-2"/>
        </w:rPr>
        <w:t>年以来周立先生一直在公司任职。周立先生</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月担任公司</w:t>
      </w:r>
      <w:r>
        <w:rPr/>
        <w:t> </w:t>
      </w:r>
      <w:r>
        <w:rPr>
          <w:spacing w:val="-2"/>
        </w:rPr>
        <w:t>董事，</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月担任公司高级副总裁。周立先生曾任职于珠海拓扑智能仪器仪表有</w:t>
      </w:r>
      <w:r>
        <w:rPr/>
        <w:t> 限公司、清远建北逻辑高科技有限公司、广州一洲医疗器械有限公司、广州万宝集团公司。 </w:t>
      </w:r>
      <w:r>
        <w:rPr>
          <w:rFonts w:ascii="宋体" w:hAnsi="宋体" w:cs="宋体" w:eastAsia="宋体" w:hint="default"/>
          <w:b/>
          <w:bCs/>
        </w:rPr>
        <w:t>钱强先生，</w:t>
      </w:r>
      <w:r>
        <w:rPr/>
        <w:t>独立董事，中国国籍，</w:t>
      </w:r>
      <w:r>
        <w:rPr>
          <w:rFonts w:ascii="Times New Roman" w:hAnsi="Times New Roman" w:cs="Times New Roman" w:eastAsia="Times New Roman" w:hint="default"/>
        </w:rPr>
        <w:t>1971</w:t>
      </w:r>
      <w:r>
        <w:rPr/>
        <w:t>年生，计算机专业硕士研究生。现任深圳市合创</w:t>
      </w:r>
      <w:r>
        <w:rPr>
          <w:spacing w:val="1"/>
        </w:rPr>
        <w:t> </w:t>
      </w:r>
      <w:r>
        <w:rPr/>
        <w:t>资本管理有限公司董事、管理合伙人，南京亚派科技股份有限公司董事，南京绛门信息科技</w:t>
      </w:r>
    </w:p>
    <w:p>
      <w:pPr>
        <w:pStyle w:val="Heading3"/>
        <w:spacing w:line="312" w:lineRule="exact"/>
        <w:ind w:right="995"/>
        <w:jc w:val="left"/>
      </w:pPr>
      <w:r>
        <w:rPr>
          <w:spacing w:val="-2"/>
        </w:rPr>
        <w:t>股份有限公司董事，高斯贝尔数码科技股份有限公司董事，上海兴容信息技术有限公司董事，</w:t>
      </w:r>
      <w:r>
        <w:rPr/>
        <w:t> 成都准星云学科技有限公司董事，湖北双剑鼓风机股份有限公司董事，深圳市驱动新媒体有 限公司董事，百应科技（北京）有限公司董事。曾任中兴合创（天津）投资管理有限公司董 事总经理、监事、合伙人等职务，中兴通讯股份有限公司海外区域总裁、产品经营部副总经 理等职务。</w:t>
      </w:r>
    </w:p>
    <w:p>
      <w:pPr>
        <w:pStyle w:val="Heading3"/>
        <w:spacing w:line="312" w:lineRule="exact"/>
        <w:ind w:right="1133" w:firstLine="480"/>
        <w:jc w:val="both"/>
      </w:pPr>
      <w:r>
        <w:rPr>
          <w:rFonts w:ascii="宋体" w:hAnsi="宋体" w:cs="宋体" w:eastAsia="宋体" w:hint="default"/>
          <w:b/>
          <w:bCs/>
        </w:rPr>
        <w:t>陈宋生先生，</w:t>
      </w:r>
      <w:r>
        <w:rPr/>
        <w:t>独立董事，中国国籍，</w:t>
      </w:r>
      <w:r>
        <w:rPr>
          <w:rFonts w:ascii="Times New Roman" w:hAnsi="Times New Roman" w:cs="Times New Roman" w:eastAsia="Times New Roman" w:hint="default"/>
        </w:rPr>
        <w:t>1966</w:t>
      </w:r>
      <w:r>
        <w:rPr/>
        <w:t>年生，江西财经大学会计系学士、硕士，中国 人民大学会计学博士，北京大学光华管理学院管理学博士后，美国南卡罗莱那大学、德国卡 尔斯鲁尔大学高级访问学者。现任北京理工大学会计系主任、教授，博士生导师，中国注册 会计师、高级审计师；兼任欢瑞世纪联合股份有限公司、长春中天能源股份有限公司、中国 科技出版传媒股份有限公司、重庆秦安机电股份有限公司独立董事，财政部全国会计领军人 才（学术类）、《中国会计评论》、《中国审计评论》理事，中国审计学会教育分会副秘书 长、中国内审协会委员、北京市教育委员会会计学特色专业建设专家委员会委员。曾任职于</w:t>
      </w:r>
    </w:p>
    <w:p>
      <w:pPr>
        <w:pStyle w:val="Heading3"/>
        <w:spacing w:line="312" w:lineRule="exact"/>
        <w:ind w:left="634" w:right="985" w:hanging="480"/>
        <w:jc w:val="left"/>
      </w:pPr>
      <w:r>
        <w:rPr/>
        <w:t>江西省审计厅，任副处长。 </w:t>
      </w:r>
      <w:r>
        <w:rPr>
          <w:rFonts w:ascii="宋体" w:hAnsi="宋体" w:cs="宋体" w:eastAsia="宋体" w:hint="default"/>
          <w:b/>
          <w:bCs/>
          <w:spacing w:val="-3"/>
        </w:rPr>
        <w:t>梁华权先生，</w:t>
      </w:r>
      <w:r>
        <w:rPr>
          <w:spacing w:val="-3"/>
        </w:rPr>
        <w:t>独立董事，中国国籍，无境外永久居留权。</w:t>
      </w:r>
      <w:r>
        <w:rPr>
          <w:rFonts w:ascii="Times New Roman" w:hAnsi="Times New Roman" w:cs="Times New Roman" w:eastAsia="Times New Roman" w:hint="default"/>
          <w:spacing w:val="-3"/>
        </w:rPr>
        <w:t>1981</w:t>
      </w:r>
      <w:r>
        <w:rPr>
          <w:spacing w:val="-3"/>
        </w:rPr>
        <w:t>年生，企业管理硕士学历。</w:t>
      </w:r>
    </w:p>
    <w:p>
      <w:pPr>
        <w:pStyle w:val="Heading3"/>
        <w:spacing w:line="312" w:lineRule="exact"/>
        <w:ind w:right="1139"/>
        <w:jc w:val="both"/>
      </w:pPr>
      <w:r>
        <w:rPr/>
        <w:t>现任深圳信公企业管理咨询有限公司总经理、上海信公企业管理咨询有限公司董事、兼任深 圳市麦达数字股份有限公司独立董事、佛山市国星光电股份有限公司独立董事、远光软件股 份有限公司独立董事、珠海恒基达鑫国际化工仓储股份有限公司独立董事、常州中英科技股 份有限公司（非上市）独立董事。曾任深圳市宇阳科技发展有限公司企管专员、中国航空技 术深圳有限公司高级财务专员、深圳证券交易所监管员。</w:t>
      </w:r>
    </w:p>
    <w:p>
      <w:pPr>
        <w:pStyle w:val="Heading3"/>
        <w:spacing w:line="312" w:lineRule="exact"/>
        <w:ind w:right="1013" w:firstLine="482"/>
        <w:jc w:val="both"/>
      </w:pPr>
      <w:r>
        <w:rPr>
          <w:rFonts w:ascii="宋体" w:hAnsi="宋体" w:cs="宋体" w:eastAsia="宋体" w:hint="default"/>
          <w:b/>
          <w:bCs/>
        </w:rPr>
        <w:t>孙德生先生</w:t>
      </w:r>
      <w:r>
        <w:rPr/>
        <w:t>，监事会主席，中国国籍，</w:t>
      </w:r>
      <w:r>
        <w:rPr>
          <w:rFonts w:ascii="Times New Roman" w:hAnsi="Times New Roman" w:cs="Times New Roman" w:eastAsia="Times New Roman" w:hint="default"/>
        </w:rPr>
        <w:t>1970</w:t>
      </w:r>
      <w:r>
        <w:rPr/>
        <w:t>年生，中共党员，硕士学位，高级会计师。 现任公司</w:t>
      </w:r>
      <w:r>
        <w:rPr>
          <w:rFonts w:ascii="Times New Roman" w:hAnsi="Times New Roman" w:cs="Times New Roman" w:eastAsia="Times New Roman" w:hint="default"/>
        </w:rPr>
        <w:t>5%</w:t>
      </w:r>
      <w:r>
        <w:rPr/>
        <w:t>以上股东国电电力发展股份有限公司财务产权部主任，孙德生先生还担任河北银 行股份有限公司董事、国电内蒙古上海庙热电有限公司监事会主席。孙德生先生</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6</w:t>
      </w:r>
      <w:r>
        <w:rPr/>
        <w:t>月参 加工作，历任朝阳发电厂财务部副主任，东电茂霖水能发电有限公司财务部经理，国电东北 分公司营销财务部财务主管、营销财务部财务高级主管、财务产权部副主任、财务产权部主 </w:t>
      </w:r>
      <w:r>
        <w:rPr>
          <w:spacing w:val="-2"/>
        </w:rPr>
        <w:t>任，国电电力发展股份有限公司财务产权部副主任、财务部主任兼财务共享中心筹备组组长。</w:t>
      </w:r>
    </w:p>
    <w:p>
      <w:pPr>
        <w:pStyle w:val="Heading3"/>
        <w:spacing w:line="312" w:lineRule="exact"/>
        <w:ind w:right="1132" w:firstLine="480"/>
        <w:jc w:val="both"/>
      </w:pPr>
      <w:r>
        <w:rPr>
          <w:rFonts w:ascii="宋体" w:hAnsi="宋体" w:cs="宋体" w:eastAsia="宋体" w:hint="default"/>
          <w:b/>
          <w:bCs/>
        </w:rPr>
        <w:t>林世友先生，</w:t>
      </w:r>
      <w:r>
        <w:rPr/>
        <w:t>监事，中国国籍，</w:t>
      </w:r>
      <w:r>
        <w:rPr>
          <w:rFonts w:ascii="Times New Roman" w:hAnsi="Times New Roman" w:cs="Times New Roman" w:eastAsia="Times New Roman" w:hint="default"/>
        </w:rPr>
        <w:t>1970</w:t>
      </w:r>
      <w:r>
        <w:rPr/>
        <w:t>年生，中共党员，毕业于福州大学会计学专业，高 </w:t>
      </w:r>
      <w:r>
        <w:rPr>
          <w:spacing w:val="-2"/>
        </w:rPr>
        <w:t>级会计师。现任公司</w:t>
      </w:r>
      <w:r>
        <w:rPr>
          <w:rFonts w:ascii="Times New Roman" w:hAnsi="Times New Roman" w:cs="Times New Roman" w:eastAsia="Times New Roman" w:hint="default"/>
          <w:spacing w:val="-2"/>
        </w:rPr>
        <w:t>5%</w:t>
      </w:r>
      <w:r>
        <w:rPr>
          <w:spacing w:val="-2"/>
        </w:rPr>
        <w:t>以上股东国网福建省电力有限公司财务资产部主任，林世友先生还担</w:t>
      </w:r>
      <w:r>
        <w:rPr>
          <w:spacing w:val="-84"/>
        </w:rPr>
        <w:t> </w:t>
      </w:r>
      <w:r>
        <w:rPr>
          <w:spacing w:val="-84"/>
        </w:rPr>
      </w:r>
      <w:r>
        <w:rPr/>
        <w:t>任福建水口发电集团有限公司董事。林世友先生曾任福建省电力有限公司财务部副主任、福 建省电力有限公司资金管理中心主任兼财务部副主任、福建省电力有限公司财务部副主任、 招商局漳州开发区供电有限公司董事。</w:t>
      </w:r>
    </w:p>
    <w:p>
      <w:pPr>
        <w:pStyle w:val="Heading3"/>
        <w:spacing w:line="312" w:lineRule="exact"/>
        <w:ind w:left="154" w:right="1131" w:firstLine="480"/>
        <w:jc w:val="both"/>
      </w:pPr>
      <w:r>
        <w:rPr>
          <w:rFonts w:ascii="宋体" w:hAnsi="宋体" w:cs="宋体" w:eastAsia="宋体" w:hint="default"/>
          <w:b/>
          <w:bCs/>
        </w:rPr>
        <w:t>武永海先生，</w:t>
      </w:r>
      <w:r>
        <w:rPr/>
        <w:t>监事，中国国籍，</w:t>
      </w:r>
      <w:r>
        <w:rPr>
          <w:rFonts w:ascii="Times New Roman" w:hAnsi="Times New Roman" w:cs="Times New Roman" w:eastAsia="Times New Roman" w:hint="default"/>
        </w:rPr>
        <w:t>1958</w:t>
      </w:r>
      <w:r>
        <w:rPr>
          <w:rFonts w:ascii="Times New Roman" w:hAnsi="Times New Roman" w:cs="Times New Roman" w:eastAsia="Times New Roman" w:hint="default"/>
          <w:spacing w:val="-27"/>
        </w:rPr>
        <w:t> </w:t>
      </w:r>
      <w:r>
        <w:rPr/>
        <w:t>年生，中共党员，研究生学历，高级会计师。现任 </w:t>
      </w:r>
      <w:r>
        <w:rPr>
          <w:spacing w:val="-2"/>
        </w:rPr>
        <w:t>持有公司</w:t>
      </w:r>
      <w:r>
        <w:rPr>
          <w:rFonts w:ascii="Times New Roman" w:hAnsi="Times New Roman" w:cs="Times New Roman" w:eastAsia="Times New Roman" w:hint="default"/>
          <w:spacing w:val="-2"/>
        </w:rPr>
        <w:t>5%</w:t>
      </w:r>
      <w:r>
        <w:rPr>
          <w:spacing w:val="-2"/>
        </w:rPr>
        <w:t>以上股份股东的一致行动人国网吉林省电力有限公司财务资产部调研员，还担任</w:t>
      </w:r>
      <w:r>
        <w:rPr>
          <w:spacing w:val="-80"/>
        </w:rPr>
        <w:t> </w:t>
      </w:r>
      <w:r>
        <w:rPr>
          <w:spacing w:val="-80"/>
        </w:rPr>
      </w:r>
      <w:r>
        <w:rPr/>
        <w:t>吉林省吉能电力集团有限公司董事、吉林名门电力实业集团公司董事、吉林省电力科学研究 院有限公司监事会主席、辽宁蒲石河抽水蓄能有限公司监事、吉林敦化抽水蓄能有限公司监</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7" w:lineRule="auto" w:before="28"/>
        <w:ind w:right="1139"/>
        <w:jc w:val="both"/>
      </w:pPr>
      <w:r>
        <w:rPr/>
        <w:t>事。曾任吉林省送变电公司四工区会计；长春电力通讯设备厂会计；吉林电力管道公司财务 科会计；吉林省华电电力设备厂财务科会计；吉林省电力工业局财务处会计、副科级科员、 综合科科长；东北电力集团财务公司吉林代理处副主任、财务部主任会计师（副处级）、财 务部副主任、主任会计师；吉林省电力资金结算中心副主任；长春供电公司（长春电业局） 总会计师；国网吉林省电力有限公司财务资产部副主任、主任。</w:t>
      </w:r>
    </w:p>
    <w:p>
      <w:pPr>
        <w:pStyle w:val="Heading3"/>
        <w:spacing w:line="312" w:lineRule="exact" w:before="29"/>
        <w:ind w:right="985" w:firstLine="480"/>
        <w:jc w:val="left"/>
      </w:pPr>
      <w:r>
        <w:rPr>
          <w:rFonts w:ascii="宋体" w:hAnsi="宋体" w:cs="宋体" w:eastAsia="宋体" w:hint="default"/>
          <w:b/>
          <w:bCs/>
        </w:rPr>
        <w:t>陈小花女士</w:t>
      </w:r>
      <w:r>
        <w:rPr/>
        <w:t>，职工代表监事，中国国籍，</w:t>
      </w:r>
      <w:r>
        <w:rPr>
          <w:rFonts w:ascii="Times New Roman" w:hAnsi="Times New Roman" w:cs="Times New Roman" w:eastAsia="Times New Roman" w:hint="default"/>
        </w:rPr>
        <w:t>1982</w:t>
      </w:r>
      <w:r>
        <w:rPr/>
        <w:t>年生，毕业于南昌大学，学士。自</w:t>
      </w:r>
      <w:r>
        <w:rPr>
          <w:rFonts w:ascii="Times New Roman" w:hAnsi="Times New Roman" w:cs="Times New Roman" w:eastAsia="Times New Roman" w:hint="default"/>
        </w:rPr>
        <w:t>2010</w:t>
      </w:r>
      <w:r>
        <w:rPr/>
        <w:t>年 </w:t>
      </w:r>
      <w:r>
        <w:rPr>
          <w:spacing w:val="-3"/>
        </w:rPr>
        <w:t>以来，陈小花女士一直在公司任职，现任公司市场专员。陈小花女士曾任职于《南方声屏报》</w:t>
      </w:r>
      <w:r>
        <w:rPr>
          <w:spacing w:val="-81"/>
        </w:rPr>
        <w:t> </w:t>
      </w:r>
      <w:r>
        <w:rPr>
          <w:spacing w:val="-81"/>
        </w:rPr>
      </w:r>
      <w:r>
        <w:rPr/>
        <w:t>社、广东德豪润达电气股份有限公司、东信和平科技股份有限公司。</w:t>
      </w:r>
    </w:p>
    <w:p>
      <w:pPr>
        <w:pStyle w:val="Heading3"/>
        <w:spacing w:line="312" w:lineRule="exact"/>
        <w:ind w:right="985" w:firstLine="480"/>
        <w:jc w:val="left"/>
      </w:pPr>
      <w:r>
        <w:rPr>
          <w:rFonts w:ascii="宋体" w:hAnsi="宋体" w:cs="宋体" w:eastAsia="宋体" w:hint="default"/>
          <w:b/>
          <w:bCs/>
        </w:rPr>
        <w:t>薛婷女士</w:t>
      </w:r>
      <w:r>
        <w:rPr/>
        <w:t>，职工代表监事，中国国籍，</w:t>
      </w:r>
      <w:r>
        <w:rPr>
          <w:rFonts w:ascii="Times New Roman" w:hAnsi="Times New Roman" w:cs="Times New Roman" w:eastAsia="Times New Roman" w:hint="default"/>
        </w:rPr>
        <w:t>1989</w:t>
      </w:r>
      <w:r>
        <w:rPr/>
        <w:t>年生，毕业于对外经济贸易大学，大学本科 学历，自</w:t>
      </w:r>
      <w:r>
        <w:rPr>
          <w:rFonts w:ascii="Times New Roman" w:hAnsi="Times New Roman" w:cs="Times New Roman" w:eastAsia="Times New Roman" w:hint="default"/>
        </w:rPr>
        <w:t>2011</w:t>
      </w:r>
      <w:r>
        <w:rPr/>
        <w:t>年大学毕业以来薛婷女士一直在公司任职，现任公司人力资源业务伙伴。</w:t>
      </w:r>
    </w:p>
    <w:p>
      <w:pPr>
        <w:pStyle w:val="Heading3"/>
        <w:spacing w:line="312" w:lineRule="exact"/>
        <w:ind w:right="1130" w:firstLine="482"/>
        <w:jc w:val="both"/>
      </w:pPr>
      <w:r>
        <w:rPr>
          <w:rFonts w:ascii="宋体" w:hAnsi="宋体" w:cs="宋体" w:eastAsia="宋体" w:hint="default"/>
          <w:b/>
          <w:bCs/>
          <w:spacing w:val="-3"/>
        </w:rPr>
        <w:t>李美平先生</w:t>
      </w:r>
      <w:r>
        <w:rPr>
          <w:spacing w:val="-3"/>
        </w:rPr>
        <w:t>，高级副总裁，中国国籍，</w:t>
      </w:r>
      <w:r>
        <w:rPr>
          <w:rFonts w:ascii="Times New Roman" w:hAnsi="Times New Roman" w:cs="Times New Roman" w:eastAsia="Times New Roman" w:hint="default"/>
          <w:spacing w:val="-3"/>
        </w:rPr>
        <w:t>1979</w:t>
      </w:r>
      <w:r>
        <w:rPr>
          <w:spacing w:val="-3"/>
        </w:rPr>
        <w:t>年生，中共党员，研究生学历。</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7</w:t>
      </w:r>
      <w:r>
        <w:rPr>
          <w:spacing w:val="-3"/>
        </w:rPr>
        <w:t>月加</w:t>
      </w:r>
      <w:r>
        <w:rPr>
          <w:spacing w:val="-2"/>
        </w:rPr>
        <w:t> </w:t>
      </w:r>
      <w:r>
        <w:rPr/>
        <w:t>入公司，先后从事客户支持中心、质量管理部、实施中心、产品管理部等工作，历任实施中</w:t>
      </w:r>
      <w:r>
        <w:rPr/>
        <w:t> 心总经理、实施总监、副总裁。报告期还担任远光能源互联网产业发展（横琴）有限公司执</w:t>
      </w:r>
      <w:r>
        <w:rPr>
          <w:spacing w:val="-117"/>
        </w:rPr>
        <w:t> </w:t>
      </w:r>
      <w:r>
        <w:rPr>
          <w:spacing w:val="-117"/>
        </w:rPr>
      </w:r>
      <w:r>
        <w:rPr/>
        <w:t>行董事、珠海智行慧达商务旅行社有限公司执行董事。</w:t>
      </w:r>
    </w:p>
    <w:p>
      <w:pPr>
        <w:pStyle w:val="Heading3"/>
        <w:spacing w:line="312" w:lineRule="exact"/>
        <w:ind w:right="985" w:firstLine="482"/>
        <w:jc w:val="left"/>
      </w:pPr>
      <w:r>
        <w:rPr>
          <w:rFonts w:ascii="宋体" w:hAnsi="宋体" w:cs="宋体" w:eastAsia="宋体" w:hint="default"/>
          <w:b/>
          <w:bCs/>
          <w:spacing w:val="2"/>
        </w:rPr>
        <w:t>毛华夏先生</w:t>
      </w:r>
      <w:r>
        <w:rPr>
          <w:spacing w:val="2"/>
        </w:rPr>
        <w:t>，高级副总裁、财务总监，中国国籍，</w:t>
      </w:r>
      <w:r>
        <w:rPr>
          <w:rFonts w:ascii="Times New Roman" w:hAnsi="Times New Roman" w:cs="Times New Roman" w:eastAsia="Times New Roman" w:hint="default"/>
          <w:spacing w:val="2"/>
        </w:rPr>
        <w:t>1974</w:t>
      </w:r>
      <w:r>
        <w:rPr>
          <w:rFonts w:ascii="Times New Roman" w:hAnsi="Times New Roman" w:cs="Times New Roman" w:eastAsia="Times New Roman" w:hint="default"/>
          <w:spacing w:val="46"/>
        </w:rPr>
        <w:t> </w:t>
      </w:r>
      <w:r>
        <w:rPr>
          <w:spacing w:val="2"/>
        </w:rPr>
        <w:t>年生，会计师</w:t>
      </w:r>
      <w:r>
        <w:rPr>
          <w:rFonts w:ascii="Times New Roman" w:hAnsi="Times New Roman" w:cs="Times New Roman" w:eastAsia="Times New Roman" w:hint="default"/>
          <w:spacing w:val="2"/>
        </w:rPr>
        <w:t>,</w:t>
      </w:r>
      <w:r>
        <w:rPr>
          <w:spacing w:val="2"/>
        </w:rPr>
        <w:t>获中欧国际工商</w:t>
      </w:r>
      <w:r>
        <w:rPr/>
        <w:t> 学院</w:t>
      </w:r>
      <w:r>
        <w:rPr>
          <w:rFonts w:ascii="Times New Roman" w:hAnsi="Times New Roman" w:cs="Times New Roman" w:eastAsia="Times New Roman" w:hint="default"/>
        </w:rPr>
        <w:t>EMBA</w:t>
      </w:r>
      <w:r>
        <w:rPr/>
        <w:t>学位。报告期还担任远光共创智能科技股份有限公司监事会主席、华凯投资集团</w:t>
      </w:r>
      <w:r>
        <w:rPr>
          <w:spacing w:val="-89"/>
        </w:rPr>
        <w:t> </w:t>
      </w:r>
      <w:r>
        <w:rPr>
          <w:spacing w:val="-89"/>
        </w:rPr>
      </w:r>
      <w:r>
        <w:rPr>
          <w:spacing w:val="-3"/>
        </w:rPr>
        <w:t>有限公司董事、远光资本管理（横琴）有限公司董事、广东省依依关爱儿童基金会监事职务。</w:t>
      </w:r>
      <w:r>
        <w:rPr>
          <w:spacing w:val="-81"/>
        </w:rPr>
        <w:t> </w:t>
      </w:r>
      <w:r>
        <w:rPr>
          <w:spacing w:val="-81"/>
        </w:rPr>
      </w:r>
      <w:r>
        <w:rPr/>
        <w:t>毛华夏先生曾任职于湖南汽车车桥厂、三九珠海九阳保健品厂。</w:t>
      </w:r>
      <w:r>
        <w:rPr>
          <w:rFonts w:ascii="Times New Roman" w:hAnsi="Times New Roman" w:cs="Times New Roman" w:eastAsia="Times New Roman" w:hint="default"/>
        </w:rPr>
        <w:t>1998</w:t>
      </w:r>
      <w:r>
        <w:rPr>
          <w:rFonts w:ascii="Times New Roman" w:hAnsi="Times New Roman" w:cs="Times New Roman" w:eastAsia="Times New Roman" w:hint="default"/>
          <w:spacing w:val="10"/>
        </w:rPr>
        <w:t> </w:t>
      </w:r>
      <w:r>
        <w:rPr/>
        <w:t>年加入公司，先后从事 软件研发、技术服务、市场营销及财务管理工作，历任客户服务部经理、市场部经理、财务</w:t>
      </w:r>
      <w:r>
        <w:rPr>
          <w:spacing w:val="-112"/>
        </w:rPr>
        <w:t> </w:t>
      </w:r>
      <w:r>
        <w:rPr>
          <w:spacing w:val="-112"/>
        </w:rPr>
      </w:r>
      <w:r>
        <w:rPr/>
        <w:t>部经理、财务总监、副总裁等职务。</w:t>
      </w:r>
    </w:p>
    <w:p>
      <w:pPr>
        <w:pStyle w:val="Heading3"/>
        <w:spacing w:line="312" w:lineRule="exact"/>
        <w:ind w:right="1026" w:firstLine="482"/>
        <w:jc w:val="left"/>
      </w:pPr>
      <w:r>
        <w:rPr>
          <w:rFonts w:ascii="宋体" w:hAnsi="宋体" w:cs="宋体" w:eastAsia="宋体" w:hint="default"/>
          <w:b/>
          <w:bCs/>
        </w:rPr>
        <w:t>王志刚先生</w:t>
      </w:r>
      <w:r>
        <w:rPr/>
        <w:t>，高级副总裁，中国国籍，</w:t>
      </w:r>
      <w:r>
        <w:rPr>
          <w:rFonts w:ascii="Times New Roman" w:hAnsi="Times New Roman" w:cs="Times New Roman" w:eastAsia="Times New Roman" w:hint="default"/>
        </w:rPr>
        <w:t>1979</w:t>
      </w:r>
      <w:r>
        <w:rPr/>
        <w:t>年生，软件工程硕士。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月加入公司， 先后从事开发、服务、销售等工作，历任客户支持部经理、发电集团事业部副总经理、总经 理、华中区域总经理、客户总监、副总裁。报告期还担任长沙远光瑞翔科技有限公司监事。</w:t>
      </w:r>
    </w:p>
    <w:p>
      <w:pPr>
        <w:pStyle w:val="Heading3"/>
        <w:spacing w:line="312" w:lineRule="exact"/>
        <w:ind w:right="1131" w:firstLine="482"/>
        <w:jc w:val="both"/>
      </w:pPr>
      <w:r>
        <w:rPr>
          <w:rFonts w:ascii="宋体" w:hAnsi="宋体" w:cs="宋体" w:eastAsia="宋体" w:hint="default"/>
          <w:b/>
          <w:bCs/>
        </w:rPr>
        <w:t>戴文斌先生</w:t>
      </w:r>
      <w:r>
        <w:rPr/>
        <w:t>，副总裁、董事会秘书，中国国籍，</w:t>
      </w:r>
      <w:r>
        <w:rPr>
          <w:rFonts w:ascii="Times New Roman" w:hAnsi="Times New Roman" w:cs="Times New Roman" w:eastAsia="Times New Roman" w:hint="default"/>
        </w:rPr>
        <w:t>1974</w:t>
      </w:r>
      <w:r>
        <w:rPr/>
        <w:t>年生，毕业于湖南大学。戴文斌先 </w:t>
      </w:r>
      <w:r>
        <w:rPr>
          <w:spacing w:val="4"/>
        </w:rPr>
        <w:t>生曾任湘潭电化科技股份有限公司董事会工作部副部长</w:t>
      </w:r>
      <w:r>
        <w:rPr>
          <w:rFonts w:ascii="Times New Roman" w:hAnsi="Times New Roman" w:cs="Times New Roman" w:eastAsia="Times New Roman" w:hint="default"/>
          <w:spacing w:val="4"/>
        </w:rPr>
        <w:t>,</w:t>
      </w:r>
      <w:r>
        <w:rPr>
          <w:spacing w:val="4"/>
        </w:rPr>
        <w:t>贵州古城文化旅游开发股份有限公</w:t>
      </w:r>
      <w:r>
        <w:rPr>
          <w:spacing w:val="-92"/>
        </w:rPr>
        <w:t> </w:t>
      </w:r>
      <w:r>
        <w:rPr>
          <w:spacing w:val="-92"/>
        </w:rPr>
      </w:r>
      <w:r>
        <w:rPr>
          <w:spacing w:val="-1"/>
        </w:rPr>
        <w:t>司副总经理兼董事会秘书</w:t>
      </w:r>
      <w:r>
        <w:rPr>
          <w:rFonts w:ascii="Times New Roman" w:hAnsi="Times New Roman" w:cs="Times New Roman" w:eastAsia="Times New Roman" w:hint="default"/>
          <w:spacing w:val="-1"/>
        </w:rPr>
        <w:t>,</w:t>
      </w:r>
      <w:r>
        <w:rPr>
          <w:spacing w:val="-1"/>
        </w:rPr>
        <w:t>天津海泰科技发展股份有限公司证券事务代表，河北宝硕股份有限</w:t>
      </w:r>
      <w:r>
        <w:rPr>
          <w:spacing w:val="-101"/>
        </w:rPr>
        <w:t> </w:t>
      </w:r>
      <w:r>
        <w:rPr>
          <w:spacing w:val="-101"/>
        </w:rPr>
      </w:r>
      <w:r>
        <w:rPr/>
        <w:t>公司董事会秘书</w:t>
      </w:r>
    </w:p>
    <w:p>
      <w:pPr>
        <w:pStyle w:val="Heading3"/>
        <w:spacing w:line="312" w:lineRule="exact"/>
        <w:ind w:right="1132" w:firstLine="480"/>
        <w:jc w:val="both"/>
      </w:pPr>
      <w:r>
        <w:rPr>
          <w:rFonts w:ascii="宋体" w:hAnsi="宋体" w:cs="宋体" w:eastAsia="宋体" w:hint="default"/>
          <w:b/>
          <w:bCs/>
        </w:rPr>
        <w:t>简露然先生</w:t>
      </w:r>
      <w:r>
        <w:rPr/>
        <w:t>，副总裁，中国国籍，</w:t>
      </w:r>
      <w:r>
        <w:rPr>
          <w:rFonts w:ascii="Times New Roman" w:hAnsi="Times New Roman" w:cs="Times New Roman" w:eastAsia="Times New Roman" w:hint="default"/>
        </w:rPr>
        <w:t>1973</w:t>
      </w:r>
      <w:r>
        <w:rPr/>
        <w:t>年生，大学学历。自</w:t>
      </w:r>
      <w:r>
        <w:rPr>
          <w:rFonts w:ascii="Times New Roman" w:hAnsi="Times New Roman" w:cs="Times New Roman" w:eastAsia="Times New Roman" w:hint="default"/>
        </w:rPr>
        <w:t>2001</w:t>
      </w:r>
      <w:r>
        <w:rPr/>
        <w:t>年以来，简露然先生一 直在公司任职，先后从事营销管理、服务管理、客户化开发管理、公司信息化建设等工作， 历任市场总监、营销总监、服务总监。报告期还担任远光资本管理（横琴）有限公司监事、 珠海高远电能科技有限公司董事兼总经理。</w:t>
      </w:r>
    </w:p>
    <w:p>
      <w:pPr>
        <w:pStyle w:val="Heading3"/>
        <w:spacing w:line="312" w:lineRule="exact"/>
        <w:ind w:right="1130" w:firstLine="480"/>
        <w:jc w:val="both"/>
      </w:pPr>
      <w:r>
        <w:rPr>
          <w:rFonts w:ascii="宋体" w:hAnsi="宋体" w:cs="宋体" w:eastAsia="宋体" w:hint="default"/>
          <w:b/>
          <w:bCs/>
        </w:rPr>
        <w:t>刘伟女士</w:t>
      </w:r>
      <w:r>
        <w:rPr/>
        <w:t>，副总裁，中国国籍，</w:t>
      </w:r>
      <w:r>
        <w:rPr>
          <w:rFonts w:ascii="Times New Roman" w:hAnsi="Times New Roman" w:cs="Times New Roman" w:eastAsia="Times New Roman" w:hint="default"/>
        </w:rPr>
        <w:t>1974</w:t>
      </w:r>
      <w:r>
        <w:rPr/>
        <w:t>年生，中欧国际工商学院</w:t>
      </w:r>
      <w:r>
        <w:rPr>
          <w:rFonts w:ascii="Times New Roman" w:hAnsi="Times New Roman" w:cs="Times New Roman" w:eastAsia="Times New Roman" w:hint="default"/>
        </w:rPr>
        <w:t>EMBA</w:t>
      </w:r>
      <w:r>
        <w:rPr/>
        <w:t>。自</w:t>
      </w:r>
      <w:r>
        <w:rPr>
          <w:rFonts w:ascii="Times New Roman" w:hAnsi="Times New Roman" w:cs="Times New Roman" w:eastAsia="Times New Roman" w:hint="default"/>
        </w:rPr>
        <w:t>1999</w:t>
      </w:r>
      <w:r>
        <w:rPr/>
        <w:t>年以来， 刘伟女士一直在公司任职，历任产品管理部总经理、设计总监。报告期还担任远光能源互联 网产业发展（横琴）有限公司监事。</w:t>
      </w:r>
    </w:p>
    <w:p>
      <w:pPr>
        <w:pStyle w:val="Heading3"/>
        <w:spacing w:line="312" w:lineRule="exact"/>
        <w:ind w:right="985" w:firstLine="480"/>
        <w:jc w:val="left"/>
      </w:pPr>
      <w:r>
        <w:rPr>
          <w:rFonts w:ascii="宋体" w:hAnsi="宋体" w:cs="宋体" w:eastAsia="宋体" w:hint="default"/>
          <w:b/>
          <w:bCs/>
        </w:rPr>
        <w:t>秦秀芬女士</w:t>
      </w:r>
      <w:r>
        <w:rPr/>
        <w:t>，副总裁，中国国籍，</w:t>
      </w:r>
      <w:r>
        <w:rPr>
          <w:rFonts w:ascii="Times New Roman" w:hAnsi="Times New Roman" w:cs="Times New Roman" w:eastAsia="Times New Roman" w:hint="default"/>
        </w:rPr>
        <w:t>1979</w:t>
      </w:r>
      <w:r>
        <w:rPr/>
        <w:t>年生，研究生学历。自</w:t>
      </w:r>
      <w:r>
        <w:rPr>
          <w:rFonts w:ascii="Times New Roman" w:hAnsi="Times New Roman" w:cs="Times New Roman" w:eastAsia="Times New Roman" w:hint="default"/>
        </w:rPr>
        <w:t>2001</w:t>
      </w:r>
      <w:r>
        <w:rPr/>
        <w:t>年以来，秦秀芬女士 </w:t>
      </w:r>
      <w:r>
        <w:rPr>
          <w:spacing w:val="-3"/>
        </w:rPr>
        <w:t>一直在公司任职，历任项目经理、实施中心副总经理、南方区域总经理、营销管理部总经理、</w:t>
      </w:r>
      <w:r>
        <w:rPr>
          <w:spacing w:val="-81"/>
        </w:rPr>
        <w:t> </w:t>
      </w:r>
      <w:r>
        <w:rPr>
          <w:spacing w:val="-81"/>
        </w:rPr>
      </w:r>
      <w:r>
        <w:rPr/>
        <w:t>营销总监。</w:t>
      </w:r>
    </w:p>
    <w:p>
      <w:pPr>
        <w:pStyle w:val="Heading3"/>
        <w:spacing w:line="312" w:lineRule="exact"/>
        <w:ind w:right="985" w:firstLine="480"/>
        <w:jc w:val="left"/>
      </w:pPr>
      <w:r>
        <w:rPr>
          <w:rFonts w:ascii="宋体" w:hAnsi="宋体" w:cs="宋体" w:eastAsia="宋体" w:hint="default"/>
          <w:b/>
          <w:bCs/>
          <w:spacing w:val="-4"/>
        </w:rPr>
        <w:t>郑佩敏女士</w:t>
      </w:r>
      <w:r>
        <w:rPr>
          <w:spacing w:val="-4"/>
        </w:rPr>
        <w:t>，副总裁，中国香港，</w:t>
      </w:r>
      <w:r>
        <w:rPr>
          <w:rFonts w:ascii="Times New Roman" w:hAnsi="Times New Roman" w:cs="Times New Roman" w:eastAsia="Times New Roman" w:hint="default"/>
          <w:spacing w:val="-4"/>
        </w:rPr>
        <w:t>1972</w:t>
      </w:r>
      <w:r>
        <w:rPr>
          <w:spacing w:val="-4"/>
        </w:rPr>
        <w:t>年生，获香港浸会大学</w:t>
      </w:r>
      <w:r>
        <w:rPr>
          <w:rFonts w:ascii="Times New Roman" w:hAnsi="Times New Roman" w:cs="Times New Roman" w:eastAsia="Times New Roman" w:hint="default"/>
          <w:spacing w:val="-4"/>
        </w:rPr>
        <w:t>MBA</w:t>
      </w:r>
      <w:r>
        <w:rPr>
          <w:spacing w:val="-4"/>
        </w:rPr>
        <w:t>学位。自</w:t>
      </w:r>
      <w:r>
        <w:rPr>
          <w:rFonts w:ascii="Times New Roman" w:hAnsi="Times New Roman" w:cs="Times New Roman" w:eastAsia="Times New Roman" w:hint="default"/>
          <w:spacing w:val="-4"/>
        </w:rPr>
        <w:t>2001</w:t>
      </w:r>
      <w:r>
        <w:rPr>
          <w:spacing w:val="-4"/>
        </w:rPr>
        <w:t>年以来，</w:t>
      </w:r>
      <w:r>
        <w:rPr/>
        <w:t> 郑佩敏女士一直在公司任职，先后从事人力资源管理、行政管理、流程管理等工作，历任人 </w:t>
      </w:r>
      <w:r>
        <w:rPr>
          <w:spacing w:val="-3"/>
        </w:rPr>
        <w:t>事行政部经理、企业管理办公室主任、行政总监。报告期还担任公司子公司远光软件（北京）</w:t>
      </w:r>
    </w:p>
    <w:p>
      <w:pPr>
        <w:pStyle w:val="Heading3"/>
        <w:spacing w:line="312" w:lineRule="exact"/>
        <w:ind w:left="633" w:right="985" w:hanging="480"/>
        <w:jc w:val="left"/>
      </w:pPr>
      <w:r>
        <w:rPr/>
        <w:t>有限公司监事。 </w:t>
      </w:r>
      <w:r>
        <w:rPr>
          <w:rFonts w:ascii="宋体" w:hAnsi="宋体" w:cs="宋体" w:eastAsia="宋体" w:hint="default"/>
          <w:b/>
          <w:bCs/>
        </w:rPr>
        <w:t>马开龙先生</w:t>
      </w:r>
      <w:r>
        <w:rPr/>
        <w:t>，副总裁，中国国籍，</w:t>
      </w:r>
      <w:r>
        <w:rPr>
          <w:rFonts w:ascii="Times New Roman" w:hAnsi="Times New Roman" w:cs="Times New Roman" w:eastAsia="Times New Roman" w:hint="default"/>
        </w:rPr>
        <w:t>1974</w:t>
      </w:r>
      <w:r>
        <w:rPr/>
        <w:t>年生，大专学历。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月加入公司，先后从</w:t>
      </w:r>
    </w:p>
    <w:p>
      <w:pPr>
        <w:pStyle w:val="Heading3"/>
        <w:spacing w:line="312" w:lineRule="exact"/>
        <w:ind w:right="985"/>
        <w:jc w:val="left"/>
      </w:pPr>
      <w:r>
        <w:rPr>
          <w:spacing w:val="-3"/>
        </w:rPr>
        <w:t>事客户服务、分公司管理、区域管理、大客户经营等工作，历任分公司总经理、区域总经理、</w:t>
      </w:r>
      <w:r>
        <w:rPr>
          <w:spacing w:val="-82"/>
        </w:rPr>
        <w:t> </w:t>
      </w:r>
      <w:r>
        <w:rPr>
          <w:spacing w:val="-82"/>
        </w:rPr>
      </w:r>
      <w:r>
        <w:rPr/>
        <w:t>客户总监。报告期还担任北京智和管理咨询有限公司董事长。</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3" w:firstLine="482"/>
        <w:jc w:val="both"/>
      </w:pPr>
      <w:r>
        <w:rPr>
          <w:rFonts w:ascii="宋体" w:hAnsi="宋体" w:cs="宋体" w:eastAsia="宋体" w:hint="default"/>
          <w:b/>
          <w:bCs/>
        </w:rPr>
        <w:t>王晖先生</w:t>
      </w:r>
      <w:r>
        <w:rPr/>
        <w:t>，副总裁，中国国籍，</w:t>
      </w:r>
      <w:r>
        <w:rPr>
          <w:rFonts w:ascii="Times New Roman" w:hAnsi="Times New Roman" w:cs="Times New Roman" w:eastAsia="Times New Roman" w:hint="default"/>
        </w:rPr>
        <w:t>1972</w:t>
      </w:r>
      <w:r>
        <w:rPr/>
        <w:t>年出生，中国人民大学</w:t>
      </w:r>
      <w:r>
        <w:rPr>
          <w:rFonts w:ascii="Times New Roman" w:hAnsi="Times New Roman" w:cs="Times New Roman" w:eastAsia="Times New Roman" w:hint="default"/>
        </w:rPr>
        <w:t>EMBA</w:t>
      </w:r>
      <w:r>
        <w:rPr/>
        <w:t>学位，</w:t>
      </w:r>
      <w:r>
        <w:rPr>
          <w:rFonts w:ascii="Times New Roman" w:hAnsi="Times New Roman" w:cs="Times New Roman" w:eastAsia="Times New Roman" w:hint="default"/>
        </w:rPr>
        <w:t>2016</w:t>
      </w:r>
      <w:r>
        <w:rPr/>
        <w:t>年加入公 司，报告期还担任远光能源互联网产业发展（横琴）有限公司总经理。曾任北京电力公司财 务部处长、朝阳供电公司总会计师、北京电力公司财务部副主任、北京电力公司交易中心主 任。</w:t>
      </w:r>
    </w:p>
    <w:p>
      <w:pPr>
        <w:pStyle w:val="BodyText"/>
        <w:spacing w:line="240" w:lineRule="auto" w:before="60"/>
        <w:ind w:left="154" w:right="985"/>
        <w:jc w:val="left"/>
      </w:pPr>
      <w:r>
        <w:rPr/>
        <w:t>在股东单位任职情况</w:t>
      </w:r>
    </w:p>
    <w:p>
      <w:pPr>
        <w:pStyle w:val="BodyText"/>
        <w:spacing w:line="240" w:lineRule="auto" w:before="117"/>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133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法律事务与 信息管理部 </w:t>
            </w:r>
            <w:r>
              <w:rPr>
                <w:rFonts w:ascii="宋体" w:hAnsi="宋体" w:cs="宋体" w:eastAsia="宋体" w:hint="default"/>
                <w:spacing w:val="-10"/>
                <w:sz w:val="18"/>
                <w:szCs w:val="18"/>
              </w:rPr>
              <w:t>主任、总法律</w:t>
            </w:r>
            <w:r>
              <w:rPr>
                <w:rFonts w:ascii="宋体" w:hAnsi="宋体" w:cs="宋体" w:eastAsia="宋体" w:hint="default"/>
                <w:sz w:val="18"/>
                <w:szCs w:val="18"/>
              </w:rPr>
              <w:t> 顾问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财务产权部 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财务资产部 调研员</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财务资产部 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985"/>
        <w:jc w:val="left"/>
      </w:pPr>
      <w:r>
        <w:rPr/>
        <w:t>在其他单位任职情况</w:t>
      </w:r>
    </w:p>
    <w:p>
      <w:pPr>
        <w:pStyle w:val="BodyText"/>
        <w:spacing w:line="240" w:lineRule="auto" w:before="117"/>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林芝地区荣光科技有限公司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珠海市浩天投资有限公司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珠海市载舟企业管理有限公司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理事兼秘书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北京太阳宫燃气热电有限公司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国电内蒙古上海庙热电有限公司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北京融和晟源售电有限公司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珠海市锐创股权投资咨询中心（有限合 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香港万恒生科技有限公司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深圳市合创资本管理有限公司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董事、管理合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南京亚派科技股份有限公司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南京绛门信息科技股份有限公司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高斯贝尔数码科技股份有限公司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上海兴容信息技术有限公司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成都准星云学科技有限公司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湖北双剑鼓风机股份有限公司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深圳市驱动新媒体有限公司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百应科技（北京）有限公司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会计系主任、 </w:t>
            </w: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中成进出口股份有限公司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重庆秦安机电股份有限公司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中国科技出版传媒股份有限公司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欢瑞世纪联合股份有限公司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长春中天能源股份有限公司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深圳信公企业管理咨询有限公司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上海信公企业管理咨询有限公司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深圳市麦达数字股份有限公司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佛山市国星光电股份有限公司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珠海恒基达鑫国际化工仓储股份有限公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常州中英科技股份有限公司（非上市）</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国电内蒙古上海庙热电有限公司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福建水口发电集团有限公司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吉林省吉能电力集团有限公司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吉林名门电力实业集团公司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吉林省电力科学研究院有限公司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辽宁蒲石河抽水蓄能有限公司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吉林敦化抽水蓄能有限公司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远光能源互联网产业发展（横琴）有限公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珠海智行慧达商务旅行社有限公司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远光能源互联网产业发展（横琴）有限公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远光能源互联网产业发展（横琴）有限公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985"/>
        <w:jc w:val="left"/>
      </w:pPr>
      <w:r>
        <w:rPr/>
        <w:t>公司现任及报告期内离任董事、监事和高级管理人员近三年证券监管机构处罚的情况</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985"/>
        <w:jc w:val="left"/>
      </w:pPr>
      <w:r>
        <w:rPr/>
        <w:t>董事、监事、高级管理人员报酬的决策程序、确定依据、实际支付情况 </w:t>
      </w:r>
      <w:r>
        <w:rPr>
          <w:spacing w:val="-2"/>
        </w:rPr>
        <w:t>董事会在年初制定经营班子（总裁、副总裁）本年度的考核方案，年末根据会计师事务所的财务审计报告，对经营班子的经</w:t>
      </w:r>
      <w:r>
        <w:rPr>
          <w:spacing w:val="-66"/>
        </w:rPr>
        <w:t> </w:t>
      </w:r>
      <w:r>
        <w:rPr>
          <w:spacing w:val="-66"/>
        </w:rPr>
      </w:r>
      <w:r>
        <w:rPr/>
        <w:t>营业绩进行考核，并实施奖励与惩罚；对高级管理人员的其他奖励由董事会审议决定。</w:t>
      </w:r>
    </w:p>
    <w:p>
      <w:pPr>
        <w:pStyle w:val="BodyText"/>
        <w:spacing w:line="240" w:lineRule="auto" w:before="43"/>
        <w:ind w:right="985"/>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职工代表董事、 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高级副总裁、财 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815.48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公司董事、高级管理人员报告期内被授予的股权激励情况</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pict>
          <v:group style="position:absolute;margin-left:143.660004pt;margin-top:84.43174pt;width:43.05pt;height:28pt;mso-position-horizontal-relative:page;mso-position-vertical-relative:paragraph;z-index:-1206064" coordorigin="2873,1689" coordsize="861,560">
            <v:group style="position:absolute;left:2873;top:1689;width:861;height:156" coordorigin="2873,1689" coordsize="861,156">
              <v:shape style="position:absolute;left:2873;top:1689;width:861;height:156" coordorigin="2873,1689" coordsize="861,156" path="m2873,1845l3734,1845,3734,1689,2873,1689,2873,1845xe" filled="true" fillcolor="#ffffff" stroked="false">
                <v:path arrowok="t"/>
                <v:fill type="solid"/>
              </v:shape>
            </v:group>
            <v:group style="position:absolute;left:2885;top:1845;width:2;height:393" coordorigin="2885,1845" coordsize="2,393">
              <v:shape style="position:absolute;left:2885;top:1845;width:2;height:393" coordorigin="2885,1845" coordsize="0,393" path="m2885,1845l2885,2237e" filled="false" stroked="true" strokeweight="1.140pt" strokecolor="#ffffff">
                <v:path arrowok="t"/>
              </v:shape>
            </v:group>
            <v:group style="position:absolute;left:2896;top:1845;width:815;height:393" coordorigin="2896,1845" coordsize="815,393">
              <v:shape style="position:absolute;left:2896;top:1845;width:815;height:393" coordorigin="2896,1845" coordsize="815,393" path="m2896,2237l3711,2237,3711,1845,2896,1845,2896,2237xe" filled="true" fillcolor="#ffffff" stroked="false">
                <v:path arrowok="t"/>
                <v:fill type="solid"/>
              </v:shape>
            </v:group>
            <w10:wrap type="none"/>
          </v:group>
        </w:pict>
      </w: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330,150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职工代表 </w:t>
            </w: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230,156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275,983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高级副总 </w:t>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225,988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275,983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220,774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3,012,966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985"/>
        <w:jc w:val="left"/>
        <w:rPr>
          <w:b w:val="0"/>
          <w:bCs w:val="0"/>
        </w:rPr>
      </w:pPr>
      <w:bookmarkStart w:name="五、公司员工情况" w:id="125"/>
      <w:bookmarkEnd w:id="125"/>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4,157</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left="154" w:right="1132"/>
        <w:jc w:val="both"/>
      </w:pPr>
      <w:r>
        <w:rPr>
          <w:spacing w:val="-2"/>
        </w:rPr>
        <w:t>公司按照</w:t>
      </w:r>
      <w:r>
        <w:rPr>
          <w:rFonts w:ascii="Times New Roman" w:hAnsi="Times New Roman" w:cs="Times New Roman" w:eastAsia="Times New Roman" w:hint="default"/>
          <w:spacing w:val="-2"/>
        </w:rPr>
        <w:t>“</w:t>
      </w:r>
      <w:r>
        <w:rPr>
          <w:spacing w:val="-2"/>
        </w:rPr>
        <w:t>绩效贡献、能力导向、价值共享</w:t>
      </w:r>
      <w:r>
        <w:rPr>
          <w:rFonts w:ascii="Times New Roman" w:hAnsi="Times New Roman" w:cs="Times New Roman" w:eastAsia="Times New Roman" w:hint="default"/>
          <w:spacing w:val="-2"/>
        </w:rPr>
        <w:t>”</w:t>
      </w:r>
      <w:r>
        <w:rPr>
          <w:spacing w:val="-2"/>
        </w:rPr>
        <w:t>的原则，建立了公平、公正、合理的薪酬激励体系，为员工提供了具备行业竞争</w:t>
      </w:r>
      <w:r>
        <w:rPr>
          <w:spacing w:val="-45"/>
        </w:rPr>
        <w:t> </w:t>
      </w:r>
      <w:r>
        <w:rPr>
          <w:spacing w:val="-45"/>
        </w:rPr>
      </w:r>
      <w:r>
        <w:rPr/>
        <w:t>力的薪酬，充分调动了员工的积极性和创造性。</w:t>
      </w:r>
    </w:p>
    <w:p>
      <w:pPr>
        <w:spacing w:line="240" w:lineRule="auto" w:before="6"/>
        <w:rPr>
          <w:rFonts w:ascii="宋体" w:hAnsi="宋体" w:cs="宋体" w:eastAsia="宋体" w:hint="default"/>
          <w:sz w:val="23"/>
          <w:szCs w:val="23"/>
        </w:rPr>
      </w:pPr>
    </w:p>
    <w:p>
      <w:pPr>
        <w:pStyle w:val="Heading4"/>
        <w:spacing w:line="240" w:lineRule="auto"/>
        <w:ind w:left="154" w:right="0"/>
        <w:jc w:val="both"/>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1129"/>
        <w:jc w:val="both"/>
      </w:pPr>
      <w:r>
        <w:rPr>
          <w:spacing w:val="-2"/>
        </w:rPr>
        <w:t>公司在已有的</w:t>
      </w:r>
      <w:r>
        <w:rPr>
          <w:rFonts w:ascii="Times New Roman" w:hAnsi="Times New Roman" w:cs="Times New Roman" w:eastAsia="Times New Roman" w:hint="default"/>
          <w:spacing w:val="-2"/>
        </w:rPr>
        <w:t>“</w:t>
      </w:r>
      <w:r>
        <w:rPr>
          <w:spacing w:val="-2"/>
        </w:rPr>
        <w:t>公司专项培养</w:t>
      </w:r>
      <w:r>
        <w:rPr>
          <w:rFonts w:ascii="Times New Roman" w:hAnsi="Times New Roman" w:cs="Times New Roman" w:eastAsia="Times New Roman" w:hint="default"/>
          <w:spacing w:val="-2"/>
        </w:rPr>
        <w:t>+</w:t>
      </w:r>
      <w:r>
        <w:rPr>
          <w:spacing w:val="-2"/>
        </w:rPr>
        <w:t>部门组织提能</w:t>
      </w:r>
      <w:r>
        <w:rPr>
          <w:rFonts w:ascii="Times New Roman" w:hAnsi="Times New Roman" w:cs="Times New Roman" w:eastAsia="Times New Roman" w:hint="default"/>
          <w:spacing w:val="-2"/>
        </w:rPr>
        <w:t>+</w:t>
      </w:r>
      <w:r>
        <w:rPr>
          <w:spacing w:val="-2"/>
        </w:rPr>
        <w:t>个人自我提升</w:t>
      </w:r>
      <w:r>
        <w:rPr>
          <w:rFonts w:ascii="Times New Roman" w:hAnsi="Times New Roman" w:cs="Times New Roman" w:eastAsia="Times New Roman" w:hint="default"/>
          <w:spacing w:val="-2"/>
        </w:rPr>
        <w:t>”</w:t>
      </w:r>
      <w:r>
        <w:rPr>
          <w:spacing w:val="-2"/>
        </w:rPr>
        <w:t>多层立体培训框架的基础上，进一步优化课程体系、讲师体系与</w:t>
      </w:r>
      <w:r>
        <w:rPr>
          <w:spacing w:val="-64"/>
        </w:rPr>
        <w:t> </w:t>
      </w:r>
      <w:r>
        <w:rPr>
          <w:spacing w:val="-64"/>
        </w:rPr>
      </w:r>
      <w:r>
        <w:rPr>
          <w:spacing w:val="-1"/>
        </w:rPr>
        <w:t>培训项目体系，并联合</w:t>
      </w:r>
      <w:r>
        <w:rPr>
          <w:rFonts w:ascii="Times New Roman" w:hAnsi="Times New Roman" w:cs="Times New Roman" w:eastAsia="Times New Roman" w:hint="default"/>
          <w:spacing w:val="-1"/>
        </w:rPr>
        <w:t>HRBP</w:t>
      </w:r>
      <w:r>
        <w:rPr>
          <w:spacing w:val="-1"/>
        </w:rPr>
        <w:t>，加大对业务端的赋能。第一，通过全面的培训需求调查，结合公司业务与人才发展战略缜密</w:t>
      </w:r>
      <w:r>
        <w:rPr>
          <w:spacing w:val="-50"/>
        </w:rPr>
        <w:t> </w:t>
      </w:r>
      <w:r>
        <w:rPr>
          <w:spacing w:val="-50"/>
        </w:rPr>
      </w:r>
      <w:r>
        <w:rPr>
          <w:spacing w:val="-2"/>
        </w:rPr>
        <w:t>规划全年的培训项目，含内训师项目、骨干员工项目、储干及经理人项目等；第二，进一步强化内部培训品牌的吸引力，如</w:t>
      </w:r>
      <w:r>
        <w:rPr>
          <w:spacing w:val="-67"/>
        </w:rPr>
        <w:t> </w:t>
      </w:r>
      <w:r>
        <w:rPr>
          <w:spacing w:val="-67"/>
        </w:rPr>
      </w:r>
      <w:r>
        <w:rPr/>
        <w:t>人才加速培养项目的</w:t>
      </w:r>
      <w:r>
        <w:rPr>
          <w:rFonts w:ascii="Times New Roman" w:hAnsi="Times New Roman" w:cs="Times New Roman" w:eastAsia="Times New Roman" w:hint="default"/>
        </w:rPr>
        <w:t>“</w:t>
      </w:r>
      <w:r>
        <w:rPr/>
        <w:t>未来星计划</w:t>
      </w:r>
      <w:r>
        <w:rPr>
          <w:rFonts w:ascii="Times New Roman" w:hAnsi="Times New Roman" w:cs="Times New Roman" w:eastAsia="Times New Roman" w:hint="default"/>
        </w:rPr>
        <w:t>”</w:t>
      </w:r>
      <w:r>
        <w:rPr/>
        <w:t>、新员工速成的</w:t>
      </w:r>
      <w:r>
        <w:rPr>
          <w:spacing w:val="-30"/>
        </w:rPr>
        <w:t> </w:t>
      </w:r>
      <w:r>
        <w:rPr>
          <w:rFonts w:ascii="Times New Roman" w:hAnsi="Times New Roman" w:cs="Times New Roman" w:eastAsia="Times New Roman" w:hint="default"/>
        </w:rPr>
        <w:t>“SOP</w:t>
      </w:r>
      <w:r>
        <w:rPr/>
        <w:t>计划</w:t>
      </w:r>
      <w:r>
        <w:rPr>
          <w:rFonts w:ascii="Times New Roman" w:hAnsi="Times New Roman" w:cs="Times New Roman" w:eastAsia="Times New Roman" w:hint="default"/>
        </w:rPr>
        <w:t>”</w:t>
      </w:r>
      <w:r>
        <w:rPr/>
        <w:t>、在职员工职业技能提升的</w:t>
      </w:r>
      <w:r>
        <w:rPr>
          <w:rFonts w:ascii="Times New Roman" w:hAnsi="Times New Roman" w:cs="Times New Roman" w:eastAsia="Times New Roman" w:hint="default"/>
        </w:rPr>
        <w:t>“CPU</w:t>
      </w:r>
      <w:r>
        <w:rPr/>
        <w:t>计划</w:t>
      </w:r>
      <w:r>
        <w:rPr>
          <w:rFonts w:ascii="Times New Roman" w:hAnsi="Times New Roman" w:cs="Times New Roman" w:eastAsia="Times New Roman" w:hint="default"/>
        </w:rPr>
        <w:t>”</w:t>
      </w:r>
      <w:r>
        <w:rPr/>
        <w:t>、领导力发展的</w:t>
      </w:r>
      <w:r>
        <w:rPr>
          <w:rFonts w:ascii="Times New Roman" w:hAnsi="Times New Roman" w:cs="Times New Roman" w:eastAsia="Times New Roman" w:hint="default"/>
        </w:rPr>
        <w:t>“DMR</w:t>
      </w:r>
      <w:r>
        <w:rPr>
          <w:rFonts w:ascii="Times New Roman" w:hAnsi="Times New Roman" w:cs="Times New Roman" w:eastAsia="Times New Roman" w:hint="default"/>
          <w:w w:val="100"/>
        </w:rPr>
        <w:t> </w:t>
      </w:r>
      <w:r>
        <w:rPr/>
        <w:t>计划</w:t>
      </w:r>
      <w:r>
        <w:rPr>
          <w:rFonts w:ascii="Times New Roman" w:hAnsi="Times New Roman" w:cs="Times New Roman" w:eastAsia="Times New Roman" w:hint="default"/>
        </w:rPr>
        <w:t>”</w:t>
      </w:r>
      <w:r>
        <w:rPr/>
        <w:t>等；第三，通过移动学习、混合式学习、情境化学习、班级自治管理等创新，进一步优化培训项目效果。这些都将在 新的一年成为促进员工能力提升、助力公司业务发展的新引擎。</w:t>
      </w:r>
    </w:p>
    <w:p>
      <w:pPr>
        <w:spacing w:after="0" w:line="30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769" w:right="1747"/>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0"/>
        <w:rPr>
          <w:rFonts w:ascii="宋体" w:hAnsi="宋体" w:cs="宋体" w:eastAsia="宋体" w:hint="default"/>
          <w:b/>
          <w:bCs/>
          <w:sz w:val="25"/>
          <w:szCs w:val="25"/>
        </w:rPr>
      </w:pPr>
    </w:p>
    <w:p>
      <w:pPr>
        <w:pStyle w:val="Heading3"/>
        <w:spacing w:line="312" w:lineRule="exact"/>
        <w:ind w:right="1133" w:firstLine="288"/>
        <w:jc w:val="both"/>
      </w:pPr>
      <w:r>
        <w:rPr>
          <w:spacing w:val="-1"/>
        </w:rPr>
        <w:t>报告期内，公司按照《公司法》、《证券法》等法律、法规和中国证监会有关法律法规的</w:t>
      </w:r>
      <w:r>
        <w:rPr/>
        <w:t> 要求，确立了股东大会、董事会、监事会及经营管理层的分层治理结构，不断完善公司法人 治理结构，建立健全公司内部控制制度，进一步规范公司运作，提高公司治理水平。公司治 理的实际情况与《上市公司治理准则》等规范性文件的规定和要求相符。</w:t>
      </w:r>
    </w:p>
    <w:p>
      <w:pPr>
        <w:pStyle w:val="Heading3"/>
        <w:spacing w:line="283" w:lineRule="exact"/>
        <w:ind w:left="442" w:right="985"/>
        <w:jc w:val="left"/>
      </w:pPr>
      <w:r>
        <w:rPr/>
        <w:t>（一）关于股东与股东大会</w:t>
      </w:r>
    </w:p>
    <w:p>
      <w:pPr>
        <w:pStyle w:val="Heading3"/>
        <w:spacing w:line="235" w:lineRule="auto" w:before="44"/>
        <w:ind w:right="1134" w:firstLine="384"/>
        <w:jc w:val="both"/>
      </w:pPr>
      <w:r>
        <w:rPr/>
        <w:t>报告期内，公司共召</w:t>
      </w:r>
      <w:r>
        <w:rPr>
          <w:rFonts w:ascii="Times New Roman" w:hAnsi="Times New Roman" w:cs="Times New Roman" w:eastAsia="Times New Roman" w:hint="default"/>
        </w:rPr>
        <w:t>4</w:t>
      </w:r>
      <w:r>
        <w:rPr/>
        <w:t>次股东大会。股东大会均严格按照《上市公司股东大会规则》和公 司制定的《股东大会议事规则》的要求，股东大会召集、召开、表决等程序合法、合规，平 等对待所有股东，特别是保证中小股东对公司重大事项的知情权和平等参与权，充分而不受 干涉地行使股东权力。</w:t>
      </w:r>
    </w:p>
    <w:p>
      <w:pPr>
        <w:pStyle w:val="Heading3"/>
        <w:spacing w:line="312" w:lineRule="exact" w:before="67"/>
        <w:ind w:left="538" w:right="1125" w:hanging="288"/>
        <w:jc w:val="left"/>
      </w:pPr>
      <w:r>
        <w:rPr/>
        <w:t>（二）关于公司与控股股东 </w:t>
      </w:r>
      <w:r>
        <w:rPr>
          <w:spacing w:val="-3"/>
        </w:rPr>
        <w:t>公司与控股股东在业务、人员、资产、机构、财务等方面完全分开，具有独立完整的业务</w:t>
      </w:r>
    </w:p>
    <w:p>
      <w:pPr>
        <w:pStyle w:val="Heading3"/>
        <w:spacing w:line="312" w:lineRule="exact"/>
        <w:ind w:left="154" w:right="1170"/>
        <w:jc w:val="both"/>
      </w:pPr>
      <w:r>
        <w:rPr/>
        <w:t>及自主经营能力。公司董事会、监事会和内部机构独立运作。公司控股股东能严格规范自己 的行为，依法行使股东权利，没有超越公司股东大会直接或间接干预公司的决策和经营活动 的行为，不存在控股股东占用公司资金的现象。公司也不存在为控股股东提供担保的情形。</w:t>
      </w:r>
    </w:p>
    <w:p>
      <w:pPr>
        <w:pStyle w:val="Heading3"/>
        <w:spacing w:line="283" w:lineRule="exact"/>
        <w:ind w:left="442" w:right="985"/>
        <w:jc w:val="left"/>
      </w:pPr>
      <w:r>
        <w:rPr/>
        <w:t>（三）关于董事与董事会</w:t>
      </w:r>
    </w:p>
    <w:p>
      <w:pPr>
        <w:pStyle w:val="Heading3"/>
        <w:spacing w:line="312" w:lineRule="exact" w:before="30"/>
        <w:ind w:right="985" w:firstLine="384"/>
        <w:jc w:val="left"/>
      </w:pPr>
      <w:r>
        <w:rPr>
          <w:spacing w:val="-9"/>
        </w:rPr>
        <w:t>报告期内，公司共召开</w:t>
      </w:r>
      <w:r>
        <w:rPr>
          <w:rFonts w:ascii="Times New Roman" w:hAnsi="Times New Roman" w:cs="Times New Roman" w:eastAsia="Times New Roman" w:hint="default"/>
          <w:spacing w:val="-9"/>
        </w:rPr>
        <w:t>15</w:t>
      </w:r>
      <w:r>
        <w:rPr>
          <w:spacing w:val="-9"/>
        </w:rPr>
        <w:t>次董事会，均严格按照《公司章程》、《董事会议事规则》及《关</w:t>
      </w:r>
      <w:r>
        <w:rPr/>
        <w:t> </w:t>
      </w:r>
      <w:r>
        <w:rPr>
          <w:spacing w:val="-3"/>
        </w:rPr>
        <w:t>于以非现场方式召开董事会会议的实施细则》的要求，召集、召开、表决等程序合法、合规。</w:t>
      </w:r>
      <w:r>
        <w:rPr>
          <w:spacing w:val="-81"/>
        </w:rPr>
        <w:t> </w:t>
      </w:r>
      <w:r>
        <w:rPr>
          <w:spacing w:val="-81"/>
        </w:rPr>
      </w:r>
      <w:r>
        <w:rPr/>
        <w:t>董事会人员构成和人数符合法律法规和《公司章程》的要求。公司全体董事能够依据《公司 董事会议事规则》及其他相关规则的要求开展工作，认真出席董事会和股东大会，积极参加 相关知识的培训，熟悉有关法律法规，勤勉尽职地行使权力，维护公司和股东利益。</w:t>
      </w:r>
    </w:p>
    <w:p>
      <w:pPr>
        <w:pStyle w:val="BodyText"/>
        <w:spacing w:line="240" w:lineRule="auto" w:before="59"/>
        <w:ind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612" w:lineRule="exact" w:before="43"/>
        <w:ind w:left="346" w:right="1200" w:hanging="192"/>
        <w:jc w:val="left"/>
        <w:rPr>
          <w:rFonts w:ascii="宋体" w:hAnsi="宋体" w:cs="宋体" w:eastAsia="宋体" w:hint="default"/>
          <w:sz w:val="24"/>
          <w:szCs w:val="24"/>
        </w:rPr>
      </w:pPr>
      <w:bookmarkStart w:name="二、公司相对于控股股东在业务、人员、资产、机构、财务等方面的独立情况" w:id="133"/>
      <w:bookmarkEnd w:id="133"/>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公司与控股股东在业务、人员、资产、机构、财务等方面完全分开，具有独立完整的业务</w:t>
      </w:r>
    </w:p>
    <w:p>
      <w:pPr>
        <w:pStyle w:val="Heading3"/>
        <w:spacing w:line="222" w:lineRule="exact"/>
        <w:ind w:right="0"/>
        <w:jc w:val="both"/>
      </w:pPr>
      <w:r>
        <w:rPr/>
        <w:t>及自主经营能力。</w:t>
      </w:r>
    </w:p>
    <w:p>
      <w:pPr>
        <w:pStyle w:val="Heading3"/>
        <w:spacing w:line="312" w:lineRule="exact" w:before="29"/>
        <w:ind w:left="346" w:right="1200" w:firstLine="96"/>
        <w:jc w:val="left"/>
      </w:pPr>
      <w:r>
        <w:rPr/>
        <w:t>（一）业务的独立性 公司具有独立、完整的软件研发、销售、实施和技术服务体系。公司的业务独立于控股股</w:t>
      </w:r>
    </w:p>
    <w:p>
      <w:pPr>
        <w:pStyle w:val="Heading3"/>
        <w:spacing w:line="282" w:lineRule="exact"/>
        <w:ind w:right="0"/>
        <w:jc w:val="both"/>
      </w:pPr>
      <w:r>
        <w:rPr/>
        <w:t>东、实际控制人，与控股股东、实际控制人不存在同业竞争或者显失公平的关联交易。</w:t>
      </w:r>
    </w:p>
    <w:p>
      <w:pPr>
        <w:pStyle w:val="Heading3"/>
        <w:spacing w:line="312" w:lineRule="exact" w:before="29"/>
        <w:ind w:left="538" w:right="1125" w:hanging="96"/>
        <w:jc w:val="left"/>
      </w:pPr>
      <w:r>
        <w:rPr/>
        <w:t>（二）人员的独立性 </w:t>
      </w:r>
      <w:r>
        <w:rPr>
          <w:spacing w:val="-3"/>
        </w:rPr>
        <w:t>公司董事长没有由股东单位的法定代表人兼任，公司总裁、各副总裁、董事会秘书、财务</w:t>
      </w:r>
    </w:p>
    <w:p>
      <w:pPr>
        <w:pStyle w:val="Heading3"/>
        <w:spacing w:line="312" w:lineRule="exact"/>
        <w:ind w:left="154" w:right="1169"/>
        <w:jc w:val="both"/>
      </w:pPr>
      <w:r>
        <w:rPr/>
        <w:t>总监等高级管理人员均在公司专职工作及领取报酬，上述人员未在公司的控股股东、实际控 制人处担任除董事、监事以外的其他职务，未在控股股东、实际控制人处领薪，亦不存在自 营或为他人经营与公司经营范围相同业务的情形；公司的财务人员未在控股股东、实际控制 人处兼职。公司的劳动、人事及工资管理完全独立。公司董事、监事均严格按照《公司法》</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7" w:lineRule="auto" w:before="28"/>
        <w:ind w:right="1169"/>
        <w:jc w:val="both"/>
      </w:pPr>
      <w:r>
        <w:rPr/>
        <w:t>和《公司章程》的有关规定选举产生，公司高级管理人员都是公司董事会依职权聘任的，不 存在股东或其他关联方干涉公司有关人事任免的情况。公司拥有独立的员工队伍，并已建立 较为完善的劳动用工和人事管理制度。公司已依据国家的法律法规与公司员工签订了劳动合 同并缴纳社会保险费用、住房公积金，公司拥有独立的劳动用工权利，不存在受控股股东干 涉的现象。</w:t>
      </w:r>
    </w:p>
    <w:p>
      <w:pPr>
        <w:pStyle w:val="Heading3"/>
        <w:spacing w:line="312" w:lineRule="exact" w:before="29"/>
        <w:ind w:left="538" w:right="1125" w:hanging="96"/>
        <w:jc w:val="left"/>
      </w:pPr>
      <w:r>
        <w:rPr/>
        <w:t>（三）资产的独立性 </w:t>
      </w:r>
      <w:r>
        <w:rPr>
          <w:spacing w:val="-3"/>
        </w:rPr>
        <w:t>公司拥有开展生产经营所必须的资产，包括专利权、商标权、计算机软件著作权和软件开</w:t>
      </w:r>
    </w:p>
    <w:p>
      <w:pPr>
        <w:pStyle w:val="Heading3"/>
        <w:spacing w:line="312" w:lineRule="exact"/>
        <w:ind w:right="1170"/>
        <w:jc w:val="both"/>
      </w:pPr>
      <w:r>
        <w:rPr/>
        <w:t>发所需要的设备、车辆、土地使用权、房屋建筑物等。公司资产产权界定明确，不存在以承 包、委托经营、租赁或其他类似方式，依赖关联方的资产进行生产和经营的情形。公司没有 以资产、权益或信誉为控股股东的债务提供过担保，不存在资产、资金被控股股东占用而损 害公司其他股东利益的情况。</w:t>
      </w:r>
    </w:p>
    <w:p>
      <w:pPr>
        <w:pStyle w:val="Heading3"/>
        <w:spacing w:line="312" w:lineRule="exact"/>
        <w:ind w:left="538" w:right="1125" w:hanging="96"/>
        <w:jc w:val="left"/>
      </w:pPr>
      <w:r>
        <w:rPr/>
        <w:t>（四）机构的独立性 </w:t>
      </w:r>
      <w:r>
        <w:rPr>
          <w:spacing w:val="-3"/>
        </w:rPr>
        <w:t>公司建立了健全的法人治理机构，公司根据《公司法》和《公司章程》及其他有关法律法</w:t>
      </w:r>
    </w:p>
    <w:p>
      <w:pPr>
        <w:pStyle w:val="Heading3"/>
        <w:spacing w:line="312" w:lineRule="exact"/>
        <w:ind w:right="1170"/>
        <w:jc w:val="both"/>
      </w:pPr>
      <w:r>
        <w:rPr/>
        <w:t>规的规定，设立了股东大会、董事会、监事会以及经营管理层，并制定了相关议事规则和工 作细则。公司已经按照法律、法规的规定和公司的实际情况设置了公司的组织机构，独立于 控股股东和其他关联方，具有健全的内部经营管理机构，独立行使经营管理职权，公司及其 职能部门与控股股东及其职能部门之间不存在上下级关系，任何企业无权以任何形式干预公 司的经营活动。公司不存在与控股股东、实际控制人机构混同的情形。</w:t>
      </w:r>
    </w:p>
    <w:p>
      <w:pPr>
        <w:pStyle w:val="Heading3"/>
        <w:spacing w:line="312" w:lineRule="exact"/>
        <w:ind w:left="538" w:right="1125" w:hanging="96"/>
        <w:jc w:val="left"/>
      </w:pPr>
      <w:r>
        <w:rPr/>
        <w:t>（五）财务的独立性 </w:t>
      </w:r>
      <w:r>
        <w:rPr>
          <w:spacing w:val="-3"/>
        </w:rPr>
        <w:t>公司设有独立的财务部门，建立独立的财务核算体系，能够独立作出财务决策，具有规范</w:t>
      </w:r>
    </w:p>
    <w:p>
      <w:pPr>
        <w:pStyle w:val="Heading3"/>
        <w:spacing w:line="312" w:lineRule="exact"/>
        <w:ind w:right="1170"/>
        <w:jc w:val="both"/>
      </w:pPr>
      <w:r>
        <w:rPr/>
        <w:t>的财务会计制度和对驻外机构（分公司、办事处、研发中心）、子公司的财务管理制度；公 司在银行独立开户，不存在与控股股东、实际控制人共用银行账户的情形。</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BodyText"/>
        <w:spacing w:line="240" w:lineRule="auto"/>
        <w:ind w:left="0" w:right="1148"/>
        <w:jc w:val="right"/>
      </w:pPr>
      <w:r>
        <w:rPr/>
        <w:pict>
          <v:shape style="position:absolute;margin-left:56.459999pt;margin-top:-114.518288pt;width:479.1pt;height:214.8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详见公司在巨潮资 讯网</w:t>
                        </w:r>
                      </w:p>
                      <w:p>
                        <w:pPr>
                          <w:pStyle w:val="TableParagraph"/>
                          <w:spacing w:line="304"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）披露的《远光软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2017-008</w:t>
                        </w:r>
                        <w:r>
                          <w:rPr>
                            <w:rFonts w:ascii="宋体" w:hAnsi="宋体" w:cs="宋体" w:eastAsia="宋体" w:hint="default"/>
                            <w:sz w:val="18"/>
                            <w:szCs w:val="18"/>
                          </w:rPr>
                          <w:t>）</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详见公司在巨潮资 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48"/>
        <w:jc w:val="right"/>
      </w:pPr>
      <w:r>
        <w:rPr/>
        <w:pict>
          <v:shape style="position:absolute;margin-left:56.459999pt;margin-top:-174.928253pt;width:479.1pt;height:370.8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）披露的《远光软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件股份有限公司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2017-036</w:t>
                        </w:r>
                        <w:r>
                          <w:rPr>
                            <w:rFonts w:ascii="宋体" w:hAnsi="宋体" w:cs="宋体" w:eastAsia="宋体" w:hint="default"/>
                            <w:sz w:val="18"/>
                            <w:szCs w:val="18"/>
                          </w:rPr>
                          <w:t>）</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21.17%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详见公司在巨潮资 讯网</w:t>
                        </w:r>
                      </w:p>
                      <w:p>
                        <w:pPr>
                          <w:pStyle w:val="TableParagraph"/>
                          <w:spacing w:line="304"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）披露的《远光软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w:t>
                        </w:r>
                      </w:p>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2017-069</w:t>
                        </w:r>
                        <w:r>
                          <w:rPr>
                            <w:rFonts w:ascii="宋体" w:hAnsi="宋体" w:cs="宋体" w:eastAsia="宋体" w:hint="default"/>
                            <w:sz w:val="18"/>
                            <w:szCs w:val="18"/>
                          </w:rPr>
                          <w:t>）</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26.95%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详见公司在巨潮资 讯网</w:t>
                        </w:r>
                      </w:p>
                      <w:p>
                        <w:pPr>
                          <w:pStyle w:val="TableParagraph"/>
                          <w:spacing w:line="304"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）披露的《远光软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股东大会决议公告</w:t>
                        </w:r>
                      </w:p>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2017-086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before="35"/>
        <w:ind w:left="154" w:right="985"/>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于李胜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985"/>
        <w:jc w:val="left"/>
      </w:pPr>
      <w:r>
        <w:rPr/>
        <w:t>连续两次未亲自出席董事会的说明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985"/>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jc w:val="both"/>
      </w:pPr>
      <w:r>
        <w:rPr>
          <w:spacing w:val="-2"/>
        </w:rPr>
        <w:t>报告期内，公司独立董事严格按照《公司法》、《关于在上市公司建立独立董事制度的指导意见》、《深圳证券交易所中小</w:t>
      </w:r>
      <w:r>
        <w:rPr>
          <w:spacing w:val="-67"/>
        </w:rPr>
        <w:t> </w:t>
      </w:r>
      <w:r>
        <w:rPr>
          <w:spacing w:val="-67"/>
        </w:rPr>
      </w:r>
      <w:r>
        <w:rPr>
          <w:spacing w:val="-2"/>
        </w:rPr>
        <w:t>企业板上市规范运作指引》以及本公司章程的规定，积极履行自身职责。公司独立董事始终坚持公平、公正的原则，充分运</w:t>
      </w:r>
      <w:r>
        <w:rPr>
          <w:spacing w:val="-66"/>
        </w:rPr>
        <w:t> </w:t>
      </w:r>
      <w:r>
        <w:rPr>
          <w:spacing w:val="-66"/>
        </w:rPr>
      </w:r>
      <w:r>
        <w:rPr>
          <w:spacing w:val="-2"/>
        </w:rPr>
        <w:t>用上市公司独立董事的权力，认真履行职责，公司独立董事针对内部控制规范化建设等方面提出了合理意见和建议，公司已</w:t>
      </w:r>
      <w:r>
        <w:rPr>
          <w:spacing w:val="-65"/>
        </w:rPr>
        <w:t> </w:t>
      </w:r>
      <w:r>
        <w:rPr>
          <w:spacing w:val="-65"/>
        </w:rPr>
      </w:r>
      <w:r>
        <w:rPr/>
        <w:t>采纳。</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85"/>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3"/>
          <w:szCs w:val="23"/>
        </w:rPr>
      </w:pPr>
    </w:p>
    <w:p>
      <w:pPr>
        <w:pStyle w:val="Heading3"/>
        <w:spacing w:line="230" w:lineRule="auto"/>
        <w:ind w:left="154" w:right="985"/>
        <w:jc w:val="left"/>
      </w:pPr>
      <w:r>
        <w:rPr>
          <w:rFonts w:ascii="Times New Roman" w:hAnsi="Times New Roman" w:cs="Times New Roman" w:eastAsia="Times New Roman" w:hint="default"/>
        </w:rPr>
        <w:t>1</w:t>
      </w:r>
      <w:r>
        <w:rPr/>
        <w:t>、审计委员会 </w:t>
      </w:r>
      <w:r>
        <w:rPr>
          <w:spacing w:val="-3"/>
        </w:rPr>
        <w:t>报告期内，审计委员会召开了</w:t>
      </w:r>
      <w:r>
        <w:rPr>
          <w:rFonts w:ascii="Times New Roman" w:hAnsi="Times New Roman" w:cs="Times New Roman" w:eastAsia="Times New Roman" w:hint="default"/>
          <w:spacing w:val="-3"/>
        </w:rPr>
        <w:t>4</w:t>
      </w:r>
      <w:r>
        <w:rPr>
          <w:spacing w:val="-3"/>
        </w:rPr>
        <w:t>次会议，对公司内部审计部门提供的内部审计报告、续聘审计</w:t>
      </w:r>
      <w:r>
        <w:rPr>
          <w:spacing w:val="-81"/>
        </w:rPr>
        <w:t> </w:t>
      </w:r>
      <w:r>
        <w:rPr>
          <w:spacing w:val="-81"/>
        </w:rPr>
      </w:r>
      <w:r>
        <w:rPr/>
        <w:t>机构等议案进行了审议；并按照《董事会审计委员会年报工作规程》，充分发挥审计委员会 的监督作用，提高公司年报信息披露质量。</w:t>
      </w:r>
    </w:p>
    <w:p>
      <w:pPr>
        <w:pStyle w:val="Heading3"/>
        <w:spacing w:line="312" w:lineRule="exact" w:before="30"/>
        <w:ind w:right="985"/>
        <w:jc w:val="left"/>
      </w:pPr>
      <w:r>
        <w:rPr>
          <w:rFonts w:ascii="Times New Roman" w:hAnsi="Times New Roman" w:cs="Times New Roman" w:eastAsia="Times New Roman" w:hint="default"/>
        </w:rPr>
        <w:t>2</w:t>
      </w:r>
      <w:r>
        <w:rPr/>
        <w:t>、提名委员会 </w:t>
      </w:r>
      <w:r>
        <w:rPr>
          <w:spacing w:val="-3"/>
        </w:rPr>
        <w:t>报告期内，提名委员会召开了</w:t>
      </w:r>
      <w:r>
        <w:rPr>
          <w:rFonts w:ascii="Times New Roman" w:hAnsi="Times New Roman" w:cs="Times New Roman" w:eastAsia="Times New Roman" w:hint="default"/>
          <w:spacing w:val="-3"/>
        </w:rPr>
        <w:t>2</w:t>
      </w:r>
      <w:r>
        <w:rPr>
          <w:spacing w:val="-3"/>
        </w:rPr>
        <w:t>次会议，提名了公司第六届董事会非职工代表董事候选人、高</w:t>
      </w:r>
      <w:r>
        <w:rPr>
          <w:spacing w:val="-81"/>
        </w:rPr>
        <w:t> </w:t>
      </w:r>
      <w:r>
        <w:rPr>
          <w:spacing w:val="-81"/>
        </w:rPr>
      </w:r>
      <w:r>
        <w:rPr/>
        <w:t>级管理人员、第六届董事会董事长、副董事长、财务总监、董事会秘书等人选。 </w:t>
      </w:r>
      <w:r>
        <w:rPr>
          <w:rFonts w:ascii="Times New Roman" w:hAnsi="Times New Roman" w:cs="Times New Roman" w:eastAsia="Times New Roman" w:hint="default"/>
        </w:rPr>
        <w:t>3</w:t>
      </w:r>
      <w:r>
        <w:rPr/>
        <w:t>、薪酬与考核委员会 报告期内，薪酬与考核委员会召开了</w:t>
      </w:r>
      <w:r>
        <w:rPr>
          <w:rFonts w:ascii="Times New Roman" w:hAnsi="Times New Roman" w:cs="Times New Roman" w:eastAsia="Times New Roman" w:hint="default"/>
        </w:rPr>
        <w:t>2</w:t>
      </w:r>
      <w:r>
        <w:rPr/>
        <w:t>次会议，审议了公司董事、监事、高级管理人员</w:t>
      </w:r>
      <w:r>
        <w:rPr>
          <w:rFonts w:ascii="Times New Roman" w:hAnsi="Times New Roman" w:cs="Times New Roman" w:eastAsia="Times New Roman" w:hint="default"/>
        </w:rPr>
        <w:t>2016 </w:t>
      </w:r>
      <w:r>
        <w:rPr/>
        <w:t>年度薪酬，核查了公司</w:t>
      </w:r>
      <w:r>
        <w:rPr>
          <w:rFonts w:ascii="Times New Roman" w:hAnsi="Times New Roman" w:cs="Times New Roman" w:eastAsia="Times New Roman" w:hint="default"/>
        </w:rPr>
        <w:t>2016</w:t>
      </w:r>
      <w:r>
        <w:rPr/>
        <w:t>年限制性股票激励计划首次授予股票第一个解锁期可解锁激励对 象名单等。</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240" w:lineRule="auto"/>
        <w:ind w:right="985"/>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612" w:lineRule="exact" w:before="42"/>
        <w:ind w:left="538" w:right="1125" w:hanging="384"/>
        <w:jc w:val="left"/>
        <w:rPr>
          <w:rFonts w:ascii="宋体" w:hAnsi="宋体" w:cs="宋体" w:eastAsia="宋体" w:hint="default"/>
          <w:sz w:val="24"/>
          <w:szCs w:val="24"/>
        </w:rPr>
      </w:pPr>
      <w:bookmarkStart w:name="八、高级管理人员的考评及激励情况" w:id="144"/>
      <w:bookmarkEnd w:id="144"/>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公司高级管理人员均由董事会聘任，董事会薪酬与考核委员会负责对公司高级管理人员的</w:t>
      </w:r>
    </w:p>
    <w:p>
      <w:pPr>
        <w:pStyle w:val="Heading3"/>
        <w:spacing w:line="222" w:lineRule="exact"/>
        <w:ind w:right="985"/>
        <w:jc w:val="left"/>
      </w:pPr>
      <w:r>
        <w:rPr/>
        <w:t>工作能力、履职情况、责任目标完成情况进行考评。报告期内，公司加强绩效管理工作，根</w:t>
      </w:r>
    </w:p>
    <w:p>
      <w:pPr>
        <w:pStyle w:val="Heading3"/>
        <w:spacing w:line="313" w:lineRule="exact"/>
        <w:ind w:right="985"/>
        <w:jc w:val="left"/>
      </w:pPr>
      <w:r>
        <w:rPr/>
        <w:t>据发展战略和年度经营目标，确定公司年度经营重点工作，并从财务、业务、基础管理及能</w:t>
      </w:r>
    </w:p>
    <w:p>
      <w:pPr>
        <w:spacing w:after="0" w:line="31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r>
        <w:rPr/>
        <w:pict>
          <v:group style="position:absolute;margin-left:382.839996pt;margin-top:636.940002pt;width:152.1pt;height:25.4pt;mso-position-horizontal-relative:page;mso-position-vertical-relative:page;z-index:-1205992" coordorigin="7657,12739" coordsize="3042,508">
            <v:group style="position:absolute;left:7657;top:13090;width:3042;height:156" coordorigin="7657,13090" coordsize="3042,156">
              <v:shape style="position:absolute;left:7657;top:13090;width:3042;height:156" coordorigin="7657,13090" coordsize="3042,156" path="m7657,13246l10698,13246,10698,13090,7657,13090,7657,13246xe" filled="true" fillcolor="#ffffff" stroked="false">
                <v:path arrowok="t"/>
                <v:fill type="solid"/>
              </v:shape>
            </v:group>
            <v:group style="position:absolute;left:7680;top:12739;width:2996;height:352" coordorigin="7680,12739" coordsize="2996,352">
              <v:shape style="position:absolute;left:7680;top:12739;width:2996;height:352" coordorigin="7680,12739" coordsize="2996,352" path="m7680,13090l10675,13090,10675,12739,7680,12739,7680,13090xe" filled="true" fillcolor="#ffffff" stroked="false">
                <v:path arrowok="t"/>
                <v:fill type="solid"/>
              </v:shape>
            </v:group>
            <w10:wrap type="none"/>
          </v:group>
        </w:pict>
      </w:r>
    </w:p>
    <w:p>
      <w:pPr>
        <w:pStyle w:val="Heading3"/>
        <w:spacing w:line="240" w:lineRule="auto" w:before="26"/>
        <w:ind w:right="985"/>
        <w:jc w:val="left"/>
      </w:pPr>
      <w:r>
        <w:rPr/>
        <w:t>力等维度，以经营管理工作及相关能力表现相结合的形式进行考评。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Heading2"/>
        <w:spacing w:line="240" w:lineRule="auto"/>
        <w:ind w:right="985"/>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6" w:lineRule="auto" w:before="53"/>
              <w:ind w:left="22" w:right="26"/>
              <w:jc w:val="both"/>
              <w:rPr>
                <w:rFonts w:ascii="宋体" w:hAnsi="宋体" w:cs="宋体" w:eastAsia="宋体" w:hint="default"/>
                <w:sz w:val="18"/>
                <w:szCs w:val="18"/>
              </w:rPr>
            </w:pPr>
            <w:r>
              <w:rPr>
                <w:rFonts w:ascii="宋体" w:hAnsi="宋体" w:cs="宋体" w:eastAsia="宋体" w:hint="default"/>
                <w:sz w:val="18"/>
                <w:szCs w:val="18"/>
              </w:rPr>
              <w:t>财务报告内部控制存在重大缺陷包括：控 制环境无效；公司董事、监事和高级管理 人员舞弊并给企业造成重要损失和不利影 响；注册会计师发现当期财务报告中存在 重大错报，而内部控制在运行过程中未能 发现该错报；公司审计委员会和内部审计 机构对内部控制监督无效。</w:t>
            </w:r>
            <w:r>
              <w:rPr>
                <w:rFonts w:ascii="宋体" w:hAnsi="宋体" w:cs="宋体" w:eastAsia="宋体" w:hint="default"/>
                <w:spacing w:val="-64"/>
                <w:sz w:val="18"/>
                <w:szCs w:val="18"/>
              </w:rPr>
              <w:t> </w:t>
            </w:r>
            <w:r>
              <w:rPr>
                <w:rFonts w:ascii="宋体" w:hAnsi="宋体" w:cs="宋体" w:eastAsia="宋体" w:hint="default"/>
                <w:sz w:val="18"/>
                <w:szCs w:val="18"/>
              </w:rPr>
              <w:t>财务报告内部</w:t>
            </w:r>
            <w:r>
              <w:rPr>
                <w:rFonts w:ascii="宋体" w:hAnsi="宋体" w:cs="宋体" w:eastAsia="宋体" w:hint="default"/>
                <w:sz w:val="18"/>
                <w:szCs w:val="18"/>
              </w:rPr>
              <w:t> 控制存在重要缺陷包括：未依照公认会计 准则选择和应用会计政策；未建立反舞弊 程序和控制措施；对于非常规或特殊交易 的账务处理没有建立相应的控制机制或没 有实施且没有相应的补偿性控制；对于期 末财务报告过程的控制存在一项或多项缺 陷且不能合理保证编制的财务报表达到真 实、准确的目标。一般缺陷：未构成重大 </w:t>
            </w:r>
            <w:r>
              <w:rPr>
                <w:rFonts w:ascii="宋体" w:hAnsi="宋体" w:cs="宋体" w:eastAsia="宋体" w:hint="default"/>
                <w:spacing w:val="-4"/>
                <w:sz w:val="18"/>
                <w:szCs w:val="18"/>
              </w:rPr>
              <w:t>缺陷、重要缺陷标准的其他内部控制缺陷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4" w:right="-4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评价的定性标准以缺陷对业务流程有 效性的影响程度、发生的可能性作判 定，认定标准如下： ①非财务报告内 </w:t>
            </w:r>
            <w:r>
              <w:rPr>
                <w:rFonts w:ascii="宋体" w:hAnsi="宋体" w:cs="宋体" w:eastAsia="宋体" w:hint="default"/>
                <w:spacing w:val="-4"/>
                <w:sz w:val="18"/>
                <w:szCs w:val="18"/>
              </w:rPr>
              <w:t>部控制的重大缺陷包括：缺陷发生的可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能性高，会严重降低工作效率或效果、 </w:t>
            </w:r>
            <w:r>
              <w:rPr>
                <w:rFonts w:ascii="宋体" w:hAnsi="宋体" w:cs="宋体" w:eastAsia="宋体" w:hint="default"/>
                <w:spacing w:val="-4"/>
                <w:sz w:val="18"/>
                <w:szCs w:val="18"/>
              </w:rPr>
              <w:t>或严重加大效果的不确定性、或使之严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重偏离预期目标。②非财务报告内部控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制的重要缺陷包括：缺陷发生的可能性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较高，会显著降低工作效率或效果、或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显著加大效果的不确定性、或使之显著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偏离预期目标。③非财务报告内部控制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的一般缺陷包括：缺陷发生的可能性较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小，会降低工作效率或效果、或加大效</w:t>
            </w:r>
          </w:p>
          <w:p>
            <w:pPr>
              <w:pStyle w:val="TableParagraph"/>
              <w:spacing w:line="196" w:lineRule="exact" w:before="20"/>
              <w:ind w:left="4" w:right="0"/>
              <w:jc w:val="left"/>
              <w:rPr>
                <w:rFonts w:ascii="宋体" w:hAnsi="宋体" w:cs="宋体" w:eastAsia="宋体" w:hint="default"/>
                <w:sz w:val="18"/>
                <w:szCs w:val="18"/>
              </w:rPr>
            </w:pPr>
            <w:r>
              <w:rPr>
                <w:rFonts w:ascii="宋体" w:hAnsi="宋体" w:cs="宋体" w:eastAsia="宋体" w:hint="default"/>
                <w:sz w:val="18"/>
                <w:szCs w:val="18"/>
              </w:rPr>
              <w:t>果的不确定性、或使之偏离预期目标</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34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76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38"/>
              <w:jc w:val="left"/>
              <w:rPr>
                <w:rFonts w:ascii="宋体" w:hAnsi="宋体" w:cs="宋体" w:eastAsia="宋体" w:hint="default"/>
                <w:sz w:val="18"/>
                <w:szCs w:val="18"/>
              </w:rPr>
            </w:pPr>
            <w:r>
              <w:rPr>
                <w:rFonts w:ascii="宋体" w:hAnsi="宋体" w:cs="宋体" w:eastAsia="宋体" w:hint="default"/>
                <w:sz w:val="18"/>
                <w:szCs w:val="18"/>
              </w:rPr>
              <w:t>①涉及收入的错报项目：</w:t>
            </w:r>
            <w:r>
              <w:rPr>
                <w:rFonts w:ascii="宋体" w:hAnsi="宋体" w:cs="宋体" w:eastAsia="宋体" w:hint="default"/>
                <w:spacing w:val="-1"/>
                <w:sz w:val="18"/>
                <w:szCs w:val="18"/>
              </w:rPr>
              <w:t> </w:t>
            </w:r>
            <w:r>
              <w:rPr>
                <w:rFonts w:ascii="宋体" w:hAnsi="宋体" w:cs="宋体" w:eastAsia="宋体" w:hint="default"/>
                <w:sz w:val="18"/>
                <w:szCs w:val="18"/>
              </w:rPr>
              <w:t>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 收入总额的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为重大缺陷；营业收入总 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潜在错报＜营业收入总额的 </w:t>
            </w:r>
            <w:r>
              <w:rPr>
                <w:rFonts w:ascii="Times New Roman" w:hAnsi="Times New Roman" w:cs="Times New Roman" w:eastAsia="Times New Roman" w:hint="default"/>
                <w:sz w:val="18"/>
                <w:szCs w:val="18"/>
              </w:rPr>
              <w:t>1% </w:t>
            </w:r>
            <w:r>
              <w:rPr>
                <w:rFonts w:ascii="宋体" w:hAnsi="宋体" w:cs="宋体" w:eastAsia="宋体" w:hint="default"/>
                <w:sz w:val="18"/>
                <w:szCs w:val="18"/>
              </w:rPr>
              <w:t>为重要缺陷；潜在错报＜营业收入总 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为一般缺陷</w:t>
            </w:r>
            <w:r>
              <w:rPr>
                <w:rFonts w:ascii="宋体" w:hAnsi="宋体" w:cs="宋体" w:eastAsia="宋体" w:hint="default"/>
                <w:spacing w:val="-46"/>
                <w:sz w:val="18"/>
                <w:szCs w:val="18"/>
              </w:rPr>
              <w:t> </w:t>
            </w:r>
            <w:r>
              <w:rPr>
                <w:rFonts w:ascii="宋体" w:hAnsi="宋体" w:cs="宋体" w:eastAsia="宋体" w:hint="default"/>
                <w:sz w:val="18"/>
                <w:szCs w:val="18"/>
              </w:rPr>
              <w:t>。②涉及利润的错 报项目：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为重</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19" w:lineRule="auto"/>
              <w:ind w:left="11"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766"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4"/>
              <w:jc w:val="both"/>
              <w:rPr>
                <w:rFonts w:ascii="宋体" w:hAnsi="宋体" w:cs="宋体" w:eastAsia="宋体" w:hint="default"/>
                <w:sz w:val="18"/>
                <w:szCs w:val="18"/>
              </w:rPr>
            </w:pPr>
            <w:r>
              <w:rPr>
                <w:rFonts w:ascii="宋体" w:hAnsi="宋体" w:cs="宋体" w:eastAsia="宋体" w:hint="default"/>
                <w:sz w:val="18"/>
                <w:szCs w:val="18"/>
              </w:rPr>
              <w:t>大缺陷；利润总额的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潜在错报＜利润 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为重要缺陷；潜在错报＜利润</w:t>
            </w:r>
          </w:p>
          <w:p>
            <w:pPr>
              <w:pStyle w:val="TableParagraph"/>
              <w:spacing w:line="304" w:lineRule="auto" w:before="13"/>
              <w:ind w:left="23" w:right="20"/>
              <w:jc w:val="both"/>
              <w:rPr>
                <w:rFonts w:ascii="宋体" w:hAnsi="宋体" w:cs="宋体" w:eastAsia="宋体" w:hint="default"/>
                <w:sz w:val="18"/>
                <w:szCs w:val="18"/>
              </w:rPr>
            </w:pPr>
            <w:r>
              <w:rPr>
                <w:rFonts w:ascii="宋体" w:hAnsi="宋体" w:cs="宋体" w:eastAsia="宋体" w:hint="default"/>
                <w:sz w:val="18"/>
                <w:szCs w:val="18"/>
              </w:rPr>
              <w:t>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为一般缺陷。③涉及资产的错 报项目：潜在错报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为重大 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潜在错报＜资产 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为重要缺陷；</w:t>
            </w:r>
            <w:r>
              <w:rPr>
                <w:rFonts w:ascii="宋体" w:hAnsi="宋体" w:cs="宋体" w:eastAsia="宋体" w:hint="default"/>
                <w:spacing w:val="-46"/>
                <w:sz w:val="18"/>
                <w:szCs w:val="18"/>
              </w:rPr>
              <w:t> </w:t>
            </w:r>
            <w:r>
              <w:rPr>
                <w:rFonts w:ascii="宋体" w:hAnsi="宋体" w:cs="宋体" w:eastAsia="宋体" w:hint="default"/>
                <w:sz w:val="18"/>
                <w:szCs w:val="18"/>
              </w:rPr>
              <w:t>潜在错报＜资产 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为一般缺陷</w:t>
            </w:r>
            <w:r>
              <w:rPr>
                <w:rFonts w:ascii="宋体" w:hAnsi="宋体" w:cs="宋体" w:eastAsia="宋体" w:hint="default"/>
                <w:spacing w:val="-45"/>
                <w:sz w:val="18"/>
                <w:szCs w:val="18"/>
              </w:rPr>
              <w:t> </w:t>
            </w:r>
            <w:r>
              <w:rPr>
                <w:rFonts w:ascii="宋体" w:hAnsi="宋体" w:cs="宋体" w:eastAsia="宋体" w:hint="default"/>
                <w:spacing w:val="-5"/>
                <w:sz w:val="18"/>
                <w:szCs w:val="18"/>
              </w:rPr>
              <w:t>。当某项内部控</w:t>
            </w:r>
            <w:r>
              <w:rPr>
                <w:rFonts w:ascii="宋体" w:hAnsi="宋体" w:cs="宋体" w:eastAsia="宋体" w:hint="default"/>
                <w:sz w:val="18"/>
                <w:szCs w:val="18"/>
              </w:rPr>
              <w:t> 制缺陷导致的潜在错报影响多项指标时， 按孰低原则认定缺陷性质。</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5"/>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我们认为，远光软件公司于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日在所有重大方面保持了按照财政部颁布的《内部会计控制规范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z w:val="18"/>
                <w:szCs w:val="18"/>
              </w:rPr>
              <w:t>》的有关规范标准中与财务报表相关的有效的内部控制。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hyperlink>
            <w:r>
              <w:rPr>
                <w:rFonts w:ascii="宋体" w:hAnsi="宋体" w:cs="宋体" w:eastAsia="宋体" w:hint="default"/>
                <w:spacing w:val="-90"/>
                <w:sz w:val="18"/>
                <w:szCs w:val="18"/>
              </w:rPr>
              <w:t>）</w:t>
            </w:r>
            <w:r>
              <w:rPr>
                <w:rFonts w:ascii="宋体" w:hAnsi="宋体" w:cs="宋体" w:eastAsia="宋体" w:hint="default"/>
                <w:sz w:val="18"/>
                <w:szCs w:val="18"/>
              </w:rPr>
              <w:t>《内</w:t>
            </w:r>
            <w:r>
              <w:rPr>
                <w:rFonts w:ascii="宋体" w:hAnsi="宋体" w:cs="宋体" w:eastAsia="宋体" w:hint="default"/>
                <w:spacing w:val="-2"/>
                <w:sz w:val="18"/>
                <w:szCs w:val="18"/>
              </w:rPr>
              <w:t>部</w:t>
            </w:r>
            <w:r>
              <w:rPr>
                <w:rFonts w:ascii="宋体" w:hAnsi="宋体" w:cs="宋体" w:eastAsia="宋体" w:hint="default"/>
                <w:sz w:val="18"/>
                <w:szCs w:val="18"/>
              </w:rPr>
              <w:t>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985"/>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985"/>
        <w:jc w:val="left"/>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985"/>
        <w:jc w:val="left"/>
        <w:rPr>
          <w:b w:val="0"/>
          <w:bCs w:val="0"/>
        </w:rPr>
      </w:pPr>
      <w:bookmarkStart w:name="第十一节 财务报告" w:id="151"/>
      <w:bookmarkEnd w:id="151"/>
      <w:r>
        <w:rPr>
          <w:b w:val="0"/>
          <w:bCs w:val="0"/>
        </w:rPr>
      </w:r>
      <w:bookmarkStart w:name="_bookmark10"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40030043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王淑燕、郑会涛</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6"/>
          <w:szCs w:val="26"/>
        </w:rPr>
      </w:pPr>
    </w:p>
    <w:p>
      <w:pPr>
        <w:pStyle w:val="Heading2"/>
        <w:spacing w:line="240" w:lineRule="auto"/>
        <w:ind w:right="0"/>
        <w:jc w:val="left"/>
        <w:rPr>
          <w:b w:val="0"/>
          <w:bCs w:val="0"/>
        </w:rPr>
      </w:pPr>
      <w:r>
        <w:rPr>
          <w:w w:val="95"/>
        </w:rPr>
        <w:t>远光软件股份有限公司全体股东：</w:t>
      </w:r>
      <w:r>
        <w:rPr>
          <w:b w:val="0"/>
          <w:bCs w:val="0"/>
        </w:rPr>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766" w:space="514"/>
            <w:col w:w="6650"/>
          </w:cols>
        </w:sectPr>
      </w:pPr>
    </w:p>
    <w:p>
      <w:pPr>
        <w:spacing w:line="240" w:lineRule="auto" w:before="9"/>
        <w:rPr>
          <w:rFonts w:ascii="宋体" w:hAnsi="宋体" w:cs="宋体" w:eastAsia="宋体" w:hint="default"/>
          <w:sz w:val="21"/>
          <w:szCs w:val="21"/>
        </w:rPr>
      </w:pPr>
    </w:p>
    <w:p>
      <w:pPr>
        <w:pStyle w:val="Heading3"/>
        <w:spacing w:line="312" w:lineRule="exact" w:before="56"/>
        <w:ind w:left="633" w:right="985" w:firstLine="2"/>
        <w:jc w:val="left"/>
      </w:pPr>
      <w:r>
        <w:rPr>
          <w:rFonts w:ascii="宋体" w:hAnsi="宋体" w:cs="宋体" w:eastAsia="宋体" w:hint="default"/>
          <w:b/>
          <w:bCs/>
        </w:rPr>
        <w:t>一、审计意见</w:t>
      </w:r>
      <w:r>
        <w:rPr>
          <w:rFonts w:ascii="宋体" w:hAnsi="宋体" w:cs="宋体" w:eastAsia="宋体" w:hint="default"/>
          <w:b/>
          <w:bCs/>
          <w:w w:val="99"/>
        </w:rPr>
        <w:t> </w:t>
      </w:r>
      <w:r>
        <w:rPr/>
        <w:t>我们审计了远光软件股份有限公司（以下简称</w:t>
      </w:r>
      <w:r>
        <w:rPr>
          <w:rFonts w:ascii="Times New Roman" w:hAnsi="Times New Roman" w:cs="Times New Roman" w:eastAsia="Times New Roman" w:hint="default"/>
        </w:rPr>
        <w:t>“</w:t>
      </w:r>
      <w:r>
        <w:rPr/>
        <w:t>远光软件公司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p>
    <w:p>
      <w:pPr>
        <w:pStyle w:val="Heading3"/>
        <w:spacing w:line="312" w:lineRule="exact"/>
        <w:ind w:right="1003"/>
        <w:jc w:val="left"/>
      </w:pP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2017</w:t>
      </w:r>
      <w:r>
        <w:rPr>
          <w:spacing w:val="-2"/>
        </w:rPr>
        <w:t>年度的合并及公司利润表、合并及公司现金流量表、</w:t>
      </w:r>
      <w:r>
        <w:rPr>
          <w:spacing w:val="-112"/>
        </w:rPr>
        <w:t> </w:t>
      </w:r>
      <w:r>
        <w:rPr>
          <w:spacing w:val="-112"/>
        </w:rPr>
      </w:r>
      <w:r>
        <w:rPr/>
        <w:t>合并及公司股东权益变动表以及相关财务报表附注。</w:t>
      </w:r>
    </w:p>
    <w:p>
      <w:pPr>
        <w:pStyle w:val="Heading3"/>
        <w:spacing w:line="312" w:lineRule="exact"/>
        <w:ind w:right="1133" w:firstLine="480"/>
        <w:jc w:val="both"/>
      </w:pPr>
      <w:r>
        <w:rPr/>
        <w:t>我们认为，后附的财务报表在所有重大方面按照企业会计准则的规定编制，公允反映了 远光软件公司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2017</w:t>
      </w:r>
      <w:r>
        <w:rPr/>
        <w:t>年度合并及公司的经营成果和</w:t>
      </w:r>
      <w:r>
        <w:rPr>
          <w:spacing w:val="-108"/>
        </w:rPr>
        <w:t> </w:t>
      </w:r>
      <w:r>
        <w:rPr>
          <w:spacing w:val="-108"/>
        </w:rPr>
      </w:r>
      <w:r>
        <w:rPr/>
        <w:t>现金流量。</w:t>
      </w:r>
    </w:p>
    <w:p>
      <w:pPr>
        <w:spacing w:line="240" w:lineRule="auto" w:before="11"/>
        <w:rPr>
          <w:rFonts w:ascii="宋体" w:hAnsi="宋体" w:cs="宋体" w:eastAsia="宋体" w:hint="default"/>
          <w:sz w:val="23"/>
          <w:szCs w:val="23"/>
        </w:rPr>
      </w:pPr>
    </w:p>
    <w:p>
      <w:pPr>
        <w:spacing w:line="312" w:lineRule="exact" w:before="0"/>
        <w:ind w:left="633" w:right="1124"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Heading3"/>
        <w:spacing w:line="312" w:lineRule="exact"/>
        <w:ind w:right="1131"/>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德守则，我们独立于远光软件公司，并履行了职业道德方面的其他责任。我们相信，我们获 取的审计证据是充分、适当的，为发表审计意见提供了基础。</w:t>
      </w:r>
    </w:p>
    <w:p>
      <w:pPr>
        <w:spacing w:line="240" w:lineRule="auto" w:before="11"/>
        <w:rPr>
          <w:rFonts w:ascii="宋体" w:hAnsi="宋体" w:cs="宋体" w:eastAsia="宋体" w:hint="default"/>
          <w:sz w:val="23"/>
          <w:szCs w:val="23"/>
        </w:rPr>
      </w:pPr>
    </w:p>
    <w:p>
      <w:pPr>
        <w:pStyle w:val="Heading3"/>
        <w:spacing w:line="312" w:lineRule="exact"/>
        <w:ind w:left="633" w:right="985"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ind w:right="1139"/>
        <w:jc w:val="both"/>
      </w:pPr>
      <w:r>
        <w:rPr/>
        <w:t>项的应对以对财务报表整体进行审计并形成审计意见为背景，我们不对这些事项单独发表意 见。我们确定下列事项是需要在审计报告中沟通的关键审计事项。</w:t>
      </w:r>
    </w:p>
    <w:p>
      <w:pPr>
        <w:pStyle w:val="Heading2"/>
        <w:spacing w:line="282" w:lineRule="exact"/>
        <w:ind w:left="636" w:right="985"/>
        <w:jc w:val="left"/>
        <w:rPr>
          <w:b w:val="0"/>
          <w:bCs w:val="0"/>
        </w:rPr>
      </w:pPr>
      <w:r>
        <w:rPr/>
        <w:t>（一）收入确认</w:t>
      </w:r>
      <w:r>
        <w:rPr>
          <w:b w:val="0"/>
          <w:bCs w:val="0"/>
        </w:rPr>
      </w:r>
    </w:p>
    <w:p>
      <w:pPr>
        <w:pStyle w:val="Heading3"/>
        <w:spacing w:line="312" w:lineRule="exact" w:before="29"/>
        <w:ind w:left="633" w:right="985"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公司</w:t>
      </w:r>
      <w:r>
        <w:rPr>
          <w:rFonts w:ascii="Times New Roman" w:hAnsi="Times New Roman" w:cs="Times New Roman" w:eastAsia="Times New Roman" w:hint="default"/>
          <w:spacing w:val="2"/>
        </w:rPr>
        <w:t>2017</w:t>
      </w:r>
      <w:r>
        <w:rPr>
          <w:spacing w:val="2"/>
        </w:rPr>
        <w:t>年度主营业务收入</w:t>
      </w:r>
      <w:r>
        <w:rPr>
          <w:rFonts w:ascii="Times New Roman" w:hAnsi="Times New Roman" w:cs="Times New Roman" w:eastAsia="Times New Roman" w:hint="default"/>
          <w:spacing w:val="2"/>
        </w:rPr>
        <w:t>117,492.34</w:t>
      </w:r>
      <w:r>
        <w:rPr>
          <w:spacing w:val="2"/>
        </w:rPr>
        <w:t>万元，其中技术开发及软件服务收入为</w:t>
      </w:r>
      <w:r>
        <w:rPr>
          <w:rFonts w:ascii="Times New Roman" w:hAnsi="Times New Roman" w:cs="Times New Roman" w:eastAsia="Times New Roman" w:hint="default"/>
          <w:spacing w:val="2"/>
        </w:rPr>
        <w:t>98,346.65</w:t>
      </w:r>
    </w:p>
    <w:p>
      <w:pPr>
        <w:pStyle w:val="Heading3"/>
        <w:spacing w:line="312" w:lineRule="exact"/>
        <w:ind w:right="1135"/>
        <w:jc w:val="both"/>
      </w:pPr>
      <w:r>
        <w:rPr/>
        <w:t>万元，占</w:t>
      </w:r>
      <w:r>
        <w:rPr>
          <w:rFonts w:ascii="Times New Roman" w:hAnsi="Times New Roman" w:cs="Times New Roman" w:eastAsia="Times New Roman" w:hint="default"/>
        </w:rPr>
        <w:t>83.70%</w:t>
      </w:r>
      <w:r>
        <w:rPr/>
        <w:t>。鉴于该部分收入金额重大且为关键业绩指标，其收入确认的准确性，以及 是否在恰当的财务报表期间确认可能存在潜在错报。我们将收入确认识别为关键审计事项。</w:t>
      </w:r>
    </w:p>
    <w:p>
      <w:pPr>
        <w:pStyle w:val="Heading2"/>
        <w:spacing w:line="292" w:lineRule="exact"/>
        <w:ind w:left="636" w:right="985"/>
        <w:jc w:val="left"/>
        <w:rPr>
          <w:b w:val="0"/>
          <w:bCs w:val="0"/>
        </w:rPr>
      </w:pPr>
      <w:r>
        <w:rPr>
          <w:rFonts w:ascii="Times New Roman" w:hAnsi="Times New Roman" w:cs="Times New Roman" w:eastAsia="Times New Roman" w:hint="default"/>
        </w:rPr>
        <w:t>2</w:t>
      </w:r>
      <w:r>
        <w:rPr/>
        <w:t>、审计应对</w:t>
      </w:r>
      <w:r>
        <w:rPr>
          <w:b w:val="0"/>
          <w:bCs w:val="0"/>
        </w:rPr>
      </w:r>
    </w:p>
    <w:p>
      <w:pPr>
        <w:pStyle w:val="Heading3"/>
        <w:spacing w:line="312" w:lineRule="exact" w:before="20"/>
        <w:ind w:right="985" w:firstLine="480"/>
        <w:jc w:val="left"/>
      </w:pPr>
      <w:r>
        <w:rPr>
          <w:spacing w:val="-3"/>
        </w:rPr>
        <w:t>（</w:t>
      </w:r>
      <w:r>
        <w:rPr>
          <w:rFonts w:ascii="Times New Roman" w:hAnsi="Times New Roman" w:cs="Times New Roman" w:eastAsia="Times New Roman" w:hint="default"/>
          <w:spacing w:val="-3"/>
        </w:rPr>
        <w:t>1</w:t>
      </w:r>
      <w:r>
        <w:rPr>
          <w:spacing w:val="-3"/>
        </w:rPr>
        <w:t>）了解和评价管理层对有关技术开发及软件服务收入循环的关键内部控制的设计，并</w:t>
      </w:r>
      <w:r>
        <w:rPr/>
        <w:t> 进行控制测试；</w:t>
      </w:r>
    </w:p>
    <w:p>
      <w:pPr>
        <w:pStyle w:val="Heading3"/>
        <w:spacing w:line="312" w:lineRule="exact"/>
        <w:ind w:right="985" w:firstLine="480"/>
        <w:jc w:val="left"/>
      </w:pPr>
      <w:r>
        <w:rPr>
          <w:spacing w:val="-3"/>
        </w:rPr>
        <w:t>（</w:t>
      </w:r>
      <w:r>
        <w:rPr>
          <w:rFonts w:ascii="Times New Roman" w:hAnsi="Times New Roman" w:cs="Times New Roman" w:eastAsia="Times New Roman" w:hint="default"/>
          <w:spacing w:val="-3"/>
        </w:rPr>
        <w:t>2</w:t>
      </w:r>
      <w:r>
        <w:rPr>
          <w:spacing w:val="-3"/>
        </w:rPr>
        <w:t>）获取公司与客户签订的主要合同，对合同关键条款进行核实，结合其他收入审计程</w:t>
      </w:r>
      <w:r>
        <w:rPr/>
        <w:t> </w:t>
      </w:r>
      <w:r>
        <w:rPr>
          <w:spacing w:val="-3"/>
        </w:rPr>
        <w:t>序确认当期收入的真实性及完整性，检查合同、发票、项目实施报告、项目结算函、验收单、</w:t>
      </w:r>
    </w:p>
    <w:p>
      <w:pPr>
        <w:spacing w:after="0" w:line="312" w:lineRule="exact"/>
        <w:jc w:val="left"/>
        <w:sectPr>
          <w:type w:val="continuous"/>
          <w:pgSz w:w="11910" w:h="16840"/>
          <w:pgMar w:top="1060" w:bottom="1160" w:left="980" w:right="0"/>
        </w:sectPr>
      </w:pPr>
    </w:p>
    <w:p>
      <w:pPr>
        <w:spacing w:line="240" w:lineRule="auto" w:before="7"/>
        <w:rPr>
          <w:rFonts w:ascii="宋体" w:hAnsi="宋体" w:cs="宋体" w:eastAsia="宋体" w:hint="default"/>
          <w:sz w:val="23"/>
          <w:szCs w:val="23"/>
        </w:rPr>
      </w:pPr>
    </w:p>
    <w:p>
      <w:pPr>
        <w:pStyle w:val="Heading3"/>
        <w:spacing w:line="313" w:lineRule="exact" w:before="26"/>
        <w:ind w:right="0"/>
        <w:jc w:val="both"/>
      </w:pPr>
      <w:r>
        <w:rPr/>
        <w:t>记账凭证、回款单据等相关资料；对收入进行截止测试；对期后回款情况进行检查；</w:t>
      </w:r>
    </w:p>
    <w:p>
      <w:pPr>
        <w:pStyle w:val="Heading3"/>
        <w:spacing w:line="312" w:lineRule="exact" w:before="29"/>
        <w:ind w:right="985" w:firstLine="480"/>
        <w:jc w:val="left"/>
      </w:pPr>
      <w:r>
        <w:rPr>
          <w:spacing w:val="-3"/>
        </w:rPr>
        <w:t>（</w:t>
      </w:r>
      <w:r>
        <w:rPr>
          <w:rFonts w:ascii="Times New Roman" w:hAnsi="Times New Roman" w:cs="Times New Roman" w:eastAsia="Times New Roman" w:hint="default"/>
          <w:spacing w:val="-3"/>
        </w:rPr>
        <w:t>3</w:t>
      </w:r>
      <w:r>
        <w:rPr>
          <w:spacing w:val="-3"/>
        </w:rPr>
        <w:t>）对主要客户函证项目是否完工或进度情况、尚未结算余额、本期结算金额及本期回</w:t>
      </w:r>
      <w:r>
        <w:rPr/>
        <w:t> 款金额；</w:t>
      </w:r>
    </w:p>
    <w:p>
      <w:pPr>
        <w:pStyle w:val="Heading3"/>
        <w:spacing w:line="225" w:lineRule="auto"/>
        <w:ind w:right="985" w:firstLine="480"/>
        <w:jc w:val="left"/>
      </w:pPr>
      <w:r>
        <w:rPr>
          <w:spacing w:val="-6"/>
        </w:rPr>
        <w:t>（</w:t>
      </w:r>
      <w:r>
        <w:rPr>
          <w:rFonts w:ascii="Times New Roman" w:hAnsi="Times New Roman" w:cs="Times New Roman" w:eastAsia="Times New Roman" w:hint="default"/>
          <w:spacing w:val="-6"/>
        </w:rPr>
        <w:t>4</w:t>
      </w:r>
      <w:r>
        <w:rPr>
          <w:spacing w:val="-6"/>
        </w:rPr>
        <w:t>）对重大客户进行现场访谈，了解项目的来源方式、结算方式、项目的实施进度情况，</w:t>
      </w:r>
      <w:r>
        <w:rPr/>
        <w:t> 双方是否存在关联方关系；</w:t>
      </w:r>
    </w:p>
    <w:p>
      <w:pPr>
        <w:pStyle w:val="Heading3"/>
        <w:spacing w:line="322" w:lineRule="exact"/>
        <w:ind w:left="634" w:right="985"/>
        <w:jc w:val="left"/>
      </w:pPr>
      <w:r>
        <w:rPr/>
        <w:t>（</w:t>
      </w:r>
      <w:r>
        <w:rPr>
          <w:rFonts w:ascii="Times New Roman" w:hAnsi="Times New Roman" w:cs="Times New Roman" w:eastAsia="Times New Roman" w:hint="default"/>
        </w:rPr>
        <w:t>5</w:t>
      </w:r>
      <w:r>
        <w:rPr/>
        <w:t>）核查新增客户的工商信息与股权结构，是否与远光软件公司存在关联方关系。</w:t>
      </w:r>
    </w:p>
    <w:p>
      <w:pPr>
        <w:pStyle w:val="Heading2"/>
        <w:spacing w:line="303" w:lineRule="exact"/>
        <w:ind w:left="636" w:right="985"/>
        <w:jc w:val="left"/>
        <w:rPr>
          <w:b w:val="0"/>
          <w:bCs w:val="0"/>
        </w:rPr>
      </w:pPr>
      <w:r>
        <w:rPr/>
        <w:t>（二）应收账款坏账准备</w:t>
      </w:r>
      <w:r>
        <w:rPr>
          <w:b w:val="0"/>
          <w:bCs w:val="0"/>
        </w:rPr>
      </w:r>
    </w:p>
    <w:p>
      <w:pPr>
        <w:pStyle w:val="Heading3"/>
        <w:spacing w:line="312" w:lineRule="exact" w:before="29"/>
        <w:ind w:left="633" w:right="1033"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如财务报表附注六、</w:t>
      </w:r>
      <w:r>
        <w:rPr>
          <w:rFonts w:ascii="Times New Roman" w:hAnsi="Times New Roman" w:cs="Times New Roman" w:eastAsia="Times New Roman" w:hint="default"/>
        </w:rPr>
        <w:t>4</w:t>
      </w:r>
      <w:r>
        <w:rPr/>
        <w:t>所述，截止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日，应收账款账面余额为</w:t>
      </w:r>
      <w:r>
        <w:rPr>
          <w:rFonts w:ascii="Times New Roman" w:hAnsi="Times New Roman" w:cs="Times New Roman" w:eastAsia="Times New Roman" w:hint="default"/>
        </w:rPr>
        <w:t>76,536.80</w:t>
      </w:r>
      <w:r>
        <w:rPr/>
        <w:t>万元，</w:t>
      </w:r>
    </w:p>
    <w:p>
      <w:pPr>
        <w:pStyle w:val="Heading3"/>
        <w:spacing w:line="312" w:lineRule="exact"/>
        <w:ind w:right="1134"/>
        <w:jc w:val="both"/>
      </w:pPr>
      <w:r>
        <w:rPr/>
        <w:t>其净值占年末资产总额的</w:t>
      </w:r>
      <w:r>
        <w:rPr>
          <w:rFonts w:ascii="Times New Roman" w:hAnsi="Times New Roman" w:cs="Times New Roman" w:eastAsia="Times New Roman" w:hint="default"/>
        </w:rPr>
        <w:t>27.42%</w:t>
      </w:r>
      <w:r>
        <w:rPr/>
        <w:t>。由于应收账款金额重大，管理层在确定应收款项减值时作 出了重大判断，且应收账款的可收回性对于财务报表具有较大影响，我们将应收账款坏账准 备计提识别为关键审计事项。</w:t>
      </w:r>
    </w:p>
    <w:p>
      <w:pPr>
        <w:pStyle w:val="Heading2"/>
        <w:spacing w:line="291" w:lineRule="exact"/>
        <w:ind w:left="636" w:right="985"/>
        <w:jc w:val="left"/>
        <w:rPr>
          <w:b w:val="0"/>
          <w:bCs w:val="0"/>
        </w:rPr>
      </w:pPr>
      <w:r>
        <w:rPr>
          <w:rFonts w:ascii="Times New Roman" w:hAnsi="Times New Roman" w:cs="Times New Roman" w:eastAsia="Times New Roman" w:hint="default"/>
        </w:rPr>
        <w:t>2</w:t>
      </w:r>
      <w:r>
        <w:rPr/>
        <w:t>、审计应对</w:t>
      </w:r>
      <w:r>
        <w:rPr>
          <w:b w:val="0"/>
          <w:bCs w:val="0"/>
        </w:rPr>
      </w:r>
    </w:p>
    <w:p>
      <w:pPr>
        <w:pStyle w:val="Heading3"/>
        <w:spacing w:line="312" w:lineRule="exact" w:before="20"/>
        <w:ind w:right="985" w:firstLine="480"/>
        <w:jc w:val="left"/>
      </w:pPr>
      <w:r>
        <w:rPr>
          <w:spacing w:val="-3"/>
        </w:rPr>
        <w:t>（</w:t>
      </w:r>
      <w:r>
        <w:rPr>
          <w:rFonts w:ascii="Times New Roman" w:hAnsi="Times New Roman" w:cs="Times New Roman" w:eastAsia="Times New Roman" w:hint="default"/>
          <w:spacing w:val="-3"/>
        </w:rPr>
        <w:t>1</w:t>
      </w:r>
      <w:r>
        <w:rPr>
          <w:spacing w:val="-3"/>
        </w:rPr>
        <w:t>）了解公司的信用政策，测试与应收账款管理相关内部控制的设计和执行，以确认内</w:t>
      </w:r>
      <w:r>
        <w:rPr/>
        <w:t> 部控制的有效性；</w:t>
      </w:r>
    </w:p>
    <w:p>
      <w:pPr>
        <w:pStyle w:val="Heading3"/>
        <w:spacing w:line="312" w:lineRule="exact"/>
        <w:ind w:right="985" w:firstLine="480"/>
        <w:jc w:val="left"/>
      </w:pPr>
      <w:r>
        <w:rPr>
          <w:spacing w:val="-3"/>
        </w:rPr>
        <w:t>（</w:t>
      </w:r>
      <w:r>
        <w:rPr>
          <w:rFonts w:ascii="Times New Roman" w:hAnsi="Times New Roman" w:cs="Times New Roman" w:eastAsia="Times New Roman" w:hint="default"/>
          <w:spacing w:val="-3"/>
        </w:rPr>
        <w:t>2</w:t>
      </w:r>
      <w:r>
        <w:rPr>
          <w:spacing w:val="-3"/>
        </w:rPr>
        <w:t>）结合公司行业特点及信用风险特征、同行业其他公司的坏账准备计提方法，评价管</w:t>
      </w:r>
      <w:r>
        <w:rPr/>
        <w:t> 理层对应收账款坏账损失计提的合理性；</w:t>
      </w:r>
    </w:p>
    <w:p>
      <w:pPr>
        <w:pStyle w:val="Heading3"/>
        <w:spacing w:line="312" w:lineRule="exact"/>
        <w:ind w:right="1132" w:firstLine="480"/>
        <w:jc w:val="both"/>
      </w:pPr>
      <w:r>
        <w:rPr>
          <w:spacing w:val="-3"/>
        </w:rPr>
        <w:t>（</w:t>
      </w:r>
      <w:r>
        <w:rPr>
          <w:rFonts w:ascii="Times New Roman" w:hAnsi="Times New Roman" w:cs="Times New Roman" w:eastAsia="Times New Roman" w:hint="default"/>
          <w:spacing w:val="-3"/>
        </w:rPr>
        <w:t>3</w:t>
      </w:r>
      <w:r>
        <w:rPr>
          <w:spacing w:val="-3"/>
        </w:rPr>
        <w:t>）检查应收账款的账龄情况，并执行应收账款函证程序及检查期后回款情况，评价应</w:t>
      </w:r>
      <w:r>
        <w:rPr/>
        <w:t> 收账款坏账准备计提的合理性；比较前期坏账准备计提数和实际发生数，分析应收账款坏账</w:t>
      </w:r>
      <w:r>
        <w:rPr>
          <w:spacing w:val="-114"/>
        </w:rPr>
        <w:t> </w:t>
      </w:r>
      <w:r>
        <w:rPr>
          <w:spacing w:val="-114"/>
        </w:rPr>
      </w:r>
      <w:r>
        <w:rPr/>
        <w:t>准备计提的充分性；</w:t>
      </w:r>
    </w:p>
    <w:p>
      <w:pPr>
        <w:pStyle w:val="Heading3"/>
        <w:spacing w:line="312" w:lineRule="exact"/>
        <w:ind w:right="995" w:firstLine="480"/>
        <w:jc w:val="left"/>
      </w:pPr>
      <w:r>
        <w:rPr>
          <w:spacing w:val="-3"/>
        </w:rPr>
        <w:t>（</w:t>
      </w:r>
      <w:r>
        <w:rPr>
          <w:rFonts w:ascii="Times New Roman" w:hAnsi="Times New Roman" w:cs="Times New Roman" w:eastAsia="Times New Roman" w:hint="default"/>
          <w:spacing w:val="-3"/>
        </w:rPr>
        <w:t>4</w:t>
      </w:r>
      <w:r>
        <w:rPr>
          <w:spacing w:val="-3"/>
        </w:rPr>
        <w:t>）分析计算资产负债表日坏账准备金额与应收账款余额之间的比率，比较前期坏账准</w:t>
      </w:r>
      <w:r>
        <w:rPr/>
        <w:t> </w:t>
      </w:r>
      <w:r>
        <w:rPr>
          <w:spacing w:val="-2"/>
        </w:rPr>
        <w:t>备计提数和实际发生数，以及本期实际核销坏账情况，分析应收账款坏账准备计提是否充分。</w:t>
      </w:r>
    </w:p>
    <w:p>
      <w:pPr>
        <w:pStyle w:val="Heading3"/>
        <w:spacing w:line="312" w:lineRule="exact"/>
        <w:ind w:right="985" w:firstLine="480"/>
        <w:jc w:val="left"/>
      </w:pPr>
      <w:r>
        <w:rPr>
          <w:spacing w:val="-3"/>
        </w:rPr>
        <w:t>（</w:t>
      </w:r>
      <w:r>
        <w:rPr>
          <w:rFonts w:ascii="Times New Roman" w:hAnsi="Times New Roman" w:cs="Times New Roman" w:eastAsia="Times New Roman" w:hint="default"/>
          <w:spacing w:val="-3"/>
        </w:rPr>
        <w:t>5</w:t>
      </w:r>
      <w:r>
        <w:rPr>
          <w:spacing w:val="-3"/>
        </w:rPr>
        <w:t>）获取坏账准备计提表，检查计提方法是否按照坏账政策执行，并重新计算坏账计提</w:t>
      </w:r>
      <w:r>
        <w:rPr/>
        <w:t> 金额是否准确。</w:t>
      </w:r>
    </w:p>
    <w:p>
      <w:pPr>
        <w:spacing w:line="240" w:lineRule="auto" w:before="11"/>
        <w:rPr>
          <w:rFonts w:ascii="宋体" w:hAnsi="宋体" w:cs="宋体" w:eastAsia="宋体" w:hint="default"/>
          <w:sz w:val="23"/>
          <w:szCs w:val="23"/>
        </w:rPr>
      </w:pPr>
    </w:p>
    <w:p>
      <w:pPr>
        <w:pStyle w:val="Heading3"/>
        <w:spacing w:line="312" w:lineRule="exact"/>
        <w:ind w:left="633" w:right="985" w:firstLine="2"/>
        <w:jc w:val="left"/>
      </w:pPr>
      <w:r>
        <w:rPr>
          <w:rFonts w:ascii="宋体" w:hAnsi="宋体" w:cs="宋体" w:eastAsia="宋体" w:hint="default"/>
          <w:b/>
          <w:bCs/>
        </w:rPr>
        <w:t>四、其他信息</w:t>
      </w:r>
      <w:r>
        <w:rPr>
          <w:rFonts w:ascii="宋体" w:hAnsi="宋体" w:cs="宋体" w:eastAsia="宋体" w:hint="default"/>
          <w:b/>
          <w:bCs/>
          <w:w w:val="99"/>
        </w:rPr>
        <w:t> </w:t>
      </w:r>
      <w:r>
        <w:rPr/>
        <w:t>远光软件公司管理层对其他信息负责。其他信息包括</w:t>
      </w:r>
      <w:r>
        <w:rPr>
          <w:rFonts w:ascii="Times New Roman" w:hAnsi="Times New Roman" w:cs="Times New Roman" w:eastAsia="Times New Roman" w:hint="default"/>
        </w:rPr>
        <w:t>2017</w:t>
      </w:r>
      <w:r>
        <w:rPr/>
        <w:t>年年度报告中涵盖的信息，但</w:t>
      </w:r>
    </w:p>
    <w:p>
      <w:pPr>
        <w:pStyle w:val="Heading3"/>
        <w:spacing w:line="312" w:lineRule="exact"/>
        <w:ind w:left="633" w:right="985" w:hanging="480"/>
        <w:jc w:val="left"/>
      </w:pPr>
      <w:r>
        <w:rPr/>
        <w:t>不包括财务报表和我们的审计报告。 我们对财务报表发表的审计意见不涵盖其他信息，我们也不对其他信息发表任何形式的</w:t>
      </w:r>
    </w:p>
    <w:p>
      <w:pPr>
        <w:pStyle w:val="Heading3"/>
        <w:spacing w:line="282" w:lineRule="exact"/>
        <w:ind w:right="0"/>
        <w:jc w:val="both"/>
      </w:pPr>
      <w:r>
        <w:rPr/>
        <w:t>鉴证结论。</w:t>
      </w:r>
    </w:p>
    <w:p>
      <w:pPr>
        <w:pStyle w:val="Heading3"/>
        <w:spacing w:line="312" w:lineRule="exact" w:before="29"/>
        <w:ind w:right="11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83" w:lineRule="exact"/>
        <w:ind w:right="0"/>
        <w:jc w:val="both"/>
      </w:pPr>
      <w:r>
        <w:rPr/>
        <w:t>在这方面，我们无任何事项需要报告。</w:t>
      </w:r>
    </w:p>
    <w:p>
      <w:pPr>
        <w:spacing w:line="240" w:lineRule="auto" w:before="0"/>
        <w:rPr>
          <w:rFonts w:ascii="宋体" w:hAnsi="宋体" w:cs="宋体" w:eastAsia="宋体" w:hint="default"/>
          <w:sz w:val="26"/>
          <w:szCs w:val="26"/>
        </w:rPr>
      </w:pPr>
    </w:p>
    <w:p>
      <w:pPr>
        <w:spacing w:line="312" w:lineRule="exact" w:before="0"/>
        <w:ind w:left="634" w:right="985"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远光软件公司管理层（以下简称管理层）负责按照企业会计准则的规定编制财务报表，</w:t>
      </w:r>
    </w:p>
    <w:p>
      <w:pPr>
        <w:pStyle w:val="Heading3"/>
        <w:spacing w:line="312" w:lineRule="exact"/>
        <w:ind w:left="154" w:right="985"/>
        <w:jc w:val="left"/>
      </w:pPr>
      <w:r>
        <w:rPr/>
        <w:t>使其实现公允反映，并设计、执行和维护必要的内部控制，以使财务报表不存在由于舞弊或 错误导致的重大错报。</w:t>
      </w:r>
    </w:p>
    <w:p>
      <w:pPr>
        <w:pStyle w:val="Heading3"/>
        <w:spacing w:line="283" w:lineRule="exact"/>
        <w:ind w:left="154" w:right="985" w:firstLine="480"/>
        <w:jc w:val="left"/>
      </w:pPr>
      <w:r>
        <w:rPr/>
        <w:t>在编制财务报表时，管理层负责评估远光软件公司的持续经营能力，披露与持续经营相</w:t>
      </w:r>
    </w:p>
    <w:p>
      <w:pPr>
        <w:pStyle w:val="Heading3"/>
        <w:spacing w:line="312" w:lineRule="exact" w:before="30"/>
        <w:ind w:left="154" w:right="985"/>
        <w:jc w:val="left"/>
      </w:pPr>
      <w:r>
        <w:rPr/>
        <w:t>关的事项（如适用），并运用持续经营假设，除非管理层计划清算远光软件公司、终止运营 或别无其他现实的选择。</w:t>
      </w:r>
    </w:p>
    <w:p>
      <w:pPr>
        <w:pStyle w:val="Heading3"/>
        <w:spacing w:line="283" w:lineRule="exact"/>
        <w:ind w:left="634" w:right="985"/>
        <w:jc w:val="left"/>
      </w:pPr>
      <w:r>
        <w:rPr/>
        <w:t>治理层负责监督远光软件公司的财务报告过程。</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312" w:lineRule="exact" w:before="56"/>
        <w:ind w:left="546" w:right="1000" w:firstLine="90"/>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我们的目标是对财务报表整体是否不存在由于舞弊或错误导致的重大错报获取合理保证，</w:t>
      </w:r>
    </w:p>
    <w:p>
      <w:pPr>
        <w:pStyle w:val="Heading3"/>
        <w:spacing w:line="312" w:lineRule="exact"/>
        <w:ind w:right="985"/>
        <w:jc w:val="left"/>
      </w:pPr>
      <w:r>
        <w:rPr/>
        <w:t>并出具包含审计意见的审计报告。合理保证是高水平的保证，但并不能保证按照审计准则执 行的审计在某一重大错报存在时总能发现。错报可能由于舞弊或错误导致，如果合理预期错</w:t>
      </w:r>
    </w:p>
    <w:p>
      <w:pPr>
        <w:pStyle w:val="Heading3"/>
        <w:spacing w:line="312" w:lineRule="exact"/>
        <w:ind w:right="985"/>
        <w:jc w:val="left"/>
      </w:pPr>
      <w:r>
        <w:rPr/>
        <w:t>报单独或汇总起来可能影响财务报表使用者依据财务报表作出的经济决策，则通常认为错报</w:t>
      </w:r>
      <w:r>
        <w:rPr>
          <w:spacing w:val="-117"/>
        </w:rPr>
        <w:t> </w:t>
      </w:r>
      <w:r>
        <w:rPr>
          <w:spacing w:val="-117"/>
        </w:rPr>
      </w:r>
      <w:r>
        <w:rPr/>
        <w:t>是重大的。</w:t>
      </w:r>
    </w:p>
    <w:p>
      <w:pPr>
        <w:pStyle w:val="Heading3"/>
        <w:spacing w:line="312" w:lineRule="exact"/>
        <w:ind w:right="1140" w:firstLine="480"/>
        <w:jc w:val="both"/>
      </w:pPr>
      <w:r>
        <w:rPr/>
        <w:t>在按照审计准则执行审计工作的过程中，我们运用职业判断，并保持职业怀疑。同时， 我们也执行以下工作：</w:t>
      </w:r>
    </w:p>
    <w:p>
      <w:pPr>
        <w:pStyle w:val="Heading3"/>
        <w:spacing w:line="312" w:lineRule="exact"/>
        <w:ind w:right="1139" w:firstLine="480"/>
        <w:jc w:val="both"/>
      </w:pPr>
      <w:r>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Heading3"/>
        <w:spacing w:line="312" w:lineRule="exact"/>
        <w:ind w:right="1134" w:firstLine="480"/>
        <w:jc w:val="both"/>
      </w:pPr>
      <w:r>
        <w:rPr/>
        <w:t>（二）了解与审计相关的内部控制，以设计恰当的审计程序，但目的并非对内部控制的 有效性发表意见。</w:t>
      </w:r>
    </w:p>
    <w:p>
      <w:pPr>
        <w:pStyle w:val="Heading3"/>
        <w:spacing w:line="282" w:lineRule="exact"/>
        <w:ind w:left="633" w:right="985"/>
        <w:jc w:val="left"/>
      </w:pPr>
      <w:r>
        <w:rPr/>
        <w:t>（三）评价管理层选用会计政策的恰当性和作出会计估计及相关披露的合理性。</w:t>
      </w:r>
    </w:p>
    <w:p>
      <w:pPr>
        <w:pStyle w:val="Heading3"/>
        <w:spacing w:line="312" w:lineRule="exact" w:before="29"/>
        <w:ind w:right="1130" w:firstLine="480"/>
        <w:jc w:val="both"/>
      </w:pPr>
      <w:r>
        <w:rPr/>
        <w:t>（四）对管理层使用持续经营假设的恰当性得出结论。同时，根据获取的审计证据，就 可能导致对远光软件公司持续经营能力产生重大疑虑的事项或情况是否存在重大不确定性得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的结论基于截至审计报告日可获得的信息。然而，未来的事项或情况可能导致远光软件公司</w:t>
      </w:r>
      <w:r>
        <w:rPr>
          <w:spacing w:val="-111"/>
        </w:rPr>
        <w:t> </w:t>
      </w:r>
      <w:r>
        <w:rPr>
          <w:spacing w:val="-111"/>
        </w:rPr>
      </w:r>
      <w:r>
        <w:rPr/>
        <w:t>不能持续经营。</w:t>
      </w:r>
    </w:p>
    <w:p>
      <w:pPr>
        <w:pStyle w:val="Heading3"/>
        <w:spacing w:line="283" w:lineRule="exact"/>
        <w:ind w:left="633" w:right="985"/>
        <w:jc w:val="left"/>
      </w:pPr>
      <w:r>
        <w:rPr/>
        <w:t>（五）评价财务报表的总体列报、结构和内容（包括披露），并评价财务报表是否公允</w:t>
      </w:r>
    </w:p>
    <w:p>
      <w:pPr>
        <w:pStyle w:val="Heading3"/>
        <w:spacing w:line="312" w:lineRule="exact"/>
        <w:ind w:right="985"/>
        <w:jc w:val="left"/>
      </w:pPr>
      <w:r>
        <w:rPr/>
        <w:t>反映相关交易和事项。</w:t>
      </w:r>
    </w:p>
    <w:p>
      <w:pPr>
        <w:pStyle w:val="Heading3"/>
        <w:spacing w:line="312" w:lineRule="exact" w:before="29"/>
        <w:ind w:right="1133" w:firstLine="480"/>
        <w:jc w:val="right"/>
      </w:pPr>
      <w:r>
        <w:rPr/>
        <w:t>（六）就远光软件公司中实体或业务活动的财务信息获取充分、适当的审计证据，以对 财务报表发表意见。我们负责指导、监督和执行集团审计。我们对审计意见承担全部责任。 我们与治理层就计划的审计范围、时间安排和重大审计发现等事项进行沟通，包括沟通</w:t>
      </w:r>
    </w:p>
    <w:p>
      <w:pPr>
        <w:pStyle w:val="Heading3"/>
        <w:spacing w:line="283" w:lineRule="exact"/>
        <w:ind w:right="985"/>
        <w:jc w:val="left"/>
      </w:pPr>
      <w:r>
        <w:rPr/>
        <w:t>我们在审计中识别出的值得关注的内部控制缺陷。</w:t>
      </w:r>
    </w:p>
    <w:p>
      <w:pPr>
        <w:spacing w:line="240" w:lineRule="auto" w:before="0"/>
        <w:rPr>
          <w:rFonts w:ascii="宋体" w:hAnsi="宋体" w:cs="宋体" w:eastAsia="宋体" w:hint="default"/>
          <w:sz w:val="26"/>
          <w:szCs w:val="26"/>
        </w:rPr>
      </w:pPr>
    </w:p>
    <w:p>
      <w:pPr>
        <w:pStyle w:val="Heading3"/>
        <w:spacing w:line="312" w:lineRule="exact"/>
        <w:ind w:right="1140" w:firstLine="480"/>
        <w:jc w:val="both"/>
      </w:pPr>
      <w:r>
        <w:rPr/>
        <w:t>我们还就已遵守与独立性相关的职业道德要求向治理层提供声明，并与治理层沟通可能 被合理认为影响我们独立性的所有关系和其他事项，以及相关的防范措施（如适用）。</w:t>
      </w:r>
    </w:p>
    <w:p>
      <w:pPr>
        <w:pStyle w:val="Heading3"/>
        <w:spacing w:line="312" w:lineRule="exact"/>
        <w:ind w:right="1139" w:firstLine="480"/>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300" w:type="dxa"/>
        <w:tblLayout w:type="fixed"/>
        <w:tblCellMar>
          <w:top w:w="0" w:type="dxa"/>
          <w:left w:w="0" w:type="dxa"/>
          <w:bottom w:w="0" w:type="dxa"/>
          <w:right w:w="0" w:type="dxa"/>
        </w:tblCellMar>
        <w:tblLook w:val="01E0"/>
      </w:tblPr>
      <w:tblGrid>
        <w:gridCol w:w="4219"/>
        <w:gridCol w:w="3979"/>
      </w:tblGrid>
      <w:tr>
        <w:trPr>
          <w:trHeight w:val="442"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exact"/>
              <w:ind w:left="20" w:right="0"/>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exact"/>
              <w:ind w:left="179" w:right="0"/>
              <w:jc w:val="left"/>
              <w:rPr>
                <w:rFonts w:ascii="宋体" w:hAnsi="宋体" w:cs="宋体" w:eastAsia="宋体" w:hint="default"/>
                <w:sz w:val="24"/>
                <w:szCs w:val="24"/>
              </w:rPr>
            </w:pPr>
            <w:r>
              <w:rPr>
                <w:rFonts w:ascii="宋体" w:hAnsi="宋体" w:cs="宋体" w:eastAsia="宋体" w:hint="default"/>
                <w:sz w:val="24"/>
                <w:szCs w:val="24"/>
              </w:rPr>
              <w:t>中国注册会计师（项目合伙人）：</w:t>
            </w:r>
          </w:p>
        </w:tc>
      </w:tr>
      <w:tr>
        <w:trPr>
          <w:trHeight w:val="495"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 w:right="0"/>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79"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280" w:hRule="exact"/>
        </w:trPr>
        <w:tc>
          <w:tcPr>
            <w:tcW w:w="4219"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80" w:lineRule="exact"/>
              <w:ind w:left="179" w:right="0"/>
              <w:jc w:val="left"/>
              <w:rPr>
                <w:rFonts w:ascii="宋体" w:hAnsi="宋体" w:cs="宋体" w:eastAsia="宋体" w:hint="default"/>
                <w:sz w:val="24"/>
                <w:szCs w:val="24"/>
              </w:rPr>
            </w:pPr>
            <w:r>
              <w:rPr>
                <w:rFonts w:ascii="宋体" w:hAnsi="宋体" w:cs="宋体" w:eastAsia="宋体" w:hint="default"/>
                <w:sz w:val="24"/>
                <w:szCs w:val="24"/>
              </w:rPr>
              <w:t>二〇一八年四月二十五日</w:t>
            </w:r>
          </w:p>
        </w:tc>
      </w:tr>
    </w:tbl>
    <w:p>
      <w:pPr>
        <w:spacing w:after="0" w:line="280" w:lineRule="exact"/>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985"/>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19"/>
        <w:jc w:val="left"/>
      </w:pPr>
      <w:r>
        <w:rPr/>
        <w:t>编制单位：远光软件股份有限公司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1,054,434,169.31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1,067,418,973.75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570,265.00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43,339,869.03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51,742,634.41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684,122,596.07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541,093,888.66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15,524,843.77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25,277,874.73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27,090,862.14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36,917,130.82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32,819,485.53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31,773,571.04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1,279,857.58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1,858,611,683.43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1,754,794,338.41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215,612,119.69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51,647,294.89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34,503,760.87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28,723,356.18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25,528,649.82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185,033,993.36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185,256,710.39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41,711,753.48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4,800,631.62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65,772,746.16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45,346,628.04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32,969,578.69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8,940,389.87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41,491,137.50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31,641,434.82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7,044,641.33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9,524,594.01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16,173,495.32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11,602,942.04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636,180,116.60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572,757,861.17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2,494,791,800.03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2,327,552,199.58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128,978,731.61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132,572,692.16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7,129,933.14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12,141,089.41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87,060,019.16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81,009,940.42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34,761,714.74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27,135,706.37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550,930.60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667,546.19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8,948,946.25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7,747,762.33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37,322,578.16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88,868,663.10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344,752,853.66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370,143,399.98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36,451,983.60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66,658,099.20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9,376,657.57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12,256,049.48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55,028,641.17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87,414,148.68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399,781,494.83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457,557,548.66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602,573,950.00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606,563,337.00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218,619,639.77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238,146,189.31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73,774,561.76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155,526,762.30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211,108,284.04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193,181,422.89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1,033,967,901.17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909,116,224.42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1,992,481,874.65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1,791,480,411.32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102,528,430.55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78,514,239.60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2,095,010,305.20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1,869,994,650.92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2,494,791,800.03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2,327,552,199.58</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法定代表人：陈利浩</w:t>
        <w:tab/>
        <w:t>主管会计工作负责人：毛华夏</w:t>
        <w:tab/>
        <w:t>会计机构负责人：毛华夏</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919,247,568.65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954,099,890.88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570,265.00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30,412,235.03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45,664,602.41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566,064,707.28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498,591,452.47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7,682,839.61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11,425,776.03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210,155,475.61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269,143,374.76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4,271,186.98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1,664,664.08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1,737,834,013.16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1,781,160,025.63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215,612,119.69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320,699,130.86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146,196,531.35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28,723,356.18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25,528,649.82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83,143,128.54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91,539,020.13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41,711,753.48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4,800,631.62</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44,494,285.80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40,333,607.26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32,969,578.69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8,940,389.87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6,896,142.86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9,220,294.11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8,018,156.73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5,647,455.50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732,267,652.83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547,818,699.35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2,470,101,665.99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2,328,978,724.98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248,074,613.54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244,754,130.00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4,991,965.57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10,485,103.41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62,027,513.54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64,584,090.63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19,279,085.85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13,919,484.62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550,930.60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667,546.19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30,208,645.84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13,214,321.15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37,322,578.16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88,868,663.10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402,455,333.10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436,493,339.10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36,451,983.60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66,658,099.20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6,108,859.03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11,505,365.10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51,760,842.63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86,663,464.30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454,216,175.73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523,156,803.40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602,573,950.00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606,563,337.00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220,602,310.22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238,076,100.72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73,774,561.76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155,526,762.30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211,046,107.02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193,119,245.87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1,055,437,684.78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923,590,000.29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2,015,885,490.26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1,805,821,921.58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2,470,101,665.99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2,328,978,724.98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985"/>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1,179,258,733.12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1,094,329,115.32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1,179,258,733.12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1,094,329,115.32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1,051,650,004.07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997,427,481.58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380,449,048.20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414,953,617.16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1205968"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1205944"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13,666,571.37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12,980,827.69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220,808,221.03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192,401,458.74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425,572,278.70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361,175,406.94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-9,903,716.14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-3,729,064.16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21,057,600.91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19,645,235.21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15,516,399.78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11,558,818.88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984,940.27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1,228,105.55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30,559,381.17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173,684,510.00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108,460,452.62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2,567,172.35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32,045,692.48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241,914.61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757,401.65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176,009,767.74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139,748,743.45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9,325,976.48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-2,341,056.00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166,683,791.26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142,089,799.45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166,683,791.26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142,089,799.45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172,272,603.75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131,374,311.56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-5,588,812.49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10,715,487.89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166,670,452.69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142,089,799.45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172,259,265.18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131,374,311.56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-5,588,812.49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10,715,487.89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0.2206</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法定代表人：陈利浩</w:t>
        <w:tab/>
        <w:t>主管会计工作负责人：毛华夏</w:t>
        <w:tab/>
        <w:t>会计机构负责人：毛华夏 </w:t>
      </w:r>
      <w:bookmarkStart w:name="4、母公司利润表" w:id="158"/>
      <w:bookmarkEnd w:id="1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1,044,878,613.54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1,015,253,919.02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382,993,412.70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467,102,250.12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9,798,913.21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8,413,771.95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175,131,749.16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164,803,158.98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318,286,990.95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280,512,108.95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-14,067,377.57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-6,372,545.26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18,119,508.07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10,732,983.02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14,273,899.25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11,525,044.23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1,348,631.64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1,266,531.35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14,924,988.90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183,814,305.17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101,587,235.49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1,629,375.81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15,901,470.87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124,663.60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680,608.43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185,319,017.38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116,808,097.93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6,050,405.89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-1,458,899.26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179,268,611.49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118,266,997.19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179,268,611.49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118,266,997.19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179,268,611.49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118,266,997.19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0.1494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985"/>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1,154,275,203.05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1,054,628,962.21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17,271,156.01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20,664,166.08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47,408,339.58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31,177,228.59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1,218,954,698.64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1,106,470,356.88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169,782,253.66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197,301,256.59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635,393,033.24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546,907,810.30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96,869,409.00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82,802,645.31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209,778,569.06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206,354,555.12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1,111,823,264.96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1,033,366,267.32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107,131,433.68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73,104,089.56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495,139,991.00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641,435,593.00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15,671,337.72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30,330,713.33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238,077.69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2,081,453.51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510,811,328.72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674,085,837.53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63,518,228.25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33,068,109.82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465,229,726.00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667,840,203.00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56,977,979.81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585,725,934.06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700,908,312.82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-74,914,605.34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-26,822,475.29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7,349,176.80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144,046,832.00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50,349,176.80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164,046,832.00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31,110,248.96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29,587,566.81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42,386,198.25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49,752,646.66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111,496,447.21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79,340,213.47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-61,147,270.41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84,706,618.53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-12,783.72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-28,943,225.79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130,988,232.80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1,062,968,173.75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931,979,940.95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1,034,024,947.96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1,062,968,173.75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985"/>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1,026,788,809.53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957,649,584.49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5,643,684.10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7,621,163.86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102,322,646.30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25,813,175.11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1,134,755,139.93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991,083,923.46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206,809,020.79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178,019,239.02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518,342,884.05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460,938,356.02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66,375,126.13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50,741,999.72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163,409,916.45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184,758,326.35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954,936,947.42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874,457,921.11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179,818,192.51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116,626,002.35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404,089,991.00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633,435,593.00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14,238,959.95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30,258,512.88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232,776.13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418,328,950.95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663,926,882.01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49,317,176.10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31,456,036.89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529,250,922.00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663,840,203.00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578,568,098.10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773,686,239.89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-160,239,147.15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-109,759,357.88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7,349,176.80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111,096,832.00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7,349,176.80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111,096,832.00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29,610,681.44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29,297,566.81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42,386,198.25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49,752,646.66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71,996,879.69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79,050,213.47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-64,647,702.89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32,046,618.53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-45,068,657.53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38,913,263.00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950,099,890.88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911,186,627.88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905,031,233.35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950,099,890.88</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985"/>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3,337.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238,146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,189.31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155,526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,762.30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193,181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,422.89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909,116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,224.42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78,514,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239.60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3,337.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238,146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,189.31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155,526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,762.30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193,181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,422.89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909,116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,224.42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78,514,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239.60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-19,526,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549.54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-81,752,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200.54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861.15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124,851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24,014,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190.95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225,015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,654.28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172,272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,603.75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-5,588,8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12.49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166,670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,452.69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-17,473,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790.50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-81,752,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200.54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29,603,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89,892,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026.48</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-34,010,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790.50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177.50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16,537,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16,537,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-81,752,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200.54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29,603,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pacing w:val="-3"/>
                <w:sz w:val="18"/>
              </w:rPr>
              <w:t>111,355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,203.98</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861.15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-47,420,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927.00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065.85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17,926,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-17,926,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861.15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861.15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065.85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065.85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-2,052,7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-2,052,7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59.04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602,57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218,619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,639.77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73,774,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211,108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,284.04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67,901.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102,528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,430.55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2,095,0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10,305.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bl>
    <w:p>
      <w:pPr>
        <w:pStyle w:val="BodyText"/>
        <w:spacing w:line="240" w:lineRule="auto" w:before="51"/>
        <w:ind w:left="154" w:right="985"/>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596,56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180,814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,214.12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93,079,</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000.11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181,354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,723.17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818,772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,302.00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32,780,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674.15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596,56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180,814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,214.12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93,079,</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181,354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818,772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,302.00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32,780,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674.15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57,331,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975.19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762.19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11,826,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90,343,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922.42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45,733,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565.45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152,790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,487.59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131,374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,311.56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10,715,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487.89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142,089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,799.45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57,331,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975.19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762.19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32,950,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37,836,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52,445,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675.19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32,950,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95,397,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762.19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4,886,3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4,886,3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762.19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762.19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11,826,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-41,030,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389.14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-29,203,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689.42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11,826,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-11,826,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699.72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-29,203,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689.42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-29,203,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689.42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2,068,0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77.56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2,068,0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77.56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3,337.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238,146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,189.31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155,526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,762.30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193,181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909,116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,224.42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78,514,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239.60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1,869,9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94,650.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985"/>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985"/>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606,563,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337.00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238,076,1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00.72</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155,526,7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62.30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193,119,2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45.87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923,590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,000.29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1,805,821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,921.58</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606,563,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337.00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238,076,1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155,526,7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62.30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193,119,2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45.87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923,590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,000.29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1,805,821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,921.58</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-3,989,3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-17,473,7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-81,752,2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131,847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,684.49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210,063,5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179,268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,611.49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11.49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-3,989,3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-17,473,7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-81,752,2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60,289,02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-3,989,3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-34,010,7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-38,000,1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77.50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16,537,00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16,537,00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-81,752,2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81,752,20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-47,420,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927.00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-29,494,0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65.85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861.15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065.85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-29,494,0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65.85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602,573,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220,602,3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10.22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73,774,56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211,046,1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07.02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37,684.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2,015,885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,490.26</w:t>
            </w:r>
          </w:p>
        </w:tc>
      </w:tr>
    </w:tbl>
    <w:p>
      <w:pPr>
        <w:pStyle w:val="BodyText"/>
        <w:spacing w:line="240" w:lineRule="auto" w:before="51"/>
        <w:ind w:left="154" w:right="985"/>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596,561,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180,744,1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25.53</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18"/>
                <w:szCs w:val="18"/>
              </w:rPr>
            </w:pPr>
            <w:r>
              <w:rPr>
                <w:rFonts w:ascii="Times New Roman"/>
                <w:sz w:val="18"/>
              </w:rPr>
              <w:t>93,079,00</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0.11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181,292,5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46.15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846,353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,392.24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11" w:right="0"/>
              <w:jc w:val="center"/>
              <w:rPr>
                <w:rFonts w:ascii="Times New Roman" w:hAnsi="Times New Roman" w:cs="Times New Roman" w:eastAsia="Times New Roman" w:hint="default"/>
                <w:sz w:val="18"/>
                <w:szCs w:val="18"/>
              </w:rPr>
            </w:pPr>
            <w:r>
              <w:rPr>
                <w:rFonts w:ascii="Times New Roman"/>
                <w:sz w:val="18"/>
              </w:rPr>
              <w:t>1,711,872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,313.81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596,561,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180,744,1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93,079,00</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181,292,5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46.15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846,353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,392.24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1,711,872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,313.81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10,002,0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57,331,97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62,447,76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11,826,69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77,236,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608.05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93,949,60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118,266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,997.19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118,266,9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97.19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10,002,0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57,331,97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62,447,76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4,886,300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10,002,0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52,445,67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62,447,76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4,886,300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4,886,300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62,447,76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-62,447,7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62.19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11,826,69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-41,030,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389.14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-29,203,6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89.42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11,826,69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-11,826,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699.72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-29,203,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689.42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-29,203,6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89.42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606,563,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337.00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238,076,1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155,526,7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62.30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193,119,2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923,590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1,805,821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,921.58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985"/>
        <w:jc w:val="left"/>
        <w:rPr>
          <w:b w:val="0"/>
          <w:bCs w:val="0"/>
        </w:rPr>
      </w:pPr>
      <w:bookmarkStart w:name="三、公司基本情况" w:id="163"/>
      <w:bookmarkEnd w:id="163"/>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06" w:right="985"/>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日经广东省人民政府办公厅粤办函</w:t>
      </w:r>
      <w:r>
        <w:rPr>
          <w:rFonts w:ascii="Times New Roman" w:hAnsi="Times New Roman" w:cs="Times New Roman" w:eastAsia="Times New Roman" w:hint="default"/>
          <w:spacing w:val="2"/>
        </w:rPr>
        <w:t>[2001]366</w:t>
      </w:r>
      <w:r>
        <w:rPr>
          <w:spacing w:val="2"/>
        </w:rPr>
        <w:t>号</w:t>
      </w:r>
      <w:r>
        <w:rPr>
          <w:rFonts w:ascii="Times New Roman" w:hAnsi="Times New Roman" w:cs="Times New Roman" w:eastAsia="Times New Roman" w:hint="default"/>
          <w:spacing w:val="2"/>
        </w:rPr>
        <w:t>“</w:t>
      </w:r>
      <w:r>
        <w:rPr>
          <w:spacing w:val="2"/>
        </w:rPr>
        <w:t>关于同意变更设立广东远光软件股份有限公司的复函</w:t>
      </w:r>
      <w:r>
        <w:rPr>
          <w:rFonts w:ascii="Times New Roman" w:hAnsi="Times New Roman" w:cs="Times New Roman" w:eastAsia="Times New Roman" w:hint="default"/>
          <w:spacing w:val="2"/>
        </w:rPr>
        <w:t>”</w:t>
      </w:r>
      <w:r>
        <w:rPr>
          <w:spacing w:val="2"/>
        </w:rPr>
        <w:t>和</w:t>
      </w:r>
    </w:p>
    <w:p>
      <w:pPr>
        <w:pStyle w:val="BodyText"/>
        <w:spacing w:line="307" w:lineRule="auto" w:before="63"/>
        <w:ind w:right="1077"/>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日经广东省经济贸易委员会粤经贸监督</w:t>
      </w:r>
      <w:r>
        <w:rPr>
          <w:rFonts w:ascii="Times New Roman" w:hAnsi="Times New Roman" w:cs="Times New Roman" w:eastAsia="Times New Roman" w:hint="default"/>
          <w:spacing w:val="2"/>
        </w:rPr>
        <w:t>[2001]556</w:t>
      </w:r>
      <w:r>
        <w:rPr>
          <w:spacing w:val="2"/>
        </w:rPr>
        <w:t>号</w:t>
      </w:r>
      <w:r>
        <w:rPr>
          <w:rFonts w:ascii="Times New Roman" w:hAnsi="Times New Roman" w:cs="Times New Roman" w:eastAsia="Times New Roman" w:hint="default"/>
          <w:spacing w:val="2"/>
        </w:rPr>
        <w:t>“</w:t>
      </w:r>
      <w:r>
        <w:rPr>
          <w:spacing w:val="2"/>
        </w:rPr>
        <w:t>关于同意变更设立广东远光软件股份有限公司的批复</w:t>
      </w:r>
      <w:r>
        <w:rPr>
          <w:rFonts w:ascii="Times New Roman" w:hAnsi="Times New Roman" w:cs="Times New Roman" w:eastAsia="Times New Roman" w:hint="default"/>
          <w:spacing w:val="2"/>
        </w:rPr>
        <w:t>”</w:t>
      </w:r>
      <w:r>
        <w:rPr>
          <w:spacing w:val="2"/>
        </w:rPr>
        <w:t>文</w:t>
      </w:r>
      <w:r>
        <w:rPr>
          <w:spacing w:val="-87"/>
        </w:rPr>
        <w:t> </w:t>
      </w:r>
      <w:r>
        <w:rPr>
          <w:spacing w:val="-3"/>
        </w:rPr>
        <w:t>件批准，由珠海市东区荣光软件有限公司</w:t>
      </w:r>
      <w:r>
        <w:rPr>
          <w:rFonts w:ascii="Times New Roman" w:hAnsi="Times New Roman" w:cs="Times New Roman" w:eastAsia="Times New Roman" w:hint="default"/>
          <w:spacing w:val="-3"/>
        </w:rPr>
        <w:t>(</w:t>
      </w:r>
      <w:r>
        <w:rPr>
          <w:spacing w:val="-3"/>
        </w:rPr>
        <w:t>后更名为林芝地区东区荣光科技有限公司</w:t>
      </w:r>
      <w:r>
        <w:rPr>
          <w:rFonts w:ascii="Times New Roman" w:hAnsi="Times New Roman" w:cs="Times New Roman" w:eastAsia="Times New Roman" w:hint="default"/>
          <w:spacing w:val="-3"/>
        </w:rPr>
        <w:t>)</w:t>
      </w:r>
      <w:r>
        <w:rPr>
          <w:spacing w:val="-3"/>
        </w:rPr>
        <w:t>、国电电力发展股份有限公司、陈利浩、</w:t>
      </w:r>
      <w:r>
        <w:rPr>
          <w:spacing w:val="-72"/>
        </w:rPr>
        <w:t> </w:t>
      </w:r>
      <w:r>
        <w:rPr>
          <w:spacing w:val="-72"/>
        </w:rPr>
      </w:r>
      <w:r>
        <w:rPr/>
        <w:t>吉林省电力有限公司、福建省电力有限公司、广东太平洋技术创业有限公司、浙江华能投资有限公司（后更名为浙江嘉汇</w:t>
      </w:r>
      <w:r>
        <w:rPr>
          <w:spacing w:val="-37"/>
        </w:rPr>
        <w:t> </w:t>
      </w:r>
      <w:r>
        <w:rPr>
          <w:spacing w:val="-37"/>
        </w:rPr>
      </w:r>
      <w:r>
        <w:rPr/>
        <w:t>集团有限公司）等七个发起人，以其在珠海远光新纪元软件产业有限公司的出资额整体变更设立广东远光软件股份有限公</w:t>
      </w:r>
      <w:r>
        <w:rPr>
          <w:spacing w:val="-38"/>
        </w:rPr>
        <w:t> </w:t>
      </w:r>
      <w:r>
        <w:rPr/>
        <w:t>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）。变更设立的股份有限公司股份总数为</w:t>
      </w:r>
      <w:r>
        <w:rPr>
          <w:rFonts w:ascii="Times New Roman" w:hAnsi="Times New Roman" w:cs="Times New Roman" w:eastAsia="Times New Roman" w:hint="default"/>
        </w:rPr>
        <w:t>3,000</w:t>
      </w:r>
      <w:r>
        <w:rPr/>
        <w:t>万股。该注册资本由利安达信隆会计师事务</w:t>
      </w:r>
      <w:r>
        <w:rPr>
          <w:spacing w:val="-41"/>
        </w:rPr>
        <w:t> </w:t>
      </w:r>
      <w:r>
        <w:rPr>
          <w:spacing w:val="-41"/>
        </w:rPr>
      </w:r>
      <w:r>
        <w:rPr/>
        <w:t>所利安达验字</w:t>
      </w:r>
      <w:r>
        <w:rPr>
          <w:rFonts w:ascii="Times New Roman" w:hAnsi="Times New Roman" w:cs="Times New Roman" w:eastAsia="Times New Roman" w:hint="default"/>
        </w:rPr>
        <w:t>[2001]B-1036</w:t>
      </w:r>
      <w:r>
        <w:rPr/>
        <w:t>号验资报告验证确认。</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日，广东省工商行政管理局核发注册号为</w:t>
      </w:r>
      <w:r>
        <w:rPr>
          <w:rFonts w:ascii="Times New Roman" w:hAnsi="Times New Roman" w:cs="Times New Roman" w:eastAsia="Times New Roman" w:hint="default"/>
        </w:rPr>
        <w:t>4400001009932</w:t>
      </w:r>
      <w:r>
        <w:rPr/>
        <w:t>号营 业执照。</w:t>
      </w:r>
    </w:p>
    <w:p>
      <w:pPr>
        <w:pStyle w:val="BodyText"/>
        <w:spacing w:line="300" w:lineRule="auto" w:before="26"/>
        <w:ind w:right="1166" w:firstLine="352"/>
        <w:jc w:val="both"/>
      </w:pP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日，本公司</w:t>
      </w:r>
      <w:r>
        <w:rPr>
          <w:rFonts w:ascii="Times New Roman" w:hAnsi="Times New Roman" w:cs="Times New Roman" w:eastAsia="Times New Roman" w:hint="default"/>
          <w:spacing w:val="-1"/>
        </w:rPr>
        <w:t>2001</w:t>
      </w:r>
      <w:r>
        <w:rPr>
          <w:spacing w:val="-1"/>
        </w:rPr>
        <w:t>年度股东大会会议决议通过，并经广东省人民政府办公厅粤府函</w:t>
      </w:r>
      <w:r>
        <w:rPr>
          <w:rFonts w:ascii="Times New Roman" w:hAnsi="Times New Roman" w:cs="Times New Roman" w:eastAsia="Times New Roman" w:hint="default"/>
          <w:spacing w:val="-1"/>
        </w:rPr>
        <w:t>[2002]346</w:t>
      </w:r>
      <w:r>
        <w:rPr>
          <w:spacing w:val="-1"/>
        </w:rPr>
        <w:t>号《关于同意广</w:t>
      </w:r>
      <w:r>
        <w:rPr/>
        <w:t> 东远光软件股份有限公司以任意公积金分派新股的批复》及广东省经济贸易委员会粤经贸监督</w:t>
      </w:r>
      <w:r>
        <w:rPr>
          <w:rFonts w:ascii="Times New Roman" w:hAnsi="Times New Roman" w:cs="Times New Roman" w:eastAsia="Times New Roman" w:hint="default"/>
        </w:rPr>
        <w:t>[2002]449</w:t>
      </w:r>
      <w:r>
        <w:rPr/>
        <w:t>号《关于同意广东</w:t>
      </w:r>
      <w:r>
        <w:rPr>
          <w:spacing w:val="-62"/>
        </w:rPr>
        <w:t> </w:t>
      </w:r>
      <w:r>
        <w:rPr>
          <w:spacing w:val="-62"/>
        </w:rPr>
      </w:r>
      <w:r>
        <w:rPr/>
        <w:t>远光软件股份有限公司转增新股的批复》文件批准，公司以任意盈余公积金</w:t>
      </w:r>
      <w:r>
        <w:rPr>
          <w:rFonts w:ascii="Times New Roman" w:hAnsi="Times New Roman" w:cs="Times New Roman" w:eastAsia="Times New Roman" w:hint="default"/>
        </w:rPr>
        <w:t>1,116</w:t>
      </w:r>
      <w:r>
        <w:rPr/>
        <w:t>万元转增股本。转增后，公司注册资本增</w:t>
      </w:r>
      <w:r>
        <w:rPr>
          <w:spacing w:val="-74"/>
        </w:rPr>
        <w:t> </w:t>
      </w:r>
      <w:r>
        <w:rPr>
          <w:spacing w:val="-74"/>
        </w:rPr>
      </w:r>
      <w:r>
        <w:rPr/>
        <w:t>至</w:t>
      </w:r>
      <w:r>
        <w:rPr>
          <w:rFonts w:ascii="Times New Roman" w:hAnsi="Times New Roman" w:cs="Times New Roman" w:eastAsia="Times New Roman" w:hint="default"/>
        </w:rPr>
        <w:t>4,116</w:t>
      </w:r>
      <w:r>
        <w:rPr/>
        <w:t>万元。此次增资已由利安达信隆会计师事务所利安达验字</w:t>
      </w:r>
      <w:r>
        <w:rPr>
          <w:rFonts w:ascii="Times New Roman" w:hAnsi="Times New Roman" w:cs="Times New Roman" w:eastAsia="Times New Roman" w:hint="default"/>
        </w:rPr>
        <w:t>[2002]B-1025</w:t>
      </w:r>
      <w:r>
        <w:rPr/>
        <w:t>号验资报告验证确认。</w:t>
      </w:r>
    </w:p>
    <w:p>
      <w:pPr>
        <w:pStyle w:val="BodyText"/>
        <w:spacing w:line="300" w:lineRule="auto" w:before="13"/>
        <w:ind w:right="1140" w:firstLine="352"/>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日，经本公司第二届董事会第十三次会议决议、</w:t>
      </w:r>
      <w:r>
        <w:rPr>
          <w:rFonts w:ascii="Times New Roman" w:hAnsi="Times New Roman" w:cs="Times New Roman" w:eastAsia="Times New Roman" w:hint="default"/>
        </w:rPr>
        <w:t>2005</w:t>
      </w:r>
      <w:r>
        <w:rPr/>
        <w:t>年度股东大会会议决议通过，公司以未分配利润增加 注册资本</w:t>
      </w:r>
      <w:r>
        <w:rPr>
          <w:rFonts w:ascii="Times New Roman" w:hAnsi="Times New Roman" w:cs="Times New Roman" w:eastAsia="Times New Roman" w:hint="default"/>
        </w:rPr>
        <w:t>4,116</w:t>
      </w:r>
      <w:r>
        <w:rPr/>
        <w:t>万元。转增后，公司注册资本增至</w:t>
      </w:r>
      <w:r>
        <w:rPr>
          <w:rFonts w:ascii="Times New Roman" w:hAnsi="Times New Roman" w:cs="Times New Roman" w:eastAsia="Times New Roman" w:hint="default"/>
        </w:rPr>
        <w:t>8,232</w:t>
      </w:r>
      <w:r>
        <w:rPr/>
        <w:t>万元，并于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日在广东省工商行政管理局办理了变更登记。 此次增资已由利安达信隆会计师事务所利安达验字</w:t>
      </w:r>
      <w:r>
        <w:rPr>
          <w:rFonts w:ascii="Times New Roman" w:hAnsi="Times New Roman" w:cs="Times New Roman" w:eastAsia="Times New Roman" w:hint="default"/>
        </w:rPr>
        <w:t>[2006]B-1019</w:t>
      </w:r>
      <w:r>
        <w:rPr/>
        <w:t>号验资报告验证确认。</w:t>
      </w:r>
    </w:p>
    <w:p>
      <w:pPr>
        <w:pStyle w:val="BodyText"/>
        <w:spacing w:line="300" w:lineRule="auto" w:before="13"/>
        <w:ind w:right="1164" w:firstLine="352"/>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日，经中国证券监督管理委员会证监发行字</w:t>
      </w:r>
      <w:r>
        <w:rPr>
          <w:rFonts w:ascii="Times New Roman" w:hAnsi="Times New Roman" w:cs="Times New Roman" w:eastAsia="Times New Roman" w:hint="default"/>
        </w:rPr>
        <w:t>[2006]51</w:t>
      </w:r>
      <w:r>
        <w:rPr/>
        <w:t>号文核准，本公司发行普通股</w:t>
      </w:r>
      <w:r>
        <w:rPr>
          <w:rFonts w:ascii="Times New Roman" w:hAnsi="Times New Roman" w:cs="Times New Roman" w:eastAsia="Times New Roman" w:hint="default"/>
        </w:rPr>
        <w:t>2,750</w:t>
      </w:r>
      <w:r>
        <w:rPr/>
        <w:t>万股，每股面值</w:t>
      </w:r>
      <w:r>
        <w:rPr>
          <w:rFonts w:ascii="Times New Roman" w:hAnsi="Times New Roman" w:cs="Times New Roman" w:eastAsia="Times New Roman" w:hint="default"/>
        </w:rPr>
        <w:t>1 </w:t>
      </w:r>
      <w:r>
        <w:rPr/>
        <w:t>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日在深圳证券交易所上市交易。公司发行后总股本为</w:t>
      </w:r>
      <w:r>
        <w:rPr>
          <w:rFonts w:ascii="Times New Roman" w:hAnsi="Times New Roman" w:cs="Times New Roman" w:eastAsia="Times New Roman" w:hint="default"/>
        </w:rPr>
        <w:t>10,982</w:t>
      </w:r>
      <w:r>
        <w:rPr/>
        <w:t>万元，此次增资已由利安达信隆会计师事</w:t>
      </w:r>
      <w:r>
        <w:rPr>
          <w:spacing w:val="-75"/>
        </w:rPr>
        <w:t> </w:t>
      </w:r>
      <w:r>
        <w:rPr>
          <w:spacing w:val="-75"/>
        </w:rPr>
      </w:r>
      <w:r>
        <w:rPr>
          <w:spacing w:val="-1"/>
        </w:rPr>
        <w:t>务所利安达验字</w:t>
      </w:r>
      <w:r>
        <w:rPr>
          <w:rFonts w:ascii="Times New Roman" w:hAnsi="Times New Roman" w:cs="Times New Roman" w:eastAsia="Times New Roman" w:hint="default"/>
          <w:spacing w:val="-1"/>
        </w:rPr>
        <w:t>[2006]B-1032</w:t>
      </w:r>
      <w:r>
        <w:rPr>
          <w:spacing w:val="-1"/>
        </w:rPr>
        <w:t>号验资报告验证确认，并于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日在广东省工商行政管理局办理了变更登记，变更后</w:t>
      </w:r>
      <w:r>
        <w:rPr>
          <w:spacing w:val="-83"/>
        </w:rPr>
        <w:t> </w:t>
      </w:r>
      <w:r>
        <w:rPr>
          <w:spacing w:val="-83"/>
        </w:rPr>
      </w:r>
      <w:r>
        <w:rPr/>
        <w:t>注册资本为</w:t>
      </w:r>
      <w:r>
        <w:rPr>
          <w:rFonts w:ascii="Times New Roman" w:hAnsi="Times New Roman" w:cs="Times New Roman" w:eastAsia="Times New Roman" w:hint="default"/>
        </w:rPr>
        <w:t>10,982</w:t>
      </w:r>
      <w:r>
        <w:rPr/>
        <w:t>万元。</w:t>
      </w:r>
    </w:p>
    <w:p>
      <w:pPr>
        <w:pStyle w:val="BodyText"/>
        <w:spacing w:line="240" w:lineRule="auto" w:before="13"/>
        <w:ind w:left="506" w:right="985"/>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日，公司企业法人营业执照注册号由</w:t>
      </w:r>
      <w:r>
        <w:rPr>
          <w:rFonts w:ascii="Times New Roman" w:hAnsi="Times New Roman" w:cs="Times New Roman" w:eastAsia="Times New Roman" w:hint="default"/>
        </w:rPr>
        <w:t>4400001009932</w:t>
      </w:r>
      <w:r>
        <w:rPr/>
        <w:t>变更为</w:t>
      </w:r>
      <w:r>
        <w:rPr>
          <w:rFonts w:ascii="Times New Roman" w:hAnsi="Times New Roman" w:cs="Times New Roman" w:eastAsia="Times New Roman" w:hint="default"/>
        </w:rPr>
        <w:t>440000000039294</w:t>
      </w:r>
      <w:r>
        <w:rPr/>
        <w:t>。</w:t>
      </w:r>
    </w:p>
    <w:p>
      <w:pPr>
        <w:pStyle w:val="BodyText"/>
        <w:spacing w:line="300" w:lineRule="auto" w:before="63"/>
        <w:ind w:right="1166" w:firstLine="352"/>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日，经广东省工商行政管理局核准，公司名称由</w:t>
      </w:r>
      <w:r>
        <w:rPr>
          <w:rFonts w:ascii="Times New Roman" w:hAnsi="Times New Roman" w:cs="Times New Roman" w:eastAsia="Times New Roman" w:hint="default"/>
        </w:rPr>
        <w:t>“</w:t>
      </w:r>
      <w:r>
        <w:rPr/>
        <w:t>广东远光软件股份有限公司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远光软件股份有限公 司</w:t>
      </w:r>
      <w:r>
        <w:rPr>
          <w:rFonts w:ascii="Times New Roman" w:hAnsi="Times New Roman" w:cs="Times New Roman" w:eastAsia="Times New Roman" w:hint="default"/>
        </w:rPr>
        <w:t>”</w:t>
      </w:r>
      <w:r>
        <w:rPr/>
        <w:t>。</w:t>
      </w:r>
    </w:p>
    <w:p>
      <w:pPr>
        <w:pStyle w:val="BodyText"/>
        <w:spacing w:line="300" w:lineRule="auto" w:before="13"/>
        <w:ind w:right="1164" w:firstLine="352"/>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日，经本公司第三届董事会第十七次会议决议、</w:t>
      </w:r>
      <w:r>
        <w:rPr>
          <w:rFonts w:ascii="Times New Roman" w:hAnsi="Times New Roman" w:cs="Times New Roman" w:eastAsia="Times New Roman" w:hint="default"/>
          <w:spacing w:val="-1"/>
        </w:rPr>
        <w:t>2008</w:t>
      </w:r>
      <w:r>
        <w:rPr>
          <w:spacing w:val="-1"/>
        </w:rPr>
        <w:t>年度股东大会会议决议通过，公司以资本公积转增注</w:t>
      </w:r>
      <w:r>
        <w:rPr/>
        <w:t> 册资本</w:t>
      </w:r>
      <w:r>
        <w:rPr>
          <w:rFonts w:ascii="Times New Roman" w:hAnsi="Times New Roman" w:cs="Times New Roman" w:eastAsia="Times New Roman" w:hint="default"/>
        </w:rPr>
        <w:t>8,785.6</w:t>
      </w:r>
      <w:r>
        <w:rPr/>
        <w:t>万元。转增后，公司注册资本增至</w:t>
      </w:r>
      <w:r>
        <w:rPr>
          <w:rFonts w:ascii="Times New Roman" w:hAnsi="Times New Roman" w:cs="Times New Roman" w:eastAsia="Times New Roman" w:hint="default"/>
        </w:rPr>
        <w:t>19,767.6</w:t>
      </w:r>
      <w:r>
        <w:rPr/>
        <w:t>万元。此次增资已由利安达会计师事务所利安达验字</w:t>
      </w:r>
      <w:r>
        <w:rPr>
          <w:rFonts w:ascii="Times New Roman" w:hAnsi="Times New Roman" w:cs="Times New Roman" w:eastAsia="Times New Roman" w:hint="default"/>
        </w:rPr>
        <w:t>[2009]B-1021</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号验资报告验证确认，并于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日办理了变更登记。</w:t>
      </w:r>
    </w:p>
    <w:p>
      <w:pPr>
        <w:pStyle w:val="BodyText"/>
        <w:spacing w:line="300" w:lineRule="auto" w:before="13"/>
        <w:ind w:right="1164" w:firstLine="352"/>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13</w:t>
      </w:r>
      <w:r>
        <w:rPr>
          <w:spacing w:val="-1"/>
        </w:rPr>
        <w:t>日，经本公司第三届董事会第二十八次会议决议、</w:t>
      </w:r>
      <w:r>
        <w:rPr>
          <w:rFonts w:ascii="Times New Roman" w:hAnsi="Times New Roman" w:cs="Times New Roman" w:eastAsia="Times New Roman" w:hint="default"/>
          <w:spacing w:val="-1"/>
        </w:rPr>
        <w:t>2009</w:t>
      </w:r>
      <w:r>
        <w:rPr>
          <w:spacing w:val="-1"/>
        </w:rPr>
        <w:t>年度股东大会会议决议通过，公司以资本公积转增</w:t>
      </w:r>
      <w:r>
        <w:rPr/>
        <w:t> 注册资本</w:t>
      </w:r>
      <w:r>
        <w:rPr>
          <w:rFonts w:ascii="Times New Roman" w:hAnsi="Times New Roman" w:cs="Times New Roman" w:eastAsia="Times New Roman" w:hint="default"/>
        </w:rPr>
        <w:t>1,976.76 </w:t>
      </w:r>
      <w:r>
        <w:rPr/>
        <w:t>万元，以未分配利润转增注册资本</w:t>
      </w:r>
      <w:r>
        <w:rPr>
          <w:rFonts w:ascii="Times New Roman" w:hAnsi="Times New Roman" w:cs="Times New Roman" w:eastAsia="Times New Roman" w:hint="default"/>
        </w:rPr>
        <w:t>3,953.52</w:t>
      </w:r>
      <w:r>
        <w:rPr>
          <w:rFonts w:ascii="Times New Roman" w:hAnsi="Times New Roman" w:cs="Times New Roman" w:eastAsia="Times New Roman" w:hint="default"/>
          <w:spacing w:val="14"/>
        </w:rPr>
        <w:t> </w:t>
      </w:r>
      <w:r>
        <w:rPr>
          <w:spacing w:val="-3"/>
        </w:rPr>
        <w:t>万元，转增后，公司注册资本增至</w:t>
      </w:r>
      <w:r>
        <w:rPr>
          <w:rFonts w:ascii="Times New Roman" w:hAnsi="Times New Roman" w:cs="Times New Roman" w:eastAsia="Times New Roman" w:hint="default"/>
          <w:spacing w:val="-3"/>
        </w:rPr>
        <w:t>25,697.88</w:t>
      </w:r>
      <w:r>
        <w:rPr>
          <w:spacing w:val="-3"/>
        </w:rPr>
        <w:t>万元。此次增资已</w:t>
      </w:r>
      <w:r>
        <w:rPr/>
        <w:t> 由利安达会计师事务所利安达验字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1051</w:t>
      </w:r>
      <w:r>
        <w:rPr>
          <w:rFonts w:ascii="Times New Roman" w:hAnsi="Times New Roman" w:cs="Times New Roman" w:eastAsia="Times New Roman" w:hint="default"/>
          <w:spacing w:val="25"/>
        </w:rPr>
        <w:t> </w:t>
      </w:r>
      <w:r>
        <w:rPr/>
        <w:t>号验资报告验证确认，并办理了工商变更登记。</w:t>
      </w:r>
    </w:p>
    <w:p>
      <w:pPr>
        <w:pStyle w:val="BodyText"/>
        <w:spacing w:line="307" w:lineRule="auto" w:before="13"/>
        <w:ind w:right="1164" w:firstLine="352"/>
        <w:jc w:val="both"/>
      </w:pPr>
      <w:r>
        <w:rPr/>
        <w:t>根据公司股票期权激励计划规定，经公司董事会申请、深圳证券交易所确认、中国证券登记结算有限责任公司深圳分 公司核准登记，以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日为股票行权登记日，对本次提出申请行权的</w:t>
      </w:r>
      <w:r>
        <w:rPr>
          <w:rFonts w:ascii="Times New Roman" w:hAnsi="Times New Roman" w:cs="Times New Roman" w:eastAsia="Times New Roman" w:hint="default"/>
        </w:rPr>
        <w:t>91</w:t>
      </w:r>
      <w:r>
        <w:rPr/>
        <w:t>名激励对象的</w:t>
      </w:r>
      <w:r>
        <w:rPr>
          <w:rFonts w:ascii="Times New Roman" w:hAnsi="Times New Roman" w:cs="Times New Roman" w:eastAsia="Times New Roman" w:hint="default"/>
        </w:rPr>
        <w:t>1,573,603</w:t>
      </w:r>
      <w:r>
        <w:rPr/>
        <w:t>份股票期权予以行</w:t>
      </w:r>
      <w:r>
        <w:rPr>
          <w:spacing w:val="-33"/>
        </w:rPr>
        <w:t> </w:t>
      </w:r>
      <w:r>
        <w:rPr>
          <w:spacing w:val="-33"/>
        </w:rPr>
      </w:r>
      <w:r>
        <w:rPr>
          <w:spacing w:val="-1"/>
        </w:rPr>
        <w:t>权。行权后公司注册资本变更为</w:t>
      </w:r>
      <w:r>
        <w:rPr>
          <w:rFonts w:ascii="Times New Roman" w:hAnsi="Times New Roman" w:cs="Times New Roman" w:eastAsia="Times New Roman" w:hint="default"/>
          <w:spacing w:val="-1"/>
        </w:rPr>
        <w:t>25,855.24</w:t>
      </w:r>
      <w:r>
        <w:rPr>
          <w:spacing w:val="-1"/>
        </w:rPr>
        <w:t>万元。此次增资已由利安达会计师事务所利安达验字</w:t>
      </w:r>
      <w:r>
        <w:rPr>
          <w:rFonts w:ascii="Times New Roman" w:hAnsi="Times New Roman" w:cs="Times New Roman" w:eastAsia="Times New Roman" w:hint="default"/>
          <w:spacing w:val="-1"/>
        </w:rPr>
        <w:t>[2010]1081</w:t>
      </w:r>
      <w:r>
        <w:rPr>
          <w:spacing w:val="-1"/>
        </w:rPr>
        <w:t>号验资报告验证确</w:t>
      </w:r>
      <w:r>
        <w:rPr>
          <w:spacing w:val="-84"/>
        </w:rPr>
        <w:t> </w:t>
      </w:r>
      <w:r>
        <w:rPr>
          <w:spacing w:val="-84"/>
        </w:rPr>
      </w:r>
      <w:r>
        <w:rPr/>
        <w:t>认，并办理了工商变更登记。</w:t>
      </w:r>
    </w:p>
    <w:p>
      <w:pPr>
        <w:pStyle w:val="BodyText"/>
        <w:spacing w:line="309" w:lineRule="auto" w:before="26"/>
        <w:ind w:right="1110" w:firstLine="352"/>
        <w:jc w:val="both"/>
      </w:pPr>
      <w:r>
        <w:rPr/>
        <w:t>根据公司股票期权激励计划规定，经公司董事会申请、深圳证券交易所确认、中国证券登记结算有限责任公司深圳分 公司核准登记，以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日为股票行权登记日，对本次提出申请行权的激励对象的</w:t>
      </w:r>
      <w:r>
        <w:rPr>
          <w:rFonts w:ascii="Times New Roman" w:hAnsi="Times New Roman" w:cs="Times New Roman" w:eastAsia="Times New Roman" w:hint="default"/>
        </w:rPr>
        <w:t>1,257,680</w:t>
      </w:r>
      <w:r>
        <w:rPr/>
        <w:t>份股票期权予以行权。行 权后公司注册资本变更为</w:t>
      </w:r>
      <w:r>
        <w:rPr>
          <w:rFonts w:ascii="Times New Roman" w:hAnsi="Times New Roman" w:cs="Times New Roman" w:eastAsia="Times New Roman" w:hint="default"/>
        </w:rPr>
        <w:t>25,981.01</w:t>
      </w:r>
      <w:r>
        <w:rPr/>
        <w:t>万元。此次增资已由利安达会计师事务所利安达验字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1016</w:t>
      </w:r>
      <w:r>
        <w:rPr/>
        <w:t>号验资报告验证确认，</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985"/>
        <w:jc w:val="left"/>
      </w:pPr>
      <w:r>
        <w:rPr/>
        <w:t>并办理了工商变更登记。</w:t>
      </w:r>
    </w:p>
    <w:p>
      <w:pPr>
        <w:pStyle w:val="BodyText"/>
        <w:spacing w:line="300" w:lineRule="auto" w:before="76"/>
        <w:ind w:right="1164" w:firstLine="352"/>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日，经本公司第四届董事会第六次会议决议、</w:t>
      </w:r>
      <w:r>
        <w:rPr>
          <w:rFonts w:ascii="Times New Roman" w:hAnsi="Times New Roman" w:cs="Times New Roman" w:eastAsia="Times New Roman" w:hint="default"/>
          <w:spacing w:val="-1"/>
        </w:rPr>
        <w:t>2010</w:t>
      </w:r>
      <w:r>
        <w:rPr>
          <w:spacing w:val="-1"/>
        </w:rPr>
        <w:t>年度股东大会会议决议通过，公司以未分配利润转增注</w:t>
      </w:r>
      <w:r>
        <w:rPr/>
        <w:t> </w:t>
      </w:r>
      <w:r>
        <w:rPr>
          <w:spacing w:val="-3"/>
        </w:rPr>
        <w:t>册资本</w:t>
      </w:r>
      <w:r>
        <w:rPr>
          <w:rFonts w:ascii="Times New Roman" w:hAnsi="Times New Roman" w:cs="Times New Roman" w:eastAsia="Times New Roman" w:hint="default"/>
          <w:spacing w:val="-3"/>
        </w:rPr>
        <w:t>7,756.57</w:t>
      </w:r>
      <w:r>
        <w:rPr>
          <w:spacing w:val="-3"/>
        </w:rPr>
        <w:t>万元，转增后，公司注册资本增至</w:t>
      </w:r>
      <w:r>
        <w:rPr>
          <w:rFonts w:ascii="Times New Roman" w:hAnsi="Times New Roman" w:cs="Times New Roman" w:eastAsia="Times New Roman" w:hint="default"/>
          <w:spacing w:val="-3"/>
        </w:rPr>
        <w:t>33,737.58</w:t>
      </w:r>
      <w:r>
        <w:rPr>
          <w:spacing w:val="-3"/>
        </w:rPr>
        <w:t>万元。此次增资已由利安达会计师事务所利安达验字</w:t>
      </w:r>
      <w:r>
        <w:rPr>
          <w:rFonts w:ascii="Times New Roman" w:hAnsi="Times New Roman" w:cs="Times New Roman" w:eastAsia="Times New Roman" w:hint="default"/>
          <w:spacing w:val="-3"/>
        </w:rPr>
        <w:t>[2011]</w:t>
      </w:r>
      <w:r>
        <w:rPr>
          <w:spacing w:val="-3"/>
        </w:rPr>
        <w:t>第</w:t>
      </w:r>
      <w:r>
        <w:rPr>
          <w:rFonts w:ascii="Times New Roman" w:hAnsi="Times New Roman" w:cs="Times New Roman" w:eastAsia="Times New Roman" w:hint="default"/>
          <w:spacing w:val="-3"/>
        </w:rPr>
        <w:t>1094</w:t>
      </w:r>
      <w:r>
        <w:rPr>
          <w:rFonts w:ascii="Times New Roman" w:hAnsi="Times New Roman" w:cs="Times New Roman" w:eastAsia="Times New Roman" w:hint="default"/>
          <w:spacing w:val="10"/>
        </w:rPr>
        <w:t> </w:t>
      </w:r>
      <w:r>
        <w:rPr/>
        <w:t>号验资报告验证确认，并办理了工商变更登记。</w:t>
      </w:r>
    </w:p>
    <w:p>
      <w:pPr>
        <w:pStyle w:val="BodyText"/>
        <w:spacing w:line="304" w:lineRule="auto" w:before="32"/>
        <w:ind w:right="1165" w:firstLine="352"/>
        <w:jc w:val="both"/>
      </w:pPr>
      <w:r>
        <w:rPr/>
        <w:t>根据公司股票期权激励计划规定，经公司董事会申请、深圳证券交易所确认、中国证券登记结算有限责任公司深圳分 公司核准登记，以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日为股票行权登记日，对本次提出申请行权的激励对象的</w:t>
      </w:r>
      <w:r>
        <w:rPr>
          <w:rFonts w:ascii="Times New Roman" w:hAnsi="Times New Roman" w:cs="Times New Roman" w:eastAsia="Times New Roman" w:hint="default"/>
        </w:rPr>
        <w:t>2,549,823</w:t>
      </w:r>
      <w:r>
        <w:rPr/>
        <w:t>份股票期权予以行权，</w:t>
      </w:r>
      <w:r>
        <w:rPr>
          <w:spacing w:val="-34"/>
        </w:rPr>
        <w:t> </w:t>
      </w:r>
      <w:r>
        <w:rPr>
          <w:spacing w:val="-34"/>
        </w:rPr>
      </w:r>
      <w:r>
        <w:rPr/>
        <w:t>本次行权于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日完成验资，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日在中国证券登记结算有限责任公司深圳分公司完成核准登记。行权后</w:t>
      </w:r>
      <w:r>
        <w:rPr>
          <w:spacing w:val="-39"/>
        </w:rPr>
        <w:t> </w:t>
      </w:r>
      <w:r>
        <w:rPr>
          <w:spacing w:val="-39"/>
        </w:rPr>
      </w:r>
      <w:r>
        <w:rPr>
          <w:spacing w:val="-1"/>
        </w:rPr>
        <w:t>注册资本变更为</w:t>
      </w:r>
      <w:r>
        <w:rPr>
          <w:rFonts w:ascii="Times New Roman" w:hAnsi="Times New Roman" w:cs="Times New Roman" w:eastAsia="Times New Roman" w:hint="default"/>
          <w:spacing w:val="-1"/>
        </w:rPr>
        <w:t>33,992.56</w:t>
      </w:r>
      <w:r>
        <w:rPr>
          <w:spacing w:val="-1"/>
        </w:rPr>
        <w:t>万元。此次增资已由利安达会计师事务所有限责任公司利安达验字</w:t>
      </w:r>
      <w:r>
        <w:rPr>
          <w:rFonts w:ascii="Times New Roman" w:hAnsi="Times New Roman" w:cs="Times New Roman" w:eastAsia="Times New Roman" w:hint="default"/>
          <w:spacing w:val="-1"/>
        </w:rPr>
        <w:t>[2011]</w:t>
      </w:r>
      <w:r>
        <w:rPr>
          <w:spacing w:val="-1"/>
        </w:rPr>
        <w:t>第</w:t>
      </w:r>
      <w:r>
        <w:rPr>
          <w:rFonts w:ascii="Times New Roman" w:hAnsi="Times New Roman" w:cs="Times New Roman" w:eastAsia="Times New Roman" w:hint="default"/>
          <w:spacing w:val="-1"/>
        </w:rPr>
        <w:t>1107</w:t>
      </w:r>
      <w:r>
        <w:rPr>
          <w:spacing w:val="-1"/>
        </w:rPr>
        <w:t>号验资报告验证确</w:t>
      </w:r>
      <w:r>
        <w:rPr>
          <w:spacing w:val="-86"/>
        </w:rPr>
        <w:t> </w:t>
      </w:r>
      <w:r>
        <w:rPr/>
        <w:t>认，并办理了工商变更登记。</w:t>
      </w:r>
    </w:p>
    <w:p>
      <w:pPr>
        <w:pStyle w:val="BodyText"/>
        <w:spacing w:line="300" w:lineRule="auto" w:before="28"/>
        <w:ind w:right="1163" w:firstLine="352"/>
        <w:jc w:val="both"/>
      </w:pPr>
      <w:r>
        <w:rPr/>
        <w:t>根据公司</w:t>
      </w:r>
      <w:r>
        <w:rPr>
          <w:rFonts w:ascii="Times New Roman" w:hAnsi="Times New Roman" w:cs="Times New Roman" w:eastAsia="Times New Roman" w:hint="default"/>
        </w:rPr>
        <w:t>2011</w:t>
      </w:r>
      <w:r>
        <w:rPr/>
        <w:t>年度股东会决议和修改后的章程规定，公司以未分配利润转增注册资本</w:t>
      </w:r>
      <w:r>
        <w:rPr>
          <w:rFonts w:ascii="Times New Roman" w:hAnsi="Times New Roman" w:cs="Times New Roman" w:eastAsia="Times New Roman" w:hint="default"/>
        </w:rPr>
        <w:t>10,197.77</w:t>
      </w:r>
      <w:r>
        <w:rPr/>
        <w:t>万元，转增基准日期为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日，转增后，公司注册资本增至</w:t>
      </w:r>
      <w:r>
        <w:rPr>
          <w:rFonts w:ascii="Times New Roman" w:hAnsi="Times New Roman" w:cs="Times New Roman" w:eastAsia="Times New Roman" w:hint="default"/>
        </w:rPr>
        <w:t>44,190.33</w:t>
      </w:r>
      <w:r>
        <w:rPr/>
        <w:t>万元。此次增资已由利安达会计师事务所利安达验字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1046</w:t>
      </w:r>
      <w:r>
        <w:rPr/>
        <w:t>号</w:t>
      </w:r>
      <w:r>
        <w:rPr>
          <w:spacing w:val="-60"/>
        </w:rPr>
        <w:t> </w:t>
      </w:r>
      <w:r>
        <w:rPr/>
        <w:t>验资报告验证确认，并办理了工商变更登记。</w:t>
      </w:r>
    </w:p>
    <w:p>
      <w:pPr>
        <w:pStyle w:val="BodyText"/>
        <w:spacing w:line="304" w:lineRule="auto" w:before="31"/>
        <w:ind w:right="1164" w:firstLine="352"/>
        <w:jc w:val="both"/>
      </w:pPr>
      <w:r>
        <w:rPr/>
        <w:t>根据公司股票期权激励计划规定，经公司董事会申请、深圳证券交易所确认、中国证券登记结算有限责任公司深圳分 </w:t>
      </w:r>
      <w:r>
        <w:rPr>
          <w:spacing w:val="-1"/>
        </w:rPr>
        <w:t>公司核准登记，以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日为股票行权登记日，对本次提出申请行权的激励对象的</w:t>
      </w:r>
      <w:r>
        <w:rPr>
          <w:rFonts w:ascii="Times New Roman" w:hAnsi="Times New Roman" w:cs="Times New Roman" w:eastAsia="Times New Roman" w:hint="default"/>
          <w:spacing w:val="-1"/>
        </w:rPr>
        <w:t>1,279,860</w:t>
      </w:r>
      <w:r>
        <w:rPr>
          <w:spacing w:val="-1"/>
        </w:rPr>
        <w:t>份股票期权予以行权，本</w:t>
      </w:r>
      <w:r>
        <w:rPr>
          <w:spacing w:val="-56"/>
        </w:rPr>
        <w:t> </w:t>
      </w:r>
      <w:r>
        <w:rPr>
          <w:spacing w:val="-56"/>
        </w:rPr>
      </w:r>
      <w:r>
        <w:rPr>
          <w:spacing w:val="-1"/>
        </w:rPr>
        <w:t>次行权于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日完成验资，</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日在中国证券登记结算有限责任公司深圳分公司完成核准登记。行权后注</w:t>
      </w:r>
      <w:r>
        <w:rPr>
          <w:spacing w:val="-57"/>
        </w:rPr>
        <w:t> </w:t>
      </w:r>
      <w:r>
        <w:rPr>
          <w:spacing w:val="-57"/>
        </w:rPr>
      </w:r>
      <w:r>
        <w:rPr/>
        <w:t>册资本变更为</w:t>
      </w:r>
      <w:r>
        <w:rPr>
          <w:rFonts w:ascii="Times New Roman" w:hAnsi="Times New Roman" w:cs="Times New Roman" w:eastAsia="Times New Roman" w:hint="default"/>
        </w:rPr>
        <w:t>44,318.32</w:t>
      </w:r>
      <w:r>
        <w:rPr/>
        <w:t>万元。此次增资已由利安达会计师事务所有限责任公司利安达验字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1080</w:t>
      </w:r>
      <w:r>
        <w:rPr/>
        <w:t>号验资报告验证确</w:t>
      </w:r>
      <w:r>
        <w:rPr>
          <w:spacing w:val="12"/>
        </w:rPr>
        <w:t> </w:t>
      </w:r>
      <w:r>
        <w:rPr>
          <w:spacing w:val="12"/>
        </w:rPr>
      </w:r>
      <w:r>
        <w:rPr/>
        <w:t>认，并办理了工商变更登记。</w:t>
      </w:r>
    </w:p>
    <w:p>
      <w:pPr>
        <w:pStyle w:val="BodyText"/>
        <w:spacing w:line="307" w:lineRule="auto" w:before="28"/>
        <w:ind w:left="154" w:right="1166" w:firstLine="352"/>
        <w:jc w:val="both"/>
      </w:pPr>
      <w:r>
        <w:rPr/>
        <w:t>根据公司股票期权激励计划规定，经公司董事会申请、深圳证券交易所确认、中国证券登记结算有限责任公司深圳分 公司核准登记，对本次提出申请行权的激励对象的</w:t>
      </w:r>
      <w:r>
        <w:rPr>
          <w:rFonts w:ascii="Times New Roman" w:hAnsi="Times New Roman" w:cs="Times New Roman" w:eastAsia="Times New Roman" w:hint="default"/>
        </w:rPr>
        <w:t>6,077,001</w:t>
      </w:r>
      <w:r>
        <w:rPr/>
        <w:t>份股票期权予以行权，本次行权于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日完成验资，中</w:t>
      </w:r>
      <w:r>
        <w:rPr>
          <w:spacing w:val="-36"/>
        </w:rPr>
        <w:t> </w:t>
      </w:r>
      <w:r>
        <w:rPr>
          <w:spacing w:val="-36"/>
        </w:rPr>
      </w:r>
      <w:r>
        <w:rPr/>
        <w:t>国证券登记结算有限责任公司深圳分公司已完成核准登记。行权后注册资本变更为</w:t>
      </w:r>
      <w:r>
        <w:rPr>
          <w:rFonts w:ascii="Times New Roman" w:hAnsi="Times New Roman" w:cs="Times New Roman" w:eastAsia="Times New Roman" w:hint="default"/>
        </w:rPr>
        <w:t>44,926.02</w:t>
      </w:r>
      <w:r>
        <w:rPr/>
        <w:t>万元。此次增资已由国富浩华</w:t>
      </w:r>
      <w:r>
        <w:rPr>
          <w:spacing w:val="-34"/>
        </w:rPr>
        <w:t> </w:t>
      </w:r>
      <w:r>
        <w:rPr>
          <w:spacing w:val="-34"/>
        </w:rPr>
      </w:r>
      <w:r>
        <w:rPr/>
        <w:t>会计师事务所（特殊普通合伙）国浩验字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016A80001</w:t>
      </w:r>
      <w:r>
        <w:rPr/>
        <w:t>号验资报告验证确认，并办理了工商变更登记。</w:t>
      </w:r>
    </w:p>
    <w:p>
      <w:pPr>
        <w:pStyle w:val="BodyText"/>
        <w:spacing w:line="300" w:lineRule="auto" w:before="7"/>
        <w:ind w:right="1073" w:firstLine="352"/>
        <w:jc w:val="left"/>
      </w:pPr>
      <w:r>
        <w:rPr>
          <w:spacing w:val="-1"/>
        </w:rPr>
        <w:t>根据公司</w:t>
      </w:r>
      <w:r>
        <w:rPr>
          <w:rFonts w:ascii="Times New Roman" w:hAnsi="Times New Roman" w:cs="Times New Roman" w:eastAsia="Times New Roman" w:hint="default"/>
          <w:spacing w:val="-1"/>
        </w:rPr>
        <w:t>2012</w:t>
      </w:r>
      <w:r>
        <w:rPr>
          <w:spacing w:val="-1"/>
        </w:rPr>
        <w:t>年度第三次临时股东大会审议通过的《远光软件股份有限公司限制性股票激励计划（修订稿）及其摘要》</w:t>
      </w:r>
      <w:r>
        <w:rPr/>
        <w:t> </w:t>
      </w:r>
      <w:r>
        <w:rPr>
          <w:spacing w:val="-2"/>
        </w:rPr>
        <w:t>及</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日第四届董事会第二十五次会议决议，本次由</w:t>
      </w:r>
      <w:r>
        <w:rPr>
          <w:rFonts w:ascii="Times New Roman" w:hAnsi="Times New Roman" w:cs="Times New Roman" w:eastAsia="Times New Roman" w:hint="default"/>
          <w:spacing w:val="-2"/>
        </w:rPr>
        <w:t>295</w:t>
      </w:r>
      <w:r>
        <w:rPr>
          <w:spacing w:val="-2"/>
        </w:rPr>
        <w:t>名限制性股票激励对象行权，实际行权数量为</w:t>
      </w:r>
      <w:r>
        <w:rPr>
          <w:rFonts w:ascii="Times New Roman" w:hAnsi="Times New Roman" w:cs="Times New Roman" w:eastAsia="Times New Roman" w:hint="default"/>
          <w:spacing w:val="-2"/>
        </w:rPr>
        <w:t>12,494,650</w:t>
      </w:r>
      <w:r>
        <w:rPr>
          <w:spacing w:val="-2"/>
        </w:rPr>
        <w:t>份，</w:t>
      </w:r>
      <w:r>
        <w:rPr>
          <w:spacing w:val="-78"/>
        </w:rPr>
        <w:t> </w:t>
      </w:r>
      <w:r>
        <w:rPr/>
        <w:t>本次行权于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日完成验资，中国证券登记结算有限责任公司深圳分公司已完成核准登记。行权后注册资本变更为 </w:t>
      </w:r>
      <w:r>
        <w:rPr>
          <w:rFonts w:ascii="Times New Roman" w:hAnsi="Times New Roman" w:cs="Times New Roman" w:eastAsia="Times New Roman" w:hint="default"/>
        </w:rPr>
        <w:t>46,175.48</w:t>
      </w:r>
      <w:r>
        <w:rPr/>
        <w:t>万元。此次增资已由国富浩华会计师事务所（特殊普通合伙）国浩验字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016A0002</w:t>
      </w:r>
      <w:r>
        <w:rPr/>
        <w:t>号验资报告验证确认，</w:t>
      </w:r>
      <w:r>
        <w:rPr>
          <w:spacing w:val="-14"/>
        </w:rPr>
        <w:t> </w:t>
      </w:r>
      <w:r>
        <w:rPr>
          <w:spacing w:val="-14"/>
        </w:rPr>
      </w:r>
      <w:r>
        <w:rPr/>
        <w:t>并办理了工商变更登记。</w:t>
      </w:r>
    </w:p>
    <w:p>
      <w:pPr>
        <w:pStyle w:val="BodyText"/>
        <w:spacing w:line="300" w:lineRule="auto" w:before="31"/>
        <w:ind w:right="985" w:firstLine="35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日，公司第四届董事会第三十一次会议审议通过了《关于回购注销部分限制性股票的议案》，本次回购股 </w:t>
      </w:r>
      <w:r>
        <w:rPr>
          <w:spacing w:val="-3"/>
        </w:rPr>
        <w:t>份</w:t>
      </w:r>
      <w:r>
        <w:rPr>
          <w:rFonts w:ascii="Times New Roman" w:hAnsi="Times New Roman" w:cs="Times New Roman" w:eastAsia="Times New Roman" w:hint="default"/>
          <w:spacing w:val="-3"/>
        </w:rPr>
        <w:t>38,360</w:t>
      </w:r>
      <w:r>
        <w:rPr>
          <w:spacing w:val="-3"/>
        </w:rPr>
        <w:t>份，回购价格为</w:t>
      </w:r>
      <w:r>
        <w:rPr>
          <w:rFonts w:ascii="Times New Roman" w:hAnsi="Times New Roman" w:cs="Times New Roman" w:eastAsia="Times New Roman" w:hint="default"/>
          <w:spacing w:val="-3"/>
        </w:rPr>
        <w:t>7.69</w:t>
      </w:r>
      <w:r>
        <w:rPr>
          <w:spacing w:val="-3"/>
        </w:rPr>
        <w:t>元</w:t>
      </w:r>
      <w:r>
        <w:rPr>
          <w:rFonts w:ascii="Times New Roman" w:hAnsi="Times New Roman" w:cs="Times New Roman" w:eastAsia="Times New Roman" w:hint="default"/>
          <w:spacing w:val="-3"/>
        </w:rPr>
        <w:t>/</w:t>
      </w:r>
      <w:r>
        <w:rPr>
          <w:spacing w:val="-3"/>
        </w:rPr>
        <w:t>股。回购后的股本为人民币</w:t>
      </w:r>
      <w:r>
        <w:rPr>
          <w:rFonts w:ascii="Times New Roman" w:hAnsi="Times New Roman" w:cs="Times New Roman" w:eastAsia="Times New Roman" w:hint="default"/>
          <w:spacing w:val="-3"/>
        </w:rPr>
        <w:t>46,171.64</w:t>
      </w:r>
      <w:r>
        <w:rPr>
          <w:spacing w:val="-3"/>
        </w:rPr>
        <w:t>万元。此次减资业经瑞华会计师事务所（特殊普通合伙）</w:t>
      </w:r>
      <w:r>
        <w:rPr>
          <w:spacing w:val="-30"/>
        </w:rPr>
        <w:t> </w:t>
      </w:r>
      <w:r>
        <w:rPr>
          <w:spacing w:val="-30"/>
        </w:rPr>
      </w:r>
      <w:r>
        <w:rPr/>
        <w:t>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845A0001</w:t>
      </w:r>
      <w:r>
        <w:rPr/>
        <w:t>号验资报告验证确认。</w:t>
      </w:r>
    </w:p>
    <w:p>
      <w:pPr>
        <w:pStyle w:val="BodyText"/>
        <w:spacing w:line="300" w:lineRule="auto" w:before="13"/>
        <w:ind w:right="1131" w:firstLine="352"/>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日，公司第四届董事会第二十六次会议审议通过了《关于股票期权激励计划首次授予第三个行权期（预留</w:t>
      </w:r>
      <w:r>
        <w:rPr/>
        <w:t> </w:t>
      </w:r>
      <w:r>
        <w:rPr>
          <w:spacing w:val="-1"/>
        </w:rPr>
        <w:t>股票期权第二个行权期）可行权的议案》，本次实际行权数量为</w:t>
      </w:r>
      <w:r>
        <w:rPr>
          <w:rFonts w:ascii="Times New Roman" w:hAnsi="Times New Roman" w:cs="Times New Roman" w:eastAsia="Times New Roman" w:hint="default"/>
          <w:spacing w:val="-1"/>
        </w:rPr>
        <w:t>357,506</w:t>
      </w:r>
      <w:r>
        <w:rPr>
          <w:spacing w:val="-1"/>
        </w:rPr>
        <w:t>份，行权价格为</w:t>
      </w:r>
      <w:r>
        <w:rPr>
          <w:rFonts w:ascii="Times New Roman" w:hAnsi="Times New Roman" w:cs="Times New Roman" w:eastAsia="Times New Roman" w:hint="default"/>
          <w:spacing w:val="-1"/>
        </w:rPr>
        <w:t>16.86</w:t>
      </w:r>
      <w:r>
        <w:rPr>
          <w:spacing w:val="-1"/>
        </w:rPr>
        <w:t>元</w:t>
      </w:r>
      <w:r>
        <w:rPr>
          <w:rFonts w:ascii="Times New Roman" w:hAnsi="Times New Roman" w:cs="Times New Roman" w:eastAsia="Times New Roman" w:hint="default"/>
          <w:spacing w:val="-1"/>
        </w:rPr>
        <w:t>/</w:t>
      </w:r>
      <w:r>
        <w:rPr>
          <w:spacing w:val="-1"/>
        </w:rPr>
        <w:t>股。变更后贵公司总股本由</w:t>
      </w:r>
      <w:r>
        <w:rPr>
          <w:spacing w:val="-77"/>
        </w:rPr>
        <w:t> </w:t>
      </w:r>
      <w:r>
        <w:rPr>
          <w:spacing w:val="-77"/>
        </w:rPr>
      </w:r>
      <w:r>
        <w:rPr/>
        <w:t>人民币</w:t>
      </w:r>
      <w:r>
        <w:rPr>
          <w:rFonts w:ascii="Times New Roman" w:hAnsi="Times New Roman" w:cs="Times New Roman" w:eastAsia="Times New Roman" w:hint="default"/>
        </w:rPr>
        <w:t>46,171.64</w:t>
      </w:r>
      <w:r>
        <w:rPr/>
        <w:t>万元增加至人民币</w:t>
      </w:r>
      <w:r>
        <w:rPr>
          <w:rFonts w:ascii="Times New Roman" w:hAnsi="Times New Roman" w:cs="Times New Roman" w:eastAsia="Times New Roman" w:hint="default"/>
        </w:rPr>
        <w:t>46,207.39</w:t>
      </w:r>
      <w:r>
        <w:rPr/>
        <w:t>万元。此次增资业经瑞华会计师事务所（特殊普通合伙）验证，于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t>日出具瑞华验字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845A0002</w:t>
      </w:r>
      <w:r>
        <w:rPr/>
        <w:t>号验资报告验证确认。</w:t>
      </w:r>
    </w:p>
    <w:p>
      <w:pPr>
        <w:pStyle w:val="BodyText"/>
        <w:spacing w:line="300" w:lineRule="auto" w:before="13"/>
        <w:ind w:right="985" w:firstLine="352"/>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日，公司第四届董事会第三十三次会议审议通过了《关于回购注销部分限制性股票的议案》，本次回购股</w:t>
      </w:r>
      <w:r>
        <w:rPr/>
        <w:t> </w:t>
      </w:r>
      <w:r>
        <w:rPr>
          <w:spacing w:val="-3"/>
        </w:rPr>
        <w:t>份</w:t>
      </w:r>
      <w:r>
        <w:rPr>
          <w:rFonts w:ascii="Times New Roman" w:hAnsi="Times New Roman" w:cs="Times New Roman" w:eastAsia="Times New Roman" w:hint="default"/>
          <w:spacing w:val="-3"/>
        </w:rPr>
        <w:t>19,580</w:t>
      </w:r>
      <w:r>
        <w:rPr>
          <w:spacing w:val="-3"/>
        </w:rPr>
        <w:t>份，回购价格为</w:t>
      </w:r>
      <w:r>
        <w:rPr>
          <w:rFonts w:ascii="Times New Roman" w:hAnsi="Times New Roman" w:cs="Times New Roman" w:eastAsia="Times New Roman" w:hint="default"/>
          <w:spacing w:val="-3"/>
        </w:rPr>
        <w:t>7.69</w:t>
      </w:r>
      <w:r>
        <w:rPr>
          <w:spacing w:val="-3"/>
        </w:rPr>
        <w:t>元</w:t>
      </w:r>
      <w:r>
        <w:rPr>
          <w:rFonts w:ascii="Times New Roman" w:hAnsi="Times New Roman" w:cs="Times New Roman" w:eastAsia="Times New Roman" w:hint="default"/>
          <w:spacing w:val="-3"/>
        </w:rPr>
        <w:t>/</w:t>
      </w:r>
      <w:r>
        <w:rPr>
          <w:spacing w:val="-3"/>
        </w:rPr>
        <w:t>股。回购后的股本为人民币</w:t>
      </w:r>
      <w:r>
        <w:rPr>
          <w:rFonts w:ascii="Times New Roman" w:hAnsi="Times New Roman" w:cs="Times New Roman" w:eastAsia="Times New Roman" w:hint="default"/>
          <w:spacing w:val="-3"/>
        </w:rPr>
        <w:t>46,205.44</w:t>
      </w:r>
      <w:r>
        <w:rPr>
          <w:spacing w:val="-3"/>
        </w:rPr>
        <w:t>万元。此次减资业经瑞华会计师事务所（特殊普通合伙）</w:t>
      </w:r>
      <w:r>
        <w:rPr>
          <w:spacing w:val="-30"/>
        </w:rPr>
        <w:t> </w:t>
      </w:r>
      <w:r>
        <w:rPr>
          <w:spacing w:val="-30"/>
        </w:rPr>
      </w:r>
      <w:r>
        <w:rPr/>
        <w:t>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845A0003</w:t>
      </w:r>
      <w:r>
        <w:rPr/>
        <w:t>号验资报告验证确认。</w:t>
      </w:r>
    </w:p>
    <w:p>
      <w:pPr>
        <w:pStyle w:val="BodyText"/>
        <w:spacing w:line="300" w:lineRule="auto" w:before="13"/>
        <w:ind w:left="154" w:right="1027" w:firstLine="352"/>
        <w:jc w:val="left"/>
      </w:pP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20</w:t>
      </w:r>
      <w:r>
        <w:rPr>
          <w:spacing w:val="-6"/>
        </w:rPr>
        <w:t>日，公司第五届董事会第三次会议审议通过了《关于回购注销部分限制性股票的议案》，本次回购股份</w:t>
      </w:r>
      <w:r>
        <w:rPr>
          <w:rFonts w:ascii="Times New Roman" w:hAnsi="Times New Roman" w:cs="Times New Roman" w:eastAsia="Times New Roman" w:hint="default"/>
          <w:spacing w:val="-6"/>
        </w:rPr>
        <w:t>56,041</w:t>
      </w:r>
      <w:r>
        <w:rPr>
          <w:rFonts w:ascii="Times New Roman" w:hAnsi="Times New Roman" w:cs="Times New Roman" w:eastAsia="Times New Roman" w:hint="default"/>
        </w:rPr>
        <w:t> </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46,199.83</w:t>
      </w:r>
      <w:r>
        <w:rPr/>
        <w:t>万元。此次减资业经瑞华会计师事务所（特殊普通合伙）验证， 并出具瑞华验字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40030003</w:t>
      </w:r>
      <w:r>
        <w:rPr/>
        <w:t>号验资报告验证确认。</w:t>
      </w:r>
    </w:p>
    <w:p>
      <w:pPr>
        <w:pStyle w:val="BodyText"/>
        <w:spacing w:line="300" w:lineRule="auto" w:before="13"/>
        <w:ind w:right="1132" w:firstLine="352"/>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日，公司第五届董事会第十次会议审议通过了《关于回购注销</w:t>
      </w:r>
      <w:r>
        <w:rPr>
          <w:rFonts w:ascii="Times New Roman" w:hAnsi="Times New Roman" w:cs="Times New Roman" w:eastAsia="Times New Roman" w:hint="default"/>
        </w:rPr>
        <w:t>2012</w:t>
      </w:r>
      <w:r>
        <w:rPr/>
        <w:t>年限制性股票激励计划部分限制性股票 的议案》，本次回购股份</w:t>
      </w:r>
      <w:r>
        <w:rPr>
          <w:rFonts w:ascii="Times New Roman" w:hAnsi="Times New Roman" w:cs="Times New Roman" w:eastAsia="Times New Roman" w:hint="default"/>
        </w:rPr>
        <w:t>228,180</w:t>
      </w:r>
      <w:r>
        <w:rPr/>
        <w:t>份，回购价格为</w:t>
      </w:r>
      <w:r>
        <w:rPr>
          <w:rFonts w:ascii="Times New Roman" w:hAnsi="Times New Roman" w:cs="Times New Roman" w:eastAsia="Times New Roman" w:hint="default"/>
        </w:rPr>
        <w:t>7.64</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46,177.01</w:t>
      </w:r>
      <w:r>
        <w:rPr/>
        <w:t>万元。此次减资业经瑞华会计</w:t>
      </w:r>
      <w:r>
        <w:rPr>
          <w:spacing w:val="-50"/>
        </w:rPr>
        <w:t> </w:t>
      </w:r>
      <w:r>
        <w:rPr>
          <w:spacing w:val="-50"/>
        </w:rPr>
      </w:r>
      <w:r>
        <w:rPr/>
        <w:t>师事务所（特殊普通合伙）验证，并出具瑞华验字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40030007</w:t>
      </w:r>
      <w:r>
        <w:rPr/>
        <w:t>号验资报告验证确认。</w:t>
      </w:r>
    </w:p>
    <w:p>
      <w:pPr>
        <w:pStyle w:val="BodyText"/>
        <w:spacing w:line="300" w:lineRule="auto" w:before="13"/>
        <w:ind w:right="985" w:firstLine="352"/>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28</w:t>
      </w:r>
      <w:r>
        <w:rPr>
          <w:spacing w:val="-3"/>
        </w:rPr>
        <w:t>日，公司</w:t>
      </w:r>
      <w:r>
        <w:rPr>
          <w:rFonts w:ascii="Times New Roman" w:hAnsi="Times New Roman" w:cs="Times New Roman" w:eastAsia="Times New Roman" w:hint="default"/>
          <w:spacing w:val="-3"/>
        </w:rPr>
        <w:t>2014</w:t>
      </w:r>
      <w:r>
        <w:rPr>
          <w:spacing w:val="-3"/>
        </w:rPr>
        <w:t>年第一次临时股东大会审议通过了《</w:t>
      </w:r>
      <w:r>
        <w:rPr>
          <w:rFonts w:ascii="Times New Roman" w:hAnsi="Times New Roman" w:cs="Times New Roman" w:eastAsia="Times New Roman" w:hint="default"/>
          <w:spacing w:val="-3"/>
        </w:rPr>
        <w:t>2014</w:t>
      </w:r>
      <w:r>
        <w:rPr>
          <w:spacing w:val="-3"/>
        </w:rPr>
        <w:t>年限制性股票激励计划（草案修订稿）及其摘要》，</w:t>
      </w:r>
      <w:r>
        <w:rPr/>
        <w:t> 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日共回购</w:t>
      </w:r>
      <w:r>
        <w:rPr>
          <w:rFonts w:ascii="Times New Roman" w:hAnsi="Times New Roman" w:cs="Times New Roman" w:eastAsia="Times New Roman" w:hint="default"/>
        </w:rPr>
        <w:t>8,595,724</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32" w:firstLine="352"/>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日，公司第五届董事会第十四次会议决议，公司计划一次性授予激励对象限制性股票</w:t>
      </w:r>
      <w:r>
        <w:rPr>
          <w:rFonts w:ascii="Times New Roman" w:hAnsi="Times New Roman" w:cs="Times New Roman" w:eastAsia="Times New Roman" w:hint="default"/>
          <w:spacing w:val="-2"/>
        </w:rPr>
        <w:t>8,541,124</w:t>
      </w:r>
      <w:r>
        <w:rPr>
          <w:spacing w:val="-2"/>
        </w:rPr>
        <w:t>股，授予日</w:t>
      </w:r>
      <w:r>
        <w:rPr/>
        <w:t> 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日，授予的价格为每股人民币</w:t>
      </w:r>
      <w:r>
        <w:rPr>
          <w:rFonts w:ascii="Times New Roman" w:hAnsi="Times New Roman" w:cs="Times New Roman" w:eastAsia="Times New Roman" w:hint="default"/>
        </w:rPr>
        <w:t>10.9645</w:t>
      </w:r>
      <w:r>
        <w:rPr/>
        <w:t>元，限制性股票来源为公司已回购的股份。本次限制性股票授予业经</w:t>
      </w:r>
      <w:r>
        <w:rPr>
          <w:spacing w:val="-48"/>
        </w:rPr>
        <w:t> </w:t>
      </w:r>
      <w:r>
        <w:rPr>
          <w:spacing w:val="-48"/>
        </w:rPr>
      </w:r>
      <w:r>
        <w:rPr/>
        <w:t>瑞华会计师事务所（特殊普通合伙）验证，并出具瑞华验字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40030009</w:t>
      </w:r>
      <w:r>
        <w:rPr/>
        <w:t>号验资报告验证确认。</w:t>
      </w:r>
    </w:p>
    <w:p>
      <w:pPr>
        <w:pStyle w:val="BodyText"/>
        <w:spacing w:line="240" w:lineRule="auto" w:before="13"/>
        <w:ind w:left="506" w:right="985"/>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日，公司第五届董事会第十九次会议决议，公司计划一次性授予激励对象限制性股票</w:t>
      </w:r>
      <w:r>
        <w:rPr>
          <w:rFonts w:ascii="Times New Roman" w:hAnsi="Times New Roman" w:cs="Times New Roman" w:eastAsia="Times New Roman" w:hint="default"/>
        </w:rPr>
        <w:t>22,700</w:t>
      </w:r>
      <w:r>
        <w:rPr/>
        <w:t>股，授予日为</w:t>
      </w:r>
    </w:p>
    <w:p>
      <w:pPr>
        <w:pStyle w:val="BodyText"/>
        <w:spacing w:line="300" w:lineRule="auto" w:before="63"/>
        <w:ind w:right="985"/>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日，授予的价格为每股人民币</w:t>
      </w:r>
      <w:r>
        <w:rPr>
          <w:rFonts w:ascii="Times New Roman" w:hAnsi="Times New Roman" w:cs="Times New Roman" w:eastAsia="Times New Roman" w:hint="default"/>
          <w:spacing w:val="-1"/>
        </w:rPr>
        <w:t>10.9645</w:t>
      </w:r>
      <w:r>
        <w:rPr>
          <w:spacing w:val="-1"/>
        </w:rPr>
        <w:t>元，限制性股票来源为公司已回购的股份。本次限制性股票授予业经瑞华</w:t>
      </w:r>
      <w:r>
        <w:rPr>
          <w:spacing w:val="-70"/>
        </w:rPr>
        <w:t> </w:t>
      </w:r>
      <w:r>
        <w:rPr>
          <w:spacing w:val="-70"/>
        </w:rPr>
      </w:r>
      <w:r>
        <w:rPr/>
        <w:t>会计师事务所（特殊普通合伙）验证，并出具瑞华验字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40030007</w:t>
      </w:r>
      <w:r>
        <w:rPr/>
        <w:t>号验资报告验证确认。</w:t>
      </w:r>
    </w:p>
    <w:p>
      <w:pPr>
        <w:pStyle w:val="BodyText"/>
        <w:spacing w:line="300" w:lineRule="auto" w:before="13"/>
        <w:ind w:left="154" w:right="1028" w:firstLine="352"/>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w:t>
      </w:r>
      <w:r>
        <w:rPr>
          <w:spacing w:val="-3"/>
        </w:rPr>
        <w:t>日，根据公司第一次临时股东大会决议和第五届董事会第十九次会议决议，由于原激励对象拟离职放弃认购，</w:t>
      </w:r>
      <w:r>
        <w:rPr/>
        <w:t> 已不符合授予条件，公司注销拟授予尚在公司回购专户内的股票</w:t>
      </w:r>
      <w:r>
        <w:rPr>
          <w:rFonts w:ascii="Times New Roman" w:hAnsi="Times New Roman" w:cs="Times New Roman" w:eastAsia="Times New Roman" w:hint="default"/>
        </w:rPr>
        <w:t>31,900</w:t>
      </w:r>
      <w:r>
        <w:rPr/>
        <w:t>股，注销后的股本为人民币</w:t>
      </w:r>
      <w:r>
        <w:rPr>
          <w:rFonts w:ascii="Times New Roman" w:hAnsi="Times New Roman" w:cs="Times New Roman" w:eastAsia="Times New Roman" w:hint="default"/>
        </w:rPr>
        <w:t>46,173.82</w:t>
      </w:r>
      <w:r>
        <w:rPr/>
        <w:t>万元。本次注销 回购经瑞华会计师事务所（特殊普通合伙）验证，并出具瑞华验字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40030008</w:t>
      </w:r>
      <w:r>
        <w:rPr/>
        <w:t>号验资报告验证确认。</w:t>
      </w:r>
    </w:p>
    <w:p>
      <w:pPr>
        <w:pStyle w:val="BodyText"/>
        <w:spacing w:line="300" w:lineRule="auto" w:before="13"/>
        <w:ind w:right="1131" w:firstLine="352"/>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日，根据公司第五届董事会第十九次会议决议，由于公司未满足</w:t>
      </w:r>
      <w:r>
        <w:rPr>
          <w:rFonts w:ascii="Times New Roman" w:hAnsi="Times New Roman" w:cs="Times New Roman" w:eastAsia="Times New Roman" w:hint="default"/>
          <w:spacing w:val="-2"/>
        </w:rPr>
        <w:t>2012</w:t>
      </w:r>
      <w:r>
        <w:rPr>
          <w:spacing w:val="-2"/>
        </w:rPr>
        <w:t>年股权激励计划规定的限制性股票第三</w:t>
      </w:r>
      <w:r>
        <w:rPr/>
        <w:t> </w:t>
      </w:r>
      <w:r>
        <w:rPr>
          <w:spacing w:val="8"/>
        </w:rPr>
        <w:t>期解锁的相关条件。根据</w:t>
      </w:r>
      <w:r>
        <w:rPr>
          <w:rFonts w:ascii="Times New Roman" w:hAnsi="Times New Roman" w:cs="Times New Roman" w:eastAsia="Times New Roman" w:hint="default"/>
          <w:spacing w:val="8"/>
        </w:rPr>
        <w:t>2012</w:t>
      </w:r>
      <w:r>
        <w:rPr>
          <w:spacing w:val="8"/>
        </w:rPr>
        <w:t>年股权激励计划的相关规定，公司回购注销所有激励对象获授的第三期限制性股票共计</w:t>
      </w:r>
      <w:r>
        <w:rPr>
          <w:spacing w:val="-81"/>
        </w:rPr>
        <w:t> </w:t>
      </w:r>
      <w:r>
        <w:rPr>
          <w:spacing w:val="-81"/>
        </w:rPr>
      </w:r>
      <w:r>
        <w:rPr>
          <w:rFonts w:ascii="Times New Roman" w:hAnsi="Times New Roman" w:cs="Times New Roman" w:eastAsia="Times New Roman" w:hint="default"/>
          <w:spacing w:val="-2"/>
        </w:rPr>
        <w:t>3,616,923</w:t>
      </w:r>
      <w:r>
        <w:rPr>
          <w:spacing w:val="-2"/>
        </w:rPr>
        <w:t>股。回购后的股本为人民币</w:t>
      </w:r>
      <w:r>
        <w:rPr>
          <w:rFonts w:ascii="Times New Roman" w:hAnsi="Times New Roman" w:cs="Times New Roman" w:eastAsia="Times New Roman" w:hint="default"/>
          <w:spacing w:val="-2"/>
        </w:rPr>
        <w:t>45,812.13</w:t>
      </w:r>
      <w:r>
        <w:rPr>
          <w:spacing w:val="-2"/>
        </w:rPr>
        <w:t>万元。本次注销回购经瑞华会计师事务所（特殊普通合伙）验证，并出具瑞华</w:t>
      </w:r>
      <w:r>
        <w:rPr>
          <w:spacing w:val="-49"/>
        </w:rPr>
        <w:t> </w:t>
      </w:r>
      <w:r>
        <w:rPr>
          <w:spacing w:val="-49"/>
        </w:rPr>
      </w:r>
      <w:r>
        <w:rPr/>
        <w:t>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40030009</w:t>
      </w:r>
      <w:r>
        <w:rPr/>
        <w:t>号验资报告验证确认。</w:t>
      </w:r>
    </w:p>
    <w:p>
      <w:pPr>
        <w:pStyle w:val="BodyText"/>
        <w:spacing w:line="300" w:lineRule="auto" w:before="13"/>
        <w:ind w:left="154" w:right="1131" w:firstLine="352"/>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日，根据公司第五届董事会第十九次会议审议通过了《关于回购注销</w:t>
      </w:r>
      <w:r>
        <w:rPr>
          <w:rFonts w:ascii="Times New Roman" w:hAnsi="Times New Roman" w:cs="Times New Roman" w:eastAsia="Times New Roman" w:hint="default"/>
          <w:spacing w:val="-2"/>
        </w:rPr>
        <w:t>2014</w:t>
      </w:r>
      <w:r>
        <w:rPr>
          <w:spacing w:val="-2"/>
        </w:rPr>
        <w:t>年限制性股票激励计划部分限制性</w:t>
      </w:r>
      <w:r>
        <w:rPr/>
        <w:t> </w:t>
      </w:r>
      <w:r>
        <w:rPr>
          <w:spacing w:val="-1"/>
        </w:rPr>
        <w:t>股票的议案》，本次回购股份</w:t>
      </w:r>
      <w:r>
        <w:rPr>
          <w:rFonts w:ascii="Times New Roman" w:hAnsi="Times New Roman" w:cs="Times New Roman" w:eastAsia="Times New Roman" w:hint="default"/>
          <w:spacing w:val="-1"/>
        </w:rPr>
        <w:t>74,700</w:t>
      </w:r>
      <w:r>
        <w:rPr>
          <w:spacing w:val="-1"/>
        </w:rPr>
        <w:t>元，回购后的股本为人民币</w:t>
      </w:r>
      <w:r>
        <w:rPr>
          <w:rFonts w:ascii="Times New Roman" w:hAnsi="Times New Roman" w:cs="Times New Roman" w:eastAsia="Times New Roman" w:hint="default"/>
          <w:spacing w:val="-1"/>
        </w:rPr>
        <w:t>45,804.66</w:t>
      </w:r>
      <w:r>
        <w:rPr>
          <w:spacing w:val="-1"/>
        </w:rPr>
        <w:t>万元。本次回购经瑞华会计师事务所（特殊普通合</w:t>
      </w:r>
      <w:r>
        <w:rPr>
          <w:spacing w:val="-72"/>
        </w:rPr>
        <w:t> </w:t>
      </w:r>
      <w:r>
        <w:rPr>
          <w:spacing w:val="-72"/>
        </w:rPr>
      </w:r>
      <w:r>
        <w:rPr/>
        <w:t>伙）验证，并出具瑞华验字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40030010</w:t>
      </w:r>
      <w:r>
        <w:rPr/>
        <w:t>号验资报告验证确认。</w:t>
      </w:r>
    </w:p>
    <w:p>
      <w:pPr>
        <w:pStyle w:val="BodyText"/>
        <w:spacing w:line="300" w:lineRule="auto" w:before="13"/>
        <w:ind w:right="1131"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日，公司根据</w:t>
      </w:r>
      <w:r>
        <w:rPr>
          <w:rFonts w:ascii="Times New Roman" w:hAnsi="Times New Roman" w:cs="Times New Roman" w:eastAsia="Times New Roman" w:hint="default"/>
          <w:spacing w:val="-3"/>
        </w:rPr>
        <w:t>2014</w:t>
      </w:r>
      <w:r>
        <w:rPr>
          <w:spacing w:val="-3"/>
        </w:rPr>
        <w:t>年度股东大会决议和</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日第五届董事会第十七次会议决议，以未分配利润向</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日在中国证券登记结算有限责任公司深圳分公司登记在册的全体股东按每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3.024029</w:t>
      </w:r>
      <w:r>
        <w:rPr>
          <w:spacing w:val="-1"/>
        </w:rPr>
        <w:t>股的比例转增股本，每股面</w:t>
      </w:r>
      <w:r>
        <w:rPr>
          <w:spacing w:val="-70"/>
        </w:rPr>
        <w:t> </w:t>
      </w:r>
      <w:r>
        <w:rPr>
          <w:spacing w:val="-70"/>
        </w:rPr>
      </w:r>
      <w:r>
        <w:rPr/>
        <w:t>值</w:t>
      </w:r>
      <w:r>
        <w:rPr>
          <w:rFonts w:ascii="Times New Roman" w:hAnsi="Times New Roman" w:cs="Times New Roman" w:eastAsia="Times New Roman" w:hint="default"/>
        </w:rPr>
        <w:t>1</w:t>
      </w:r>
      <w:r>
        <w:rPr/>
        <w:t>元，计增加股本人民币</w:t>
      </w:r>
      <w:r>
        <w:rPr>
          <w:rFonts w:ascii="Times New Roman" w:hAnsi="Times New Roman" w:cs="Times New Roman" w:eastAsia="Times New Roman" w:hint="default"/>
        </w:rPr>
        <w:t>138,514,627</w:t>
      </w:r>
      <w:r>
        <w:rPr/>
        <w:t>元。转增股本后股本总额为人民币</w:t>
      </w:r>
      <w:r>
        <w:rPr>
          <w:rFonts w:ascii="Times New Roman" w:hAnsi="Times New Roman" w:cs="Times New Roman" w:eastAsia="Times New Roman" w:hint="default"/>
        </w:rPr>
        <w:t>59,656.13</w:t>
      </w:r>
      <w:r>
        <w:rPr/>
        <w:t>万元。本次以未分配利润转增股本经瑞华</w:t>
      </w:r>
      <w:r>
        <w:rPr>
          <w:spacing w:val="-86"/>
        </w:rPr>
        <w:t> </w:t>
      </w:r>
      <w:r>
        <w:rPr>
          <w:spacing w:val="-86"/>
        </w:rPr>
      </w:r>
      <w:r>
        <w:rPr/>
        <w:t>会计师事务所（特殊普通合伙）验证，并出具瑞华验字</w:t>
      </w:r>
      <w:r>
        <w:rPr>
          <w:rFonts w:ascii="Times New Roman" w:hAnsi="Times New Roman" w:cs="Times New Roman" w:eastAsia="Times New Roman" w:hint="default"/>
        </w:rPr>
        <w:t>[2016]40030002</w:t>
      </w:r>
      <w:r>
        <w:rPr/>
        <w:t>号验资报告验证确认。</w:t>
      </w:r>
    </w:p>
    <w:p>
      <w:pPr>
        <w:pStyle w:val="BodyText"/>
        <w:spacing w:line="300" w:lineRule="auto" w:before="13"/>
        <w:ind w:left="154" w:right="1131" w:firstLine="352"/>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日，公司根据第五届董事会第二十六次会议《关于回购注销</w:t>
      </w:r>
      <w:r>
        <w:rPr>
          <w:rFonts w:ascii="Times New Roman" w:hAnsi="Times New Roman" w:cs="Times New Roman" w:eastAsia="Times New Roman" w:hint="default"/>
          <w:spacing w:val="-2"/>
        </w:rPr>
        <w:t>2014</w:t>
      </w:r>
      <w:r>
        <w:rPr>
          <w:spacing w:val="-2"/>
        </w:rPr>
        <w:t>年限制性股票激励计划部分限制性股票的</w:t>
      </w:r>
      <w:r>
        <w:rPr/>
        <w:t> 议案》，回购股份</w:t>
      </w:r>
      <w:r>
        <w:rPr>
          <w:rFonts w:ascii="Times New Roman" w:hAnsi="Times New Roman" w:cs="Times New Roman" w:eastAsia="Times New Roman" w:hint="default"/>
        </w:rPr>
        <w:t>255,140</w:t>
      </w:r>
      <w:r>
        <w:rPr/>
        <w:t>元，回购后的股本为人民币</w:t>
      </w:r>
      <w:r>
        <w:rPr>
          <w:rFonts w:ascii="Times New Roman" w:hAnsi="Times New Roman" w:cs="Times New Roman" w:eastAsia="Times New Roman" w:hint="default"/>
        </w:rPr>
        <w:t>596,306,110</w:t>
      </w:r>
      <w:r>
        <w:rPr/>
        <w:t>元。此次减资业经瑞华会计师事务所（特殊普通合伙）验</w:t>
      </w:r>
      <w:r>
        <w:rPr>
          <w:spacing w:val="-47"/>
        </w:rPr>
        <w:t> </w:t>
      </w:r>
      <w:r>
        <w:rPr>
          <w:spacing w:val="-47"/>
        </w:rPr>
      </w:r>
      <w:r>
        <w:rPr/>
        <w:t>证，并出具瑞华验字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40030005</w:t>
      </w:r>
      <w:r>
        <w:rPr/>
        <w:t>号验资报告验证确认。</w:t>
      </w:r>
    </w:p>
    <w:p>
      <w:pPr>
        <w:pStyle w:val="BodyText"/>
        <w:spacing w:line="300" w:lineRule="auto" w:before="13"/>
        <w:ind w:left="154" w:right="1131" w:firstLine="35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日，公司根据第五届董事会第二十七次会议《关于回购注销</w:t>
      </w:r>
      <w:r>
        <w:rPr>
          <w:rFonts w:ascii="Times New Roman" w:hAnsi="Times New Roman" w:cs="Times New Roman" w:eastAsia="Times New Roman" w:hint="default"/>
          <w:spacing w:val="-2"/>
        </w:rPr>
        <w:t>2014</w:t>
      </w:r>
      <w:r>
        <w:rPr>
          <w:spacing w:val="-2"/>
        </w:rPr>
        <w:t>年限制性股票激励计划第一期为达到解锁条</w:t>
      </w:r>
      <w:r>
        <w:rPr/>
        <w:t> </w:t>
      </w:r>
      <w:r>
        <w:rPr>
          <w:spacing w:val="-2"/>
        </w:rPr>
        <w:t>件限制性股票的议案》，回购股份</w:t>
      </w:r>
      <w:r>
        <w:rPr>
          <w:rFonts w:ascii="Times New Roman" w:hAnsi="Times New Roman" w:cs="Times New Roman" w:eastAsia="Times New Roman" w:hint="default"/>
          <w:spacing w:val="-2"/>
        </w:rPr>
        <w:t>5,400,560</w:t>
      </w:r>
      <w:r>
        <w:rPr>
          <w:spacing w:val="-2"/>
        </w:rPr>
        <w:t>元，回购后的股本为人民币</w:t>
      </w:r>
      <w:r>
        <w:rPr>
          <w:rFonts w:ascii="Times New Roman" w:hAnsi="Times New Roman" w:cs="Times New Roman" w:eastAsia="Times New Roman" w:hint="default"/>
          <w:spacing w:val="-2"/>
        </w:rPr>
        <w:t>590,905,550</w:t>
      </w:r>
      <w:r>
        <w:rPr>
          <w:spacing w:val="-2"/>
        </w:rPr>
        <w:t>元。此次减资业经瑞华会计师事务所（特</w:t>
      </w:r>
      <w:r>
        <w:rPr>
          <w:spacing w:val="-46"/>
        </w:rPr>
        <w:t> </w:t>
      </w:r>
      <w:r>
        <w:rPr>
          <w:spacing w:val="-46"/>
        </w:rPr>
      </w:r>
      <w:r>
        <w:rPr/>
        <w:t>殊普通合伙）验证，并出具瑞华验字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400300006</w:t>
      </w:r>
      <w:r>
        <w:rPr/>
        <w:t>号验资报告验证确认。</w:t>
      </w:r>
    </w:p>
    <w:p>
      <w:pPr>
        <w:pStyle w:val="BodyText"/>
        <w:spacing w:line="300" w:lineRule="auto" w:before="13"/>
        <w:ind w:right="985" w:firstLine="35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日，公司根据第五届董事会第三十次会议《关于回购注销</w:t>
      </w:r>
      <w:r>
        <w:rPr>
          <w:rFonts w:ascii="Times New Roman" w:hAnsi="Times New Roman" w:cs="Times New Roman" w:eastAsia="Times New Roman" w:hint="default"/>
        </w:rPr>
        <w:t>2014</w:t>
      </w:r>
      <w:r>
        <w:rPr/>
        <w:t>年限制性股票激励计划部分限制性股票的议 </w:t>
      </w:r>
      <w:r>
        <w:rPr>
          <w:spacing w:val="-1"/>
        </w:rPr>
        <w:t>案》，回购股份</w:t>
      </w:r>
      <w:r>
        <w:rPr>
          <w:rFonts w:ascii="Times New Roman" w:hAnsi="Times New Roman" w:cs="Times New Roman" w:eastAsia="Times New Roman" w:hint="default"/>
          <w:spacing w:val="-1"/>
        </w:rPr>
        <w:t>123,013</w:t>
      </w:r>
      <w:r>
        <w:rPr>
          <w:spacing w:val="-1"/>
        </w:rPr>
        <w:t>元，回购后的股本为人民币</w:t>
      </w:r>
      <w:r>
        <w:rPr>
          <w:rFonts w:ascii="Times New Roman" w:hAnsi="Times New Roman" w:cs="Times New Roman" w:eastAsia="Times New Roman" w:hint="default"/>
          <w:spacing w:val="-1"/>
        </w:rPr>
        <w:t>590,782,537</w:t>
      </w:r>
      <w:r>
        <w:rPr>
          <w:spacing w:val="-1"/>
        </w:rPr>
        <w:t>元。此次减资业经瑞华会计师事务所（特殊普通合伙）验证，</w:t>
      </w:r>
      <w:r>
        <w:rPr>
          <w:spacing w:val="-68"/>
        </w:rPr>
        <w:t> </w:t>
      </w:r>
      <w:r>
        <w:rPr>
          <w:spacing w:val="-68"/>
        </w:rPr>
      </w:r>
      <w:r>
        <w:rPr/>
        <w:t>并出具瑞华验字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40030009</w:t>
      </w:r>
      <w:r>
        <w:rPr/>
        <w:t>号验资报告验证确认。</w:t>
      </w:r>
    </w:p>
    <w:p>
      <w:pPr>
        <w:pStyle w:val="BodyText"/>
        <w:spacing w:line="240" w:lineRule="auto" w:before="13"/>
        <w:ind w:left="506" w:right="985"/>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日，根据</w:t>
      </w:r>
      <w:r>
        <w:rPr>
          <w:rFonts w:ascii="Times New Roman" w:hAnsi="Times New Roman" w:cs="Times New Roman" w:eastAsia="Times New Roman" w:hint="default"/>
        </w:rPr>
        <w:t>2016</w:t>
      </w:r>
      <w:r>
        <w:rPr/>
        <w:t>年第三次临时股东代表大会《</w:t>
      </w:r>
      <w:r>
        <w:rPr>
          <w:rFonts w:ascii="Times New Roman" w:hAnsi="Times New Roman" w:cs="Times New Roman" w:eastAsia="Times New Roman" w:hint="default"/>
        </w:rPr>
        <w:t>2016</w:t>
      </w:r>
      <w:r>
        <w:rPr/>
        <w:t>年限制性股票激励计划（草案）及其摘要》和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p>
    <w:p>
      <w:pPr>
        <w:pStyle w:val="BodyText"/>
        <w:spacing w:line="240" w:lineRule="auto" w:before="63"/>
        <w:ind w:right="985"/>
        <w:jc w:val="left"/>
      </w:pPr>
      <w:r>
        <w:rPr>
          <w:rFonts w:ascii="Times New Roman" w:hAnsi="Times New Roman" w:cs="Times New Roman" w:eastAsia="Times New Roman" w:hint="default"/>
        </w:rPr>
        <w:t>22</w:t>
      </w:r>
      <w:r>
        <w:rPr/>
        <w:t>日第五届董事会第三十二次会议决议，</w:t>
      </w:r>
      <w:r>
        <w:rPr>
          <w:rFonts w:ascii="Times New Roman" w:hAnsi="Times New Roman" w:cs="Times New Roman" w:eastAsia="Times New Roman" w:hint="default"/>
        </w:rPr>
        <w:t>2016</w:t>
      </w:r>
      <w:r>
        <w:rPr/>
        <w:t>年限制性股票激励计划激励对象行权，实际行权对象</w:t>
      </w:r>
      <w:r>
        <w:rPr>
          <w:rFonts w:ascii="Times New Roman" w:hAnsi="Times New Roman" w:cs="Times New Roman" w:eastAsia="Times New Roman" w:hint="default"/>
        </w:rPr>
        <w:t>633</w:t>
      </w:r>
      <w:r>
        <w:rPr/>
        <w:t>名、实际行权数量为</w:t>
      </w:r>
    </w:p>
    <w:p>
      <w:pPr>
        <w:pStyle w:val="BodyText"/>
        <w:spacing w:line="300" w:lineRule="auto" w:before="63"/>
        <w:ind w:right="985"/>
        <w:jc w:val="left"/>
      </w:pPr>
      <w:r>
        <w:rPr>
          <w:rFonts w:ascii="Times New Roman" w:hAnsi="Times New Roman" w:cs="Times New Roman" w:eastAsia="Times New Roman" w:hint="default"/>
          <w:spacing w:val="-1"/>
        </w:rPr>
        <w:t>15,780,800</w:t>
      </w:r>
      <w:r>
        <w:rPr>
          <w:spacing w:val="-1"/>
        </w:rPr>
        <w:t>股，行权价格</w:t>
      </w:r>
      <w:r>
        <w:rPr>
          <w:rFonts w:ascii="Times New Roman" w:hAnsi="Times New Roman" w:cs="Times New Roman" w:eastAsia="Times New Roman" w:hint="default"/>
          <w:spacing w:val="-1"/>
        </w:rPr>
        <w:t>7.04</w:t>
      </w:r>
      <w:r>
        <w:rPr>
          <w:spacing w:val="-1"/>
        </w:rPr>
        <w:t>元</w:t>
      </w:r>
      <w:r>
        <w:rPr>
          <w:rFonts w:ascii="Times New Roman" w:hAnsi="Times New Roman" w:cs="Times New Roman" w:eastAsia="Times New Roman" w:hint="default"/>
          <w:spacing w:val="-1"/>
        </w:rPr>
        <w:t>/</w:t>
      </w:r>
      <w:r>
        <w:rPr>
          <w:spacing w:val="-1"/>
        </w:rPr>
        <w:t>股。行权后，公司总股本由人民币</w:t>
      </w:r>
      <w:r>
        <w:rPr>
          <w:rFonts w:ascii="Times New Roman" w:hAnsi="Times New Roman" w:cs="Times New Roman" w:eastAsia="Times New Roman" w:hint="default"/>
          <w:spacing w:val="-1"/>
        </w:rPr>
        <w:t>590,782,537</w:t>
      </w:r>
      <w:r>
        <w:rPr>
          <w:spacing w:val="-1"/>
        </w:rPr>
        <w:t>元增加至人民币</w:t>
      </w:r>
      <w:r>
        <w:rPr>
          <w:rFonts w:ascii="Times New Roman" w:hAnsi="Times New Roman" w:cs="Times New Roman" w:eastAsia="Times New Roman" w:hint="default"/>
          <w:spacing w:val="-1"/>
        </w:rPr>
        <w:t>606,563,337</w:t>
      </w:r>
      <w:r>
        <w:rPr>
          <w:spacing w:val="-1"/>
        </w:rPr>
        <w:t>元。此次增资业经</w:t>
      </w:r>
      <w:r>
        <w:rPr>
          <w:spacing w:val="-55"/>
        </w:rPr>
        <w:t> </w:t>
      </w:r>
      <w:r>
        <w:rPr>
          <w:spacing w:val="-55"/>
        </w:rPr>
      </w:r>
      <w:r>
        <w:rPr/>
        <w:t>瑞华会计师事务所（特殊普通合伙）验证，并出具瑞华验字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40030020</w:t>
      </w:r>
      <w:r>
        <w:rPr/>
        <w:t>号验资报告验证确认。</w:t>
      </w:r>
    </w:p>
    <w:p>
      <w:pPr>
        <w:pStyle w:val="BodyText"/>
        <w:spacing w:line="300" w:lineRule="auto" w:before="13"/>
        <w:ind w:right="1165"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13</w:t>
      </w:r>
      <w:r>
        <w:rPr>
          <w:spacing w:val="-1"/>
        </w:rPr>
        <w:t>日，公司第五届董事会第三十六次会议审议通过了《关于回购注销</w:t>
      </w:r>
      <w:r>
        <w:rPr>
          <w:rFonts w:ascii="Times New Roman" w:hAnsi="Times New Roman" w:cs="Times New Roman" w:eastAsia="Times New Roman" w:hint="default"/>
          <w:spacing w:val="-1"/>
        </w:rPr>
        <w:t>2014</w:t>
      </w:r>
      <w:r>
        <w:rPr>
          <w:spacing w:val="-1"/>
        </w:rPr>
        <w:t>年限制性股票激励计划第二期未达</w:t>
      </w:r>
      <w:r>
        <w:rPr/>
        <w:t> 到解锁条件限制性股票的议案》，回购股份</w:t>
      </w:r>
      <w:r>
        <w:rPr>
          <w:rFonts w:ascii="Times New Roman" w:hAnsi="Times New Roman" w:cs="Times New Roman" w:eastAsia="Times New Roman" w:hint="default"/>
        </w:rPr>
        <w:t>5,277,547</w:t>
      </w:r>
      <w:r>
        <w:rPr/>
        <w:t>元，回购后的股本为人民币</w:t>
      </w:r>
      <w:r>
        <w:rPr>
          <w:rFonts w:ascii="Times New Roman" w:hAnsi="Times New Roman" w:cs="Times New Roman" w:eastAsia="Times New Roman" w:hint="default"/>
        </w:rPr>
        <w:t>601,285,790</w:t>
      </w:r>
      <w:r>
        <w:rPr/>
        <w:t>元。此次减资业经瑞华会计师</w:t>
      </w:r>
      <w:r>
        <w:rPr>
          <w:spacing w:val="-34"/>
        </w:rPr>
        <w:t> </w:t>
      </w:r>
      <w:r>
        <w:rPr>
          <w:spacing w:val="-34"/>
        </w:rPr>
      </w:r>
      <w:r>
        <w:rPr/>
        <w:t>事务所（特殊普通合伙）验证，并出具瑞华验字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40030004</w:t>
      </w:r>
      <w:r>
        <w:rPr/>
        <w:t>号验资报告验证确认。</w:t>
      </w:r>
    </w:p>
    <w:p>
      <w:pPr>
        <w:pStyle w:val="BodyText"/>
        <w:spacing w:line="240" w:lineRule="auto" w:before="13"/>
        <w:ind w:left="513"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日，根据</w:t>
      </w:r>
      <w:r>
        <w:rPr>
          <w:rFonts w:ascii="Times New Roman" w:hAnsi="Times New Roman" w:cs="Times New Roman" w:eastAsia="Times New Roman" w:hint="default"/>
        </w:rPr>
        <w:t>2016</w:t>
      </w:r>
      <w:r>
        <w:rPr/>
        <w:t>年第三次临时股东代表大会《</w:t>
      </w:r>
      <w:r>
        <w:rPr>
          <w:rFonts w:ascii="Times New Roman" w:hAnsi="Times New Roman" w:cs="Times New Roman" w:eastAsia="Times New Roman" w:hint="default"/>
        </w:rPr>
        <w:t>2016</w:t>
      </w:r>
      <w:r>
        <w:rPr/>
        <w:t>年限制性股票激励计划（草案）及其摘要》和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p>
    <w:p>
      <w:pPr>
        <w:pStyle w:val="BodyText"/>
        <w:spacing w:line="240" w:lineRule="auto" w:before="63"/>
        <w:ind w:right="985"/>
        <w:jc w:val="left"/>
      </w:pPr>
      <w:r>
        <w:rPr>
          <w:rFonts w:ascii="Times New Roman" w:hAnsi="Times New Roman" w:cs="Times New Roman" w:eastAsia="Times New Roman" w:hint="default"/>
          <w:spacing w:val="5"/>
        </w:rPr>
        <w:t>21</w:t>
      </w:r>
      <w:r>
        <w:rPr>
          <w:spacing w:val="5"/>
        </w:rPr>
        <w:t>日第六届董事会第七次会议决议，</w:t>
      </w:r>
      <w:r>
        <w:rPr>
          <w:rFonts w:ascii="Times New Roman" w:hAnsi="Times New Roman" w:cs="Times New Roman" w:eastAsia="Times New Roman" w:hint="default"/>
          <w:spacing w:val="5"/>
        </w:rPr>
        <w:t>2016</w:t>
      </w:r>
      <w:r>
        <w:rPr>
          <w:spacing w:val="5"/>
        </w:rPr>
        <w:t>年限制性股票激励计划激励对象行权，实际行权对象</w:t>
      </w:r>
      <w:r>
        <w:rPr>
          <w:rFonts w:ascii="Times New Roman" w:hAnsi="Times New Roman" w:cs="Times New Roman" w:eastAsia="Times New Roman" w:hint="default"/>
          <w:spacing w:val="5"/>
        </w:rPr>
        <w:t>253</w:t>
      </w:r>
      <w:r>
        <w:rPr>
          <w:spacing w:val="5"/>
        </w:rPr>
        <w:t>名、实际行权数量为</w:t>
      </w:r>
    </w:p>
    <w:p>
      <w:pPr>
        <w:pStyle w:val="BodyText"/>
        <w:spacing w:line="300" w:lineRule="auto" w:before="63"/>
        <w:ind w:right="985"/>
        <w:jc w:val="left"/>
      </w:pPr>
      <w:r>
        <w:rPr>
          <w:rFonts w:ascii="Times New Roman" w:hAnsi="Times New Roman" w:cs="Times New Roman" w:eastAsia="Times New Roman" w:hint="default"/>
        </w:rPr>
        <w:t>1,418,760</w:t>
      </w:r>
      <w:r>
        <w:rPr/>
        <w:t>股，行权价格</w:t>
      </w:r>
      <w:r>
        <w:rPr>
          <w:rFonts w:ascii="Times New Roman" w:hAnsi="Times New Roman" w:cs="Times New Roman" w:eastAsia="Times New Roman" w:hint="default"/>
        </w:rPr>
        <w:t>5.18</w:t>
      </w:r>
      <w:r>
        <w:rPr/>
        <w:t>元</w:t>
      </w:r>
      <w:r>
        <w:rPr>
          <w:rFonts w:ascii="Times New Roman" w:hAnsi="Times New Roman" w:cs="Times New Roman" w:eastAsia="Times New Roman" w:hint="default"/>
        </w:rPr>
        <w:t>/</w:t>
      </w:r>
      <w:r>
        <w:rPr/>
        <w:t>股。行权后，公司总股本由人民币</w:t>
      </w:r>
      <w:r>
        <w:rPr>
          <w:rFonts w:ascii="Times New Roman" w:hAnsi="Times New Roman" w:cs="Times New Roman" w:eastAsia="Times New Roman" w:hint="default"/>
        </w:rPr>
        <w:t>601,285,790</w:t>
      </w:r>
      <w:r>
        <w:rPr/>
        <w:t>元增加至人民币</w:t>
      </w:r>
      <w:r>
        <w:rPr>
          <w:rFonts w:ascii="Times New Roman" w:hAnsi="Times New Roman" w:cs="Times New Roman" w:eastAsia="Times New Roman" w:hint="default"/>
        </w:rPr>
        <w:t>602,704,550</w:t>
      </w:r>
      <w:r>
        <w:rPr/>
        <w:t>元。此次增资业经</w:t>
      </w:r>
      <w:r>
        <w:rPr>
          <w:spacing w:val="-43"/>
        </w:rPr>
        <w:t> </w:t>
      </w:r>
      <w:r>
        <w:rPr>
          <w:spacing w:val="-43"/>
        </w:rPr>
      </w:r>
      <w:r>
        <w:rPr/>
        <w:t>瑞华会计师事务所（特殊普通合伙）验证，并出具瑞华验字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40030009</w:t>
      </w:r>
      <w:r>
        <w:rPr/>
        <w:t>号验资报告验证确认。</w:t>
      </w:r>
    </w:p>
    <w:p>
      <w:pPr>
        <w:pStyle w:val="BodyText"/>
        <w:spacing w:line="300" w:lineRule="auto" w:before="13"/>
        <w:ind w:right="1164" w:firstLine="352"/>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日第六届董事会第四次会议及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日第二次临时股东大会审议通过了《关于</w:t>
      </w:r>
      <w:r>
        <w:rPr/>
        <w:t> 回购注销 </w:t>
      </w:r>
      <w:r>
        <w:rPr>
          <w:rFonts w:ascii="Times New Roman" w:hAnsi="Times New Roman" w:cs="Times New Roman" w:eastAsia="Times New Roman" w:hint="default"/>
        </w:rPr>
        <w:t>2016 </w:t>
      </w:r>
      <w:r>
        <w:rPr/>
        <w:t>年限制性股票激励计划部分限制性股票的议案》，回购股份</w:t>
      </w:r>
      <w:r>
        <w:rPr>
          <w:rFonts w:ascii="Times New Roman" w:hAnsi="Times New Roman" w:cs="Times New Roman" w:eastAsia="Times New Roman" w:hint="default"/>
        </w:rPr>
        <w:t>130,600</w:t>
      </w:r>
      <w:r>
        <w:rPr/>
        <w:t>元，回购后的股本为人民币</w:t>
      </w:r>
      <w:r>
        <w:rPr>
          <w:rFonts w:ascii="Times New Roman" w:hAnsi="Times New Roman" w:cs="Times New Roman" w:eastAsia="Times New Roman" w:hint="default"/>
        </w:rPr>
        <w:t>602,573,950</w:t>
      </w:r>
      <w:r>
        <w:rPr>
          <w:rFonts w:ascii="Times New Roman" w:hAnsi="Times New Roman" w:cs="Times New Roman" w:eastAsia="Times New Roman" w:hint="default"/>
          <w:spacing w:val="-34"/>
        </w:rPr>
        <w:t> </w:t>
      </w:r>
      <w:r>
        <w:rPr/>
        <w:t>元。此次减资业经瑞华会计师事务所（特殊普通合伙）验证，并出具瑞华验字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40030012</w:t>
      </w:r>
      <w:r>
        <w:rPr/>
        <w:t>号验资报告验证确认。</w:t>
      </w:r>
    </w:p>
    <w:p>
      <w:pPr>
        <w:pStyle w:val="BodyText"/>
        <w:spacing w:line="240" w:lineRule="auto" w:before="13"/>
        <w:ind w:left="506" w:right="985"/>
        <w:jc w:val="left"/>
        <w:rPr>
          <w:rFonts w:ascii="Times New Roman" w:hAnsi="Times New Roman" w:cs="Times New Roman" w:eastAsia="Times New Roman" w:hint="default"/>
        </w:rPr>
      </w:pPr>
      <w:r>
        <w:rPr/>
        <w:t>统一社会信用代码：</w:t>
      </w:r>
      <w:r>
        <w:rPr>
          <w:rFonts w:ascii="Times New Roman" w:hAnsi="Times New Roman" w:cs="Times New Roman" w:eastAsia="Times New Roman" w:hint="default"/>
        </w:rPr>
        <w:t>91440400707956364B</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tabs>
          <w:tab w:pos="4486" w:val="left" w:leader="none"/>
        </w:tabs>
        <w:spacing w:line="307" w:lineRule="auto"/>
        <w:ind w:left="506" w:right="3217"/>
        <w:jc w:val="left"/>
      </w:pPr>
      <w:r>
        <w:rPr/>
        <w:t>公司行业性质：</w:t>
      </w:r>
      <w:r>
        <w:rPr>
          <w:rFonts w:ascii="Times New Roman" w:hAnsi="Times New Roman" w:cs="Times New Roman" w:eastAsia="Times New Roman" w:hint="default"/>
        </w:rPr>
        <w:t>IT</w:t>
      </w:r>
      <w:r>
        <w:rPr/>
        <w:t>行业。 公司经营范围：计算机软件的开发和销售，计算机软硬件系统集成，计算机技术咨询服务。 公司住所：广东省珠海市港湾大道科技一路</w:t>
      </w:r>
      <w:r>
        <w:rPr>
          <w:rFonts w:ascii="Times New Roman" w:hAnsi="Times New Roman" w:cs="Times New Roman" w:eastAsia="Times New Roman" w:hint="default"/>
        </w:rPr>
        <w:t>3</w:t>
      </w:r>
      <w:r>
        <w:rPr/>
        <w:t>号</w:t>
        <w:tab/>
        <w:t>法定代表人：陈利浩。 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日决议批准报出。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240" w:lineRule="auto" w:before="0"/>
        <w:ind w:left="154" w:right="0"/>
        <w:jc w:val="both"/>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15</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。本公司本年度合并范围比上年度增加</w:t>
      </w:r>
    </w:p>
    <w:p>
      <w:pPr>
        <w:pStyle w:val="BodyText"/>
        <w:spacing w:line="300" w:lineRule="auto" w:before="63"/>
        <w:ind w:right="4453"/>
        <w:jc w:val="left"/>
      </w:pPr>
      <w:r>
        <w:rPr>
          <w:rFonts w:ascii="Times New Roman" w:hAnsi="Times New Roman" w:cs="Times New Roman" w:eastAsia="Times New Roman" w:hint="default"/>
        </w:rPr>
        <w:t>2</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 本公司及各子公司主要从事向客户提供财务和管理信息化全面解决方案等服务。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both"/>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3" w:right="985"/>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985"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54" w:right="0"/>
        <w:jc w:val="both"/>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68" w:lineRule="auto" w:before="0"/>
        <w:ind w:left="509" w:right="1654"/>
        <w:jc w:val="left"/>
        <w:rPr>
          <w:sz w:val="22"/>
          <w:szCs w:val="22"/>
        </w:rPr>
      </w:pPr>
      <w:r>
        <w:rPr/>
        <w:t>本公司自报告期末起</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个月内仍具有较强的持续经营能力，未发现对公司持续经营能力产生重大影响的事项或 其他重要影响因素</w:t>
      </w:r>
      <w:r>
        <w:rPr>
          <w:sz w:val="22"/>
          <w:szCs w:val="22"/>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pStyle w:val="Heading2"/>
        <w:spacing w:line="240" w:lineRule="auto"/>
        <w:ind w:left="154" w:right="0"/>
        <w:jc w:val="both"/>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p>
      <w:pPr>
        <w:pStyle w:val="BodyText"/>
        <w:spacing w:line="240" w:lineRule="auto" w:before="29"/>
        <w:ind w:left="154" w:right="0"/>
        <w:jc w:val="both"/>
      </w:pPr>
      <w:r>
        <w:rPr/>
        <w:t>具体会计政策和会计估计提示：</w:t>
      </w:r>
    </w:p>
    <w:p>
      <w:pPr>
        <w:pStyle w:val="BodyText"/>
        <w:spacing w:line="316" w:lineRule="auto" w:before="115"/>
        <w:ind w:left="499" w:right="1509" w:firstLine="420"/>
        <w:jc w:val="both"/>
      </w:pPr>
      <w:r>
        <w:rPr/>
        <w:t>本公司及各子公司从事向客户提供财务和管理信息化全面解决方案等服务。本公司及各子公司根据实际生产 </w:t>
      </w:r>
      <w:r>
        <w:rPr>
          <w:spacing w:val="-2"/>
        </w:rPr>
        <w:t>经营特点，在运用会计政策过程中，由于经营活动内在的不确定性，本公司需要对无法准确计量的报表项目的账面</w:t>
      </w:r>
      <w:r>
        <w:rPr>
          <w:spacing w:val="-77"/>
        </w:rPr>
        <w:t> </w:t>
      </w:r>
      <w:r>
        <w:rPr>
          <w:spacing w:val="-77"/>
        </w:rPr>
      </w:r>
      <w:r>
        <w:rPr>
          <w:spacing w:val="-2"/>
        </w:rPr>
        <w:t>价值进行判断、估计和假设。这些判断、估计和假设是基于本公司管理层过去的历史经验，并在考虑其他相关因素</w:t>
      </w:r>
      <w:r>
        <w:rPr>
          <w:spacing w:val="-77"/>
        </w:rPr>
        <w:t> </w:t>
      </w:r>
      <w:r>
        <w:rPr>
          <w:spacing w:val="-77"/>
        </w:rPr>
      </w:r>
      <w:r>
        <w:rPr>
          <w:spacing w:val="-2"/>
        </w:rPr>
        <w:t>的基础上做出的。这些判断、估计和假设会影响收入、费用、资产和负债的报告金额以及资产负债表日或有负债的</w:t>
      </w:r>
      <w:r>
        <w:rPr>
          <w:spacing w:val="-77"/>
        </w:rPr>
        <w:t> </w:t>
      </w:r>
      <w:r>
        <w:rPr>
          <w:spacing w:val="-77"/>
        </w:rPr>
      </w:r>
      <w:r>
        <w:rPr>
          <w:spacing w:val="-2"/>
        </w:rPr>
        <w:t>披露。然而，这些估计的不确定性所导致的实际结果可能与本公司管理层当前的估计存在差异，进而造成对未来受</w:t>
      </w:r>
      <w:r>
        <w:rPr>
          <w:spacing w:val="-76"/>
        </w:rPr>
        <w:t> </w:t>
      </w:r>
      <w:r>
        <w:rPr>
          <w:spacing w:val="-76"/>
        </w:rPr>
      </w:r>
      <w:r>
        <w:rPr/>
        <w:t>影响的资产或负债的账面金额进行调整。</w:t>
      </w:r>
    </w:p>
    <w:p>
      <w:pPr>
        <w:pStyle w:val="BodyText"/>
        <w:spacing w:line="240" w:lineRule="auto" w:before="57"/>
        <w:ind w:left="859" w:right="1747"/>
        <w:jc w:val="center"/>
      </w:pPr>
      <w:r>
        <w:rPr/>
        <w:t>本公司对前述判断、估计和假设在持续经营的基础上进行定期复核，会计估计的变更仅影响变更当期的，</w:t>
      </w:r>
    </w:p>
    <w:p>
      <w:pPr>
        <w:spacing w:after="0" w:line="240" w:lineRule="auto"/>
        <w:jc w:val="cente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499" w:right="1663"/>
        <w:jc w:val="left"/>
      </w:pPr>
      <w:r>
        <w:rPr/>
        <w:t>其影响数在变更当期予以确认；既影响变更当期又影响未来期间的，其影响数在变更当期和未来期间予以确</w:t>
      </w:r>
      <w:r>
        <w:rPr>
          <w:spacing w:val="-38"/>
        </w:rPr>
        <w:t> </w:t>
      </w:r>
      <w:r>
        <w:rPr>
          <w:spacing w:val="-38"/>
        </w:rPr>
      </w:r>
      <w:r>
        <w:rPr/>
        <w:t>认。</w:t>
      </w:r>
    </w:p>
    <w:p>
      <w:pPr>
        <w:pStyle w:val="BodyText"/>
        <w:spacing w:line="240" w:lineRule="auto" w:before="32"/>
        <w:ind w:left="943" w:right="985"/>
        <w:jc w:val="left"/>
      </w:pPr>
      <w:r>
        <w:rPr/>
        <w:t>于资产负债表日，本公司需对财务报表项目金额进行判断、估计和假设的重要领域如下：</w:t>
      </w:r>
    </w:p>
    <w:p>
      <w:pPr>
        <w:pStyle w:val="BodyText"/>
        <w:spacing w:line="328" w:lineRule="auto" w:before="127"/>
        <w:ind w:left="934" w:right="1512" w:hanging="345"/>
        <w:jc w:val="left"/>
      </w:pPr>
      <w:r>
        <w:rPr>
          <w:rFonts w:ascii="宋体" w:hAnsi="宋体" w:cs="宋体" w:eastAsia="宋体" w:hint="default"/>
        </w:rPr>
        <w:t>1. </w:t>
      </w:r>
      <w:r>
        <w:rPr/>
        <w:t>在服务合同结果可以可靠估计时，本公司采用完工百分比法在资产负债表日确认合同收入。合同的完工百分 比是依照本节</w:t>
      </w:r>
      <w:r>
        <w:rPr>
          <w:rFonts w:ascii="Times New Roman" w:hAnsi="Times New Roman" w:cs="Times New Roman" w:eastAsia="Times New Roman" w:hint="default"/>
        </w:rPr>
        <w:t>28</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 在确定工程完工进度，以及合同可回收性时，需要作出重大判断。项目管理层主要依靠过去的经验和工作作</w:t>
      </w:r>
    </w:p>
    <w:p>
      <w:pPr>
        <w:pStyle w:val="BodyText"/>
        <w:spacing w:line="316" w:lineRule="auto" w:before="10"/>
        <w:ind w:left="514" w:right="1572"/>
        <w:jc w:val="left"/>
      </w:pPr>
      <w:r>
        <w:rPr/>
        <w:t>出判断。工程完工进度，以及合同执行结果的估计变更可能对变更当期或以后期间的营业收入、营业成本，以及 期间损益产生影响。</w:t>
      </w:r>
    </w:p>
    <w:p>
      <w:pPr>
        <w:pStyle w:val="BodyText"/>
        <w:spacing w:line="362" w:lineRule="auto" w:before="64"/>
        <w:ind w:left="934" w:right="985" w:hanging="345"/>
        <w:jc w:val="left"/>
      </w:pPr>
      <w:r>
        <w:rPr>
          <w:rFonts w:ascii="宋体" w:hAnsi="宋体" w:cs="宋体" w:eastAsia="宋体" w:hint="default"/>
        </w:rPr>
        <w:t>1. </w:t>
      </w:r>
      <w:r>
        <w:rPr/>
        <w:t>坏账准备计提 </w:t>
      </w:r>
      <w:r>
        <w:rPr>
          <w:spacing w:val="-2"/>
        </w:rPr>
        <w:t>本公司根据应收款项的会计政策，采用备抵法核算坏账损失。应收账款减值是基于评估应收账款的可收回性。</w:t>
      </w:r>
    </w:p>
    <w:p>
      <w:pPr>
        <w:pStyle w:val="BodyText"/>
        <w:spacing w:line="220" w:lineRule="exact" w:before="0"/>
        <w:ind w:left="514" w:right="985"/>
        <w:jc w:val="left"/>
      </w:pPr>
      <w:r>
        <w:rPr/>
        <w:t>鉴定应收账款减值要求管理层的判断和估计。实际的结果与原先估计的差异将在估计被改变的期间影响应收账款</w:t>
      </w:r>
    </w:p>
    <w:p>
      <w:pPr>
        <w:pStyle w:val="BodyText"/>
        <w:spacing w:line="364" w:lineRule="auto" w:before="76"/>
        <w:ind w:left="589" w:right="6613" w:hanging="76"/>
        <w:jc w:val="left"/>
      </w:pPr>
      <w:r>
        <w:rPr/>
        <w:t>的账面价值及应收账款坏账准备的计提或转回。 </w:t>
      </w:r>
      <w:r>
        <w:rPr>
          <w:rFonts w:ascii="宋体" w:hAnsi="宋体" w:cs="宋体" w:eastAsia="宋体" w:hint="default"/>
        </w:rPr>
        <w:t>1.  </w:t>
      </w:r>
      <w:r>
        <w:rPr/>
        <w:t>存货跌价准备</w:t>
      </w:r>
    </w:p>
    <w:p>
      <w:pPr>
        <w:pStyle w:val="BodyText"/>
        <w:spacing w:line="316" w:lineRule="auto" w:before="27"/>
        <w:ind w:left="514" w:right="1512" w:firstLine="420"/>
        <w:jc w:val="left"/>
      </w:pPr>
      <w:r>
        <w:rPr/>
        <w:t>本公司根据存货会计政策，按照成本与可变现净值孰低计量，对成本高于可变现净值及陈旧和滞销的存货， 计提存货跌价准备。存货减值至可变现净值是基于评估存货的可售性及其可变现净值。鉴定存货减值要求管理层 在取得确凿证据，并且考虑持有存货的目的、资产负债表日后事项的影响等因素的基础上作出判断和估计。实际 的结果与原先估计的差异将在估计被改变的期间影响存货的账面价值及存货跌价准备的计提或转回。</w:t>
      </w:r>
    </w:p>
    <w:p>
      <w:pPr>
        <w:spacing w:line="240" w:lineRule="auto" w:before="0"/>
        <w:rPr>
          <w:rFonts w:ascii="宋体" w:hAnsi="宋体" w:cs="宋体" w:eastAsia="宋体" w:hint="default"/>
          <w:sz w:val="18"/>
          <w:szCs w:val="18"/>
        </w:rPr>
      </w:pPr>
    </w:p>
    <w:p>
      <w:pPr>
        <w:pStyle w:val="BodyText"/>
        <w:spacing w:line="364" w:lineRule="auto" w:before="126"/>
        <w:ind w:left="934" w:right="1512" w:hanging="345"/>
        <w:jc w:val="left"/>
      </w:pPr>
      <w:r>
        <w:rPr>
          <w:rFonts w:ascii="宋体" w:hAnsi="宋体" w:cs="宋体" w:eastAsia="宋体" w:hint="default"/>
        </w:rPr>
        <w:t>1. </w:t>
      </w:r>
      <w:r>
        <w:rPr/>
        <w:t>金融工具公允价值 对不存在活跃交易市场的金融工具，本公司通过各种估值方法确定其公允价值。这些估值方法包括贴现现金</w:t>
      </w:r>
    </w:p>
    <w:p>
      <w:pPr>
        <w:pStyle w:val="BodyText"/>
        <w:spacing w:line="218" w:lineRule="exact" w:before="0"/>
        <w:ind w:left="514" w:right="985"/>
        <w:jc w:val="left"/>
      </w:pPr>
      <w:r>
        <w:rPr/>
        <w:t>流模型分析等。估值时本公司需对未来现金流量、信用风险、市场波动率和相关性等方面进行估计，并选择适当</w:t>
      </w:r>
    </w:p>
    <w:p>
      <w:pPr>
        <w:pStyle w:val="BodyText"/>
        <w:spacing w:line="362" w:lineRule="auto" w:before="77"/>
        <w:ind w:left="589" w:right="3733" w:hanging="76"/>
        <w:jc w:val="left"/>
      </w:pPr>
      <w:r>
        <w:rPr/>
        <w:t>的折现率。这些相关假设具有不确定性，其变化会对金融工具的公允价值产生影响。 </w:t>
      </w:r>
      <w:r>
        <w:rPr>
          <w:rFonts w:ascii="宋体" w:hAnsi="宋体" w:cs="宋体" w:eastAsia="宋体" w:hint="default"/>
        </w:rPr>
        <w:t>1.  </w:t>
      </w:r>
      <w:r>
        <w:rPr/>
        <w:t>可供出售金融资产减值</w:t>
      </w:r>
    </w:p>
    <w:p>
      <w:pPr>
        <w:pStyle w:val="BodyText"/>
        <w:spacing w:line="316" w:lineRule="auto" w:before="30"/>
        <w:ind w:left="514" w:right="1512" w:firstLine="420"/>
        <w:jc w:val="left"/>
      </w:pPr>
      <w:r>
        <w:rPr/>
        <w:t>本公司确定可供出售金融资产是否减值在很大程度上依赖于管理层的判断和假设，以确定是否需要在利润表 中确认其减值损失。在进行判断和作出假设的过程中，本公司需评估该项投资的公允价值低于成本的程度和持续 期间，以及被投资对象的财务状况和短期业务展望，包括行业状况、技术变革、信用评级、违约率和对手方的风 险。</w:t>
      </w:r>
    </w:p>
    <w:p>
      <w:pPr>
        <w:pStyle w:val="BodyText"/>
        <w:spacing w:line="321" w:lineRule="auto" w:before="63"/>
        <w:ind w:left="513" w:right="985" w:firstLine="60"/>
        <w:jc w:val="left"/>
      </w:pPr>
      <w:r>
        <w:rPr>
          <w:rFonts w:ascii="宋体" w:hAnsi="宋体" w:cs="宋体" w:eastAsia="宋体" w:hint="default"/>
        </w:rPr>
        <w:t>1. </w:t>
      </w:r>
      <w:r>
        <w:rPr/>
        <w:t>长期资产减值准备 </w:t>
      </w:r>
      <w:r>
        <w:rPr>
          <w:spacing w:val="-2"/>
        </w:rPr>
        <w:t>本公司于资产负债表日对除金融资产之外的非流动资产判断是否存在可能发生减值的迹象。对使用寿命不确定的无形资</w:t>
      </w:r>
      <w:r>
        <w:rPr>
          <w:spacing w:val="-76"/>
        </w:rPr>
        <w:t> </w:t>
      </w:r>
      <w:r>
        <w:rPr>
          <w:spacing w:val="-76"/>
        </w:rPr>
      </w:r>
      <w:r>
        <w:rPr>
          <w:spacing w:val="-2"/>
        </w:rPr>
        <w:t>产，除每年进行的减值测试外，当其存在减值迹象时，也进行减值测试。其他除金融资产之外的非流动资产，当存在迹</w:t>
      </w:r>
      <w:r>
        <w:rPr>
          <w:spacing w:val="-76"/>
        </w:rPr>
        <w:t> </w:t>
      </w:r>
      <w:r>
        <w:rPr>
          <w:spacing w:val="-76"/>
        </w:rPr>
      </w:r>
      <w:r>
        <w:rPr/>
        <w:t>象表明其账面金额不可收回时，进行减值测试。 当资产或资产组的账面价值高于可收回金额，即公允价值减去处置费用后的净额和预计未来现金流量的现值中的较高 者，表明发生了减值。 </w:t>
      </w:r>
      <w:r>
        <w:rPr>
          <w:spacing w:val="-2"/>
        </w:rPr>
        <w:t>公允价值减去处置费用后的净额，参考公平交易中类似资产的销售协议价格或可观察到的市场价格，减去可直接归属于</w:t>
      </w:r>
      <w:r>
        <w:rPr>
          <w:spacing w:val="-78"/>
        </w:rPr>
        <w:t> </w:t>
      </w:r>
      <w:r>
        <w:rPr>
          <w:spacing w:val="-78"/>
        </w:rPr>
      </w:r>
      <w:r>
        <w:rPr/>
        <w:t>该资产处置的增量成本确定。 </w:t>
      </w:r>
      <w:r>
        <w:rPr>
          <w:spacing w:val="-2"/>
        </w:rPr>
        <w:t>在预计未来现金流量现值时，需要对该资产（或资产组）的产量、售价、相关经营成本以及计算现值时使用的折现率等</w:t>
      </w:r>
      <w:r>
        <w:rPr>
          <w:spacing w:val="-76"/>
        </w:rPr>
        <w:t> </w:t>
      </w:r>
      <w:r>
        <w:rPr>
          <w:spacing w:val="-76"/>
        </w:rPr>
      </w:r>
      <w:r>
        <w:rPr>
          <w:spacing w:val="-2"/>
        </w:rPr>
        <w:t>作出重大判断。本公司在估计可收回金额时会采用所有能够获得的相关资料，包括根据合理和可支持的假设所作出有关</w:t>
      </w:r>
      <w:r>
        <w:rPr>
          <w:spacing w:val="-79"/>
        </w:rPr>
        <w:t> </w:t>
      </w:r>
      <w:r>
        <w:rPr>
          <w:spacing w:val="-79"/>
        </w:rPr>
      </w:r>
      <w:r>
        <w:rPr/>
        <w:t>产量、售价和相关经营成本的预测。 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w:t>
      </w:r>
      <w:r>
        <w:rPr>
          <w:spacing w:val="-79"/>
        </w:rPr>
        <w:t> </w:t>
      </w:r>
      <w:r>
        <w:rPr>
          <w:spacing w:val="-79"/>
        </w:rPr>
      </w:r>
      <w:r>
        <w:rPr/>
        <w:t>折现率确定未来现金流量的现值。</w:t>
      </w:r>
    </w:p>
    <w:p>
      <w:pPr>
        <w:pStyle w:val="BodyText"/>
        <w:spacing w:line="240" w:lineRule="auto" w:before="22"/>
        <w:ind w:left="589" w:right="985"/>
        <w:jc w:val="left"/>
      </w:pPr>
      <w:r>
        <w:rPr>
          <w:rFonts w:ascii="宋体" w:hAnsi="宋体" w:cs="宋体" w:eastAsia="宋体" w:hint="default"/>
        </w:rPr>
        <w:t>1.  </w:t>
      </w:r>
      <w:r>
        <w:rPr/>
        <w:t>折旧和摊销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3" w:right="1513" w:firstLine="420"/>
        <w:jc w:val="left"/>
      </w:pPr>
      <w:r>
        <w:rPr/>
        <w:t>本公司对投资性房地产、固定资产和无形资产在考虑其残值后，在使用寿命内按直线法计提折旧和摊销。本 公司定期复核使用寿命，以决定将计入每个报告期的折旧和摊销费用数额。使用寿命是本公司根据对同类资产的 以往经验并结合预期的技术更新而确定的。如果以前的估计发生重大变化，则会在未来期间对折旧和摊销费用进 行调整。</w:t>
      </w:r>
    </w:p>
    <w:p>
      <w:pPr>
        <w:pStyle w:val="BodyText"/>
        <w:spacing w:line="348" w:lineRule="auto" w:before="63"/>
        <w:ind w:left="522" w:right="1024" w:firstLine="51"/>
        <w:jc w:val="left"/>
      </w:pPr>
      <w:r>
        <w:rPr>
          <w:rFonts w:ascii="宋体" w:hAnsi="宋体" w:cs="宋体" w:eastAsia="宋体" w:hint="default"/>
        </w:rPr>
        <w:t>1. </w:t>
      </w:r>
      <w:r>
        <w:rPr/>
        <w:t>开发支出 确定资本化的金额时，本公司管理层需要作出有关资产的预计未来现金流量、适用的折现率以及预计受益期间的假设。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日本公司自行开发的基于</w:t>
      </w:r>
      <w:r>
        <w:rPr>
          <w:rFonts w:ascii="Times New Roman" w:hAnsi="Times New Roman" w:cs="Times New Roman" w:eastAsia="Times New Roman" w:hint="default"/>
        </w:rPr>
        <w:t>ECP</w:t>
      </w:r>
      <w:r>
        <w:rPr/>
        <w:t>平台的企业场景化微应用解决方案、基于软硬一体的财务共享服务解决方</w:t>
      </w:r>
    </w:p>
    <w:p>
      <w:pPr>
        <w:pStyle w:val="BodyText"/>
        <w:spacing w:line="209" w:lineRule="exact" w:before="0"/>
        <w:ind w:left="522" w:right="985"/>
        <w:jc w:val="left"/>
      </w:pPr>
      <w:r>
        <w:rPr/>
        <w:t>案、基于会计引擎的营财一体化解决方案、基于企业风险管理的实时监督解决方案、基于市场化售电公司的购售电管理</w:t>
      </w:r>
    </w:p>
    <w:p>
      <w:pPr>
        <w:pStyle w:val="BodyText"/>
        <w:spacing w:line="312" w:lineRule="auto" w:before="76"/>
        <w:ind w:left="522" w:right="985"/>
        <w:jc w:val="left"/>
      </w:pPr>
      <w:r>
        <w:rPr/>
        <w:t>系统所形成的无形资产在资产负债表中的余额为人民币</w:t>
      </w:r>
      <w:r>
        <w:rPr>
          <w:rFonts w:ascii="Times New Roman" w:hAnsi="Times New Roman" w:cs="Times New Roman" w:eastAsia="Times New Roman" w:hint="default"/>
        </w:rPr>
        <w:t>33,320,068.56</w:t>
      </w:r>
      <w:r>
        <w:rPr/>
        <w:t>元。本公司管理层认为该业务的前景和目前的发展 </w:t>
      </w:r>
      <w:r>
        <w:rPr>
          <w:spacing w:val="-2"/>
        </w:rPr>
        <w:t>良好，市场对以该无形资产生产的产品的反应也证实了管理层之前对这一项目预期收入的估计。但是日益增加的竞争也</w:t>
      </w:r>
      <w:r>
        <w:rPr>
          <w:spacing w:val="-80"/>
        </w:rPr>
        <w:t> </w:t>
      </w:r>
      <w:r>
        <w:rPr>
          <w:spacing w:val="-80"/>
        </w:rPr>
      </w:r>
      <w:r>
        <w:rPr>
          <w:spacing w:val="-2"/>
        </w:rPr>
        <w:t>使得管理层重新考虑对市场份额和有关产品的预计毛利等方面的假设。经过全面的检视后，本公司管理层认为即使在产</w:t>
      </w:r>
      <w:r>
        <w:rPr>
          <w:spacing w:val="-79"/>
        </w:rPr>
        <w:t> </w:t>
      </w:r>
      <w:r>
        <w:rPr>
          <w:spacing w:val="-79"/>
        </w:rPr>
      </w:r>
      <w:r>
        <w:rPr/>
        <w:t>品回报率出现下调的情况下，仍可以全额收回基于</w:t>
      </w:r>
      <w:r>
        <w:rPr>
          <w:rFonts w:ascii="Times New Roman" w:hAnsi="Times New Roman" w:cs="Times New Roman" w:eastAsia="Times New Roman" w:hint="default"/>
        </w:rPr>
        <w:t>ECP</w:t>
      </w:r>
      <w:r>
        <w:rPr/>
        <w:t>平台的企业场景化微应用解决方案、基于软硬一体的财务</w:t>
      </w:r>
      <w:r>
        <w:rPr>
          <w:spacing w:val="-18"/>
        </w:rPr>
        <w:t> </w:t>
      </w:r>
      <w:r>
        <w:rPr/>
        <w:t>共享</w:t>
      </w:r>
      <w:r>
        <w:rPr/>
        <w:t> </w:t>
      </w:r>
      <w:r>
        <w:rPr>
          <w:spacing w:val="-2"/>
        </w:rPr>
        <w:t>服务解决方案、基于会计引擎的营财一体化解决方案、基于企业风险管理的实时监督解决方案、基于市场化售电公司的</w:t>
      </w:r>
      <w:r>
        <w:rPr>
          <w:spacing w:val="-79"/>
        </w:rPr>
        <w:t> </w:t>
      </w:r>
      <w:r>
        <w:rPr>
          <w:spacing w:val="-79"/>
        </w:rPr>
      </w:r>
      <w:r>
        <w:rPr>
          <w:spacing w:val="-4"/>
        </w:rPr>
        <w:t>购售电管理系统的无形资产账面价值。本公司将继续密切检视有关情况，一旦有迹象表明需要调整相关会计估计的假设，</w:t>
      </w:r>
      <w:r>
        <w:rPr>
          <w:spacing w:val="-58"/>
        </w:rPr>
        <w:t> </w:t>
      </w:r>
      <w:r>
        <w:rPr>
          <w:spacing w:val="-58"/>
        </w:rPr>
      </w:r>
      <w:r>
        <w:rPr/>
        <w:t>本公司将在有关迹象发生的期间作出调整。</w:t>
      </w:r>
    </w:p>
    <w:p>
      <w:pPr>
        <w:spacing w:line="240" w:lineRule="auto" w:before="0"/>
        <w:rPr>
          <w:rFonts w:ascii="宋体" w:hAnsi="宋体" w:cs="宋体" w:eastAsia="宋体" w:hint="default"/>
          <w:sz w:val="18"/>
          <w:szCs w:val="18"/>
        </w:rPr>
      </w:pPr>
    </w:p>
    <w:p>
      <w:pPr>
        <w:pStyle w:val="BodyText"/>
        <w:spacing w:line="364" w:lineRule="auto" w:before="156"/>
        <w:ind w:left="934" w:right="985" w:hanging="345"/>
        <w:jc w:val="left"/>
      </w:pPr>
      <w:r>
        <w:rPr>
          <w:rFonts w:ascii="宋体" w:hAnsi="宋体" w:cs="宋体" w:eastAsia="宋体" w:hint="default"/>
        </w:rPr>
        <w:t>1. </w:t>
      </w:r>
      <w:r>
        <w:rPr/>
        <w:t>递延所得税资产 </w:t>
      </w:r>
      <w:r>
        <w:rPr>
          <w:spacing w:val="-2"/>
        </w:rPr>
        <w:t>在很有可能有足够的应纳税利润来抵扣亏损的限度内，本公司就所有未利用的税务亏损确认递延所得税资产。</w:t>
      </w:r>
    </w:p>
    <w:p>
      <w:pPr>
        <w:pStyle w:val="BodyText"/>
        <w:spacing w:line="218" w:lineRule="exact" w:before="0"/>
        <w:ind w:left="514" w:right="985"/>
        <w:jc w:val="left"/>
      </w:pPr>
      <w:r>
        <w:rPr/>
        <w:t>这需要本公司管理层运用大量的判断来估计未来应纳税利润发生的时间和金额，结合纳税筹划策略，以决定应确</w:t>
      </w:r>
    </w:p>
    <w:p>
      <w:pPr>
        <w:pStyle w:val="BodyText"/>
        <w:spacing w:line="362" w:lineRule="auto" w:before="76"/>
        <w:ind w:left="574" w:right="8052" w:hanging="60"/>
        <w:jc w:val="left"/>
      </w:pPr>
      <w:r>
        <w:rPr/>
        <w:t>认的递延所得税资产的金额。 </w:t>
      </w:r>
      <w:r>
        <w:rPr>
          <w:rFonts w:ascii="宋体" w:hAnsi="宋体" w:cs="宋体" w:eastAsia="宋体" w:hint="default"/>
        </w:rPr>
        <w:t>1.  </w:t>
      </w:r>
      <w:r>
        <w:rPr/>
        <w:t>所得税</w:t>
      </w:r>
    </w:p>
    <w:p>
      <w:pPr>
        <w:pStyle w:val="BodyText"/>
        <w:spacing w:line="316" w:lineRule="auto" w:before="29"/>
        <w:ind w:left="499" w:right="1508" w:firstLine="420"/>
        <w:jc w:val="both"/>
      </w:pPr>
      <w:r>
        <w:rPr/>
        <w:t>本公司在正常的经营活动中，有部分交易其最终的税务处理和计算存在一定的不确定性。部分项目是否能够 </w:t>
      </w:r>
      <w:r>
        <w:rPr>
          <w:spacing w:val="-2"/>
        </w:rPr>
        <w:t>在税前列支需要税收主管机关的审批。如果这些税务事项的最终认定结果同最初估计的金额存在差异，则该差异将</w:t>
      </w:r>
      <w:r>
        <w:rPr>
          <w:spacing w:val="-74"/>
        </w:rPr>
        <w:t> </w:t>
      </w:r>
      <w:r>
        <w:rPr>
          <w:spacing w:val="-74"/>
        </w:rPr>
      </w:r>
      <w:r>
        <w:rPr/>
        <w:t>对其最终认定期间的当期所得税和递延所得税产生影响。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4"/>
        <w:spacing w:line="240" w:lineRule="auto"/>
        <w:ind w:right="985"/>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2017</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985"/>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050"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4"/>
        <w:spacing w:line="240" w:lineRule="auto"/>
        <w:ind w:right="985"/>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50" w:firstLine="360"/>
        <w:jc w:val="both"/>
      </w:pPr>
      <w:r>
        <w:rPr>
          <w:spacing w:val="-2"/>
        </w:rPr>
        <w:t>人民币为本公司及境内子公司经营所处的主要经济环境中的货币，本公司及境内子公司以人民币为记账本位币。本公司</w:t>
      </w:r>
      <w:r>
        <w:rPr/>
        <w:t> 之境外子公司根据其经营所处的主要经济环境中的货币确定记账本位币。本公司编制本财务报表时所采用的货币为人民币。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4"/>
        <w:spacing w:line="240" w:lineRule="auto"/>
        <w:ind w:right="985"/>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6"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985"/>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2"/>
        <w:ind w:left="154" w:right="985"/>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985"/>
        <w:jc w:val="left"/>
      </w:pPr>
      <w:r>
        <w:rPr/>
        <w:t>合并方为进行企业合并发生的各项直接费用，于发生时计入当期损益。</w:t>
      </w:r>
    </w:p>
    <w:p>
      <w:pPr>
        <w:pStyle w:val="BodyText"/>
        <w:spacing w:line="300" w:lineRule="auto" w:before="76"/>
        <w:ind w:left="514" w:right="985"/>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985"/>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4"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3"/>
        </w:rPr>
        <w:t> </w:t>
      </w:r>
      <w:r>
        <w:rPr>
          <w:spacing w:val="-63"/>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left="154"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240" w:lineRule="auto" w:before="22"/>
        <w:ind w:left="514" w:right="985"/>
        <w:jc w:val="left"/>
      </w:pPr>
      <w:r>
        <w:rPr/>
        <w:t>通过多次交易分步实现的非同一控制下企业合并</w:t>
      </w:r>
      <w:r>
        <w:rPr>
          <w:spacing w:val="-53"/>
        </w:rPr>
        <w:t>，</w:t>
      </w:r>
      <w:r>
        <w:rPr/>
        <w:t>根</w:t>
      </w:r>
      <w:r>
        <w:rPr>
          <w:spacing w:val="-53"/>
        </w:rPr>
        <w:t>据</w:t>
      </w:r>
      <w:r>
        <w:rPr>
          <w:spacing w:val="1"/>
        </w:rPr>
        <w:t>《</w:t>
      </w:r>
      <w:r>
        <w:rPr/>
        <w:t>财政部关于印发企业会计准则解释</w:t>
      </w:r>
      <w:r>
        <w:rPr>
          <w:spacing w:val="1"/>
        </w:rPr>
        <w:t>第</w:t>
      </w:r>
      <w:r>
        <w:rPr>
          <w:rFonts w:ascii="Times New Roman" w:hAnsi="Times New Roman" w:cs="Times New Roman" w:eastAsia="Times New Roman" w:hint="default"/>
        </w:rPr>
        <w:t>5</w:t>
      </w:r>
      <w:r>
        <w:rPr/>
        <w:t>号的通知</w:t>
      </w:r>
      <w:r>
        <w:rPr>
          <w:spacing w:val="-106"/>
        </w:rPr>
        <w:t>》</w:t>
      </w:r>
      <w:r>
        <w:rPr/>
        <w:t>（财</w:t>
      </w:r>
      <w:r>
        <w:rPr>
          <w:spacing w:val="-53"/>
        </w:rPr>
        <w:t>会</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012</w:t>
      </w:r>
      <w:r>
        <w:rPr/>
        <w:t>〕</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068"/>
        <w:jc w:val="both"/>
      </w:pP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12“</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9" w:lineRule="auto" w:before="13"/>
        <w:ind w:right="1131"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3"/>
        </w:rPr>
        <w:t> </w:t>
      </w:r>
      <w:r>
        <w:rPr>
          <w:spacing w:val="-63"/>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7"/>
        <w:ind w:right="1131"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3" w:right="985"/>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131"/>
        <w:jc w:val="both"/>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985"/>
        <w:jc w:val="left"/>
      </w:pPr>
      <w:r>
        <w:rPr/>
        <w:t>一旦相关事实和情况的变化导致上述控制定义涉及的相关要素发生了变化，本公司将进行重新评估。</w:t>
      </w:r>
    </w:p>
    <w:p>
      <w:pPr>
        <w:pStyle w:val="BodyText"/>
        <w:spacing w:line="300" w:lineRule="auto" w:before="76"/>
        <w:ind w:left="514" w:right="985"/>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2"/>
        <w:ind w:left="154" w:right="985"/>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left="15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985"/>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7"/>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5"/>
        </w:rPr>
        <w:t> </w:t>
      </w:r>
      <w:r>
        <w:rPr>
          <w:spacing w:val="-65"/>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12“</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before="3"/>
        <w:ind w:left="154" w:right="1131" w:firstLine="360"/>
        <w:jc w:val="both"/>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right="1033"/>
        <w:jc w:val="left"/>
      </w:pP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right="985"/>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29" w:firstLine="360"/>
        <w:jc w:val="both"/>
      </w:pPr>
      <w:r>
        <w:rPr/>
        <w:t>本公司对合营企业的投资采用权益法核算，按照本附注四、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）②</w:t>
      </w:r>
      <w:r>
        <w:rPr>
          <w:spacing w:val="-57"/>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133"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985"/>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Heading4"/>
        <w:spacing w:line="240" w:lineRule="auto"/>
        <w:ind w:right="985"/>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left="514" w:right="985"/>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left="154" w:right="985"/>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4" w:right="985"/>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985"/>
        <w:jc w:val="left"/>
      </w:pPr>
      <w:r>
        <w:rPr>
          <w:spacing w:val="-2"/>
        </w:rPr>
        <w:t>本化条件的资产相关的外币专门借款产生的汇兑差额按照借款费用资本化的原则处理；以及②可供出售的外币货币性项目除</w:t>
      </w:r>
      <w:r>
        <w:rPr>
          <w:spacing w:val="-64"/>
        </w:rPr>
        <w:t> </w:t>
      </w:r>
      <w:r>
        <w:rPr>
          <w:spacing w:val="-64"/>
        </w:rPr>
      </w:r>
      <w:r>
        <w:rPr/>
        <w:t>摊余成本之外的其他账面余额变动产生的汇兑差额计入其他综合收益之外，均计入当期损益。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9"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7"/>
        <w:ind w:left="514" w:right="985"/>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985"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032"/>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交易发生日的当期平均汇率折算。年初未分配利润为上一年折算后的年末未分配利润；年末未分配利润按折算后的利润分配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各项目计算列示；折算后资产类项目与负债类项目和股东权益类项目合计数的差额，作为外币报表折算差额，确认为其他综</w:t>
      </w:r>
      <w:r>
        <w:rPr>
          <w:spacing w:val="-66"/>
        </w:rPr>
        <w:t> </w:t>
      </w:r>
      <w:r>
        <w:rPr>
          <w:spacing w:val="-66"/>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316" w:lineRule="auto" w:before="20"/>
        <w:ind w:left="154" w:right="1131" w:firstLine="360"/>
        <w:jc w:val="both"/>
      </w:pPr>
      <w:r>
        <w:rPr>
          <w:spacing w:val="-2"/>
        </w:rPr>
        <w:t>外币现金流量以及境外子公司的现金流量，采用现金流量发生日的当期平均汇率折算。汇率变动对现金的影响额作为调</w:t>
      </w:r>
      <w:r>
        <w:rPr/>
        <w:t> 节项目，在现金流量表中单独列报。</w:t>
      </w:r>
    </w:p>
    <w:p>
      <w:pPr>
        <w:pStyle w:val="BodyText"/>
        <w:spacing w:line="316" w:lineRule="auto" w:before="19"/>
        <w:ind w:left="514" w:right="985"/>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4" w:right="1026" w:hanging="360"/>
        <w:jc w:val="left"/>
      </w:pPr>
      <w:r>
        <w:rPr/>
        <w:t>表中所有者权益项目下列示的</w:t>
      </w:r>
      <w:r>
        <w:rPr>
          <w:spacing w:val="-87"/>
        </w:rPr>
        <w:t>、</w:t>
      </w:r>
      <w:r>
        <w:rPr/>
        <w:t>与该境外经营相关的归属于母公司所有者权益的外币报表折算差额</w:t>
      </w:r>
      <w:r>
        <w:rPr>
          <w:spacing w:val="-87"/>
        </w:rPr>
        <w:t>，</w:t>
      </w:r>
      <w:r>
        <w:rPr/>
        <w:t>全部转入处置当期损益。</w:t>
      </w:r>
      <w:r>
        <w:rPr/>
        <w:t> 在处置部分股权投资或其他原因导致持有境外经营权益比例降低但不丧失对境外经营控制权时</w:t>
      </w:r>
      <w:r>
        <w:rPr>
          <w:spacing w:val="-82"/>
        </w:rPr>
        <w:t>，</w:t>
      </w:r>
      <w:r>
        <w:rPr/>
        <w:t>与该境外经营处置部分</w:t>
      </w:r>
    </w:p>
    <w:p>
      <w:pPr>
        <w:pStyle w:val="BodyText"/>
        <w:spacing w:line="316" w:lineRule="auto" w:before="19"/>
        <w:ind w:left="154" w:right="1032"/>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54" w:right="985"/>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985"/>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3" w:right="985"/>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985"/>
        <w:jc w:val="left"/>
      </w:pPr>
      <w:r>
        <w:rPr/>
        <w:t>计入当期损益的金融资产、持有至到期投资、贷款和应收款项以及可供出售金融资产。</w:t>
      </w:r>
    </w:p>
    <w:p>
      <w:pPr>
        <w:pStyle w:val="BodyText"/>
        <w:spacing w:line="319" w:lineRule="auto" w:before="76"/>
        <w:ind w:left="513" w:right="985"/>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0" w:lineRule="auto" w:before="0"/>
        <w:ind w:right="985"/>
        <w:jc w:val="left"/>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3" w:right="985" w:hanging="360"/>
        <w:jc w:val="left"/>
      </w:pPr>
      <w:r>
        <w:rPr/>
        <w:t>能可靠计量的权益工具投资挂钩并须通过交付该权益工具结算的衍生工具除外。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p>
    <w:p>
      <w:pPr>
        <w:pStyle w:val="BodyText"/>
        <w:spacing w:line="309" w:lineRule="auto" w:before="0"/>
        <w:ind w:right="1130"/>
        <w:jc w:val="both"/>
      </w:pP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4"/>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985"/>
        <w:jc w:val="left"/>
      </w:pPr>
      <w:r>
        <w:rPr/>
        <w:t>②</w:t>
      </w:r>
      <w:r>
        <w:rPr>
          <w:spacing w:val="-17"/>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985"/>
        <w:jc w:val="left"/>
      </w:pPr>
      <w:r>
        <w:rPr/>
        <w:t>当期损益。</w:t>
      </w:r>
    </w:p>
    <w:p>
      <w:pPr>
        <w:pStyle w:val="BodyText"/>
        <w:spacing w:line="316" w:lineRule="auto" w:before="76"/>
        <w:ind w:left="154" w:right="1131"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left="154"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985"/>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985"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4" w:right="985"/>
        <w:jc w:val="left"/>
      </w:pPr>
      <w:r>
        <w:rPr/>
        <w:t>当期损益。</w:t>
      </w:r>
    </w:p>
    <w:p>
      <w:pPr>
        <w:pStyle w:val="BodyText"/>
        <w:spacing w:line="316" w:lineRule="auto" w:before="77"/>
        <w:ind w:left="514" w:right="1032"/>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9"/>
        <w:ind w:left="514" w:right="985"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left="154" w:right="1130"/>
        <w:jc w:val="both"/>
      </w:pPr>
      <w:r>
        <w:rPr>
          <w:spacing w:val="-2"/>
        </w:rPr>
        <w:t>法将该初始确认金额与到期日金额之间的差额进行摊销形成的累计摊销额，并扣除已发生的减值损失后的金额。可供出售权</w:t>
      </w:r>
      <w:r>
        <w:rPr>
          <w:spacing w:val="-63"/>
        </w:rPr>
        <w:t> </w:t>
      </w:r>
      <w:r>
        <w:rPr>
          <w:spacing w:val="-63"/>
        </w:rPr>
      </w:r>
      <w:r>
        <w:rPr/>
        <w:t>益工具投资的期末成本为其初始取得成本。</w:t>
      </w:r>
    </w:p>
    <w:p>
      <w:pPr>
        <w:pStyle w:val="BodyText"/>
        <w:spacing w:line="316" w:lineRule="auto" w:before="19"/>
        <w:ind w:left="154"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4" w:right="985"/>
        <w:jc w:val="left"/>
      </w:pPr>
      <w:r>
        <w:rPr/>
        <w:t>可供出售金融资产持有期间取得的利息及被投资单位宣告发放的现金股利，计入投资收益。</w:t>
      </w:r>
    </w:p>
    <w:p>
      <w:pPr>
        <w:pStyle w:val="BodyText"/>
        <w:spacing w:line="300" w:lineRule="auto" w:before="76"/>
        <w:ind w:left="514" w:right="985"/>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985"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985"/>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9"/>
        <w:ind w:left="154"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985"/>
        <w:jc w:val="left"/>
      </w:pPr>
      <w:r>
        <w:rPr/>
        <w:t>余成本。</w:t>
      </w:r>
    </w:p>
    <w:p>
      <w:pPr>
        <w:pStyle w:val="BodyText"/>
        <w:spacing w:line="316" w:lineRule="auto" w:before="76"/>
        <w:ind w:left="513" w:right="985"/>
        <w:jc w:val="left"/>
      </w:pPr>
      <w:r>
        <w:rPr/>
        <w:t>②</w:t>
      </w:r>
      <w:r>
        <w:rPr>
          <w:spacing w:val="-17"/>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240" w:lineRule="auto" w:before="19"/>
        <w:ind w:right="985"/>
        <w:jc w:val="left"/>
      </w:pPr>
      <w:r>
        <w:rPr/>
        <w:t>减值。</w:t>
      </w:r>
    </w:p>
    <w:p>
      <w:pPr>
        <w:pStyle w:val="BodyText"/>
        <w:spacing w:line="316" w:lineRule="auto" w:before="77"/>
        <w:ind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513" w:right="985"/>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left="154" w:right="1085" w:firstLine="360"/>
        <w:jc w:val="both"/>
      </w:pPr>
      <w:r>
        <w:rPr/>
        <w:t>满足下列条件之一的金融资产，予以终止确认：① 收取该金融资产现金流量的合同权利终止；②</w:t>
      </w:r>
      <w:r>
        <w:rPr>
          <w:spacing w:val="-36"/>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9" w:lineRule="auto" w:before="19"/>
        <w:ind w:left="15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7"/>
        <w:ind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985"/>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9"/>
        <w:ind w:left="514" w:right="985"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left="154" w:right="985"/>
        <w:jc w:val="left"/>
      </w:pPr>
      <w:r>
        <w:rPr/>
        <w:t>与该等金融负债相关的股利和利息支出计入当期损益。</w:t>
      </w:r>
    </w:p>
    <w:p>
      <w:pPr>
        <w:pStyle w:val="BodyText"/>
        <w:spacing w:line="316" w:lineRule="auto" w:before="76"/>
        <w:ind w:left="514" w:right="985"/>
        <w:jc w:val="left"/>
      </w:pPr>
      <w:r>
        <w:rPr/>
        <w:t>②</w:t>
      </w:r>
      <w:r>
        <w:rPr>
          <w:spacing w:val="-17"/>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316" w:lineRule="auto" w:before="19"/>
        <w:ind w:left="154" w:right="985"/>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985"/>
        <w:jc w:val="left"/>
      </w:pPr>
      <w:r>
        <w:rPr/>
        <w:t>③</w:t>
      </w:r>
      <w:r>
        <w:rPr>
          <w:spacing w:val="-17"/>
        </w:rPr>
        <w:t> </w:t>
      </w:r>
      <w:r>
        <w:rPr/>
        <w:t>财务担保合同及贷款承诺</w:t>
      </w:r>
      <w:r>
        <w:rPr/>
        <w:t> </w:t>
      </w:r>
      <w:r>
        <w:rPr>
          <w:spacing w:val="-2"/>
        </w:rPr>
        <w:t>不属于指定为以公允价值计量且其变动计入当期损益的金融负债的财务担保合同，或没有指定为以公允价值计量且其变</w:t>
      </w:r>
    </w:p>
    <w:p>
      <w:pPr>
        <w:pStyle w:val="BodyText"/>
        <w:spacing w:line="300" w:lineRule="auto" w:before="19"/>
        <w:ind w:right="985"/>
        <w:jc w:val="left"/>
      </w:pPr>
      <w:r>
        <w:rPr>
          <w:spacing w:val="-2"/>
        </w:rPr>
        <w:t>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4"/>
        </w:rPr>
        <w:t> </w:t>
      </w:r>
      <w:r>
        <w:rPr>
          <w:spacing w:val="-2"/>
        </w:rPr>
        <w:t>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985"/>
        <w:jc w:val="left"/>
      </w:pPr>
      <w:r>
        <w:rPr/>
        <w:t>者进行后续计量。</w:t>
      </w:r>
    </w:p>
    <w:p>
      <w:pPr>
        <w:pStyle w:val="BodyText"/>
        <w:spacing w:line="300" w:lineRule="auto" w:before="76"/>
        <w:ind w:left="514" w:right="985"/>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9" w:lineRule="auto" w:before="31"/>
        <w:ind w:left="154" w:right="985"/>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7"/>
        <w:ind w:left="154" w:right="985"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985"/>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衍生工具于相关合同签署日以公允价值进行初始计量，并以公允价值进行后续计量。衍生工具的公允价值变动计入当期</w:t>
      </w:r>
    </w:p>
    <w:p>
      <w:pPr>
        <w:pStyle w:val="BodyText"/>
        <w:spacing w:line="240" w:lineRule="auto" w:before="31"/>
        <w:ind w:left="154" w:right="985"/>
        <w:jc w:val="left"/>
      </w:pPr>
      <w:r>
        <w:rPr/>
        <w:t>损益。</w:t>
      </w:r>
    </w:p>
    <w:p>
      <w:pPr>
        <w:pStyle w:val="BodyText"/>
        <w:spacing w:line="316" w:lineRule="auto" w:before="76"/>
        <w:ind w:left="154" w:right="985"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3"/>
        </w:rPr>
        <w:t> </w:t>
      </w:r>
      <w:r>
        <w:rPr>
          <w:spacing w:val="-63"/>
        </w:rPr>
      </w:r>
      <w:r>
        <w:rPr/>
        <w:t>进行单独计量，则将混合工具整体指定为以公允价值计量且其变动计入当期损益的金融资产或金融负债。</w:t>
      </w:r>
    </w:p>
    <w:p>
      <w:pPr>
        <w:pStyle w:val="BodyText"/>
        <w:spacing w:line="300" w:lineRule="auto" w:before="19"/>
        <w:ind w:left="513" w:right="985"/>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985"/>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985"/>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4" w:right="103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left="154" w:right="985"/>
        <w:jc w:val="left"/>
        <w:rPr>
          <w:b w:val="0"/>
          <w:bCs w:val="0"/>
        </w:rPr>
      </w:pPr>
      <w:bookmarkStart w:name="11、应收款项" w:id="178"/>
      <w:bookmarkEnd w:id="17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占应收款项账面余额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独进行减值测试未发生减值的，参照信用风险组合以账龄分 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985"/>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pStyle w:val="BodyText"/>
        <w:spacing w:line="240" w:lineRule="auto" w:before="51"/>
        <w:ind w:left="154" w:right="985"/>
        <w:jc w:val="left"/>
      </w:pPr>
      <w:r>
        <w:rPr/>
        <w:t>组合中，采用账龄分析法计提坏账准备的：</w:t>
      </w:r>
    </w:p>
    <w:p>
      <w:pPr>
        <w:pStyle w:val="BodyText"/>
        <w:spacing w:line="240" w:lineRule="auto" w:before="117"/>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985"/>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以单项金额不重大且账龄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年以上为确认依据。</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值的差额计提坏账准备，如果无法准确预计其未来现金流量 现值的，参照信用风险组合以账龄分析法计提坏账准备。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985"/>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4" w:right="7692"/>
        <w:jc w:val="left"/>
      </w:pPr>
      <w:r>
        <w:rPr/>
        <w:t>公司是否需要遵守特殊行业的披露要求 否</w:t>
      </w:r>
    </w:p>
    <w:p>
      <w:pPr>
        <w:pStyle w:val="BodyText"/>
        <w:spacing w:line="300" w:lineRule="auto" w:before="28"/>
        <w:ind w:left="514" w:right="4992"/>
        <w:jc w:val="left"/>
      </w:pPr>
      <w:r>
        <w:rPr/>
        <w:t>（</w:t>
      </w:r>
      <w:r>
        <w:rPr>
          <w:rFonts w:ascii="Times New Roman" w:hAnsi="Times New Roman" w:cs="Times New Roman" w:eastAsia="Times New Roman" w:hint="default"/>
        </w:rPr>
        <w:t>1</w:t>
      </w:r>
      <w:r>
        <w:rPr/>
        <w:t>）存货的分类 存货主要包括原材料、库存商品、发出商品、在产品及低值易耗品等</w:t>
      </w:r>
    </w:p>
    <w:p>
      <w:pPr>
        <w:pStyle w:val="BodyText"/>
        <w:spacing w:line="300" w:lineRule="auto" w:before="31"/>
        <w:ind w:left="529" w:right="985" w:hanging="16"/>
        <w:jc w:val="left"/>
      </w:pPr>
      <w:r>
        <w:rPr/>
        <w:t>（</w:t>
      </w:r>
      <w:r>
        <w:rPr>
          <w:rFonts w:ascii="Times New Roman" w:hAnsi="Times New Roman" w:cs="Times New Roman" w:eastAsia="Times New Roman" w:hint="default"/>
        </w:rPr>
        <w:t>2</w:t>
      </w:r>
      <w:r>
        <w:rPr/>
        <w:t>）存货取得和发出的计价方法 存货在取得时按实际成本计价，燃料智能化项目与系统集成项目的硬件采购成本发出采用个别认定法，其他存货发出</w:t>
      </w:r>
    </w:p>
    <w:p>
      <w:pPr>
        <w:pStyle w:val="BodyText"/>
        <w:spacing w:line="240" w:lineRule="auto" w:before="31"/>
        <w:ind w:right="985"/>
        <w:jc w:val="left"/>
      </w:pPr>
      <w:r>
        <w:rPr/>
        <w:t>采用加权平均法核算。</w:t>
      </w:r>
    </w:p>
    <w:p>
      <w:pPr>
        <w:pStyle w:val="BodyText"/>
        <w:spacing w:line="300" w:lineRule="auto" w:before="76"/>
        <w:ind w:left="514" w:right="985"/>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985"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left="154" w:right="985"/>
        <w:jc w:val="left"/>
      </w:pPr>
      <w:r>
        <w:rPr/>
        <w:t>计提的存货跌价准备金额内予以转回，转回的金额计入当期损益。</w:t>
      </w:r>
    </w:p>
    <w:p>
      <w:pPr>
        <w:pStyle w:val="BodyText"/>
        <w:spacing w:line="240" w:lineRule="auto" w:before="76"/>
        <w:ind w:left="514" w:right="985"/>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3" w:right="7153"/>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4"/>
        <w:spacing w:line="240" w:lineRule="auto"/>
        <w:ind w:right="985"/>
        <w:jc w:val="left"/>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132"/>
        <w:jc w:val="both"/>
      </w:pPr>
      <w:r>
        <w:rPr>
          <w:spacing w:val="-2"/>
        </w:rPr>
        <w:t>本公司若主要通过出售（包括具有商业实质的非货币性资产交换，下同）而非持续使用一项非流动资产或处置组收回其账面</w:t>
      </w:r>
      <w:r>
        <w:rPr>
          <w:spacing w:val="-66"/>
        </w:rPr>
        <w:t> </w:t>
      </w:r>
      <w:r>
        <w:rPr>
          <w:spacing w:val="-66"/>
        </w:rPr>
      </w:r>
      <w:r>
        <w:rPr>
          <w:spacing w:val="-2"/>
        </w:rPr>
        <w:t>价值的，则将其划分为持有待售类别。具体标准为同时满足以下条件：某项非流动资产或处置组根据类似交易中出售此类资</w:t>
      </w:r>
      <w:r>
        <w:rPr>
          <w:spacing w:val="-66"/>
        </w:rPr>
        <w:t> </w:t>
      </w:r>
      <w:r>
        <w:rPr>
          <w:spacing w:val="-66"/>
        </w:rPr>
      </w:r>
      <w:r>
        <w:rPr>
          <w:spacing w:val="-2"/>
        </w:rPr>
        <w:t>产或处置组的惯例，在当前状况下即可立即出售；本公司已经就出售计划作出决议且获得确定的购买承诺；预计出售将在一</w:t>
      </w:r>
      <w:r>
        <w:rPr>
          <w:spacing w:val="-66"/>
        </w:rPr>
        <w:t> </w:t>
      </w:r>
      <w:r>
        <w:rPr>
          <w:spacing w:val="-66"/>
        </w:rPr>
      </w:r>
      <w:r>
        <w:rPr>
          <w:spacing w:val="-2"/>
        </w:rPr>
        <w:t>年内完成。其中，处置组是指在一项交易中作为整体通过出售或其他方式一并处置的一组资产，以及在该交易中转让的与这</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ind w:right="1123"/>
        <w:jc w:val="left"/>
      </w:pPr>
      <w:r>
        <w:rPr/>
        <w:t>些资产直接相关的负债。处置组所属的资产组或资产组组合按照《企业会计准则第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资产减值》分摊了企业合并中 取得的商誉的，该处置组应当包含分摊至处置组的商誉。 </w:t>
      </w:r>
      <w:r>
        <w:rPr>
          <w:spacing w:val="-2"/>
        </w:rPr>
        <w:t>本公司初始计量或在资产负债表日重新计量划分为持有待售的非流动资产和处置组时，其账面价值高于公允价值减去出售费</w:t>
      </w:r>
      <w:r>
        <w:rPr>
          <w:spacing w:val="-63"/>
        </w:rPr>
        <w:t> </w:t>
      </w:r>
      <w:r>
        <w:rPr>
          <w:spacing w:val="-63"/>
        </w:rPr>
      </w:r>
      <w:r>
        <w:rPr>
          <w:spacing w:val="-2"/>
        </w:rPr>
        <w:t>用后的净额的，将账面价值减记至公允价值减去出售费用后的净额，减记的金额确认为资产减值损失，计入当期损益，同时</w:t>
      </w:r>
      <w:r>
        <w:rPr>
          <w:spacing w:val="-66"/>
        </w:rPr>
        <w:t> </w:t>
      </w:r>
      <w:r>
        <w:rPr>
          <w:spacing w:val="-66"/>
        </w:rPr>
      </w:r>
      <w:r>
        <w:rPr>
          <w:spacing w:val="-2"/>
        </w:rPr>
        <w:t>计提持有待售资产减值准备。对于处置组，所确认的资产减值损失先抵减处置组中商誉的账面价值，再按比例抵减该处置组</w:t>
      </w:r>
      <w:r>
        <w:rPr>
          <w:spacing w:val="-66"/>
        </w:rPr>
        <w:t> </w:t>
      </w:r>
      <w:r>
        <w:rPr>
          <w:spacing w:val="-66"/>
        </w:rPr>
      </w:r>
      <w:r>
        <w:rPr>
          <w:spacing w:val="-2"/>
        </w:rPr>
        <w:t>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）的计量规定的</w:t>
      </w:r>
      <w:r>
        <w:rPr>
          <w:spacing w:val="-45"/>
        </w:rPr>
        <w:t> </w:t>
      </w:r>
      <w:r>
        <w:rPr>
          <w:spacing w:val="-45"/>
        </w:rPr>
      </w:r>
      <w:r>
        <w:rPr>
          <w:spacing w:val="-2"/>
        </w:rPr>
        <w:t>各项非流动资产的账面价值。后续资产负债表日持有待售的处置组公允价值减去出售费用后的净额增加的，以前减记的金额</w:t>
      </w:r>
      <w:r>
        <w:rPr>
          <w:spacing w:val="-64"/>
        </w:rPr>
        <w:t> </w:t>
      </w:r>
      <w:r>
        <w:rPr>
          <w:spacing w:val="-64"/>
        </w:rPr>
      </w:r>
      <w:r>
        <w:rPr>
          <w:spacing w:val="-2"/>
        </w:rPr>
        <w:t>应当予以恢复，并在划分为持有待售类别后适用持有待售准则计量规定的非流动资产确认的资产减值损失金额内转回，转回</w:t>
      </w:r>
      <w:r>
        <w:rPr>
          <w:spacing w:val="-64"/>
        </w:rPr>
        <w:t> </w:t>
      </w:r>
      <w:r>
        <w:rPr>
          <w:spacing w:val="-64"/>
        </w:rPr>
      </w:r>
      <w:r>
        <w:rPr>
          <w:spacing w:val="-2"/>
        </w:rPr>
        <w:t>金额计入当期损益，并根据处置组中除商誉外适用持有待售准则计量规定的各项非流动资产账面价值所占比重按比例增加其</w:t>
      </w:r>
      <w:r>
        <w:rPr>
          <w:spacing w:val="-64"/>
        </w:rPr>
        <w:t> </w:t>
      </w:r>
      <w:r>
        <w:rPr>
          <w:spacing w:val="-64"/>
        </w:rPr>
      </w:r>
      <w:r>
        <w:rPr>
          <w:spacing w:val="-2"/>
        </w:rPr>
        <w:t>账面价值；已抵减的商誉账面价值，以及适用持有待售准则计量规定的非流动资产在划分为持有待售类别前确认的资产减值</w:t>
      </w:r>
      <w:r>
        <w:rPr>
          <w:spacing w:val="-64"/>
        </w:rPr>
        <w:t> </w:t>
      </w:r>
      <w:r>
        <w:rPr>
          <w:spacing w:val="-64"/>
        </w:rPr>
      </w:r>
      <w:r>
        <w:rPr/>
        <w:t>损失不得转回。 </w:t>
      </w:r>
      <w:r>
        <w:rPr>
          <w:spacing w:val="-2"/>
        </w:rPr>
        <w:t>持有待售的非流动资产或处置组中的非流动资产不计提折旧或摊销，持有待售的处置组中负债的利息和其他费用继续予以确</w:t>
      </w:r>
      <w:r>
        <w:rPr>
          <w:spacing w:val="-64"/>
        </w:rPr>
        <w:t> </w:t>
      </w:r>
      <w:r>
        <w:rPr>
          <w:spacing w:val="-64"/>
        </w:rPr>
      </w:r>
      <w:r>
        <w:rPr/>
        <w:t>认。 </w:t>
      </w:r>
      <w:r>
        <w:rPr>
          <w:spacing w:val="-2"/>
        </w:rPr>
        <w:t>非流动资产或处置组不再满足持有待售类别的划分条件时，本公司不再将其继续划分为持有待售类别或将非流动资产从持有</w:t>
      </w:r>
      <w:r>
        <w:rPr>
          <w:spacing w:val="-64"/>
        </w:rPr>
        <w:t> </w:t>
      </w:r>
      <w:r>
        <w:rPr>
          <w:spacing w:val="-64"/>
        </w:rPr>
      </w:r>
      <w:r>
        <w:rPr/>
        <w:t>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）划分为持有待售类别前的账面价值，按照假定不划分为持有待售类 别情况下本应确认的折旧、摊销或减值等进行调整后的金额；</w:t>
      </w:r>
    </w:p>
    <w:p>
      <w:pPr>
        <w:pStyle w:val="BodyText"/>
        <w:spacing w:line="240" w:lineRule="auto" w:before="20"/>
        <w:ind w:left="154" w:right="985"/>
        <w:jc w:val="left"/>
      </w:pPr>
      <w:r>
        <w:rPr/>
        <w:t>（</w:t>
      </w:r>
      <w:r>
        <w:rPr>
          <w:rFonts w:ascii="Times New Roman" w:hAnsi="Times New Roman" w:cs="Times New Roman" w:eastAsia="Times New Roman" w:hint="default"/>
        </w:rPr>
        <w:t>2</w:t>
      </w:r>
      <w:r>
        <w:rPr/>
        <w:t>）可收回金额。</w:t>
      </w:r>
    </w:p>
    <w:p>
      <w:pPr>
        <w:spacing w:line="240" w:lineRule="auto" w:before="11"/>
        <w:rPr>
          <w:rFonts w:ascii="宋体" w:hAnsi="宋体" w:cs="宋体" w:eastAsia="宋体" w:hint="default"/>
          <w:sz w:val="25"/>
          <w:szCs w:val="25"/>
        </w:rPr>
      </w:pPr>
    </w:p>
    <w:p>
      <w:pPr>
        <w:pStyle w:val="Heading4"/>
        <w:spacing w:line="240" w:lineRule="auto"/>
        <w:ind w:left="154" w:right="985"/>
        <w:jc w:val="left"/>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before="0"/>
        <w:ind w:left="154" w:right="1131"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9"/>
        <w:ind w:left="514" w:right="985"/>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6" w:lineRule="auto" w:before="31"/>
        <w:ind w:left="154"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t>减的，调整留存收益。</w:t>
      </w:r>
    </w:p>
    <w:p>
      <w:pPr>
        <w:pStyle w:val="BodyText"/>
        <w:spacing w:line="316" w:lineRule="auto" w:before="19"/>
        <w:ind w:left="154" w:right="1132" w:firstLine="360"/>
        <w:jc w:val="both"/>
      </w:pPr>
      <w:r>
        <w:rPr>
          <w:spacing w:val="-2"/>
        </w:rPr>
        <w:t>对于非同一控制下的企业合并取得的长期股权投资，在购买日按照合并成本作为长期股权投资的初始投资成本，合并成</w:t>
      </w:r>
      <w:r>
        <w:rPr/>
        <w:t> 本包括购买方付出的资产、发生或承担的负债、发行的权益性证券的公允价值之和。</w:t>
      </w:r>
    </w:p>
    <w:p>
      <w:pPr>
        <w:pStyle w:val="BodyText"/>
        <w:spacing w:line="316" w:lineRule="auto" w:before="19"/>
        <w:ind w:right="1131"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9" w:lineRule="auto" w:before="19"/>
        <w:ind w:left="154"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w:t>
      </w:r>
    </w:p>
    <w:p>
      <w:pPr>
        <w:pStyle w:val="BodyText"/>
        <w:spacing w:line="300" w:lineRule="auto" w:before="17"/>
        <w:ind w:left="514" w:right="985"/>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4" w:right="985"/>
        <w:jc w:val="left"/>
      </w:pPr>
      <w:r>
        <w:rPr/>
        <w:t>表采用成本法核算能够对被投资单位实施控制的长期股权投资。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3" w:right="985"/>
        <w:jc w:val="left"/>
      </w:pPr>
      <w:r>
        <w:rPr/>
        <w:t>①</w:t>
      </w:r>
      <w:r>
        <w:rPr>
          <w:spacing w:val="-17"/>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316" w:lineRule="auto" w:before="19"/>
        <w:ind w:right="985"/>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3" w:right="985"/>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985"/>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985"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3"/>
        </w:rPr>
        <w:t> </w:t>
      </w:r>
      <w:r>
        <w:rPr>
          <w:spacing w:val="-63"/>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t>不予以抵销。</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9"/>
        <w:ind w:left="513" w:right="985"/>
        <w:jc w:val="left"/>
      </w:pPr>
      <w:r>
        <w:rPr/>
        <w:t>③</w:t>
      </w:r>
      <w:r>
        <w:rPr>
          <w:spacing w:val="-17"/>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985"/>
        <w:jc w:val="left"/>
      </w:pPr>
      <w:r>
        <w:rPr/>
        <w:t>日）开始持续计算的净资产份额之间的差额，调整资本公积，资本公积不足冲减的，调整留存收益。</w:t>
      </w:r>
    </w:p>
    <w:p>
      <w:pPr>
        <w:pStyle w:val="BodyText"/>
        <w:spacing w:line="316" w:lineRule="auto" w:before="76"/>
        <w:ind w:left="513" w:right="985"/>
        <w:jc w:val="left"/>
      </w:pPr>
      <w:r>
        <w:rPr/>
        <w:t>④</w:t>
      </w:r>
      <w:r>
        <w:rPr>
          <w:spacing w:val="-17"/>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985"/>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before="0"/>
        <w:ind w:left="514" w:right="985"/>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left="154" w:right="985"/>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left="154"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4"/>
        <w:spacing w:line="240" w:lineRule="auto"/>
        <w:ind w:left="154" w:right="985"/>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4" w:right="8952"/>
        <w:jc w:val="left"/>
      </w:pPr>
      <w:r>
        <w:rPr/>
        <w:t>投资性房地产计量模式 成本法计量 折旧或摊销方法</w:t>
      </w:r>
    </w:p>
    <w:p>
      <w:pPr>
        <w:pStyle w:val="BodyText"/>
        <w:spacing w:line="240" w:lineRule="auto" w:before="28"/>
        <w:ind w:left="514" w:right="985"/>
        <w:jc w:val="left"/>
      </w:pPr>
      <w:r>
        <w:rPr/>
        <w:t>投资性房地产是指为赚取租金或资本增值，或两者兼有而持有的房地产。包括已出租的土地使用权、持有并准备增值后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3" w:right="985" w:hanging="360"/>
        <w:jc w:val="left"/>
      </w:pPr>
      <w:r>
        <w:rPr/>
        <w:t>转让的土地使用权、已出租的建筑物等。 </w:t>
      </w:r>
      <w:r>
        <w:rPr>
          <w:spacing w:val="-2"/>
        </w:rPr>
        <w:t>投资性房地产按成本进行初始计量。与投资性房地产有关的后续支出，如果与该资产有关的经济利益很可能流入且其成</w:t>
      </w:r>
    </w:p>
    <w:p>
      <w:pPr>
        <w:pStyle w:val="BodyText"/>
        <w:spacing w:line="312" w:lineRule="auto" w:before="19"/>
        <w:ind w:left="513" w:right="985" w:hanging="360"/>
        <w:jc w:val="left"/>
      </w:pPr>
      <w:r>
        <w:rPr/>
        <w:t>本能可靠地计量，则计入投资性房地产成本。其他后续支出，在发生时计入当期损益。 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2"/>
        <w:ind w:right="985"/>
        <w:jc w:val="left"/>
      </w:pPr>
      <w:r>
        <w:rPr/>
        <w:t>值。</w:t>
      </w:r>
    </w:p>
    <w:p>
      <w:pPr>
        <w:pStyle w:val="BodyText"/>
        <w:spacing w:line="316" w:lineRule="auto" w:before="76"/>
        <w:ind w:left="154" w:right="985" w:firstLine="360"/>
        <w:jc w:val="left"/>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5"/>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1130"/>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4"/>
        <w:spacing w:line="240" w:lineRule="auto"/>
        <w:ind w:left="154" w:right="985"/>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985"/>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4" w:right="985"/>
        <w:jc w:val="left"/>
      </w:pPr>
      <w:r>
        <w:rPr>
          <w:spacing w:val="-2"/>
        </w:rPr>
        <w:t>融资租赁为实质上转移了与资产所有权有关的全部风险和报酬的租赁，其所有权最终可能转移，也可能不转移。以融资租赁</w:t>
      </w:r>
      <w:r>
        <w:rPr>
          <w:spacing w:val="-66"/>
        </w:rPr>
        <w:t> </w:t>
      </w:r>
      <w:r>
        <w:rPr>
          <w:spacing w:val="-66"/>
        </w:rPr>
      </w:r>
      <w:r>
        <w:rPr/>
        <w:t>方式租入的固定资产采用与自有固定资产一致的政策计提租赁资产折旧。能够合理确定租赁期届满时取得租赁资产所有权 </w:t>
      </w:r>
      <w:r>
        <w:rPr>
          <w:spacing w:val="-2"/>
        </w:rPr>
        <w:t>的，在租赁资产使用寿命内计提折旧；无法合理确定租赁期届满能够取得租赁资产所有权的，在租赁期与租赁资产使用寿命</w:t>
      </w:r>
      <w:r>
        <w:rPr>
          <w:spacing w:val="-66"/>
        </w:rPr>
        <w:t> </w:t>
      </w:r>
      <w:r>
        <w:rPr>
          <w:spacing w:val="-66"/>
        </w:rPr>
      </w:r>
      <w:r>
        <w:rPr/>
        <w:t>两者中较短的期间内计提折旧</w:t>
      </w:r>
    </w:p>
    <w:p>
      <w:pPr>
        <w:spacing w:line="240" w:lineRule="auto" w:before="4"/>
        <w:rPr>
          <w:rFonts w:ascii="宋体" w:hAnsi="宋体" w:cs="宋体" w:eastAsia="宋体" w:hint="default"/>
          <w:sz w:val="22"/>
          <w:szCs w:val="22"/>
        </w:rPr>
      </w:pPr>
    </w:p>
    <w:p>
      <w:pPr>
        <w:pStyle w:val="Heading4"/>
        <w:spacing w:line="240" w:lineRule="auto"/>
        <w:ind w:left="154" w:right="985"/>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4" w:right="7692"/>
        <w:jc w:val="left"/>
      </w:pPr>
      <w:r>
        <w:rPr/>
        <w:t>公司是否需要遵守特殊行业的披露要求 否</w:t>
      </w:r>
    </w:p>
    <w:p>
      <w:pPr>
        <w:pStyle w:val="BodyText"/>
        <w:spacing w:line="240" w:lineRule="auto" w:before="25"/>
        <w:ind w:left="981" w:right="985"/>
        <w:jc w:val="left"/>
      </w:pPr>
      <w:r>
        <w:rPr/>
        <w:t>在建工程成本按实际工程支出确定，包括在建期间发生的各项工程支出以及其他相关费用等。在建工程在达</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26" w:lineRule="auto"/>
        <w:ind w:left="154" w:right="2653" w:firstLine="346"/>
        <w:jc w:val="left"/>
      </w:pPr>
      <w:r>
        <w:rPr/>
        <w:t>到预定可使用状态后结转为固定资产。 在建工程的减值测试方法和减值准备计提方法详见（第十一节、五、</w:t>
      </w:r>
      <w:r>
        <w:rPr>
          <w:rFonts w:ascii="Times New Roman" w:hAnsi="Times New Roman" w:cs="Times New Roman" w:eastAsia="Times New Roman" w:hint="default"/>
        </w:rPr>
        <w:t>22</w:t>
      </w:r>
      <w:r>
        <w:rPr>
          <w:rFonts w:ascii="Times New Roman" w:hAnsi="Times New Roman" w:cs="Times New Roman" w:eastAsia="Times New Roman" w:hint="default"/>
          <w:spacing w:val="25"/>
        </w:rPr>
        <w:t> </w:t>
      </w:r>
      <w:r>
        <w:rPr/>
        <w:t>）</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left="154" w:right="985"/>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left="15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985"/>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3" w:right="1123"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before="0"/>
        <w:ind w:right="985"/>
        <w:jc w:val="left"/>
      </w:pPr>
      <w:r>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4"/>
        <w:spacing w:line="240" w:lineRule="auto"/>
        <w:ind w:left="154" w:right="985"/>
        <w:jc w:val="left"/>
        <w:rPr>
          <w:b w:val="0"/>
          <w:bCs w:val="0"/>
        </w:rPr>
      </w:pPr>
      <w:bookmarkStart w:name="19、生物资产" w:id="192"/>
      <w:bookmarkEnd w:id="19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20、油气资产" w:id="193"/>
      <w:bookmarkEnd w:id="19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985"/>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513" w:right="985"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985"/>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54" w:right="1132" w:firstLine="360"/>
        <w:jc w:val="both"/>
      </w:pPr>
      <w:r>
        <w:rPr>
          <w:spacing w:val="-2"/>
        </w:rPr>
        <w:t>使用寿命有限的无形资产自可供使用时起，对其原值在其预计使用寿命内采用直线法分期平均摊销。使用寿命不确定的</w:t>
      </w:r>
      <w:r>
        <w:rPr/>
        <w:t> 无形资产不予摊销。</w:t>
      </w:r>
    </w:p>
    <w:p>
      <w:pPr>
        <w:pStyle w:val="BodyText"/>
        <w:spacing w:line="319" w:lineRule="auto" w:before="19"/>
        <w:ind w:right="1170" w:firstLine="420"/>
        <w:jc w:val="both"/>
      </w:pPr>
      <w:r>
        <w:rPr/>
        <w:t>期末，对使用寿命有限的无形资产的使用寿命和摊销方法进行复核，如发生变更则作为会计估计变更处理。此外，还 </w:t>
      </w:r>
      <w:r>
        <w:rPr>
          <w:spacing w:val="-3"/>
        </w:rPr>
        <w:t>对使用寿命不确定的无形资产的使用寿命进行复核，如果有证据表明该无形资产为企业带来经济利益的期限是可预见的，则</w:t>
      </w:r>
      <w:r>
        <w:rPr>
          <w:spacing w:val="-50"/>
        </w:rPr>
        <w:t> </w:t>
      </w:r>
      <w:r>
        <w:rPr>
          <w:spacing w:val="-50"/>
        </w:rPr>
      </w:r>
      <w:r>
        <w:rPr/>
        <w:t>估计其使用寿命并按照使用寿命有限的无形资产的摊销政策进行摊销。</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1153"/>
        <w:jc w:val="left"/>
      </w:pPr>
      <w:r>
        <w:rPr/>
        <w:t>本公司内部研究开发项目的支出分为研究阶段支出与开发阶段支出。 研究阶段为项目前期</w:t>
      </w:r>
      <w:r>
        <w:rPr>
          <w:rFonts w:ascii="Times New Roman" w:hAnsi="Times New Roman" w:cs="Times New Roman" w:eastAsia="Times New Roman" w:hint="default"/>
        </w:rPr>
        <w:t>“</w:t>
      </w:r>
      <w:r>
        <w:rPr/>
        <w:t>市场调研－可行性论证</w:t>
      </w:r>
      <w:r>
        <w:rPr>
          <w:rFonts w:ascii="Times New Roman" w:hAnsi="Times New Roman" w:cs="Times New Roman" w:eastAsia="Times New Roman" w:hint="default"/>
        </w:rPr>
        <w:t>”</w:t>
      </w:r>
      <w:r>
        <w:rPr/>
        <w:t>的阶段，按照公司研发业务流程，具体归集范围包括</w:t>
      </w:r>
      <w:r>
        <w:rPr>
          <w:rFonts w:ascii="Times New Roman" w:hAnsi="Times New Roman" w:cs="Times New Roman" w:eastAsia="Times New Roman" w:hint="default"/>
        </w:rPr>
        <w:t>“</w:t>
      </w:r>
      <w:r>
        <w:rPr/>
        <w:t>市场调研－产品储</w:t>
      </w:r>
    </w:p>
    <w:p>
      <w:pPr>
        <w:pStyle w:val="BodyText"/>
        <w:spacing w:line="300" w:lineRule="auto" w:before="0"/>
        <w:ind w:right="1153"/>
        <w:jc w:val="left"/>
      </w:pPr>
      <w:r>
        <w:rPr/>
        <w:t>备及可研立项（可行性论证）</w:t>
      </w:r>
      <w:r>
        <w:rPr>
          <w:rFonts w:ascii="Times New Roman" w:hAnsi="Times New Roman" w:cs="Times New Roman" w:eastAsia="Times New Roman" w:hint="default"/>
        </w:rPr>
        <w:t>”</w:t>
      </w:r>
      <w:r>
        <w:rPr/>
        <w:t>二个阶段，核算实务上，以</w:t>
      </w:r>
      <w:r>
        <w:rPr>
          <w:rFonts w:ascii="Times New Roman" w:hAnsi="Times New Roman" w:cs="Times New Roman" w:eastAsia="Times New Roman" w:hint="default"/>
        </w:rPr>
        <w:t>“</w:t>
      </w:r>
      <w:r>
        <w:rPr/>
        <w:t>产品储备立项审批通过的时间</w:t>
      </w:r>
      <w:r>
        <w:rPr>
          <w:rFonts w:ascii="Times New Roman" w:hAnsi="Times New Roman" w:cs="Times New Roman" w:eastAsia="Times New Roman" w:hint="default"/>
        </w:rPr>
        <w:t>”</w:t>
      </w:r>
      <w:r>
        <w:rPr/>
        <w:t>作为项目进入研发阶段的标准， 以</w:t>
      </w:r>
      <w:r>
        <w:rPr>
          <w:rFonts w:ascii="Times New Roman" w:hAnsi="Times New Roman" w:cs="Times New Roman" w:eastAsia="Times New Roman" w:hint="default"/>
        </w:rPr>
        <w:t>“</w:t>
      </w:r>
      <w:r>
        <w:rPr/>
        <w:t>产品规划评审通过时间</w:t>
      </w:r>
      <w:r>
        <w:rPr>
          <w:rFonts w:ascii="Times New Roman" w:hAnsi="Times New Roman" w:cs="Times New Roman" w:eastAsia="Times New Roman" w:hint="default"/>
        </w:rPr>
        <w:t>”</w:t>
      </w:r>
      <w:r>
        <w:rPr/>
        <w:t>作为项目完成阶段的标准。</w:t>
      </w:r>
    </w:p>
    <w:p>
      <w:pPr>
        <w:pStyle w:val="BodyText"/>
        <w:spacing w:line="300" w:lineRule="auto" w:before="13"/>
        <w:ind w:right="1130" w:firstLine="360"/>
        <w:jc w:val="both"/>
      </w:pPr>
      <w:r>
        <w:rPr>
          <w:spacing w:val="-2"/>
        </w:rPr>
        <w:t>开发阶段为项目</w:t>
      </w:r>
      <w:r>
        <w:rPr>
          <w:rFonts w:ascii="Times New Roman" w:hAnsi="Times New Roman" w:cs="Times New Roman" w:eastAsia="Times New Roman" w:hint="default"/>
          <w:spacing w:val="-2"/>
        </w:rPr>
        <w:t>“</w:t>
      </w:r>
      <w:r>
        <w:rPr>
          <w:spacing w:val="-2"/>
        </w:rPr>
        <w:t>需求分析－程序设计－代码编写、功能测试</w:t>
      </w:r>
      <w:r>
        <w:rPr>
          <w:rFonts w:ascii="Times New Roman" w:hAnsi="Times New Roman" w:cs="Times New Roman" w:eastAsia="Times New Roman" w:hint="default"/>
          <w:spacing w:val="-2"/>
        </w:rPr>
        <w:t>”</w:t>
      </w:r>
      <w:r>
        <w:rPr>
          <w:spacing w:val="-2"/>
        </w:rPr>
        <w:t>的阶段，按照公司研发立务流程，项目经审批确认开发立</w:t>
      </w:r>
      <w:r>
        <w:rPr/>
        <w:t> </w:t>
      </w:r>
      <w:r>
        <w:rPr>
          <w:spacing w:val="-2"/>
        </w:rPr>
        <w:t>项后即进入开发阶段，核算实务上，以</w:t>
      </w:r>
      <w:r>
        <w:rPr>
          <w:rFonts w:ascii="Times New Roman" w:hAnsi="Times New Roman" w:cs="Times New Roman" w:eastAsia="Times New Roman" w:hint="default"/>
          <w:spacing w:val="-2"/>
        </w:rPr>
        <w:t>“</w:t>
      </w:r>
      <w:r>
        <w:rPr>
          <w:spacing w:val="-2"/>
        </w:rPr>
        <w:t>产品规划评审通过时间</w:t>
      </w:r>
      <w:r>
        <w:rPr>
          <w:rFonts w:ascii="Times New Roman" w:hAnsi="Times New Roman" w:cs="Times New Roman" w:eastAsia="Times New Roman" w:hint="default"/>
          <w:spacing w:val="-2"/>
        </w:rPr>
        <w:t>”</w:t>
      </w:r>
      <w:r>
        <w:rPr>
          <w:spacing w:val="-2"/>
        </w:rPr>
        <w:t>即规划立项经公司评审会议通过作为项目进入开发阶段的标</w:t>
      </w:r>
      <w:r>
        <w:rPr>
          <w:spacing w:val="-44"/>
        </w:rPr>
        <w:t> </w:t>
      </w:r>
      <w:r>
        <w:rPr/>
        <w:t>准，以</w:t>
      </w:r>
      <w:r>
        <w:rPr>
          <w:rFonts w:ascii="Times New Roman" w:hAnsi="Times New Roman" w:cs="Times New Roman" w:eastAsia="Times New Roman" w:hint="default"/>
        </w:rPr>
        <w:t>“</w:t>
      </w:r>
      <w:r>
        <w:rPr/>
        <w:t>产品规划验收时间</w:t>
      </w:r>
      <w:r>
        <w:rPr>
          <w:rFonts w:ascii="Times New Roman" w:hAnsi="Times New Roman" w:cs="Times New Roman" w:eastAsia="Times New Roman" w:hint="default"/>
        </w:rPr>
        <w:t>”</w:t>
      </w:r>
      <w:r>
        <w:rPr/>
        <w:t>作为项目完成开发阶段的标准。</w:t>
      </w:r>
    </w:p>
    <w:p>
      <w:pPr>
        <w:pStyle w:val="BodyText"/>
        <w:spacing w:line="316" w:lineRule="auto" w:before="13"/>
        <w:ind w:left="513" w:right="1753"/>
        <w:jc w:val="left"/>
      </w:pPr>
      <w:r>
        <w:rPr/>
        <w:t>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985"/>
        <w:jc w:val="left"/>
      </w:pPr>
      <w:r>
        <w:rPr/>
        <w:t>①</w:t>
      </w:r>
      <w:r>
        <w:rPr>
          <w:spacing w:val="-19"/>
        </w:rPr>
        <w:t> </w:t>
      </w:r>
      <w:r>
        <w:rPr/>
        <w:t>完成该无形资产以使其能够使用或出售在技术上具有可行性；</w:t>
      </w:r>
    </w:p>
    <w:p>
      <w:pPr>
        <w:pStyle w:val="BodyText"/>
        <w:spacing w:line="240" w:lineRule="auto" w:before="76"/>
        <w:ind w:left="513" w:right="985"/>
        <w:jc w:val="left"/>
      </w:pPr>
      <w:r>
        <w:rPr/>
        <w:t>②</w:t>
      </w:r>
      <w:r>
        <w:rPr>
          <w:spacing w:val="-19"/>
        </w:rPr>
        <w:t> </w:t>
      </w:r>
      <w:r>
        <w:rPr/>
        <w:t>具有完成该无形资产并使用或出售的意图；</w:t>
      </w:r>
    </w:p>
    <w:p>
      <w:pPr>
        <w:pStyle w:val="BodyText"/>
        <w:spacing w:line="316" w:lineRule="auto" w:before="76"/>
        <w:ind w:right="1157" w:firstLine="360"/>
        <w:jc w:val="both"/>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3" w:right="985"/>
        <w:jc w:val="left"/>
      </w:pPr>
      <w:r>
        <w:rPr/>
        <w:t>④</w:t>
      </w:r>
      <w:r>
        <w:rPr>
          <w:spacing w:val="-19"/>
        </w:rPr>
        <w:t> </w:t>
      </w:r>
      <w:r>
        <w:rPr/>
        <w:t>有足够的技术、财务资源和其他资源支持，以完成该无形资产的开发，并有能力使用或出售该无形资产；</w:t>
      </w:r>
    </w:p>
    <w:p>
      <w:pPr>
        <w:pStyle w:val="BodyText"/>
        <w:spacing w:line="316" w:lineRule="auto" w:before="76"/>
        <w:ind w:left="513" w:right="3913"/>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pStyle w:val="BodyText"/>
        <w:spacing w:line="300" w:lineRule="auto" w:before="19"/>
        <w:ind w:left="514" w:right="4112"/>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right="985"/>
        <w:jc w:val="left"/>
        <w:rPr>
          <w:b w:val="0"/>
          <w:bCs w:val="0"/>
        </w:rPr>
      </w:pPr>
      <w:bookmarkStart w:name="22、长期资产减值" w:id="197"/>
      <w:bookmarkEnd w:id="19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9"/>
        <w:ind w:left="154" w:right="985"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left="154"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3" w:right="985"/>
        <w:jc w:val="left"/>
      </w:pPr>
      <w:r>
        <w:rPr/>
        <w:t>上述资产减值损失一经确认，以后期间不予转回价值得以恢复的部分。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23、长期待摊费用" w:id="198"/>
      <w:bookmarkEnd w:id="1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985" w:firstLine="360"/>
        <w:jc w:val="left"/>
      </w:pPr>
      <w:r>
        <w:rPr>
          <w:spacing w:val="-2"/>
        </w:rPr>
        <w:t>长期待摊费用为已经发生但应由报告期和以后各期负担的分摊期限在一年以上的各项费用。长期待摊费用在预计受益期</w:t>
      </w:r>
      <w:r>
        <w:rPr/>
        <w:t> 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54" w:right="985"/>
        <w:jc w:val="left"/>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985"/>
        <w:jc w:val="left"/>
      </w:pPr>
      <w:r>
        <w:rPr/>
        <w:t>本公司职工薪酬主要包括短期职工薪酬、离职后福利、辞退福利。其中： </w:t>
      </w:r>
      <w:r>
        <w:rPr>
          <w:spacing w:val="-2"/>
        </w:rPr>
        <w:t>短期薪酬主要包括工资、奖金、津贴和补贴、职工福利费、医疗保险费、生育保险费、工伤保险费、住房公积金、工会</w:t>
      </w:r>
    </w:p>
    <w:p>
      <w:pPr>
        <w:pStyle w:val="BodyText"/>
        <w:spacing w:line="316" w:lineRule="auto" w:before="19"/>
        <w:ind w:right="985"/>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5"/>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5" w:firstLine="360"/>
        <w:jc w:val="left"/>
      </w:pPr>
      <w:r>
        <w:rPr>
          <w:spacing w:val="-2"/>
        </w:rPr>
        <w:t>离职后福利主要包括基本养老保险、失业保险。离职后福利计划包括设定提存计划。采用设定提存计划的，相应的应缴</w:t>
      </w:r>
      <w:r>
        <w:rPr/>
        <w:t> 存金额于发生时计入相关资产成本或当期损益。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985"/>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00" w:right="1470" w:firstLine="480"/>
        <w:jc w:val="both"/>
      </w:pPr>
      <w:r>
        <w:rPr/>
        <w:t>在职工劳动合同到期之前解除与职工的劳动关系，或为鼓励职工自愿接受裁减而提出给予补偿的建议，在本 </w:t>
      </w:r>
      <w:r>
        <w:rPr>
          <w:spacing w:val="-1"/>
        </w:rPr>
        <w:t>公司不能单方面撤回因解除劳动关系计划或裁减建议所提供的辞退福利时，和本公司确认与涉及支付辞退福利的重</w:t>
      </w:r>
      <w:r>
        <w:rPr/>
        <w:t> </w:t>
      </w:r>
      <w:r>
        <w:rPr>
          <w:spacing w:val="-1"/>
        </w:rPr>
        <w:t>组相关的成本两者孰早日，确认辞退福利产生的职工薪酬负债，并计入当期损益。但辞退福利预期在年度报告期结</w:t>
      </w:r>
      <w:r>
        <w:rPr>
          <w:spacing w:val="-88"/>
        </w:rPr>
        <w:t> </w:t>
      </w:r>
      <w:r>
        <w:rPr>
          <w:spacing w:val="-88"/>
        </w:rPr>
      </w:r>
      <w:r>
        <w:rPr/>
        <w:t>束后十二个月不能完全支付的，按照其他长期职工薪酬处理。</w:t>
      </w:r>
    </w:p>
    <w:p>
      <w:pPr>
        <w:pStyle w:val="BodyText"/>
        <w:spacing w:line="316" w:lineRule="auto" w:before="27"/>
        <w:ind w:left="500" w:right="1483" w:firstLine="480"/>
        <w:jc w:val="both"/>
      </w:pPr>
      <w:r>
        <w:rPr/>
        <w:t>职工内部退休计划采用与上述辞退福利相同的原则处理。本公司将自职工停止提供服务日至正常退休日的期 间拟支付的内退人员工资和缴纳的社会保险费等，在符合预计负债确认条件时，计入当期损益（辞退福利）。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4"/>
        <w:ind w:right="985"/>
        <w:jc w:val="left"/>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5" w:firstLine="360"/>
        <w:jc w:val="left"/>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5"/>
        <w:jc w:val="left"/>
        <w:rPr>
          <w:b w:val="0"/>
          <w:bCs w:val="0"/>
        </w:rPr>
      </w:pPr>
      <w:bookmarkStart w:name="25、预计负债" w:id="204"/>
      <w:bookmarkEnd w:id="20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54" w:right="985"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985"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3"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bookmarkStart w:name="26、股份支付" w:id="205"/>
      <w:bookmarkEnd w:id="20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985"/>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left="154" w:right="0"/>
        <w:jc w:val="both"/>
      </w:pPr>
      <w:r>
        <w:rPr/>
        <w:t>为以权益结算的股份支付和以现金结算的股份支付。</w:t>
      </w:r>
    </w:p>
    <w:p>
      <w:pPr>
        <w:pStyle w:val="BodyText"/>
        <w:spacing w:line="316" w:lineRule="auto" w:before="76"/>
        <w:ind w:left="514" w:right="985"/>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left="154" w:right="1132"/>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before="0"/>
        <w:ind w:left="154" w:right="113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left="154" w:right="1132"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514" w:right="985"/>
        <w:jc w:val="left"/>
      </w:pPr>
      <w:r>
        <w:rPr/>
        <w:t>②</w:t>
      </w:r>
      <w:r>
        <w:rPr>
          <w:spacing w:val="-17"/>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9" w:lineRule="auto" w:before="19"/>
        <w:ind w:left="154"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7"/>
        <w:ind w:left="514" w:right="985"/>
        <w:jc w:val="left"/>
      </w:pPr>
      <w:r>
        <w:rPr/>
        <w:t>在相关负债结算前的每个资产负债表日以及结算日，对负债的公允价值重新计量，其变动计入当期损益。</w:t>
      </w:r>
    </w:p>
    <w:p>
      <w:pPr>
        <w:pStyle w:val="BodyText"/>
        <w:spacing w:line="300" w:lineRule="auto" w:before="76"/>
        <w:ind w:left="514" w:right="985"/>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left="154" w:right="1130"/>
        <w:jc w:val="both"/>
      </w:pPr>
      <w:r>
        <w:rPr>
          <w:spacing w:val="-2"/>
        </w:rPr>
        <w:t>取得服务的增加。权益工具公允价值的增加是指修改前后的权益工具在修改日的公允价值之间的差额。若修改减少了股份支</w:t>
      </w:r>
      <w:r>
        <w:rPr>
          <w:spacing w:val="-63"/>
        </w:rPr>
        <w:t> </w:t>
      </w:r>
      <w:r>
        <w:rPr>
          <w:spacing w:val="-63"/>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left="154"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4"/>
        <w:spacing w:line="240" w:lineRule="auto"/>
        <w:ind w:left="154" w:right="0"/>
        <w:jc w:val="both"/>
        <w:rPr>
          <w:b w:val="0"/>
          <w:bCs w:val="0"/>
        </w:rPr>
      </w:pPr>
      <w:bookmarkStart w:name="27、优先股、永续债等其他金融工具" w:id="206"/>
      <w:bookmarkEnd w:id="20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8、收入" w:id="207"/>
      <w:bookmarkEnd w:id="207"/>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4" w:right="7692"/>
        <w:jc w:val="left"/>
      </w:pPr>
      <w:r>
        <w:rPr/>
        <w:t>公司是否需要遵守特殊行业的披露要求 否</w:t>
      </w:r>
    </w:p>
    <w:p>
      <w:pPr>
        <w:pStyle w:val="BodyText"/>
        <w:spacing w:line="309" w:lineRule="auto" w:before="26"/>
        <w:ind w:left="513" w:right="985"/>
        <w:jc w:val="left"/>
      </w:pPr>
      <w:r>
        <w:rPr/>
        <w:t>（</w:t>
      </w:r>
      <w:r>
        <w:rPr>
          <w:rFonts w:ascii="Times New Roman" w:hAnsi="Times New Roman" w:cs="Times New Roman" w:eastAsia="Times New Roman" w:hint="default"/>
        </w:rPr>
        <w:t>1</w:t>
      </w:r>
      <w:r>
        <w:rPr/>
        <w:t>）自行开发研制的软件产品销售收入的确认原则及方法： 自行开发研制的软件产品是指拥有自主知识产权，无差异化、可批量复制的软件产品。 </w:t>
      </w:r>
      <w:r>
        <w:rPr>
          <w:spacing w:val="-2"/>
        </w:rPr>
        <w:t>其收入确认原则及方法为：软件产品所有权上的重要风险和报酬转移给买方，公司不再对该软件产品实施继续管理权和</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985"/>
        <w:jc w:val="left"/>
      </w:pPr>
      <w:r>
        <w:rPr>
          <w:spacing w:val="-2"/>
        </w:rPr>
        <w:t>实际控制权，相关的收入已经收到或取得了收款的证据，并且与销售该软件产品有关的成本能够可靠地计量时，确认销售收</w:t>
      </w:r>
      <w:r>
        <w:rPr>
          <w:spacing w:val="-66"/>
        </w:rPr>
        <w:t> </w:t>
      </w:r>
      <w:r>
        <w:rPr>
          <w:spacing w:val="-66"/>
        </w:rPr>
      </w:r>
      <w:r>
        <w:rPr/>
        <w:t>入。</w:t>
      </w:r>
    </w:p>
    <w:p>
      <w:pPr>
        <w:pStyle w:val="BodyText"/>
        <w:spacing w:line="300" w:lineRule="auto" w:before="19"/>
        <w:ind w:left="513" w:right="985"/>
        <w:jc w:val="left"/>
      </w:pPr>
      <w:r>
        <w:rPr/>
        <w:t>（</w:t>
      </w:r>
      <w:r>
        <w:rPr>
          <w:rFonts w:ascii="Times New Roman" w:hAnsi="Times New Roman" w:cs="Times New Roman" w:eastAsia="Times New Roman" w:hint="default"/>
        </w:rPr>
        <w:t>2</w:t>
      </w:r>
      <w:r>
        <w:rPr/>
        <w:t>）技术开发收入的确认原则及方法： </w:t>
      </w:r>
      <w:r>
        <w:rPr>
          <w:spacing w:val="-2"/>
        </w:rPr>
        <w:t>技术开发是指根据与客户签订的技术开发、技术转让合同，对用户的业务进行充分实地调查，并根据用户的实际需求进</w:t>
      </w:r>
    </w:p>
    <w:p>
      <w:pPr>
        <w:pStyle w:val="BodyText"/>
        <w:spacing w:line="240" w:lineRule="auto" w:before="32"/>
        <w:ind w:right="985"/>
        <w:jc w:val="left"/>
      </w:pPr>
      <w:r>
        <w:rPr/>
        <w:t>行专门的软件设计与开发及硬件安装，由此开发出来的项目不具有通用性。其收入确认原则及方法为：</w:t>
      </w:r>
    </w:p>
    <w:p>
      <w:pPr>
        <w:pStyle w:val="BodyText"/>
        <w:spacing w:line="316" w:lineRule="auto" w:before="76"/>
        <w:ind w:right="1132" w:firstLine="360"/>
        <w:jc w:val="both"/>
      </w:pPr>
      <w:r>
        <w:rPr>
          <w:spacing w:val="-2"/>
        </w:rPr>
        <w:t>①技术开发项目在同一会计年度内开始并完成的，在技术开发成果的使用权已经提供，收到价款或取得收取款项的证据</w:t>
      </w:r>
      <w:r>
        <w:rPr/>
        <w:t> 时，确认收入。</w:t>
      </w:r>
    </w:p>
    <w:p>
      <w:pPr>
        <w:pStyle w:val="BodyText"/>
        <w:spacing w:line="316" w:lineRule="auto" w:before="19"/>
        <w:ind w:right="1133" w:firstLine="360"/>
        <w:jc w:val="both"/>
      </w:pPr>
      <w:r>
        <w:rPr>
          <w:spacing w:val="-2"/>
        </w:rPr>
        <w:t>②技术开发项目的开始和完成分属不同的会计年度的，在合同的总收入、项目的完成程度能够可靠地确定，与项目有关</w:t>
      </w:r>
      <w:r>
        <w:rPr/>
        <w:t> 的价款能够流入</w:t>
      </w:r>
      <w:r>
        <w:rPr>
          <w:spacing w:val="-19"/>
        </w:rPr>
        <w:t> </w:t>
      </w:r>
      <w:r>
        <w:rPr/>
        <w:t>，已经发生的成本和完成该项技术开发将要发生的成本能够可靠地计量时，在资产负债表日按完工百分比</w:t>
      </w:r>
      <w:r>
        <w:rPr/>
        <w:t> 法（工程完工进度）确认软件收入。</w:t>
      </w:r>
    </w:p>
    <w:p>
      <w:pPr>
        <w:pStyle w:val="BodyText"/>
        <w:spacing w:line="316" w:lineRule="auto" w:before="19"/>
        <w:ind w:left="154" w:right="1156" w:firstLine="360"/>
        <w:jc w:val="both"/>
      </w:pPr>
      <w:r>
        <w:rPr/>
        <w:t>③对在资产负债表日劳务交易结果不能可靠估计的技术开发项目，</w:t>
      </w:r>
      <w:r>
        <w:rPr>
          <w:spacing w:val="-18"/>
        </w:rPr>
        <w:t> </w:t>
      </w:r>
      <w:r>
        <w:rPr/>
        <w:t>如果已经发生的成本预计能够得到补偿，应按能够</w:t>
      </w:r>
      <w:r>
        <w:rPr/>
        <w:t> 得到补偿的收入金额确认收入，并按相同的金额结转成本；</w:t>
      </w:r>
      <w:r>
        <w:rPr>
          <w:spacing w:val="-18"/>
        </w:rPr>
        <w:t> </w:t>
      </w:r>
      <w:r>
        <w:rPr/>
        <w:t>如果已经发生的成本预计不能全部得到补偿，应按能够得到补</w:t>
      </w:r>
      <w:r>
        <w:rPr/>
        <w:t> 偿的收入金额确认收入，并按已发生的成本结转成本，确认的收入金额小于已经发生的成本的差额，确认为损失；</w:t>
      </w:r>
      <w:r>
        <w:rPr>
          <w:spacing w:val="-16"/>
        </w:rPr>
        <w:t> </w:t>
      </w:r>
      <w:r>
        <w:rPr/>
        <w:t>如果已</w:t>
      </w:r>
      <w:r>
        <w:rPr/>
        <w:t> 发生的成本全部不能得到补偿，则不应确认收入，但应将已发生的成本确认为费用。</w:t>
      </w:r>
    </w:p>
    <w:p>
      <w:pPr>
        <w:pStyle w:val="BodyText"/>
        <w:spacing w:line="300" w:lineRule="auto" w:before="19"/>
        <w:ind w:left="513" w:right="1033"/>
        <w:jc w:val="left"/>
      </w:pPr>
      <w:r>
        <w:rPr/>
        <w:t>（</w:t>
      </w:r>
      <w:r>
        <w:rPr>
          <w:rFonts w:ascii="Times New Roman" w:hAnsi="Times New Roman" w:cs="Times New Roman" w:eastAsia="Times New Roman" w:hint="default"/>
        </w:rPr>
        <w:t>3</w:t>
      </w:r>
      <w:r>
        <w:rPr/>
        <w:t>）软件服务收入的确认原则及方法： 软件服务是指公司为客户提供软件应用等技术服务实现的收入。包括但不限于：免费服务期后的系统维护、数据修复、</w:t>
      </w:r>
    </w:p>
    <w:p>
      <w:pPr>
        <w:pStyle w:val="BodyText"/>
        <w:spacing w:line="316" w:lineRule="auto" w:before="31"/>
        <w:ind w:right="985"/>
        <w:jc w:val="left"/>
      </w:pPr>
      <w:r>
        <w:rPr>
          <w:spacing w:val="-2"/>
        </w:rPr>
        <w:t>技术业务咨询服务、技术支持、应用培训等技术服务；二次开发服务业务；其他为客户（包括使用非公司产品）进行的技术</w:t>
      </w:r>
      <w:r>
        <w:rPr>
          <w:spacing w:val="-68"/>
        </w:rPr>
        <w:t> </w:t>
      </w:r>
      <w:r>
        <w:rPr>
          <w:spacing w:val="-68"/>
        </w:rPr>
      </w:r>
      <w:r>
        <w:rPr/>
        <w:t>支持、技术应用及技术咨询等服务。</w:t>
      </w:r>
    </w:p>
    <w:p>
      <w:pPr>
        <w:pStyle w:val="BodyText"/>
        <w:spacing w:line="240" w:lineRule="auto" w:before="19"/>
        <w:ind w:left="514" w:right="985"/>
        <w:jc w:val="left"/>
      </w:pPr>
      <w:r>
        <w:rPr/>
        <w:t>软件服务收入的确认原则及方法为：在劳务已经提供，收到价款或取得收取款项的证据时，确认劳务收入。</w:t>
      </w:r>
    </w:p>
    <w:p>
      <w:pPr>
        <w:pStyle w:val="BodyText"/>
        <w:spacing w:line="309" w:lineRule="auto" w:before="76"/>
        <w:ind w:left="513" w:right="985"/>
        <w:jc w:val="left"/>
      </w:pPr>
      <w:r>
        <w:rPr/>
        <w:t>（</w:t>
      </w:r>
      <w:r>
        <w:rPr>
          <w:rFonts w:ascii="Times New Roman" w:hAnsi="Times New Roman" w:cs="Times New Roman" w:eastAsia="Times New Roman" w:hint="default"/>
        </w:rPr>
        <w:t>4</w:t>
      </w:r>
      <w:r>
        <w:rPr/>
        <w:t>）系统集成收入的确认原则及方法： 系统集成收入是公司为客户实施软件项目时，应客户要求代其外购软硬件系统所获得的收入。 </w:t>
      </w:r>
      <w:r>
        <w:rPr>
          <w:spacing w:val="-2"/>
        </w:rPr>
        <w:t>系统集成收入的确认原则及方法：系统集成项目软硬件系统所有权上的重要风险和报酬转移给买方，公司不再对其实施</w:t>
      </w:r>
    </w:p>
    <w:p>
      <w:pPr>
        <w:pStyle w:val="BodyText"/>
        <w:spacing w:line="316" w:lineRule="auto" w:before="24"/>
        <w:ind w:right="1033"/>
        <w:jc w:val="left"/>
      </w:pPr>
      <w:r>
        <w:rPr/>
        <w:t>继续管理权和实际控制权，相关的收入已经收到或取得了收款的证据，与销售该软硬件系统有关的成本能够可靠地计量时， 确认销售收入。</w:t>
      </w:r>
    </w:p>
    <w:p>
      <w:pPr>
        <w:pStyle w:val="BodyText"/>
        <w:spacing w:line="300" w:lineRule="auto" w:before="19"/>
        <w:ind w:left="514" w:right="3372"/>
        <w:jc w:val="left"/>
      </w:pPr>
      <w:r>
        <w:rPr/>
        <w:t>（</w:t>
      </w:r>
      <w:r>
        <w:rPr>
          <w:rFonts w:ascii="Times New Roman" w:hAnsi="Times New Roman" w:cs="Times New Roman" w:eastAsia="Times New Roman" w:hint="default"/>
        </w:rPr>
        <w:t>5</w:t>
      </w:r>
      <w:r>
        <w:rPr/>
        <w:t>）工业生产的仪器设备的收入确认原则及方法： 公司工业生产的仪器设备，在销售发往客户单位、验收合格签字确认后，确认销售收入。</w:t>
      </w:r>
    </w:p>
    <w:p>
      <w:pPr>
        <w:pStyle w:val="BodyText"/>
        <w:spacing w:line="300" w:lineRule="auto" w:before="31"/>
        <w:ind w:left="514" w:right="985"/>
        <w:jc w:val="left"/>
      </w:pPr>
      <w:r>
        <w:rPr/>
        <w:t>（</w:t>
      </w:r>
      <w:r>
        <w:rPr>
          <w:rFonts w:ascii="Times New Roman" w:hAnsi="Times New Roman" w:cs="Times New Roman" w:eastAsia="Times New Roman" w:hint="default"/>
        </w:rPr>
        <w:t>6</w:t>
      </w:r>
      <w:r>
        <w:rPr/>
        <w:t>）让渡资产使用权收入的确认原则及方法： </w:t>
      </w:r>
      <w:r>
        <w:rPr>
          <w:spacing w:val="-2"/>
        </w:rPr>
        <w:t>让渡无形资产（如商标权、专利权、专营权、软件、版权等），以及其他非现金资产的使用权而形成的使用费收入，按</w:t>
      </w:r>
    </w:p>
    <w:p>
      <w:pPr>
        <w:pStyle w:val="BodyText"/>
        <w:spacing w:line="240" w:lineRule="auto" w:before="31"/>
        <w:ind w:left="154" w:right="985"/>
        <w:jc w:val="left"/>
      </w:pPr>
      <w:r>
        <w:rPr/>
        <w:t>有关合同或协议规定的收费时间和方法计算确定。上述收入的确定并应同时满足：①与交易相关的经济利益能够流入公司；</w:t>
      </w:r>
    </w:p>
    <w:p>
      <w:pPr>
        <w:pStyle w:val="BodyText"/>
        <w:spacing w:line="240" w:lineRule="auto" w:before="76"/>
        <w:ind w:left="154" w:right="985"/>
        <w:jc w:val="left"/>
      </w:pPr>
      <w:r>
        <w:rPr/>
        <w:t>②收入金额能够可靠地计量。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6"/>
        <w:ind w:left="154" w:right="985"/>
        <w:jc w:val="left"/>
        <w:rPr>
          <w:b w:val="0"/>
          <w:bCs w:val="0"/>
        </w:rPr>
      </w:pPr>
      <w:bookmarkStart w:name="29、政府补助" w:id="208"/>
      <w:bookmarkEnd w:id="20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与资产相关的政府补助判断依据及会计处理方法" w:id="209"/>
      <w:bookmarkEnd w:id="20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130" w:firstLine="360"/>
        <w:jc w:val="both"/>
      </w:pPr>
      <w:r>
        <w:rPr>
          <w:spacing w:val="-2"/>
        </w:rPr>
        <w:t>政府补助是指本公司从政府无偿取得货币性资产和非货币性资产，不包括政府以投资者身份并享有相应所有者权益而投</w:t>
      </w:r>
      <w:r>
        <w:rPr/>
        <w:t> </w:t>
      </w:r>
      <w:r>
        <w:rPr>
          <w:spacing w:val="-2"/>
        </w:rPr>
        <w:t>入的资本。政府补助分为与资产相关的政府补助和与收益相关的政府补助。本公司将所取得的用于购建或以其他方式形成长</w:t>
      </w:r>
      <w:r>
        <w:rPr>
          <w:spacing w:val="-64"/>
        </w:rPr>
        <w:t> </w:t>
      </w:r>
      <w:r>
        <w:rPr>
          <w:spacing w:val="-64"/>
        </w:rPr>
      </w:r>
      <w:r>
        <w:rPr>
          <w:spacing w:val="-2"/>
        </w:rPr>
        <w:t>期资产的政府补助界定为与资产相关的政府补助；其余政府补助界定为与收益相关的政府补助。若政府文件未明确规定补助</w:t>
      </w:r>
      <w:r>
        <w:rPr>
          <w:spacing w:val="-64"/>
        </w:rPr>
        <w:t> </w:t>
      </w:r>
      <w:r>
        <w:rPr>
          <w:spacing w:val="-64"/>
        </w:rPr>
      </w:r>
      <w:r>
        <w:rPr/>
        <w:t>对象，则采用以下方式将补助款划分为与收益相关的政府补助和与资产相关的政府补助：（</w:t>
      </w:r>
      <w:r>
        <w:rPr>
          <w:rFonts w:ascii="Times New Roman" w:hAnsi="Times New Roman" w:cs="Times New Roman" w:eastAsia="Times New Roman" w:hint="default"/>
        </w:rPr>
        <w:t>1</w:t>
      </w:r>
      <w:r>
        <w:rPr/>
        <w:t>）政府文件明确了补助所针对 </w:t>
      </w:r>
      <w:r>
        <w:rPr>
          <w:spacing w:val="-2"/>
        </w:rPr>
        <w:t>的特定项目的，根据该特定项目的预算中将形成资产的支出金额和计入费用的支出金额的相对比例进行划分，对该划分比例</w:t>
      </w:r>
      <w:r>
        <w:rPr>
          <w:spacing w:val="-63"/>
        </w:rPr>
        <w:t> </w:t>
      </w:r>
      <w:r>
        <w:rPr>
          <w:spacing w:val="-63"/>
        </w:rPr>
      </w:r>
      <w:r>
        <w:rPr/>
        <w:t>需在每个资产负债表日进行复核，必要时进行变更；（</w:t>
      </w:r>
      <w:r>
        <w:rPr>
          <w:rFonts w:ascii="Times New Roman" w:hAnsi="Times New Roman" w:cs="Times New Roman" w:eastAsia="Times New Roman" w:hint="default"/>
        </w:rPr>
        <w:t>2</w:t>
      </w:r>
      <w:r>
        <w:rPr/>
        <w:t>）政府文件中对用途仅作一般性表述，没有指明特定项目的，作为</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985"/>
        <w:jc w:val="left"/>
      </w:pPr>
      <w:r>
        <w:rPr>
          <w:spacing w:val="-2"/>
        </w:rPr>
        <w:t>与收益相关的政府补助。政府补助为货币性资产的，按照收到或应收的金额计量。政府补助为非货币性资产的，按照公允价</w:t>
      </w:r>
      <w:r>
        <w:rPr>
          <w:spacing w:val="-66"/>
        </w:rPr>
        <w:t> </w:t>
      </w:r>
      <w:r>
        <w:rPr>
          <w:spacing w:val="-66"/>
        </w:rPr>
      </w:r>
      <w:r>
        <w:rPr/>
        <w:t>值计量；公允价值不能够可靠取得的，按照名义金额计量。按照名义金额计量的政府补助，直接计入当期损益。</w:t>
      </w:r>
    </w:p>
    <w:p>
      <w:pPr>
        <w:pStyle w:val="BodyText"/>
        <w:spacing w:line="316" w:lineRule="auto" w:before="19"/>
        <w:ind w:right="1041" w:firstLine="360"/>
        <w:jc w:val="both"/>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right="985"/>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2"/>
        </w:rPr>
        <w:t> </w:t>
      </w:r>
      <w:r>
        <w:rPr>
          <w:spacing w:val="-62"/>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 </w:t>
      </w:r>
      <w:r>
        <w:rPr>
          <w:spacing w:val="-2"/>
        </w:rPr>
        <w:t>公开的财政扶持项目及其财政资金管理办法，且该管理办法应当是普惠性的（任何符合规定条件的企业均可申请），而不是</w:t>
      </w:r>
      <w:r>
        <w:rPr>
          <w:spacing w:val="-66"/>
        </w:rPr>
        <w:t> </w:t>
      </w:r>
      <w:r>
        <w:rPr>
          <w:spacing w:val="-66"/>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 </w:t>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r>
        <w:rPr>
          <w:spacing w:val="-77"/>
        </w:rPr>
        <w:t> </w:t>
      </w:r>
      <w:r>
        <w:rPr>
          <w:spacing w:val="-77"/>
        </w:rPr>
      </w:r>
      <w:r>
        <w:rPr/>
        <w:t>与资产相关的政府补助，确认为递延收益，并在相关资产的使用寿命内按照合理、系统的方法分期计入当期损益。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4"/>
        <w:spacing w:line="240" w:lineRule="auto"/>
        <w:ind w:right="985"/>
        <w:jc w:val="left"/>
        <w:rPr>
          <w:b w:val="0"/>
          <w:bCs w:val="0"/>
        </w:rPr>
      </w:pPr>
      <w:bookmarkStart w:name="（2）与收益相关的政府补助判断依据及会计处理方法" w:id="210"/>
      <w:bookmarkEnd w:id="21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3" w:firstLine="360"/>
        <w:jc w:val="both"/>
      </w:pPr>
      <w:r>
        <w:rPr>
          <w:spacing w:val="-2"/>
        </w:rPr>
        <w:t>与收益相关的政府补助，用于补偿以后期间的相关成本费用或损失的，确认为递延收益，并在确认相关成本费用或损失</w:t>
      </w:r>
      <w:r>
        <w:rPr/>
        <w:t> 的期间计入当期损益；用于补偿已经发生的相关成本费用或损失的，直接计入当期损益。</w:t>
      </w:r>
    </w:p>
    <w:p>
      <w:pPr>
        <w:pStyle w:val="BodyText"/>
        <w:spacing w:line="316" w:lineRule="auto" w:before="19"/>
        <w:ind w:right="1133"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316" w:lineRule="auto" w:before="19"/>
        <w:ind w:left="154" w:right="1133" w:firstLine="360"/>
        <w:jc w:val="both"/>
      </w:pPr>
      <w:r>
        <w:rPr>
          <w:spacing w:val="-2"/>
        </w:rPr>
        <w:t>与本公司日常活动相关的政府补助，按照经济业务的实质，计入其他收益或冲减相关成本费用；与日常活动无关的政府</w:t>
      </w:r>
      <w:r>
        <w:rPr/>
        <w:t> 补助，计入营业外收支。</w:t>
      </w:r>
    </w:p>
    <w:p>
      <w:pPr>
        <w:pStyle w:val="BodyText"/>
        <w:spacing w:line="316" w:lineRule="auto" w:before="19"/>
        <w:ind w:right="1131" w:firstLine="360"/>
        <w:jc w:val="both"/>
      </w:pPr>
      <w:r>
        <w:rPr>
          <w:spacing w:val="-2"/>
        </w:rPr>
        <w:t>已确认的政府补助需要退回时，存在相关递延收益余额的，冲减相关递延收益账面余额，超出部分计入当期损益或（对</w:t>
      </w:r>
      <w:r>
        <w:rPr/>
        <w:t> 初始确认时冲减相关资产账面价值的与资产相关的政府补助）调整资产账面价值；属于其他情况的，直接计入当期损益。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4"/>
        <w:spacing w:line="240" w:lineRule="auto"/>
        <w:ind w:right="985"/>
        <w:jc w:val="left"/>
        <w:rPr>
          <w:b w:val="0"/>
          <w:bCs w:val="0"/>
        </w:rPr>
      </w:pPr>
      <w:bookmarkStart w:name="30、递延所得税资产/递延所得税负债" w:id="211"/>
      <w:bookmarkEnd w:id="21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left="154" w:right="985"/>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985"/>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985"/>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left="154" w:right="113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3" w:right="985" w:hanging="360"/>
        <w:jc w:val="left"/>
      </w:pPr>
      <w:r>
        <w:rPr/>
        <w:t>额为限，确认其他可抵扣暂时性差异产生的递延所得税资产。 </w:t>
      </w:r>
      <w:r>
        <w:rPr>
          <w:spacing w:val="-2"/>
        </w:rPr>
        <w:t>对于能够结转以后年度的可抵扣亏损和税款抵减，以很可能获得用来抵扣可抵扣亏损和税款抵减的未来应纳税所得额为</w:t>
      </w:r>
    </w:p>
    <w:p>
      <w:pPr>
        <w:pStyle w:val="BodyText"/>
        <w:spacing w:line="316" w:lineRule="auto" w:before="19"/>
        <w:ind w:left="513" w:right="985" w:hanging="360"/>
        <w:jc w:val="left"/>
      </w:pPr>
      <w:r>
        <w:rPr/>
        <w:t>限，确认相应的递延所得税资产。 </w:t>
      </w:r>
      <w:r>
        <w:rPr>
          <w:spacing w:val="-2"/>
        </w:rPr>
        <w:t>资产负债表日，对于递延所得税资产和递延所得税负债，根据税法规定，按照预期收回相关资产或清偿相关负债期间的</w:t>
      </w:r>
    </w:p>
    <w:p>
      <w:pPr>
        <w:pStyle w:val="BodyText"/>
        <w:spacing w:line="316" w:lineRule="auto" w:before="19"/>
        <w:ind w:left="513" w:right="985" w:hanging="360"/>
        <w:jc w:val="left"/>
      </w:pPr>
      <w:r>
        <w:rPr/>
        <w:t>适用税率计量。 </w:t>
      </w:r>
      <w:r>
        <w:rPr>
          <w:spacing w:val="-2"/>
        </w:rPr>
        <w:t>于资产负债表日，对递延所得税资产的账面价值进行复核，如果未来很可能无法获得足够的应纳税所得额用以抵扣递延</w:t>
      </w:r>
    </w:p>
    <w:p>
      <w:pPr>
        <w:pStyle w:val="BodyText"/>
        <w:spacing w:line="240" w:lineRule="auto" w:before="19"/>
        <w:ind w:right="0"/>
        <w:jc w:val="both"/>
      </w:pPr>
      <w:r>
        <w:rPr/>
        <w:t>所得税资产的利益，则减记递延所得税资产的账面价值。在很可能获得足够的应纳税所得额时，减记的金额予以转回。</w:t>
      </w:r>
    </w:p>
    <w:p>
      <w:pPr>
        <w:pStyle w:val="BodyText"/>
        <w:spacing w:line="300" w:lineRule="auto" w:before="76"/>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212"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985"/>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514" w:right="985"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54"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0"/>
        <w:jc w:val="both"/>
        <w:rPr>
          <w:b w:val="0"/>
          <w:bCs w:val="0"/>
        </w:rPr>
      </w:pPr>
      <w:bookmarkStart w:name="31、租赁" w:id="212"/>
      <w:bookmarkEnd w:id="212"/>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1）经营租赁的会计处理方法" w:id="213"/>
      <w:bookmarkEnd w:id="21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left="634" w:right="985"/>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w:t>
      </w:r>
    </w:p>
    <w:p>
      <w:pPr>
        <w:pStyle w:val="Heading3"/>
        <w:spacing w:line="282" w:lineRule="exact"/>
        <w:ind w:left="154" w:right="0"/>
        <w:jc w:val="both"/>
      </w:pPr>
      <w:r>
        <w:rPr/>
        <w:t>始直接费用计入当期损益。或有租金于实际发生时计入当期损益。</w:t>
      </w:r>
    </w:p>
    <w:p>
      <w:pPr>
        <w:pStyle w:val="Heading3"/>
        <w:spacing w:line="312" w:lineRule="exact" w:before="29"/>
        <w:ind w:left="634" w:right="985"/>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w:t>
      </w:r>
    </w:p>
    <w:p>
      <w:pPr>
        <w:pStyle w:val="Heading3"/>
        <w:spacing w:line="312" w:lineRule="exact"/>
        <w:ind w:left="154" w:right="1139"/>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line="240" w:lineRule="auto" w:before="7"/>
        <w:rPr>
          <w:rFonts w:ascii="宋体" w:hAnsi="宋体" w:cs="宋体" w:eastAsia="宋体" w:hint="default"/>
          <w:sz w:val="22"/>
          <w:szCs w:val="22"/>
        </w:rPr>
      </w:pPr>
    </w:p>
    <w:p>
      <w:pPr>
        <w:pStyle w:val="Heading4"/>
        <w:spacing w:line="240" w:lineRule="auto"/>
        <w:ind w:left="154" w:right="0"/>
        <w:jc w:val="both"/>
        <w:rPr>
          <w:b w:val="0"/>
          <w:bCs w:val="0"/>
        </w:rPr>
      </w:pPr>
      <w:bookmarkStart w:name="（2）融资租赁的会计处理方法" w:id="214"/>
      <w:bookmarkEnd w:id="21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left="634" w:right="985"/>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Heading3"/>
        <w:spacing w:line="312" w:lineRule="exact"/>
        <w:ind w:left="154" w:right="1139"/>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w:t>
      </w:r>
    </w:p>
    <w:p>
      <w:pPr>
        <w:pStyle w:val="Heading3"/>
        <w:spacing w:line="312" w:lineRule="exact"/>
        <w:ind w:left="634" w:right="985" w:hanging="480"/>
        <w:jc w:val="left"/>
      </w:pPr>
      <w:r>
        <w:rPr/>
        <w:t>和一年内到期的长期负债列示。 未确认融资费用在租赁期内采用实际利率法计算确认当期的融资费用。或有租金于实际</w:t>
      </w:r>
    </w:p>
    <w:p>
      <w:pPr>
        <w:pStyle w:val="Heading3"/>
        <w:spacing w:line="282" w:lineRule="exact"/>
        <w:ind w:left="154" w:right="0"/>
        <w:jc w:val="both"/>
      </w:pPr>
      <w:r>
        <w:rPr/>
        <w:t>发生时计入当期损益。</w:t>
      </w:r>
    </w:p>
    <w:p>
      <w:pPr>
        <w:pStyle w:val="Heading3"/>
        <w:spacing w:line="331" w:lineRule="exact"/>
        <w:ind w:left="634" w:right="985"/>
        <w:jc w:val="left"/>
      </w:pPr>
      <w:r>
        <w:rPr/>
        <w:t>（</w:t>
      </w:r>
      <w:r>
        <w:rPr>
          <w:rFonts w:ascii="Times New Roman" w:hAnsi="Times New Roman" w:cs="Times New Roman" w:eastAsia="Times New Roman" w:hint="default"/>
        </w:rPr>
        <w:t>2</w:t>
      </w:r>
      <w:r>
        <w:rPr/>
        <w:t>）</w:t>
      </w:r>
      <w:r>
        <w:rPr>
          <w:spacing w:val="-24"/>
        </w:rPr>
        <w:t> </w:t>
      </w:r>
      <w:r>
        <w:rPr/>
        <w:t>本公司作为出租人记录融资租赁业务</w:t>
      </w:r>
    </w:p>
    <w:p>
      <w:pPr>
        <w:spacing w:after="0" w:line="331"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firstLine="480"/>
        <w:jc w:val="both"/>
      </w:pPr>
      <w:r>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Heading3"/>
        <w:spacing w:line="312" w:lineRule="exact"/>
        <w:ind w:right="1140" w:firstLine="480"/>
        <w:jc w:val="both"/>
      </w:pPr>
      <w:r>
        <w:rPr/>
        <w:t>未实现融资收益在租赁期内采用实际利率法计算确认当期的融资收入。或有租金于实际 发生时计入当期损益。</w:t>
      </w:r>
    </w:p>
    <w:p>
      <w:pPr>
        <w:spacing w:line="240" w:lineRule="auto" w:before="7"/>
        <w:rPr>
          <w:rFonts w:ascii="宋体" w:hAnsi="宋体" w:cs="宋体" w:eastAsia="宋体" w:hint="default"/>
          <w:sz w:val="22"/>
          <w:szCs w:val="22"/>
        </w:rPr>
      </w:pPr>
    </w:p>
    <w:p>
      <w:pPr>
        <w:pStyle w:val="Heading4"/>
        <w:spacing w:line="240" w:lineRule="auto"/>
        <w:ind w:right="985"/>
        <w:jc w:val="left"/>
        <w:rPr>
          <w:b w:val="0"/>
          <w:bCs w:val="0"/>
        </w:rPr>
      </w:pPr>
      <w:bookmarkStart w:name="32、其他重要的会计政策和会计估计" w:id="215"/>
      <w:bookmarkEnd w:id="215"/>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33、重要会计政策和会计估计变更" w:id="216"/>
      <w:bookmarkEnd w:id="21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both"/>
              <w:rPr>
                <w:rFonts w:ascii="宋体" w:hAnsi="宋体" w:cs="宋体" w:eastAsia="宋体" w:hint="default"/>
                <w:sz w:val="18"/>
                <w:szCs w:val="18"/>
              </w:rPr>
            </w:pPr>
            <w:r>
              <w:rPr>
                <w:rFonts w:ascii="宋体" w:hAnsi="宋体" w:cs="宋体" w:eastAsia="宋体" w:hint="default"/>
                <w:sz w:val="18"/>
                <w:szCs w:val="18"/>
              </w:rPr>
              <w:t>鉴于国家财政部对《企业会计准则第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政府补助》（财会</w:t>
            </w:r>
            <w:r>
              <w:rPr>
                <w:rFonts w:ascii="Times New Roman" w:hAnsi="Times New Roman" w:cs="Times New Roman" w:eastAsia="Times New Roman" w:hint="default"/>
                <w:spacing w:val="-5"/>
                <w:sz w:val="18"/>
                <w:szCs w:val="18"/>
              </w:rPr>
              <w:t>[2017]15</w:t>
            </w:r>
            <w:r>
              <w:rPr>
                <w:rFonts w:ascii="Times New Roman" w:hAnsi="Times New Roman" w:cs="Times New Roman" w:eastAsia="Times New Roman" w:hint="default"/>
                <w:sz w:val="18"/>
                <w:szCs w:val="18"/>
              </w:rPr>
              <w:t> </w:t>
            </w:r>
            <w:r>
              <w:rPr>
                <w:rFonts w:ascii="宋体" w:hAnsi="宋体" w:cs="宋体" w:eastAsia="宋体" w:hint="default"/>
                <w:sz w:val="18"/>
                <w:szCs w:val="18"/>
              </w:rPr>
              <w:t>号）进行</w:t>
            </w:r>
            <w:r>
              <w:rPr>
                <w:rFonts w:ascii="宋体" w:hAnsi="宋体" w:cs="宋体" w:eastAsia="宋体" w:hint="default"/>
                <w:spacing w:val="-87"/>
                <w:sz w:val="18"/>
                <w:szCs w:val="18"/>
              </w:rPr>
              <w:t> </w:t>
            </w:r>
            <w:r>
              <w:rPr>
                <w:rFonts w:ascii="宋体" w:hAnsi="宋体" w:cs="宋体" w:eastAsia="宋体" w:hint="default"/>
                <w:sz w:val="18"/>
                <w:szCs w:val="18"/>
              </w:rPr>
              <w:t>了修订并予以印发，准则于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302" w:lineRule="auto" w:before="13"/>
              <w:ind w:left="22" w:right="52"/>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日起施行。公司需按照相关文件要求 进行会计政策变更。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 事会第八次会议，审议通过了《关于会 </w:t>
            </w:r>
            <w:r>
              <w:rPr>
                <w:rFonts w:ascii="宋体" w:hAnsi="宋体" w:cs="宋体" w:eastAsia="宋体" w:hint="default"/>
                <w:spacing w:val="-10"/>
                <w:sz w:val="18"/>
                <w:szCs w:val="18"/>
              </w:rPr>
              <w:t>计政策变更的议案》。具体内容请见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p>
          <w:p>
            <w:pPr>
              <w:pStyle w:val="TableParagraph"/>
              <w:spacing w:line="309"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日刊登于《证券时报》、《中国</w:t>
            </w:r>
            <w:r>
              <w:rPr>
                <w:rFonts w:ascii="宋体" w:hAnsi="宋体" w:cs="宋体" w:eastAsia="宋体" w:hint="default"/>
                <w:sz w:val="18"/>
                <w:szCs w:val="18"/>
              </w:rPr>
              <w:t> 证券报》</w:t>
            </w:r>
            <w:r>
              <w:rPr>
                <w:rFonts w:ascii="宋体" w:hAnsi="宋体" w:cs="宋体" w:eastAsia="宋体" w:hint="default"/>
                <w:spacing w:val="-16"/>
                <w:sz w:val="18"/>
                <w:szCs w:val="18"/>
              </w:rPr>
              <w:t> </w:t>
            </w:r>
            <w:r>
              <w:rPr>
                <w:rFonts w:ascii="宋体" w:hAnsi="宋体" w:cs="宋体" w:eastAsia="宋体" w:hint="default"/>
                <w:sz w:val="18"/>
                <w:szCs w:val="18"/>
              </w:rPr>
              <w:t>和巨潮资讯网上的《关于会计</w:t>
            </w:r>
            <w:r>
              <w:rPr>
                <w:rFonts w:ascii="宋体" w:hAnsi="宋体" w:cs="宋体" w:eastAsia="宋体" w:hint="default"/>
                <w:sz w:val="18"/>
                <w:szCs w:val="18"/>
              </w:rPr>
              <w:t> </w:t>
            </w:r>
            <w:r>
              <w:rPr>
                <w:rFonts w:ascii="宋体" w:hAnsi="宋体" w:cs="宋体" w:eastAsia="宋体" w:hint="default"/>
                <w:spacing w:val="-10"/>
                <w:sz w:val="18"/>
                <w:szCs w:val="18"/>
              </w:rPr>
              <w:t>政策变更的公告》。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重分类调减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p>
            <w:pPr>
              <w:pStyle w:val="TableParagraph"/>
              <w:spacing w:line="302"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"30,559,381.17 </w:t>
            </w:r>
            <w:r>
              <w:rPr>
                <w:rFonts w:ascii="宋体" w:hAnsi="宋体" w:cs="宋体" w:eastAsia="宋体" w:hint="default"/>
                <w:spacing w:val="-8"/>
                <w:sz w:val="18"/>
                <w:szCs w:val="18"/>
              </w:rPr>
              <w:t>元、列示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其他 收益</w:t>
            </w:r>
            <w:r>
              <w:rPr>
                <w:rFonts w:ascii="Times New Roman" w:hAnsi="Times New Roman" w:cs="Times New Roman" w:eastAsia="Times New Roman" w:hint="default"/>
                <w:sz w:val="18"/>
                <w:szCs w:val="18"/>
              </w:rPr>
              <w:t>"30,559,381.17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r>
      <w:tr>
        <w:trPr>
          <w:trHeight w:val="35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鉴于国家财政部于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w:t>
            </w:r>
          </w:p>
          <w:p>
            <w:pPr>
              <w:pStyle w:val="TableParagraph"/>
              <w:spacing w:line="309"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布了关于印发《企业会计准则第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持有待售的非流动资产、处置组和终止 </w:t>
            </w:r>
            <w:r>
              <w:rPr>
                <w:rFonts w:ascii="宋体" w:hAnsi="宋体" w:cs="宋体" w:eastAsia="宋体" w:hint="default"/>
                <w:spacing w:val="-10"/>
                <w:sz w:val="18"/>
                <w:szCs w:val="18"/>
              </w:rPr>
              <w:t>经营》的通知（财会</w:t>
            </w:r>
            <w:r>
              <w:rPr>
                <w:rFonts w:ascii="Times New Roman" w:hAnsi="Times New Roman" w:cs="Times New Roman" w:eastAsia="Times New Roman" w:hint="default"/>
                <w:spacing w:val="-10"/>
                <w:sz w:val="18"/>
                <w:szCs w:val="18"/>
              </w:rPr>
              <w:t>[2017]13</w:t>
            </w:r>
            <w:r>
              <w:rPr>
                <w:rFonts w:ascii="Times New Roman" w:hAnsi="Times New Roman" w:cs="Times New Roman" w:eastAsia="Times New Roman" w:hint="default"/>
                <w:sz w:val="18"/>
                <w:szCs w:val="18"/>
              </w:rPr>
              <w:t> </w:t>
            </w:r>
            <w:r>
              <w:rPr>
                <w:rFonts w:ascii="宋体" w:hAnsi="宋体" w:cs="宋体" w:eastAsia="宋体" w:hint="default"/>
                <w:spacing w:val="-42"/>
                <w:sz w:val="18"/>
                <w:szCs w:val="18"/>
              </w:rPr>
              <w:t>号），自</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2017</w:t>
            </w:r>
          </w:p>
          <w:p>
            <w:pPr>
              <w:pStyle w:val="TableParagraph"/>
              <w:spacing w:line="309"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日起施行；</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发布了《关于修订印发一般企业财务报 </w:t>
            </w:r>
            <w:r>
              <w:rPr>
                <w:rFonts w:ascii="宋体" w:hAnsi="宋体" w:cs="宋体" w:eastAsia="宋体" w:hint="default"/>
                <w:spacing w:val="-8"/>
                <w:sz w:val="18"/>
                <w:szCs w:val="18"/>
              </w:rPr>
              <w:t>表格式的通知》（财会</w:t>
            </w:r>
            <w:r>
              <w:rPr>
                <w:rFonts w:ascii="Times New Roman" w:hAnsi="Times New Roman" w:cs="Times New Roman" w:eastAsia="Times New Roman" w:hint="default"/>
                <w:spacing w:val="-8"/>
                <w:sz w:val="18"/>
                <w:szCs w:val="18"/>
              </w:rPr>
              <w:t>[2017]30</w:t>
            </w:r>
            <w:r>
              <w:rPr>
                <w:rFonts w:ascii="Times New Roman" w:hAnsi="Times New Roman" w:cs="Times New Roman" w:eastAsia="Times New Roman" w:hint="default"/>
                <w:spacing w:val="5"/>
                <w:sz w:val="18"/>
                <w:szCs w:val="18"/>
              </w:rPr>
              <w:t> </w:t>
            </w:r>
            <w:r>
              <w:rPr>
                <w:rFonts w:ascii="宋体" w:hAnsi="宋体" w:cs="宋体" w:eastAsia="宋体" w:hint="default"/>
                <w:spacing w:val="-27"/>
                <w:sz w:val="18"/>
                <w:szCs w:val="18"/>
              </w:rPr>
              <w:t>号），执行</w:t>
            </w:r>
            <w:r>
              <w:rPr>
                <w:rFonts w:ascii="宋体" w:hAnsi="宋体" w:cs="宋体" w:eastAsia="宋体" w:hint="default"/>
                <w:sz w:val="18"/>
                <w:szCs w:val="18"/>
              </w:rPr>
              <w:t> 企业会计准则的非金融企业应当按照企 业会计准则和通知要求编制</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年度及 以后期间的财务报表，公司需按照相关 文件要求进行会计政策变更。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2" w:right="5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 事会第十七次会议，审议通过了《关于 </w:t>
            </w:r>
            <w:r>
              <w:rPr>
                <w:rFonts w:ascii="宋体" w:hAnsi="宋体" w:cs="宋体" w:eastAsia="宋体" w:hint="default"/>
                <w:spacing w:val="-6"/>
                <w:sz w:val="18"/>
                <w:szCs w:val="18"/>
              </w:rPr>
              <w:t>会计政策变更的议案》。具体内容请见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日刊登于《证券时报》、</w:t>
            </w:r>
          </w:p>
          <w:p>
            <w:pPr>
              <w:pStyle w:val="TableParagraph"/>
              <w:spacing w:line="319" w:lineRule="auto" w:before="3"/>
              <w:ind w:left="22" w:right="22"/>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16"/>
                <w:sz w:val="18"/>
                <w:szCs w:val="18"/>
              </w:rPr>
              <w:t> </w:t>
            </w:r>
            <w:r>
              <w:rPr>
                <w:rFonts w:ascii="宋体" w:hAnsi="宋体" w:cs="宋体" w:eastAsia="宋体" w:hint="default"/>
                <w:sz w:val="18"/>
                <w:szCs w:val="18"/>
              </w:rPr>
              <w:t>和巨潮资讯网上的《关</w:t>
            </w:r>
            <w:r>
              <w:rPr>
                <w:rFonts w:ascii="宋体" w:hAnsi="宋体" w:cs="宋体" w:eastAsia="宋体" w:hint="default"/>
                <w:sz w:val="18"/>
                <w:szCs w:val="18"/>
              </w:rPr>
              <w:t> </w:t>
            </w:r>
            <w:r>
              <w:rPr>
                <w:rFonts w:ascii="宋体" w:hAnsi="宋体" w:cs="宋体" w:eastAsia="宋体" w:hint="default"/>
                <w:spacing w:val="-8"/>
                <w:sz w:val="18"/>
                <w:szCs w:val="18"/>
              </w:rPr>
              <w:t>于会计政策变更的公告》。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166,683,791.26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142,089,799.45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54" w:right="985"/>
        <w:jc w:val="left"/>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966" w:firstLine="0"/>
        <w:jc w:val="left"/>
        <w:rPr>
          <w:rFonts w:ascii="宋体" w:hAnsi="宋体" w:cs="宋体" w:eastAsia="宋体" w:hint="default"/>
          <w:sz w:val="21"/>
          <w:szCs w:val="21"/>
        </w:rPr>
      </w:pPr>
      <w:bookmarkStart w:name="34、其他" w:id="219"/>
      <w:bookmarkEnd w:id="21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0"/>
      <w:bookmarkEnd w:id="22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1"/>
      <w:bookmarkEnd w:id="221"/>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BodyText"/>
        <w:spacing w:line="240" w:lineRule="auto"/>
        <w:ind w:left="0" w:right="1139"/>
        <w:jc w:val="right"/>
      </w:pPr>
      <w:r>
        <w:rPr/>
        <w:pict>
          <v:shape style="position:absolute;margin-left:57.029999pt;margin-top:-92.408295pt;width:478.65pt;height:167.9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 w:right="95"/>
                          <w:jc w:val="left"/>
                          <w:rPr>
                            <w:rFonts w:ascii="宋体" w:hAnsi="宋体" w:cs="宋体" w:eastAsia="宋体" w:hint="default"/>
                            <w:sz w:val="18"/>
                            <w:szCs w:val="18"/>
                          </w:rPr>
                        </w:pPr>
                        <w:r>
                          <w:rPr>
                            <w:rFonts w:ascii="宋体" w:hAnsi="宋体" w:cs="宋体" w:eastAsia="宋体" w:hint="default"/>
                            <w:sz w:val="18"/>
                            <w:szCs w:val="18"/>
                          </w:rPr>
                          <w:t>软件销售收入、系统集成收入、软件服 务收入、技术开发收入</w:t>
                        </w: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应税收入按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 税，并按扣除当期允许抵扣的进项税额 后的差额计缴增值税。</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112"/>
                          <w:jc w:val="left"/>
                          <w:rPr>
                            <w:rFonts w:ascii="宋体" w:hAnsi="宋体" w:cs="宋体" w:eastAsia="宋体" w:hint="default"/>
                            <w:sz w:val="18"/>
                            <w:szCs w:val="18"/>
                          </w:rPr>
                        </w:pPr>
                        <w:r>
                          <w:rPr>
                            <w:rFonts w:ascii="宋体" w:hAnsi="宋体" w:cs="宋体" w:eastAsia="宋体" w:hint="default"/>
                            <w:sz w:val="18"/>
                            <w:szCs w:val="18"/>
                          </w:rPr>
                          <w:t>按应纳税所得额的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z w:val="18"/>
                            <w:szCs w:val="18"/>
                          </w:rPr>
                          <w:t> 25%</w:t>
                        </w:r>
                        <w:r>
                          <w:rPr>
                            <w:rFonts w:ascii="宋体" w:hAnsi="宋体" w:cs="宋体" w:eastAsia="宋体" w:hint="default"/>
                            <w:sz w:val="18"/>
                            <w:szCs w:val="18"/>
                          </w:rPr>
                          <w:t>计缴。</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154" w:right="985"/>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远光能源互联网产业发展（横琴）有限公司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远光信息技术（澳门）有限公司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杭州昊美电力工程有限公司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杭州迈测信息工程有限公司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杭州微能智能科技有限公司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2、税收优惠" w:id="222"/>
      <w:bookmarkEnd w:id="22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87" w:right="985" w:hanging="74"/>
        <w:jc w:val="left"/>
      </w:pPr>
      <w:r>
        <w:rPr/>
        <w:t>（</w:t>
      </w:r>
      <w:r>
        <w:rPr>
          <w:rFonts w:ascii="Times New Roman" w:hAnsi="Times New Roman" w:cs="Times New Roman" w:eastAsia="Times New Roman" w:hint="default"/>
        </w:rPr>
        <w:t>1</w:t>
      </w:r>
      <w:r>
        <w:rPr/>
        <w:t>）增值税 </w:t>
      </w:r>
      <w:r>
        <w:rPr>
          <w:spacing w:val="-1"/>
        </w:rPr>
        <w:t>根据财政部、国家税务总局下发财税</w:t>
      </w:r>
      <w:r>
        <w:rPr>
          <w:rFonts w:ascii="Times New Roman" w:hAnsi="Times New Roman" w:cs="Times New Roman" w:eastAsia="Times New Roman" w:hint="default"/>
          <w:spacing w:val="-1"/>
        </w:rPr>
        <w:t>[2011]100</w:t>
      </w:r>
      <w:r>
        <w:rPr>
          <w:spacing w:val="-1"/>
        </w:rPr>
        <w:t>号文《财政部、国家税务总局关于软件产品增值税政策的通知》，公</w:t>
      </w:r>
    </w:p>
    <w:p>
      <w:pPr>
        <w:pStyle w:val="BodyText"/>
        <w:spacing w:line="300" w:lineRule="auto" w:before="13"/>
        <w:ind w:left="227" w:right="1289"/>
        <w:jc w:val="left"/>
      </w:pPr>
      <w:r>
        <w:rPr/>
        <w:t>司自行开发研制软件产品销售按</w:t>
      </w:r>
      <w:r>
        <w:rPr>
          <w:rFonts w:ascii="Times New Roman" w:hAnsi="Times New Roman" w:cs="Times New Roman" w:eastAsia="Times New Roman" w:hint="default"/>
        </w:rPr>
        <w:t>17%</w:t>
      </w:r>
      <w:r>
        <w:rPr/>
        <w:t>的法定税率计缴增值税，实际税负超过</w:t>
      </w:r>
      <w:r>
        <w:rPr>
          <w:rFonts w:ascii="Times New Roman" w:hAnsi="Times New Roman" w:cs="Times New Roman" w:eastAsia="Times New Roman" w:hint="default"/>
        </w:rPr>
        <w:t>3%</w:t>
      </w:r>
      <w:r>
        <w:rPr/>
        <w:t>部分经主管国家税务局审核后实行即征即 退政策。</w:t>
      </w:r>
    </w:p>
    <w:p>
      <w:pPr>
        <w:pStyle w:val="BodyText"/>
        <w:spacing w:line="240" w:lineRule="auto" w:before="31"/>
        <w:ind w:left="513" w:right="985"/>
        <w:jc w:val="left"/>
      </w:pPr>
      <w:r>
        <w:rPr/>
        <w:t>（</w:t>
      </w:r>
      <w:r>
        <w:rPr>
          <w:rFonts w:ascii="Times New Roman" w:hAnsi="Times New Roman" w:cs="Times New Roman" w:eastAsia="Times New Roman" w:hint="default"/>
        </w:rPr>
        <w:t>2</w:t>
      </w:r>
      <w:r>
        <w:rPr/>
        <w:t>）企业所得税</w:t>
      </w:r>
    </w:p>
    <w:p>
      <w:pPr>
        <w:pStyle w:val="BodyText"/>
        <w:spacing w:line="300" w:lineRule="auto" w:before="63"/>
        <w:ind w:right="112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日，公司经广东省科学技术厅、广东省财政厅、广东省国家税务局、广东省地方税务局批准，公司被认定</w:t>
      </w:r>
      <w:r>
        <w:rPr/>
        <w:t> </w:t>
      </w:r>
      <w:r>
        <w:rPr>
          <w:spacing w:val="-1"/>
        </w:rPr>
        <w:t>为高新技术企业，高新技术企业认定证书编号为：</w:t>
      </w:r>
      <w:r>
        <w:rPr>
          <w:rFonts w:ascii="Times New Roman" w:hAnsi="Times New Roman" w:cs="Times New Roman" w:eastAsia="Times New Roman" w:hint="default"/>
          <w:spacing w:val="-1"/>
        </w:rPr>
        <w:t>GR201444000917</w:t>
      </w:r>
      <w:r>
        <w:rPr>
          <w:spacing w:val="-1"/>
        </w:rPr>
        <w:t>号，证书有效期为</w:t>
      </w:r>
      <w:r>
        <w:rPr>
          <w:rFonts w:ascii="Times New Roman" w:hAnsi="Times New Roman" w:cs="Times New Roman" w:eastAsia="Times New Roman" w:hint="default"/>
          <w:spacing w:val="-1"/>
        </w:rPr>
        <w:t>3</w:t>
      </w:r>
      <w:r>
        <w:rPr>
          <w:spacing w:val="-1"/>
        </w:rPr>
        <w:t>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日，全国高新技术</w:t>
      </w:r>
      <w:r>
        <w:rPr/>
        <w:t> 企业认定管理工作领导小组办公室公示广东省</w:t>
      </w:r>
      <w:r>
        <w:rPr>
          <w:rFonts w:ascii="Times New Roman" w:hAnsi="Times New Roman" w:cs="Times New Roman" w:eastAsia="Times New Roman" w:hint="default"/>
        </w:rPr>
        <w:t>2017</w:t>
      </w:r>
      <w:r>
        <w:rPr/>
        <w:t>年第二批拟认定高新技术企业名单，公司为拟认定高新技术企业。</w:t>
      </w:r>
    </w:p>
    <w:p>
      <w:pPr>
        <w:pStyle w:val="BodyText"/>
        <w:spacing w:line="300" w:lineRule="auto" w:before="13"/>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日，子公司远光智和卓源（北京）科技有限公司经北京市科学技术委员会、北京市财政局、北京市国家税</w:t>
      </w:r>
      <w:r>
        <w:rPr/>
        <w:t> 务局、北京市地方税务局批准，公司被认定为高新技术企业，高新技术企业认定证书编号为：</w:t>
      </w:r>
      <w:r>
        <w:rPr>
          <w:rFonts w:ascii="Times New Roman" w:hAnsi="Times New Roman" w:cs="Times New Roman" w:eastAsia="Times New Roman" w:hint="default"/>
        </w:rPr>
        <w:t>GR201511003256</w:t>
      </w:r>
      <w:r>
        <w:rPr/>
        <w:t>号，证书有</w:t>
      </w:r>
      <w:r>
        <w:rPr>
          <w:spacing w:val="-65"/>
        </w:rPr>
        <w:t> </w:t>
      </w:r>
      <w:r>
        <w:rPr>
          <w:spacing w:val="-65"/>
        </w:rPr>
      </w:r>
      <w:r>
        <w:rPr/>
        <w:t>效期为</w:t>
      </w:r>
      <w:r>
        <w:rPr>
          <w:rFonts w:ascii="Times New Roman" w:hAnsi="Times New Roman" w:cs="Times New Roman" w:eastAsia="Times New Roman" w:hint="default"/>
        </w:rPr>
        <w:t>3</w:t>
      </w:r>
      <w:r>
        <w:rPr/>
        <w:t>年。</w:t>
      </w:r>
    </w:p>
    <w:p>
      <w:pPr>
        <w:pStyle w:val="BodyText"/>
        <w:spacing w:line="300" w:lineRule="auto" w:before="13"/>
        <w:ind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日，子公司远光共创智能科技股份有限公司经广东省科学技术厅、广东省财政厅、广东省国家税务局、广</w:t>
      </w:r>
      <w:r>
        <w:rPr/>
        <w:t> 东省地方税务局批准，公司被认定为高新技术企业，高新技术企业认定证书编号为：</w:t>
      </w:r>
      <w:r>
        <w:rPr>
          <w:rFonts w:ascii="Times New Roman" w:hAnsi="Times New Roman" w:cs="Times New Roman" w:eastAsia="Times New Roman" w:hint="default"/>
        </w:rPr>
        <w:t>GR201544001520</w:t>
      </w:r>
      <w:r>
        <w:rPr/>
        <w:t>号，证书有效期为</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年。</w:t>
      </w:r>
    </w:p>
    <w:p>
      <w:pPr>
        <w:pStyle w:val="BodyText"/>
        <w:spacing w:line="300" w:lineRule="auto" w:before="31"/>
        <w:ind w:left="154"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日，子公司长沙远光瑞翔科技有限公司经湖南省科学技术厅、湖南省财政厅、湖南省国家税务局、湖南省</w:t>
      </w:r>
      <w:r>
        <w:rPr/>
        <w:t> 地方税务局批准，公司被认定为高新技术企业，高新技术企业认定证书编号为：</w:t>
      </w:r>
      <w:r>
        <w:rPr>
          <w:rFonts w:ascii="Times New Roman" w:hAnsi="Times New Roman" w:cs="Times New Roman" w:eastAsia="Times New Roman" w:hint="default"/>
        </w:rPr>
        <w:t>GR201543000144</w:t>
      </w:r>
      <w:r>
        <w:rPr/>
        <w:t>号，证书有效期为</w:t>
      </w:r>
      <w:r>
        <w:rPr>
          <w:rFonts w:ascii="Times New Roman" w:hAnsi="Times New Roman" w:cs="Times New Roman" w:eastAsia="Times New Roman" w:hint="default"/>
        </w:rPr>
        <w:t>3</w:t>
      </w:r>
      <w:r>
        <w:rPr/>
        <w:t>年。</w:t>
      </w:r>
    </w:p>
    <w:p>
      <w:pPr>
        <w:pStyle w:val="BodyText"/>
        <w:spacing w:line="300" w:lineRule="auto" w:before="13"/>
        <w:ind w:right="1129" w:firstLine="360"/>
        <w:jc w:val="both"/>
      </w:pPr>
      <w:r>
        <w:rPr/>
        <w:t>根据《关于软件和集成电路产业企业所得税优惠政策有关问题的通知》</w:t>
      </w:r>
      <w:r>
        <w:rPr>
          <w:rFonts w:ascii="Times New Roman" w:hAnsi="Times New Roman" w:cs="Times New Roman" w:eastAsia="Times New Roman" w:hint="default"/>
        </w:rPr>
        <w:t>,</w:t>
      </w:r>
      <w:r>
        <w:rPr/>
        <w:t>软件企业自获利年度起计算优惠期</w:t>
      </w:r>
      <w:r>
        <w:rPr>
          <w:rFonts w:ascii="Times New Roman" w:hAnsi="Times New Roman" w:cs="Times New Roman" w:eastAsia="Times New Roman" w:hint="default"/>
        </w:rPr>
        <w:t>,</w:t>
      </w:r>
      <w:r>
        <w:rPr/>
        <w:t>第一年至第 </w:t>
      </w:r>
      <w:r>
        <w:rPr>
          <w:spacing w:val="2"/>
        </w:rPr>
        <w:t>二年免征企业所得税，第三年至第五年按照</w:t>
      </w:r>
      <w:r>
        <w:rPr>
          <w:rFonts w:ascii="Times New Roman" w:hAnsi="Times New Roman" w:cs="Times New Roman" w:eastAsia="Times New Roman" w:hint="default"/>
          <w:spacing w:val="2"/>
        </w:rPr>
        <w:t>25%</w:t>
      </w:r>
      <w:r>
        <w:rPr>
          <w:spacing w:val="2"/>
        </w:rPr>
        <w:t>的法定税率减半征收企业所得税。子公司南京远光广安信息科技有限公司</w:t>
      </w:r>
      <w:r>
        <w:rPr>
          <w:spacing w:val="-87"/>
        </w:rPr>
        <w:t> </w:t>
      </w:r>
      <w:r>
        <w:rPr>
          <w:spacing w:val="-87"/>
        </w:rPr>
      </w:r>
      <w:r>
        <w:rPr>
          <w:rFonts w:ascii="Times New Roman" w:hAnsi="Times New Roman" w:cs="Times New Roman" w:eastAsia="Times New Roman" w:hint="default"/>
        </w:rPr>
        <w:t>2015</w:t>
      </w:r>
      <w:r>
        <w:rPr/>
        <w:t>年获评软件企业，</w:t>
      </w:r>
      <w:r>
        <w:rPr>
          <w:rFonts w:ascii="Times New Roman" w:hAnsi="Times New Roman" w:cs="Times New Roman" w:eastAsia="Times New Roman" w:hint="default"/>
        </w:rPr>
        <w:t>2016</w:t>
      </w:r>
      <w:r>
        <w:rPr/>
        <w:t>年各项指标均符合</w:t>
      </w:r>
      <w:r>
        <w:rPr>
          <w:rFonts w:ascii="Times New Roman" w:hAnsi="Times New Roman" w:cs="Times New Roman" w:eastAsia="Times New Roman" w:hint="default"/>
        </w:rPr>
        <w:t>“</w:t>
      </w:r>
      <w:r>
        <w:rPr/>
        <w:t>软件企业</w:t>
      </w:r>
      <w:r>
        <w:rPr>
          <w:rFonts w:ascii="Times New Roman" w:hAnsi="Times New Roman" w:cs="Times New Roman" w:eastAsia="Times New Roman" w:hint="default"/>
        </w:rPr>
        <w:t>”</w:t>
      </w:r>
      <w:r>
        <w:rPr/>
        <w:t>的要求，已进行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t>软件企业</w:t>
      </w:r>
      <w:r>
        <w:rPr>
          <w:rFonts w:ascii="Times New Roman" w:hAnsi="Times New Roman" w:cs="Times New Roman" w:eastAsia="Times New Roman" w:hint="default"/>
        </w:rPr>
        <w:t>”</w:t>
      </w:r>
      <w:r>
        <w:rPr/>
        <w:t>备案，暂按</w:t>
      </w:r>
      <w:r>
        <w:rPr>
          <w:rFonts w:ascii="Times New Roman" w:hAnsi="Times New Roman" w:cs="Times New Roman" w:eastAsia="Times New Roman" w:hint="default"/>
        </w:rPr>
        <w:t>0.00%</w:t>
      </w:r>
      <w:r>
        <w:rPr/>
        <w:t>的税率计缴企</w:t>
      </w:r>
      <w:r>
        <w:rPr>
          <w:spacing w:val="-63"/>
        </w:rPr>
        <w:t> </w:t>
      </w:r>
      <w:r>
        <w:rPr>
          <w:spacing w:val="-63"/>
        </w:rPr>
      </w:r>
      <w:r>
        <w:rPr>
          <w:spacing w:val="-2"/>
        </w:rPr>
        <w:t>业所得税；在符合软件企业相关规定的同时，</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日经江苏省科学技术厅、江苏省财政厅、江苏省国家税务局、江</w:t>
      </w:r>
      <w:r>
        <w:rPr>
          <w:spacing w:val="-58"/>
        </w:rPr>
        <w:t> </w:t>
      </w:r>
      <w:r>
        <w:rPr>
          <w:spacing w:val="-58"/>
        </w:rPr>
      </w:r>
      <w:r>
        <w:rPr/>
        <w:t>苏省地方税务局批准，子公司南京远光广安信息科技有限公司被认定为高新技术企业，证书编号为：</w:t>
      </w:r>
      <w:r>
        <w:rPr>
          <w:rFonts w:ascii="Times New Roman" w:hAnsi="Times New Roman" w:cs="Times New Roman" w:eastAsia="Times New Roman" w:hint="default"/>
        </w:rPr>
        <w:t>GR201632003495</w:t>
      </w:r>
      <w:r>
        <w:rPr/>
        <w:t>号，</w:t>
      </w:r>
      <w:r>
        <w:rPr>
          <w:spacing w:val="-64"/>
        </w:rPr>
        <w:t> </w:t>
      </w:r>
      <w:r>
        <w:rPr/>
        <w:t>证书有效期为</w:t>
      </w:r>
      <w:r>
        <w:rPr>
          <w:rFonts w:ascii="Times New Roman" w:hAnsi="Times New Roman" w:cs="Times New Roman" w:eastAsia="Times New Roman" w:hint="default"/>
        </w:rPr>
        <w:t>3</w:t>
      </w:r>
      <w:r>
        <w:rPr/>
        <w:t>年。</w:t>
      </w:r>
    </w:p>
    <w:p>
      <w:pPr>
        <w:pStyle w:val="BodyText"/>
        <w:spacing w:line="307" w:lineRule="auto" w:before="13"/>
        <w:ind w:right="1130" w:firstLine="360"/>
        <w:jc w:val="right"/>
      </w:pPr>
      <w:r>
        <w:rPr>
          <w:spacing w:val="-2"/>
        </w:rPr>
        <w:t>根据《财政部国家税务总局关于广东横琴新区福建平潭综合实验区深圳前海深港现代化服务业合作区企业所得税优惠政</w:t>
      </w:r>
      <w:r>
        <w:rPr/>
        <w:t> </w:t>
      </w:r>
      <w:r>
        <w:rPr>
          <w:spacing w:val="-2"/>
        </w:rPr>
        <w:t>策及优惠目录的通知》（财税〔</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26</w:t>
      </w:r>
      <w:r>
        <w:rPr>
          <w:spacing w:val="-2"/>
        </w:rPr>
        <w:t>号），子公司珠海远光移动互联科技有限公司</w:t>
      </w:r>
      <w:r>
        <w:rPr>
          <w:rFonts w:ascii="Times New Roman" w:hAnsi="Times New Roman" w:cs="Times New Roman" w:eastAsia="Times New Roman" w:hint="default"/>
          <w:spacing w:val="-2"/>
        </w:rPr>
        <w:t>2016</w:t>
      </w:r>
      <w:r>
        <w:rPr>
          <w:spacing w:val="-2"/>
        </w:rPr>
        <w:t>年已完成</w:t>
      </w:r>
      <w:r>
        <w:rPr>
          <w:rFonts w:ascii="Times New Roman" w:hAnsi="Times New Roman" w:cs="Times New Roman" w:eastAsia="Times New Roman" w:hint="default"/>
          <w:spacing w:val="-2"/>
        </w:rPr>
        <w:t>“</w:t>
      </w:r>
      <w:r>
        <w:rPr>
          <w:spacing w:val="-2"/>
        </w:rPr>
        <w:t>企业所得税优惠事项</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备案，按</w:t>
      </w:r>
      <w:r>
        <w:rPr>
          <w:rFonts w:ascii="Times New Roman" w:hAnsi="Times New Roman" w:cs="Times New Roman" w:eastAsia="Times New Roman" w:hint="default"/>
        </w:rPr>
        <w:t>15%</w:t>
      </w:r>
      <w:r>
        <w:rPr/>
        <w:t>的税率计缴企业所得税；公司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1-12</w:t>
      </w:r>
      <w:r>
        <w:rPr/>
        <w:t>月各项指标均符合此项备案要求，暂按</w:t>
      </w:r>
      <w:r>
        <w:rPr>
          <w:rFonts w:ascii="Times New Roman" w:hAnsi="Times New Roman" w:cs="Times New Roman" w:eastAsia="Times New Roman" w:hint="default"/>
        </w:rPr>
        <w:t>15%</w:t>
      </w:r>
      <w:r>
        <w:rPr/>
        <w:t>的税率计缴企业所得税。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日，子公司杭州昊美科技有限公司经浙江省科学技术厅、浙江省财政厅、浙江省国家税务局、浙江省地方</w:t>
      </w:r>
    </w:p>
    <w:p>
      <w:pPr>
        <w:pStyle w:val="BodyText"/>
        <w:spacing w:line="300" w:lineRule="auto" w:before="7"/>
        <w:ind w:left="513" w:right="985" w:hanging="360"/>
        <w:jc w:val="left"/>
      </w:pPr>
      <w:r>
        <w:rPr/>
        <w:t>税务局批准，公司被认定为高新技术企业，高新技术企业认定证书编号为：</w:t>
      </w:r>
      <w:r>
        <w:rPr>
          <w:rFonts w:ascii="Times New Roman" w:hAnsi="Times New Roman" w:cs="Times New Roman" w:eastAsia="Times New Roman" w:hint="default"/>
        </w:rPr>
        <w:t>GR201733003330</w:t>
      </w:r>
      <w:r>
        <w:rPr/>
        <w:t>号，证书有效期为</w:t>
      </w:r>
      <w:r>
        <w:rPr>
          <w:rFonts w:ascii="Times New Roman" w:hAnsi="Times New Roman" w:cs="Times New Roman" w:eastAsia="Times New Roman" w:hint="default"/>
        </w:rPr>
        <w:t>3</w:t>
      </w:r>
      <w:r>
        <w:rPr/>
        <w:t>年。 </w:t>
      </w:r>
      <w:r>
        <w:rPr>
          <w:spacing w:val="-2"/>
        </w:rPr>
        <w:t>根据《关于小型微利企业所得税优惠政策的通知》（财税（</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34</w:t>
      </w:r>
      <w:r>
        <w:rPr>
          <w:spacing w:val="-2"/>
        </w:rPr>
        <w:t>号文）、《财务部国家税务总局关于进一步扩大小</w:t>
      </w:r>
    </w:p>
    <w:p>
      <w:pPr>
        <w:pStyle w:val="BodyText"/>
        <w:spacing w:line="307" w:lineRule="auto" w:before="13"/>
        <w:ind w:right="1128"/>
        <w:jc w:val="both"/>
      </w:pPr>
      <w:r>
        <w:rPr/>
        <w:t>型微利企业所得税优惠政策范围的通知》（财税（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99</w:t>
      </w:r>
      <w:r>
        <w:rPr/>
        <w:t>号）规定，为了进一步支持小型微利企业发展，自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日，对年应纳税所得额低于</w:t>
      </w:r>
      <w:r>
        <w:rPr>
          <w:rFonts w:ascii="Times New Roman" w:hAnsi="Times New Roman" w:cs="Times New Roman" w:eastAsia="Times New Roman" w:hint="default"/>
          <w:spacing w:val="-1"/>
        </w:rPr>
        <w:t>30</w:t>
      </w:r>
      <w:r>
        <w:rPr>
          <w:spacing w:val="-1"/>
        </w:rPr>
        <w:t>万元（含）的小型微利企业，其所得减按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w:t>
      </w:r>
      <w:r>
        <w:rPr>
          <w:spacing w:val="-53"/>
        </w:rPr>
        <w:t> </w:t>
      </w:r>
      <w:r>
        <w:rPr>
          <w:spacing w:val="-2"/>
        </w:rPr>
        <w:t>税率缴纳企业所得税，杭州昊美电力工程有限公司、杭州迈测信息工程有限公司、杭州微能智能科技有限公司可享受小型微</w:t>
      </w:r>
      <w:r>
        <w:rPr>
          <w:spacing w:val="-66"/>
        </w:rPr>
        <w:t> </w:t>
      </w:r>
      <w:r>
        <w:rPr>
          <w:spacing w:val="-66"/>
        </w:rPr>
      </w:r>
      <w:r>
        <w:rPr/>
        <w:t>利企业所得税优惠政策，企业所得税实际税负率为</w:t>
      </w:r>
      <w:r>
        <w:rPr>
          <w:rFonts w:ascii="Times New Roman" w:hAnsi="Times New Roman" w:cs="Times New Roman" w:eastAsia="Times New Roman" w:hint="default"/>
        </w:rPr>
        <w:t>10%</w:t>
      </w:r>
      <w:r>
        <w:rPr/>
        <w:t>。</w:t>
      </w:r>
    </w:p>
    <w:p>
      <w:pPr>
        <w:pStyle w:val="BodyText"/>
        <w:spacing w:line="300" w:lineRule="auto" w:before="7"/>
        <w:ind w:left="154" w:right="1142" w:firstLine="360"/>
        <w:jc w:val="both"/>
      </w:pPr>
      <w:r>
        <w:rPr>
          <w:spacing w:val="-2"/>
        </w:rPr>
        <w:t>远光信息技术（澳门）有限公司执行澳门地区的企业所得税政策，可课税收益在澳门币</w:t>
      </w:r>
      <w:r>
        <w:rPr>
          <w:rFonts w:ascii="Times New Roman" w:hAnsi="Times New Roman" w:cs="Times New Roman" w:eastAsia="Times New Roman" w:hint="default"/>
          <w:spacing w:val="-2"/>
        </w:rPr>
        <w:t>60</w:t>
      </w:r>
      <w:r>
        <w:rPr>
          <w:spacing w:val="-2"/>
        </w:rPr>
        <w:t>万元以上者，税率为</w:t>
      </w:r>
      <w:r>
        <w:rPr>
          <w:rFonts w:ascii="Times New Roman" w:hAnsi="Times New Roman" w:cs="Times New Roman" w:eastAsia="Times New Roman" w:hint="default"/>
          <w:spacing w:val="-2"/>
        </w:rPr>
        <w:t>12%</w:t>
      </w:r>
      <w:r>
        <w:rPr>
          <w:spacing w:val="-2"/>
        </w:rPr>
        <w:t>，澳</w:t>
      </w:r>
      <w:r>
        <w:rPr>
          <w:spacing w:val="-11"/>
        </w:rPr>
        <w:t> </w:t>
      </w:r>
      <w:r>
        <w:rPr/>
        <w:t>门币</w:t>
      </w:r>
      <w:r>
        <w:rPr>
          <w:rFonts w:ascii="Times New Roman" w:hAnsi="Times New Roman" w:cs="Times New Roman" w:eastAsia="Times New Roman" w:hint="default"/>
        </w:rPr>
        <w:t>60</w:t>
      </w:r>
      <w:r>
        <w:rPr/>
        <w:t>万元以下者，免税。</w:t>
      </w:r>
    </w:p>
    <w:p>
      <w:pPr>
        <w:pStyle w:val="BodyText"/>
        <w:spacing w:line="300" w:lineRule="auto" w:before="13"/>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日，子公司远光软件（北京）有限公司经北京市科学技术委员会、北京市财政局、北京市国家税务局、北</w:t>
      </w:r>
      <w:r>
        <w:rPr/>
        <w:t> 京市地方税务局批准，公司被认定为高新技术企业，高新技术企业认定证书编号为：</w:t>
      </w:r>
      <w:r>
        <w:rPr>
          <w:rFonts w:ascii="Times New Roman" w:hAnsi="Times New Roman" w:cs="Times New Roman" w:eastAsia="Times New Roman" w:hint="default"/>
        </w:rPr>
        <w:t>GR201711003284</w:t>
      </w:r>
      <w:r>
        <w:rPr/>
        <w:t>号，证书有效期为</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年。</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3、其他" w:id="223"/>
      <w:bookmarkEnd w:id="223"/>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54" w:right="1131" w:firstLine="360"/>
        <w:jc w:val="both"/>
      </w:pPr>
      <w:r>
        <w:rPr>
          <w:spacing w:val="-2"/>
        </w:rPr>
        <w:t>公司</w:t>
      </w:r>
      <w:r>
        <w:rPr>
          <w:rFonts w:ascii="Times New Roman" w:hAnsi="Times New Roman" w:cs="Times New Roman" w:eastAsia="Times New Roman" w:hint="default"/>
          <w:spacing w:val="-2"/>
        </w:rPr>
        <w:t>2003</w:t>
      </w:r>
      <w:r>
        <w:rPr>
          <w:spacing w:val="-2"/>
        </w:rPr>
        <w:t>至</w:t>
      </w:r>
      <w:r>
        <w:rPr>
          <w:rFonts w:ascii="Times New Roman" w:hAnsi="Times New Roman" w:cs="Times New Roman" w:eastAsia="Times New Roman" w:hint="default"/>
          <w:spacing w:val="-2"/>
        </w:rPr>
        <w:t>201</w:t>
      </w:r>
      <w:r>
        <w:rPr>
          <w:rFonts w:ascii="Times New Roman" w:hAnsi="Times New Roman" w:cs="Times New Roman" w:eastAsia="Times New Roman" w:hint="default"/>
          <w:spacing w:val="-2"/>
          <w:u w:val="single" w:color="000000"/>
        </w:rPr>
        <w:t>4</w:t>
      </w:r>
      <w:r>
        <w:rPr>
          <w:rFonts w:ascii="Times New Roman" w:hAnsi="Times New Roman" w:cs="Times New Roman" w:eastAsia="Times New Roman" w:hint="default"/>
          <w:spacing w:val="-2"/>
        </w:rPr>
      </w:r>
      <w:r>
        <w:rPr>
          <w:spacing w:val="-2"/>
        </w:rPr>
        <w:t>年连续十二年被国家发展和改革委员会、工业和信息部、财政部、商务部、国家税务总局联合审核认定</w:t>
      </w:r>
      <w:r>
        <w:rPr/>
        <w:t> 为国家规划布局内重点软件企业，按</w:t>
      </w:r>
      <w:r>
        <w:rPr>
          <w:rFonts w:ascii="Times New Roman" w:hAnsi="Times New Roman" w:cs="Times New Roman" w:eastAsia="Times New Roman" w:hint="default"/>
        </w:rPr>
        <w:t>10%</w:t>
      </w:r>
      <w:r>
        <w:rPr/>
        <w:t>的税率计缴企业所得税；</w:t>
      </w:r>
    </w:p>
    <w:p>
      <w:pPr>
        <w:pStyle w:val="BodyText"/>
        <w:spacing w:line="300" w:lineRule="auto" w:before="13"/>
        <w:ind w:right="1129" w:firstLine="360"/>
        <w:jc w:val="both"/>
      </w:pPr>
      <w:r>
        <w:rPr>
          <w:spacing w:val="-2"/>
        </w:rPr>
        <w:t>根据《关于软件和集成电路产业企业所得税优惠政策有关问题的通知》（财税</w:t>
      </w:r>
      <w:r>
        <w:rPr>
          <w:rFonts w:ascii="Times New Roman" w:hAnsi="Times New Roman" w:cs="Times New Roman" w:eastAsia="Times New Roman" w:hint="default"/>
          <w:spacing w:val="-2"/>
        </w:rPr>
        <w:t>[2016]49</w:t>
      </w:r>
      <w:r>
        <w:rPr>
          <w:spacing w:val="-2"/>
        </w:rPr>
        <w:t>号）的规定，从</w:t>
      </w:r>
      <w:r>
        <w:rPr>
          <w:rFonts w:ascii="Times New Roman" w:hAnsi="Times New Roman" w:cs="Times New Roman" w:eastAsia="Times New Roman" w:hint="default"/>
          <w:spacing w:val="-2"/>
        </w:rPr>
        <w:t>2015</w:t>
      </w:r>
      <w:r>
        <w:rPr>
          <w:spacing w:val="-2"/>
        </w:rPr>
        <w:t>年开始，</w:t>
      </w:r>
      <w:r>
        <w:rPr>
          <w:rFonts w:ascii="Times New Roman" w:hAnsi="Times New Roman" w:cs="Times New Roman" w:eastAsia="Times New Roman" w:hint="default"/>
          <w:spacing w:val="-2"/>
        </w:rPr>
        <w:t>“</w:t>
      </w:r>
      <w:r>
        <w:rPr>
          <w:spacing w:val="-2"/>
        </w:rPr>
        <w:t>国</w:t>
      </w:r>
      <w:r>
        <w:rPr/>
        <w:t> 家规划布局内重点软件企业</w:t>
      </w:r>
      <w:r>
        <w:rPr>
          <w:rFonts w:ascii="Times New Roman" w:hAnsi="Times New Roman" w:cs="Times New Roman" w:eastAsia="Times New Roman" w:hint="default"/>
        </w:rPr>
        <w:t>”</w:t>
      </w:r>
      <w:r>
        <w:rPr/>
        <w:t>实行备案制。公司</w:t>
      </w:r>
      <w:r>
        <w:rPr>
          <w:rFonts w:ascii="Times New Roman" w:hAnsi="Times New Roman" w:cs="Times New Roman" w:eastAsia="Times New Roman" w:hint="default"/>
        </w:rPr>
        <w:t>2015-2016</w:t>
      </w:r>
      <w:r>
        <w:rPr/>
        <w:t>年已完成</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备案，按</w:t>
      </w:r>
      <w:r>
        <w:rPr>
          <w:rFonts w:ascii="Times New Roman" w:hAnsi="Times New Roman" w:cs="Times New Roman" w:eastAsia="Times New Roman" w:hint="default"/>
        </w:rPr>
        <w:t>10%</w:t>
      </w:r>
      <w:r>
        <w:rPr/>
        <w:t>的税率计缴</w:t>
      </w:r>
      <w:r>
        <w:rPr>
          <w:spacing w:val="-83"/>
        </w:rPr>
        <w:t> </w:t>
      </w:r>
      <w:r>
        <w:rPr>
          <w:spacing w:val="-83"/>
        </w:rPr>
      </w:r>
      <w:r>
        <w:rPr/>
        <w:t>企业所得税；公司</w:t>
      </w:r>
      <w:r>
        <w:rPr>
          <w:rFonts w:ascii="Times New Roman" w:hAnsi="Times New Roman" w:cs="Times New Roman" w:eastAsia="Times New Roman" w:hint="default"/>
        </w:rPr>
        <w:t>2017</w:t>
      </w:r>
      <w:r>
        <w:rPr/>
        <w:t>年各项指标均符合</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的要求，拟进行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t>国家规划布局内重点软件</w:t>
      </w:r>
      <w:r>
        <w:rPr>
          <w:spacing w:val="-55"/>
        </w:rPr>
        <w:t> </w:t>
      </w:r>
      <w:r>
        <w:rPr>
          <w:spacing w:val="-55"/>
        </w:rPr>
      </w:r>
      <w:r>
        <w:rPr/>
        <w:t>企业</w:t>
      </w:r>
      <w:r>
        <w:rPr>
          <w:rFonts w:ascii="Times New Roman" w:hAnsi="Times New Roman" w:cs="Times New Roman" w:eastAsia="Times New Roman" w:hint="default"/>
        </w:rPr>
        <w:t>”</w:t>
      </w:r>
      <w:r>
        <w:rPr/>
        <w:t>备案，暂按</w:t>
      </w:r>
      <w:r>
        <w:rPr>
          <w:rFonts w:ascii="Times New Roman" w:hAnsi="Times New Roman" w:cs="Times New Roman" w:eastAsia="Times New Roman" w:hint="default"/>
        </w:rPr>
        <w:t>10%</w:t>
      </w:r>
      <w:r>
        <w:rPr/>
        <w:t>的税率计缴企业所得税。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2"/>
        <w:spacing w:line="240" w:lineRule="auto"/>
        <w:ind w:left="154" w:right="985"/>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货币资金" w:id="225"/>
      <w:bookmarkEnd w:id="22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93,135.22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815,198.47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1,032,353,260.49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1,060,818,603.23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21,987,773.60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5,785,172.05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1,054,434,169.31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1,067,418,973.75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196,129.74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其他说明</w:t>
      </w:r>
    </w:p>
    <w:p>
      <w:pPr>
        <w:pStyle w:val="Heading3"/>
        <w:spacing w:line="313" w:lineRule="exact" w:before="66"/>
        <w:ind w:left="0" w:right="1137"/>
        <w:jc w:val="right"/>
      </w:pPr>
      <w:r>
        <w:rPr>
          <w:spacing w:val="21"/>
        </w:rPr>
        <w:t>其他货币</w:t>
      </w:r>
      <w:r>
        <w:rPr>
          <w:spacing w:val="-89"/>
        </w:rPr>
        <w:t> </w:t>
      </w:r>
      <w:r>
        <w:rPr/>
        <w:t>资</w:t>
      </w:r>
      <w:r>
        <w:rPr>
          <w:spacing w:val="-88"/>
        </w:rPr>
        <w:t> </w:t>
      </w:r>
      <w:r>
        <w:rPr>
          <w:spacing w:val="19"/>
        </w:rPr>
        <w:t>金为存</w:t>
      </w:r>
      <w:r>
        <w:rPr>
          <w:spacing w:val="-89"/>
        </w:rPr>
        <w:t> </w:t>
      </w:r>
      <w:r>
        <w:rPr>
          <w:spacing w:val="21"/>
        </w:rPr>
        <w:t>出投资款</w:t>
      </w:r>
      <w:r>
        <w:rPr>
          <w:spacing w:val="-89"/>
        </w:rPr>
        <w:t> </w:t>
      </w:r>
      <w:r>
        <w:rPr/>
        <w:t>、</w:t>
      </w:r>
      <w:r>
        <w:rPr>
          <w:spacing w:val="-90"/>
        </w:rPr>
        <w:t> </w:t>
      </w:r>
      <w:r>
        <w:rPr>
          <w:spacing w:val="19"/>
        </w:rPr>
        <w:t>外埠存</w:t>
      </w:r>
      <w:r>
        <w:rPr>
          <w:spacing w:val="-89"/>
        </w:rPr>
        <w:t> </w:t>
      </w:r>
      <w:r>
        <w:rPr>
          <w:spacing w:val="14"/>
        </w:rPr>
        <w:t>款、</w:t>
      </w:r>
      <w:r>
        <w:rPr>
          <w:spacing w:val="-90"/>
        </w:rPr>
        <w:t> </w:t>
      </w:r>
      <w:r>
        <w:rPr>
          <w:spacing w:val="14"/>
        </w:rPr>
        <w:t>履约</w:t>
      </w:r>
      <w:r>
        <w:rPr>
          <w:spacing w:val="-89"/>
        </w:rPr>
        <w:t> </w:t>
      </w:r>
      <w:r>
        <w:rPr>
          <w:spacing w:val="21"/>
        </w:rPr>
        <w:t>保函存款</w:t>
      </w:r>
      <w:r>
        <w:rPr>
          <w:spacing w:val="-89"/>
        </w:rPr>
        <w:t> </w:t>
      </w:r>
      <w:r>
        <w:rPr/>
        <w:t>，</w:t>
      </w:r>
      <w:r>
        <w:rPr>
          <w:spacing w:val="-90"/>
        </w:rPr>
        <w:t> </w:t>
      </w:r>
      <w:r>
        <w:rPr>
          <w:spacing w:val="19"/>
        </w:rPr>
        <w:t>其中保</w:t>
      </w:r>
      <w:r>
        <w:rPr>
          <w:spacing w:val="-89"/>
        </w:rPr>
        <w:t> </w:t>
      </w:r>
      <w:r>
        <w:rPr>
          <w:spacing w:val="21"/>
        </w:rPr>
        <w:t>函保证金</w:t>
      </w:r>
      <w:r>
        <w:rPr>
          <w:spacing w:val="-89"/>
        </w:rPr>
        <w:t> </w:t>
      </w:r>
      <w:r>
        <w:rPr>
          <w:spacing w:val="14"/>
        </w:rPr>
        <w:t>存款</w:t>
      </w:r>
    </w:p>
    <w:p>
      <w:pPr>
        <w:pStyle w:val="Heading3"/>
        <w:spacing w:line="331" w:lineRule="exact"/>
        <w:ind w:left="154" w:right="985"/>
        <w:jc w:val="left"/>
      </w:pPr>
      <w:r>
        <w:rPr>
          <w:rFonts w:ascii="Times New Roman" w:hAnsi="Times New Roman" w:cs="Times New Roman" w:eastAsia="Times New Roman" w:hint="default"/>
        </w:rPr>
        <w:t>20,409,221.35</w:t>
      </w:r>
      <w:r>
        <w:rPr/>
        <w:t>元，因使用受限已从现金流量表的现金及现金等价物中扣除。</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4"/>
        <w:spacing w:line="240" w:lineRule="auto"/>
        <w:ind w:right="985"/>
        <w:jc w:val="left"/>
        <w:rPr>
          <w:b w:val="0"/>
          <w:bCs w:val="0"/>
        </w:rPr>
      </w:pPr>
      <w:bookmarkStart w:name="2、以公允价值计量且其变动计入当期损益的金融资产" w:id="226"/>
      <w:bookmarkEnd w:id="22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570,265.00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570,265.00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570,265.00</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衍生金融资产" w:id="227"/>
      <w:bookmarkEnd w:id="22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4、应收票据" w:id="228"/>
      <w:bookmarkEnd w:id="22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应收票据分类列示" w:id="229"/>
      <w:bookmarkEnd w:id="22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43,339,869.03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50,802,634.41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43,339,869.03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51,742,634.41</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期末公司已质押的应收票据" w:id="230"/>
      <w:bookmarkEnd w:id="23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期末公司已背书或贴现且在资产负债表日尚未到期的应收票据" w:id="231"/>
      <w:bookmarkEnd w:id="23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4,939,396.59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4,939,396.59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4）期末公司因出票人未履约而将其转应收账款的票据" w:id="232"/>
      <w:bookmarkEnd w:id="23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应收账款" w:id="233"/>
      <w:bookmarkEnd w:id="23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应收账款分类披露" w:id="234"/>
      <w:bookmarkEnd w:id="23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765,368,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81,245,4</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11.36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684,122,5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96.07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598,175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,770.22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57,081,88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541,093,88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8.66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765,368,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81,245,4</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11.36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684,122,5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96.07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598,175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,770.22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57,081,88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541,093,88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517,512,889.57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25,875,644.47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517,512,889.57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25,875,644.47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168,891,080.94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16,889,108.09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50,604,222.65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10,120,844.53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28,359,814.27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28,359,814.27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765,368,007.43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81,245,411.36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985"/>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ind w:right="-13"/>
        <w:jc w:val="left"/>
      </w:pPr>
      <w:r>
        <w:rPr/>
        <w:t>本期计提坏账准备金额</w:t>
      </w:r>
      <w:r>
        <w:rPr>
          <w:spacing w:val="-47"/>
        </w:rPr>
        <w:t> </w:t>
      </w:r>
      <w:r>
        <w:rPr>
          <w:rFonts w:ascii="Times New Roman" w:hAnsi="Times New Roman" w:cs="Times New Roman" w:eastAsia="Times New Roman" w:hint="default"/>
        </w:rPr>
        <w:t>19,101,430.31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514" w:right="985"/>
        <w:jc w:val="left"/>
      </w:pPr>
      <w:r>
        <w:rPr/>
        <w:t>本年因非同一控制下企业合并增加坏账准备金额</w:t>
      </w:r>
      <w:r>
        <w:rPr>
          <w:rFonts w:ascii="Times New Roman" w:hAnsi="Times New Roman" w:cs="Times New Roman" w:eastAsia="Times New Roman" w:hint="default"/>
        </w:rPr>
        <w:t>5,062,099.49</w:t>
      </w:r>
      <w:r>
        <w:rPr/>
        <w:t>元。</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3）本期实际核销的应收账款情况" w:id="236"/>
      <w:bookmarkEnd w:id="23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985"/>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985"/>
        <w:jc w:val="left"/>
      </w:pPr>
      <w:r>
        <w:rPr/>
        <w:t>应收账款核销说明：</w:t>
      </w:r>
    </w:p>
    <w:p>
      <w:pPr>
        <w:pStyle w:val="Heading3"/>
        <w:spacing w:line="240" w:lineRule="auto" w:before="66"/>
        <w:ind w:left="154" w:right="985"/>
        <w:jc w:val="left"/>
      </w:pPr>
      <w:r>
        <w:rPr/>
        <w:t>本年无实际核销的应收账款。</w:t>
      </w:r>
    </w:p>
    <w:p>
      <w:pPr>
        <w:spacing w:line="240" w:lineRule="auto" w:before="9"/>
        <w:rPr>
          <w:rFonts w:ascii="宋体" w:hAnsi="宋体" w:cs="宋体" w:eastAsia="宋体" w:hint="default"/>
          <w:sz w:val="24"/>
          <w:szCs w:val="24"/>
        </w:rPr>
      </w:pPr>
    </w:p>
    <w:p>
      <w:pPr>
        <w:pStyle w:val="Heading4"/>
        <w:spacing w:line="240" w:lineRule="auto"/>
        <w:ind w:left="154" w:right="985"/>
        <w:jc w:val="left"/>
        <w:rPr>
          <w:b w:val="0"/>
          <w:bCs w:val="0"/>
        </w:rPr>
      </w:pPr>
      <w:bookmarkStart w:name="（4）按欠款方归集的期末余额前五名的应收账款情况" w:id="237"/>
      <w:bookmarkEnd w:id="23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1235"/>
        <w:gridCol w:w="2080"/>
        <w:gridCol w:w="1721"/>
        <w:gridCol w:w="2080"/>
        <w:gridCol w:w="1780"/>
      </w:tblGrid>
      <w:tr>
        <w:trPr>
          <w:trHeight w:val="650" w:hRule="exact"/>
        </w:trPr>
        <w:tc>
          <w:tcPr>
            <w:tcW w:w="1235" w:type="dxa"/>
            <w:tcBorders>
              <w:top w:val="nil" w:sz="6" w:space="0" w:color="auto"/>
              <w:left w:val="nil" w:sz="6" w:space="0" w:color="auto"/>
              <w:bottom w:val="single" w:sz="6" w:space="0" w:color="000000"/>
              <w:right w:val="single" w:sz="6" w:space="0" w:color="000000"/>
            </w:tcBorders>
          </w:tcPr>
          <w:p>
            <w:pPr>
              <w:pStyle w:val="TableParagraph"/>
              <w:spacing w:line="275" w:lineRule="exact"/>
              <w:ind w:right="294"/>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8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b/>
                <w:bCs/>
                <w:sz w:val="22"/>
                <w:szCs w:val="22"/>
              </w:rPr>
              <w:t>期末余额</w:t>
            </w:r>
            <w:r>
              <w:rPr>
                <w:rFonts w:ascii="宋体" w:hAnsi="宋体" w:cs="宋体" w:eastAsia="宋体" w:hint="default"/>
                <w:sz w:val="22"/>
                <w:szCs w:val="22"/>
              </w:rPr>
            </w:r>
          </w:p>
        </w:tc>
        <w:tc>
          <w:tcPr>
            <w:tcW w:w="1721"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80" w:type="dxa"/>
            <w:tcBorders>
              <w:top w:val="nil" w:sz="6" w:space="0" w:color="auto"/>
              <w:left w:val="single" w:sz="6" w:space="0" w:color="000000"/>
              <w:bottom w:val="single" w:sz="6" w:space="0" w:color="000000"/>
              <w:right w:val="single" w:sz="6" w:space="0" w:color="000000"/>
            </w:tcBorders>
          </w:tcPr>
          <w:p>
            <w:pPr>
              <w:pStyle w:val="TableParagraph"/>
              <w:spacing w:line="259" w:lineRule="auto"/>
              <w:ind w:left="369" w:right="39" w:hanging="332"/>
              <w:jc w:val="left"/>
              <w:rPr>
                <w:rFonts w:ascii="宋体" w:hAnsi="宋体" w:cs="宋体" w:eastAsia="宋体" w:hint="default"/>
                <w:sz w:val="22"/>
                <w:szCs w:val="22"/>
              </w:rPr>
            </w:pPr>
            <w:r>
              <w:rPr>
                <w:rFonts w:ascii="宋体" w:hAnsi="宋体" w:cs="宋体" w:eastAsia="宋体" w:hint="default"/>
                <w:b/>
                <w:bCs/>
                <w:sz w:val="22"/>
                <w:szCs w:val="22"/>
              </w:rPr>
              <w:t>占应收账款年末余额</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合计数的比例</w:t>
            </w:r>
            <w:r>
              <w:rPr>
                <w:rFonts w:ascii="宋体" w:hAnsi="宋体" w:cs="宋体" w:eastAsia="宋体" w:hint="default"/>
                <w:sz w:val="22"/>
                <w:szCs w:val="22"/>
              </w:rPr>
            </w:r>
          </w:p>
        </w:tc>
        <w:tc>
          <w:tcPr>
            <w:tcW w:w="1780" w:type="dxa"/>
            <w:tcBorders>
              <w:top w:val="nil" w:sz="6" w:space="0" w:color="auto"/>
              <w:left w:val="single" w:sz="6" w:space="0" w:color="000000"/>
              <w:bottom w:val="single" w:sz="6" w:space="0" w:color="000000"/>
              <w:right w:val="single" w:sz="6" w:space="0" w:color="000000"/>
            </w:tcBorders>
          </w:tcPr>
          <w:p>
            <w:pPr>
              <w:pStyle w:val="TableParagraph"/>
              <w:spacing w:line="259" w:lineRule="auto"/>
              <w:ind w:left="771" w:right="108" w:hanging="663"/>
              <w:jc w:val="left"/>
              <w:rPr>
                <w:rFonts w:ascii="宋体" w:hAnsi="宋体" w:cs="宋体" w:eastAsia="宋体" w:hint="default"/>
                <w:sz w:val="22"/>
                <w:szCs w:val="22"/>
              </w:rPr>
            </w:pPr>
            <w:r>
              <w:rPr>
                <w:rFonts w:ascii="宋体" w:hAnsi="宋体" w:cs="宋体" w:eastAsia="宋体" w:hint="default"/>
                <w:b/>
                <w:bCs/>
                <w:sz w:val="22"/>
                <w:szCs w:val="22"/>
              </w:rPr>
              <w:t>坏账准备期末余</w:t>
            </w:r>
            <w:r>
              <w:rPr>
                <w:rFonts w:ascii="宋体" w:hAnsi="宋体" w:cs="宋体" w:eastAsia="宋体" w:hint="default"/>
                <w:b/>
                <w:bCs/>
                <w:spacing w:val="1"/>
                <w:w w:val="99"/>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tc>
      </w:tr>
      <w:tr>
        <w:trPr>
          <w:trHeight w:val="337" w:hRule="exact"/>
        </w:trPr>
        <w:tc>
          <w:tcPr>
            <w:tcW w:w="12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367"/>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65,133,445.50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8.51%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4,634,342.55</w:t>
            </w:r>
          </w:p>
        </w:tc>
      </w:tr>
      <w:tr>
        <w:trPr>
          <w:trHeight w:val="337" w:hRule="exact"/>
        </w:trPr>
        <w:tc>
          <w:tcPr>
            <w:tcW w:w="12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367"/>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32,771,000.00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4.28%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1,638,550.00</w:t>
            </w:r>
          </w:p>
        </w:tc>
      </w:tr>
      <w:tr>
        <w:trPr>
          <w:trHeight w:val="337" w:hRule="exact"/>
        </w:trPr>
        <w:tc>
          <w:tcPr>
            <w:tcW w:w="12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367"/>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30,271,840.51</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年以内</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3.96%</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4,112,761.25</w:t>
            </w:r>
          </w:p>
        </w:tc>
      </w:tr>
      <w:tr>
        <w:trPr>
          <w:trHeight w:val="337" w:hRule="exact"/>
        </w:trPr>
        <w:tc>
          <w:tcPr>
            <w:tcW w:w="12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367"/>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12,019,350.00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1.57%</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1,096,507.65</w:t>
            </w:r>
          </w:p>
        </w:tc>
      </w:tr>
      <w:tr>
        <w:trPr>
          <w:trHeight w:val="337" w:hRule="exact"/>
        </w:trPr>
        <w:tc>
          <w:tcPr>
            <w:tcW w:w="12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367"/>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11,736,788.00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1.53%</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586,839.40</w:t>
            </w:r>
          </w:p>
        </w:tc>
      </w:tr>
      <w:tr>
        <w:trPr>
          <w:trHeight w:val="338" w:hRule="exact"/>
        </w:trPr>
        <w:tc>
          <w:tcPr>
            <w:tcW w:w="12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459"/>
              <w:jc w:val="center"/>
              <w:rPr>
                <w:rFonts w:ascii="宋体" w:hAnsi="宋体" w:cs="宋体" w:eastAsia="宋体" w:hint="default"/>
                <w:sz w:val="18"/>
                <w:szCs w:val="18"/>
              </w:rPr>
            </w:pPr>
            <w:r>
              <w:rPr>
                <w:rFonts w:ascii="宋体" w:hAnsi="宋体" w:cs="宋体" w:eastAsia="宋体" w:hint="default"/>
                <w:sz w:val="18"/>
                <w:szCs w:val="18"/>
              </w:rPr>
              <w:t>合计</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151,932,424.01</w:t>
            </w:r>
          </w:p>
        </w:tc>
        <w:tc>
          <w:tcPr>
            <w:tcW w:w="1721"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19.85%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12,069,000.85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Heading3"/>
        <w:spacing w:line="312" w:lineRule="exact" w:before="56"/>
        <w:ind w:right="1487" w:firstLine="480"/>
        <w:jc w:val="both"/>
      </w:pPr>
      <w:r>
        <w:rPr>
          <w:spacing w:val="2"/>
        </w:rPr>
        <w:t>本公司本年按欠款方归集的年末余额前五名应收账款汇总金额为</w:t>
      </w:r>
      <w:r>
        <w:rPr>
          <w:rFonts w:ascii="Times New Roman" w:hAnsi="Times New Roman" w:cs="Times New Roman" w:eastAsia="Times New Roman" w:hint="default"/>
          <w:spacing w:val="2"/>
        </w:rPr>
        <w:t>151,932,424.01</w:t>
      </w:r>
      <w:r>
        <w:rPr>
          <w:spacing w:val="2"/>
        </w:rPr>
        <w:t>元， 占应收账款年末余额合计数的比例为</w:t>
      </w:r>
      <w:r>
        <w:rPr>
          <w:rFonts w:ascii="Times New Roman" w:hAnsi="Times New Roman" w:cs="Times New Roman" w:eastAsia="Times New Roman" w:hint="default"/>
          <w:spacing w:val="2"/>
        </w:rPr>
        <w:t>19.85%</w:t>
      </w:r>
      <w:r>
        <w:rPr>
          <w:spacing w:val="2"/>
        </w:rPr>
        <w:t>，相应计提的坏账准备年末余额汇总金额为</w:t>
      </w:r>
      <w:r>
        <w:rPr>
          <w:spacing w:val="-82"/>
        </w:rPr>
        <w:t> </w:t>
      </w:r>
      <w:r>
        <w:rPr>
          <w:spacing w:val="-82"/>
        </w:rPr>
      </w:r>
      <w:r>
        <w:rPr>
          <w:rFonts w:ascii="Times New Roman" w:hAnsi="Times New Roman" w:cs="Times New Roman" w:eastAsia="Times New Roman" w:hint="default"/>
        </w:rPr>
        <w:t>12,069,000.85</w:t>
      </w:r>
      <w:r>
        <w:rPr/>
        <w:t>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left="154" w:right="985"/>
        <w:jc w:val="left"/>
        <w:rPr>
          <w:b w:val="0"/>
          <w:bCs w:val="0"/>
        </w:rPr>
      </w:pPr>
      <w:bookmarkStart w:name="（5）因金融资产转移而终止确认的应收账款" w:id="238"/>
      <w:bookmarkEnd w:id="23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4" w:right="985"/>
        <w:jc w:val="left"/>
      </w:pPr>
      <w:r>
        <w:rPr/>
        <w:t>本期无因金融资产转移而终止确认的应收账款</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Heading4"/>
        <w:spacing w:line="240" w:lineRule="auto"/>
        <w:ind w:right="985"/>
        <w:jc w:val="left"/>
        <w:rPr>
          <w:b w:val="0"/>
          <w:bCs w:val="0"/>
        </w:rPr>
      </w:pPr>
      <w:bookmarkStart w:name="（6）转移应收账款且继续涉入形成的资产、负债金额" w:id="239"/>
      <w:bookmarkEnd w:id="23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4" w:right="985"/>
        <w:jc w:val="left"/>
      </w:pPr>
      <w:r>
        <w:rPr/>
        <w:t>本期无转移应收账款且继续涉入形成的资产、负债金额</w:t>
      </w:r>
    </w:p>
    <w:p>
      <w:pPr>
        <w:spacing w:line="240" w:lineRule="auto" w:before="8"/>
        <w:rPr>
          <w:rFonts w:ascii="宋体" w:hAnsi="宋体" w:cs="宋体" w:eastAsia="宋体" w:hint="default"/>
          <w:sz w:val="30"/>
          <w:szCs w:val="30"/>
        </w:rPr>
      </w:pPr>
    </w:p>
    <w:p>
      <w:pPr>
        <w:pStyle w:val="BodyText"/>
        <w:spacing w:line="240" w:lineRule="auto" w:before="0"/>
        <w:ind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6、预付款项" w:id="240"/>
      <w:bookmarkEnd w:id="240"/>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预付款项按账龄列示" w:id="241"/>
      <w:bookmarkEnd w:id="24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12,127,165.87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78.11%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19,453,396.64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2,239,290.57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5,824,478.09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1,158,387.33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15,524,843.77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25,277,874.73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left="154" w:right="985"/>
        <w:jc w:val="left"/>
        <w:rPr>
          <w:b w:val="0"/>
          <w:bCs w:val="0"/>
        </w:rPr>
      </w:pPr>
      <w:bookmarkStart w:name="（2）按预付对象归集的期末余额前五名的预付款情况" w:id="242"/>
      <w:bookmarkEnd w:id="24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1554"/>
        <w:gridCol w:w="1961"/>
        <w:gridCol w:w="1540"/>
      </w:tblGrid>
      <w:tr>
        <w:trPr>
          <w:trHeight w:val="964" w:hRule="exact"/>
        </w:trPr>
        <w:tc>
          <w:tcPr>
            <w:tcW w:w="1554" w:type="dxa"/>
            <w:tcBorders>
              <w:top w:val="nil" w:sz="6" w:space="0" w:color="auto"/>
              <w:left w:val="nil" w:sz="6" w:space="0" w:color="auto"/>
              <w:bottom w:val="single" w:sz="6" w:space="0" w:color="000000"/>
              <w:right w:val="single" w:sz="6" w:space="0" w:color="000000"/>
            </w:tcBorders>
          </w:tcPr>
          <w:p>
            <w:pPr>
              <w:pStyle w:val="TableParagraph"/>
              <w:spacing w:line="240" w:lineRule="auto" w:before="5"/>
              <w:ind w:right="519"/>
              <w:jc w:val="right"/>
              <w:rPr>
                <w:rFonts w:ascii="宋体" w:hAnsi="宋体" w:cs="宋体" w:eastAsia="宋体" w:hint="default"/>
                <w:sz w:val="20"/>
                <w:szCs w:val="20"/>
              </w:rPr>
            </w:pPr>
            <w:r>
              <w:rPr>
                <w:rFonts w:ascii="宋体" w:hAnsi="宋体" w:cs="宋体" w:eastAsia="宋体" w:hint="default"/>
                <w:sz w:val="20"/>
                <w:szCs w:val="20"/>
              </w:rPr>
              <w:t>单位名称</w:t>
            </w:r>
          </w:p>
        </w:tc>
        <w:tc>
          <w:tcPr>
            <w:tcW w:w="196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1540" w:type="dxa"/>
            <w:tcBorders>
              <w:top w:val="nil" w:sz="6" w:space="0" w:color="auto"/>
              <w:left w:val="single" w:sz="6" w:space="0" w:color="000000"/>
              <w:bottom w:val="single" w:sz="6" w:space="0" w:color="000000"/>
              <w:right w:val="single" w:sz="6" w:space="0" w:color="000000"/>
            </w:tcBorders>
          </w:tcPr>
          <w:p>
            <w:pPr>
              <w:pStyle w:val="TableParagraph"/>
              <w:spacing w:line="285" w:lineRule="auto" w:before="5"/>
              <w:ind w:left="62" w:right="60"/>
              <w:jc w:val="center"/>
              <w:rPr>
                <w:rFonts w:ascii="宋体" w:hAnsi="宋体" w:cs="宋体" w:eastAsia="宋体" w:hint="default"/>
                <w:sz w:val="20"/>
                <w:szCs w:val="20"/>
              </w:rPr>
            </w:pPr>
            <w:r>
              <w:rPr>
                <w:rFonts w:ascii="宋体" w:hAnsi="宋体" w:cs="宋体" w:eastAsia="宋体" w:hint="default"/>
                <w:sz w:val="20"/>
                <w:szCs w:val="20"/>
              </w:rPr>
              <w:t>占预付款项年末</w:t>
            </w:r>
            <w:r>
              <w:rPr>
                <w:rFonts w:ascii="宋体" w:hAnsi="宋体" w:cs="宋体" w:eastAsia="宋体" w:hint="default"/>
                <w:w w:val="100"/>
                <w:sz w:val="20"/>
                <w:szCs w:val="20"/>
              </w:rPr>
              <w:t> </w:t>
            </w:r>
            <w:r>
              <w:rPr>
                <w:rFonts w:ascii="宋体" w:hAnsi="宋体" w:cs="宋体" w:eastAsia="宋体" w:hint="default"/>
                <w:sz w:val="20"/>
                <w:szCs w:val="20"/>
              </w:rPr>
              <w:t>余额合计数的比</w:t>
            </w:r>
            <w:r>
              <w:rPr>
                <w:rFonts w:ascii="宋体" w:hAnsi="宋体" w:cs="宋体" w:eastAsia="宋体" w:hint="default"/>
                <w:w w:val="100"/>
                <w:sz w:val="20"/>
                <w:szCs w:val="20"/>
              </w:rPr>
              <w:t> </w:t>
            </w:r>
            <w:r>
              <w:rPr>
                <w:rFonts w:ascii="宋体" w:hAnsi="宋体" w:cs="宋体" w:eastAsia="宋体" w:hint="default"/>
                <w:sz w:val="20"/>
                <w:szCs w:val="20"/>
              </w:rPr>
              <w:t>例</w:t>
            </w:r>
          </w:p>
        </w:tc>
      </w:tr>
      <w:tr>
        <w:trPr>
          <w:trHeight w:val="337"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71" w:lineRule="exact"/>
              <w:ind w:right="509"/>
              <w:jc w:val="righ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1</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sz w:val="20"/>
              </w:rPr>
              <w:t>1,071,539.00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6.90%</w:t>
            </w:r>
          </w:p>
        </w:tc>
      </w:tr>
      <w:tr>
        <w:trPr>
          <w:trHeight w:val="337"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71" w:lineRule="exact"/>
              <w:ind w:right="509"/>
              <w:jc w:val="righ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2</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709,395.00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4.57%</w:t>
            </w:r>
          </w:p>
        </w:tc>
      </w:tr>
      <w:tr>
        <w:trPr>
          <w:trHeight w:val="336"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right="509"/>
              <w:jc w:val="righ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3</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700,000.00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4.51%</w:t>
            </w:r>
          </w:p>
        </w:tc>
      </w:tr>
      <w:tr>
        <w:trPr>
          <w:trHeight w:val="337"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right="509"/>
              <w:jc w:val="righ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4</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445,807.13</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2.87%</w:t>
            </w:r>
          </w:p>
        </w:tc>
      </w:tr>
      <w:tr>
        <w:trPr>
          <w:trHeight w:val="337"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right="509"/>
              <w:jc w:val="righ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5</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376,987.91</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2.43%</w:t>
            </w:r>
          </w:p>
        </w:tc>
      </w:tr>
      <w:tr>
        <w:trPr>
          <w:trHeight w:val="337"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right="560"/>
              <w:jc w:val="right"/>
              <w:rPr>
                <w:rFonts w:ascii="宋体" w:hAnsi="宋体" w:cs="宋体" w:eastAsia="宋体" w:hint="default"/>
                <w:sz w:val="20"/>
                <w:szCs w:val="20"/>
              </w:rPr>
            </w:pPr>
            <w:r>
              <w:rPr>
                <w:rFonts w:ascii="宋体" w:hAnsi="宋体" w:cs="宋体" w:eastAsia="宋体" w:hint="default"/>
                <w:sz w:val="20"/>
                <w:szCs w:val="20"/>
              </w:rPr>
              <w:t>合计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sz w:val="20"/>
              </w:rPr>
              <w:t>3,303,729.04</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21.28%</w:t>
            </w:r>
          </w:p>
        </w:tc>
      </w:tr>
    </w:tbl>
    <w:p>
      <w:pPr>
        <w:pStyle w:val="Heading3"/>
        <w:spacing w:line="283" w:lineRule="exact"/>
        <w:ind w:left="634" w:right="985"/>
        <w:jc w:val="left"/>
      </w:pPr>
      <w:r>
        <w:rPr>
          <w:spacing w:val="2"/>
        </w:rPr>
        <w:t>本公司按预付对象归集的年末余额前五名预付账款汇总金额为</w:t>
      </w:r>
      <w:r>
        <w:rPr>
          <w:rFonts w:ascii="Times New Roman" w:hAnsi="Times New Roman" w:cs="Times New Roman" w:eastAsia="Times New Roman" w:hint="default"/>
          <w:spacing w:val="2"/>
        </w:rPr>
        <w:t>3,303,729.04</w:t>
      </w:r>
      <w:r>
        <w:rPr>
          <w:spacing w:val="2"/>
        </w:rPr>
        <w:t>元，占预</w:t>
      </w:r>
    </w:p>
    <w:p>
      <w:pPr>
        <w:pStyle w:val="Heading3"/>
        <w:spacing w:line="322" w:lineRule="exact"/>
        <w:ind w:right="985"/>
        <w:jc w:val="left"/>
      </w:pPr>
      <w:r>
        <w:rPr/>
        <w:t>付账款年末余额合计数的比例为</w:t>
      </w:r>
      <w:r>
        <w:rPr>
          <w:rFonts w:ascii="Times New Roman" w:hAnsi="Times New Roman" w:cs="Times New Roman" w:eastAsia="Times New Roman" w:hint="default"/>
        </w:rPr>
        <w:t>21.28%</w:t>
      </w:r>
      <w:r>
        <w:rPr/>
        <w:t>。</w:t>
      </w:r>
    </w:p>
    <w:p>
      <w:pPr>
        <w:spacing w:line="240" w:lineRule="auto" w:before="3"/>
        <w:rPr>
          <w:rFonts w:ascii="宋体" w:hAnsi="宋体" w:cs="宋体" w:eastAsia="宋体" w:hint="default"/>
          <w:sz w:val="29"/>
          <w:szCs w:val="29"/>
        </w:rPr>
      </w:pPr>
    </w:p>
    <w:p>
      <w:pPr>
        <w:pStyle w:val="BodyText"/>
        <w:spacing w:line="240" w:lineRule="auto" w:before="0"/>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应收利息" w:id="243"/>
      <w:bookmarkEnd w:id="243"/>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应收利息分类" w:id="244"/>
      <w:bookmarkEnd w:id="244"/>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重要逾期利息" w:id="245"/>
      <w:bookmarkEnd w:id="245"/>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8、应收股利" w:id="246"/>
      <w:bookmarkEnd w:id="246"/>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应收股利" w:id="247"/>
      <w:bookmarkEnd w:id="247"/>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重要的账龄超过1年的应收股利" w:id="248"/>
      <w:bookmarkEnd w:id="248"/>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9、其他应收款" w:id="249"/>
      <w:bookmarkEnd w:id="24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其他应收款分类披露" w:id="250"/>
      <w:bookmarkEnd w:id="25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41,800,8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94.74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14,710,0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27,090,86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50,334,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702.62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13,417,57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36,917,130.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41,800,8</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94.74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14,710,0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35.19%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27,090,86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2.14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50,334,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702.62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13,417,57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36,917,130.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1"/>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18,313,810.53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915,690.53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18,313,810.53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915,690.53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8,834,004.81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883,400.49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2,177,672.27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435,534.45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12,475,407.13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12,475,407.13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41,800,894.74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14,710,032.60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本期计提、收回或转回的坏账准备情况" w:id="251"/>
      <w:bookmarkEnd w:id="2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17"/>
        <w:jc w:val="left"/>
      </w:pPr>
      <w:r>
        <w:rPr/>
        <w:t>本期计提坏账准备金额</w:t>
      </w:r>
      <w:r>
        <w:rPr>
          <w:spacing w:val="-46"/>
        </w:rPr>
        <w:t> </w:t>
      </w:r>
      <w:r>
        <w:rPr>
          <w:rFonts w:ascii="Times New Roman" w:hAnsi="Times New Roman" w:cs="Times New Roman" w:eastAsia="Times New Roman" w:hint="default"/>
        </w:rPr>
        <w:t>692,634.81</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3"/>
        <w:spacing w:line="293" w:lineRule="exact"/>
        <w:ind w:left="634" w:right="985"/>
        <w:jc w:val="left"/>
      </w:pPr>
      <w:r>
        <w:rPr/>
        <w:t>本年因非同一控制下企业合并增加坏账准备金额</w:t>
      </w:r>
      <w:r>
        <w:rPr>
          <w:rFonts w:ascii="Times New Roman" w:hAnsi="Times New Roman" w:cs="Times New Roman" w:eastAsia="Times New Roman" w:hint="default"/>
        </w:rPr>
        <w:t>599,825.99</w:t>
      </w:r>
      <w:r>
        <w:rPr/>
        <w:t>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4"/>
        <w:spacing w:line="240" w:lineRule="auto"/>
        <w:ind w:right="985"/>
        <w:jc w:val="left"/>
        <w:rPr>
          <w:b w:val="0"/>
          <w:bCs w:val="0"/>
        </w:rPr>
      </w:pPr>
      <w:bookmarkStart w:name="（3）本期实际核销的其他应收款情况" w:id="252"/>
      <w:bookmarkEnd w:id="25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985"/>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985"/>
        <w:jc w:val="left"/>
      </w:pPr>
      <w:r>
        <w:rPr/>
        <w:t>其他应收款核销说明：</w:t>
      </w:r>
    </w:p>
    <w:p>
      <w:pPr>
        <w:pStyle w:val="Heading3"/>
        <w:spacing w:line="240" w:lineRule="auto" w:before="66"/>
        <w:ind w:left="154" w:right="985"/>
        <w:jc w:val="left"/>
      </w:pPr>
      <w:r>
        <w:rPr/>
        <w:t>本年无实际核销的其他应收款。</w:t>
      </w:r>
    </w:p>
    <w:p>
      <w:pPr>
        <w:spacing w:line="240" w:lineRule="auto" w:before="9"/>
        <w:rPr>
          <w:rFonts w:ascii="宋体" w:hAnsi="宋体" w:cs="宋体" w:eastAsia="宋体" w:hint="default"/>
          <w:sz w:val="24"/>
          <w:szCs w:val="24"/>
        </w:rPr>
      </w:pPr>
    </w:p>
    <w:p>
      <w:pPr>
        <w:pStyle w:val="Heading4"/>
        <w:spacing w:line="240" w:lineRule="auto"/>
        <w:ind w:left="154" w:right="985"/>
        <w:jc w:val="left"/>
        <w:rPr>
          <w:b w:val="0"/>
          <w:bCs w:val="0"/>
        </w:rPr>
      </w:pPr>
      <w:bookmarkStart w:name="（4）其他应收款按款项性质分类情况" w:id="253"/>
      <w:bookmarkEnd w:id="25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10,398,651.15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7,930,619.31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19,637,556.77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21,310,202.93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9,355,681.68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19,050,861.16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2,409,005.14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2,043,019.22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41,800,894.74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50,334,702.62</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5）按欠款方归集的期末余额前五名的其他应收款情况" w:id="254"/>
      <w:bookmarkEnd w:id="25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2,762,243.00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2,175,467.00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586,776.00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167,450.95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1,455,638.00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72,888.10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1,361,305.00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212,103.00</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1,149,202.00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125,525.35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13,935,248.00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8,720,864.40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6）涉及政府补助的应收款项" w:id="255"/>
      <w:bookmarkEnd w:id="25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Heading3"/>
        <w:spacing w:line="276" w:lineRule="exact"/>
        <w:ind w:left="154" w:right="985"/>
        <w:jc w:val="left"/>
      </w:pPr>
      <w:r>
        <w:rPr/>
        <w:t>本年无涉及政府补助的应收款项。</w:t>
      </w:r>
    </w:p>
    <w:p>
      <w:pPr>
        <w:spacing w:line="240" w:lineRule="auto" w:before="9"/>
        <w:rPr>
          <w:rFonts w:ascii="宋体" w:hAnsi="宋体" w:cs="宋体" w:eastAsia="宋体" w:hint="default"/>
          <w:sz w:val="24"/>
          <w:szCs w:val="24"/>
        </w:rPr>
      </w:pPr>
    </w:p>
    <w:p>
      <w:pPr>
        <w:pStyle w:val="Heading4"/>
        <w:spacing w:line="240" w:lineRule="auto"/>
        <w:ind w:left="154" w:right="985"/>
        <w:jc w:val="left"/>
        <w:rPr>
          <w:b w:val="0"/>
          <w:bCs w:val="0"/>
        </w:rPr>
      </w:pPr>
      <w:bookmarkStart w:name="（7）因金融资产转移而终止确认的其他应收款" w:id="256"/>
      <w:bookmarkEnd w:id="25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154" w:right="985"/>
        <w:jc w:val="left"/>
      </w:pPr>
      <w:r>
        <w:rPr/>
        <w:t>本年无因金融资产转移而终止确认的其他应收款。</w:t>
      </w:r>
    </w:p>
    <w:p>
      <w:pPr>
        <w:spacing w:line="240" w:lineRule="auto" w:before="9"/>
        <w:rPr>
          <w:rFonts w:ascii="宋体" w:hAnsi="宋体" w:cs="宋体" w:eastAsia="宋体" w:hint="default"/>
          <w:sz w:val="24"/>
          <w:szCs w:val="24"/>
        </w:rPr>
      </w:pPr>
    </w:p>
    <w:p>
      <w:pPr>
        <w:pStyle w:val="Heading4"/>
        <w:spacing w:line="240" w:lineRule="auto"/>
        <w:ind w:right="985"/>
        <w:jc w:val="left"/>
        <w:rPr>
          <w:b w:val="0"/>
          <w:bCs w:val="0"/>
        </w:rPr>
      </w:pPr>
      <w:bookmarkStart w:name="（8）转移其他应收款且继续涉入形成的资产、负债金额" w:id="257"/>
      <w:bookmarkEnd w:id="25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3" w:right="985"/>
        <w:jc w:val="left"/>
      </w:pPr>
      <w:r>
        <w:rPr/>
        <w:t>本年无转移其他应收款且继续涉入形成的资产、负债金额。</w:t>
      </w:r>
    </w:p>
    <w:p>
      <w:pPr>
        <w:spacing w:line="240" w:lineRule="auto" w:before="8"/>
        <w:rPr>
          <w:rFonts w:ascii="宋体" w:hAnsi="宋体" w:cs="宋体" w:eastAsia="宋体" w:hint="default"/>
          <w:sz w:val="30"/>
          <w:szCs w:val="30"/>
        </w:rPr>
      </w:pPr>
    </w:p>
    <w:p>
      <w:pPr>
        <w:pStyle w:val="BodyText"/>
        <w:spacing w:line="240" w:lineRule="auto" w:before="0"/>
        <w:ind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10、存货" w:id="258"/>
      <w:bookmarkEnd w:id="258"/>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left="154" w:right="985"/>
        <w:jc w:val="left"/>
        <w:rPr>
          <w:b w:val="0"/>
          <w:bCs w:val="0"/>
        </w:rPr>
      </w:pPr>
      <w:bookmarkStart w:name="（1）存货分类" w:id="259"/>
      <w:bookmarkEnd w:id="25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5,773,171.92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5,773,171.92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4,203,142.57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4,203,142.57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18,935,200.18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18,740,970.78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16,501,603.48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16,501,603.48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5,987,343.58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5,987,343.58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6,746,765.31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6,746,765.31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2,317,999.25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2,317,999.25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4,322,059.68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4,322,059.68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33,013,714.93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32,819,485.53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31,773,571.04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31,773,571.04</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3"/>
        <w:rPr>
          <w:rFonts w:ascii="宋体" w:hAnsi="宋体" w:cs="宋体" w:eastAsia="宋体" w:hint="default"/>
          <w:sz w:val="20"/>
          <w:szCs w:val="20"/>
        </w:rPr>
      </w:pPr>
    </w:p>
    <w:p>
      <w:pPr>
        <w:pStyle w:val="Heading4"/>
        <w:spacing w:line="240" w:lineRule="auto"/>
        <w:ind w:left="154" w:right="985"/>
        <w:jc w:val="left"/>
        <w:rPr>
          <w:b w:val="0"/>
          <w:bCs w:val="0"/>
        </w:rPr>
      </w:pPr>
      <w:bookmarkStart w:name="（2）存货跌价准备" w:id="260"/>
      <w:bookmarkEnd w:id="26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194,229.40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194,229.40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194,229.40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194,229.40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存货期末余额含有借款费用资本化金额的说明" w:id="261"/>
      <w:bookmarkEnd w:id="26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4）期末建造合同形成的已完工未结算资产情况" w:id="262"/>
      <w:bookmarkEnd w:id="26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11、持有待售的资产" w:id="263"/>
      <w:bookmarkEnd w:id="263"/>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2、一年内到期的非流动资产" w:id="264"/>
      <w:bookmarkEnd w:id="26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3、其他流动资产" w:id="265"/>
      <w:bookmarkEnd w:id="26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1,279,857.58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1,279,857.58</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4、可供出售金融资产" w:id="266"/>
      <w:bookmarkEnd w:id="266"/>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可供出售金融资产情况" w:id="267"/>
      <w:bookmarkEnd w:id="26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215,612,119.69</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215,612,119.69</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215,612,119.69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215,612,119.69</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期末按公允价值计量的可供出售金融资产" w:id="268"/>
      <w:bookmarkEnd w:id="26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3）期末按成本计量的可供出售金融资产" w:id="269"/>
      <w:bookmarkEnd w:id="26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北京天润 坤泽财务 管理咨询 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珠海富海 铧创信息 技术创业 投资基金</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174,612,11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124,612,11</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215,612,11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165,612,11</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4）报告期内可供出售金融资产减值的变动情况" w:id="270"/>
      <w:bookmarkEnd w:id="27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5）可供出售权益工具期末公允价值严重下跌或非暂时性下跌但未计提减值准备的相关说" w:id="271"/>
      <w:bookmarkEnd w:id="27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5、持有至到期投资" w:id="272"/>
      <w:bookmarkEnd w:id="272"/>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持有至到期投资情况" w:id="273"/>
      <w:bookmarkEnd w:id="27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期末重要的持有至到期投资" w:id="274"/>
      <w:bookmarkEnd w:id="27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本期重分类的持有至到期投资" w:id="275"/>
      <w:bookmarkEnd w:id="27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985"/>
        <w:jc w:val="left"/>
        <w:rPr>
          <w:b w:val="0"/>
          <w:bCs w:val="0"/>
        </w:rPr>
      </w:pPr>
      <w:bookmarkStart w:name="16、长期应收款" w:id="276"/>
      <w:bookmarkEnd w:id="27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长期应收款情况" w:id="277"/>
      <w:bookmarkEnd w:id="27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因金融资产转移而终止确认的长期应收款" w:id="278"/>
      <w:bookmarkEnd w:id="27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985"/>
        <w:jc w:val="left"/>
        <w:rPr>
          <w:b w:val="0"/>
          <w:bCs w:val="0"/>
        </w:rPr>
      </w:pPr>
      <w:bookmarkStart w:name="（3）转移长期应收款且继续涉入形成的资产、负债金额" w:id="279"/>
      <w:bookmarkEnd w:id="27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7、长期股权投资" w:id="280"/>
      <w:bookmarkEnd w:id="280"/>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北京智和 管理咨询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2,997,229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-135,701.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-4,461,52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北京融和 晟源售电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31,506,53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1,174,817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-1,139,87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31,541,47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-54,175.7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2,545,824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2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禧股权投 资基金管 理有限公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绍兴柯桥 天堂硅谷 远光股权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17,560,00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17,560,00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34,503,76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984,940.2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-1,139,87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-4,461,52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51,647,29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34,503,76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984,940.2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-1,139,87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-4,461,52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51,647,29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8、投资性房地产" w:id="281"/>
      <w:bookmarkEnd w:id="281"/>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采用成本计量模式的投资性房地产" w:id="282"/>
      <w:bookmarkEnd w:id="28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31,667,715.78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31,667,715.78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4,433,723.13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4,433,723.13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4,433,723.13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4,433,723.13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36,101,438.91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36,101,438.91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6,139,065.96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6,139,065.96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1,239,016.77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1,239,016.77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1,059,949.53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1,059,949.53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179,067.24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179,067.24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7,378,082.73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7,378,082.73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28,723,356.18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28,723,356.18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25,528,649.82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25,528,649.82</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采用公允价值计量模式的投资性房地产" w:id="283"/>
      <w:bookmarkEnd w:id="28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3）未办妥产权证书的投资性房地产情况" w:id="284"/>
      <w:bookmarkEnd w:id="28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9、固定资产" w:id="285"/>
      <w:bookmarkEnd w:id="285"/>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固定资产情况" w:id="286"/>
      <w:bookmarkEnd w:id="28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196,719,361.26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8,038,657.46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51,498,403.82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9,879,761.58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266,136,184.12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11,600,557.24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1,022,580.25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10,257,109.62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1,068,038.92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23,948,286.03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11,600,557.24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436,893.20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6,623,503.42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1,062,838.92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19,723,792.78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585,687.05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3,432,771.80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4,023,658.85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）评估增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200,834.40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200,834.40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4,433,723.13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547,521.00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4,352,228.04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195,188.51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9,528,660.68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547,521.00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4,352,228.04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195,188.51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5,094,937.55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4,433,723.13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4,433,723.13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203,886,195.37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8,513,716.71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57,403,285.40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10,752,611.99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280,555,809.47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26,965,133.79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4,934,601.66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43,391,319.94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5,588,418.34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80,879,473.73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6,629,795.13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814,509.50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10,164,881.76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1,785,841.73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19,395,028.12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6,629,795.13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552,221.74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7,054,848.78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1,783,783.48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16,020,649.13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262,287.76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3,043,088.18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3,307,434.19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）评估增值</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66,944.80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66,944.80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179,067.24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3,942,394.84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111,078.71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4,752,685.74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520,144.95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3,942,394.84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111,078.71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4,573,618.50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179,067.24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179,067.24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33,415,861.68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5,228,966.21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49,613,806.86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7,263,181.36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95,521,816.11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170,470,333.69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3,284,750.50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7,789,478.54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3,489,430.63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185,033,993.36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169,754,227.47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3,104,055.80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8,107,083.88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4,291,343.24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185,256,710.39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985"/>
        <w:jc w:val="left"/>
        <w:rPr>
          <w:b w:val="0"/>
          <w:bCs w:val="0"/>
        </w:rPr>
      </w:pPr>
      <w:bookmarkStart w:name="（2）暂时闲置的固定资产情况" w:id="287"/>
      <w:bookmarkEnd w:id="28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通过融资租赁租入的固定资产情况" w:id="288"/>
      <w:bookmarkEnd w:id="28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4）通过经营租赁租出的固定资产" w:id="289"/>
      <w:bookmarkEnd w:id="28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5）未办妥产权证书的固定资产情况" w:id="290"/>
      <w:bookmarkEnd w:id="29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12,588,181.62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0、在建工程" w:id="291"/>
      <w:bookmarkEnd w:id="29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在建工程情况" w:id="292"/>
      <w:bookmarkEnd w:id="29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远光智能产业园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41,711,753.48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4,225,521.71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4,225,521.71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远光展厅装修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465,170.27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465,170.27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广州萝岗万达广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109,939.64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109,939.64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场办公室装修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4" w:right="0"/>
              <w:jc w:val="left"/>
              <w:rPr>
                <w:rFonts w:ascii="Times New Roman" w:hAnsi="Times New Roman" w:cs="Times New Roman" w:eastAsia="Times New Roman" w:hint="default"/>
                <w:sz w:val="18"/>
                <w:szCs w:val="18"/>
              </w:rPr>
            </w:pPr>
            <w:r>
              <w:rPr>
                <w:rFonts w:ascii="Times New Roman"/>
                <w:sz w:val="18"/>
              </w:rPr>
              <w:t>41,711,753.48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41,711,753.48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4,800,631.62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4,800,631.62</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重要在建工程项目本期变动情况" w:id="293"/>
      <w:bookmarkEnd w:id="29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远光智 能产业 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4,225,52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37,486,2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41,711,7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远光展 厅装修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广州萝 岗万达 广场办 公室装 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4,800,63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37,486,2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575,109.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41,711,7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53.48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本期计提在建工程减值准备情况" w:id="294"/>
      <w:bookmarkEnd w:id="29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1、工程物资" w:id="295"/>
      <w:bookmarkEnd w:id="295"/>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2、固定资产清理" w:id="296"/>
      <w:bookmarkEnd w:id="296"/>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23、生产性生物资产" w:id="297"/>
      <w:bookmarkEnd w:id="29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采用成本计量模式的生产性生物资产" w:id="298"/>
      <w:bookmarkEnd w:id="29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采用公允价值计量模式的生产性生物资产" w:id="299"/>
      <w:bookmarkEnd w:id="29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24、油气资产" w:id="300"/>
      <w:bookmarkEnd w:id="30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25、无形资产" w:id="301"/>
      <w:bookmarkEnd w:id="301"/>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无形资产情况" w:id="302"/>
      <w:bookmarkEnd w:id="30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11,708,692.17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47,622,039.94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59,330,732.11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30,582,344.14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30,582,344.14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831,176.11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831,176.11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10,551,168.03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10,551,168.03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11,708,692.17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78,204,384.08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89,913,076.25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778,746.64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13,205,357.43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13,984,104.07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234,173.76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9,922,052.26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10,156,226.02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234,173.76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7,682,052.26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7,916,226.02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1,012,920.40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23,127,409.69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24,140,330.09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10,695,771.77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55,076,974.39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65,772,746.16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10,929,945.53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34,416,682.51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45,346,628.04</w:t>
            </w:r>
          </w:p>
        </w:tc>
      </w:tr>
    </w:tbl>
    <w:p>
      <w:pPr>
        <w:pStyle w:val="BodyText"/>
        <w:spacing w:line="240" w:lineRule="auto" w:before="51"/>
        <w:ind w:left="154" w:right="985"/>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50.66%</w:t>
      </w:r>
      <w:r>
        <w:rPr/>
        <w:t>。</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2）未办妥产权证书的土地使用权情况" w:id="303"/>
      <w:bookmarkEnd w:id="30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6、开发支出" w:id="304"/>
      <w:bookmarkEnd w:id="304"/>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基于市场化 售电公司的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3,708,785.72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6,842,382.31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10,551,168.0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购售电管理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基于大数据 技术平台的 财务域全业 务模型解决 方案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5,231,604.15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5,231,604.15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EAP-Cloud</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云平台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3,363,374.17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3,363,374.17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云服务</w:t>
            </w:r>
            <w:r>
              <w:rPr>
                <w:rFonts w:ascii="宋体" w:hAnsi="宋体" w:cs="宋体" w:eastAsia="宋体" w:hint="default"/>
                <w:w w:val="99"/>
                <w:sz w:val="18"/>
                <w:szCs w:val="18"/>
              </w:rPr>
              <w:t> </w:t>
            </w:r>
            <w:r>
              <w:rPr>
                <w:rFonts w:ascii="宋体" w:hAnsi="宋体" w:cs="宋体" w:eastAsia="宋体" w:hint="default"/>
                <w:sz w:val="18"/>
                <w:szCs w:val="18"/>
              </w:rPr>
              <w:t>与接入平台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6,384,168.61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6,384,168.61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电子发票服 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5,020,406.92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5,020,406.92</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台的设备及 运维管理系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4,409,090.00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4,409,090.00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智能审计管 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5,357,060.86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5,357,060.86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输配电成本 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4,992,189.84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4,992,189.84</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 服务平台的 智能分析系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3,443,288.29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3,443,288.29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8,940,389.87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39,811,961.0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10,551,168.0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5,231,604.15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32,969,578.6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7、商誉" w:id="305"/>
      <w:bookmarkEnd w:id="305"/>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商誉账面原值" w:id="306"/>
      <w:bookmarkEnd w:id="30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长沙瑞翔科技有</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30,377,899.03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30,377,899.03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杭州昊美科技有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10,545,707.83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10,545,707.83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北京智和管理咨 询有限公司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567,530.64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567,530.64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31,641,434.82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11,113,238.47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42,754,673.29</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商誉减值准备" w:id="307"/>
      <w:bookmarkEnd w:id="30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长沙瑞翔科技有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杭州昊美科技有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北京智和管理咨 询有限公司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r>
    </w:tbl>
    <w:p>
      <w:pPr>
        <w:pStyle w:val="BodyText"/>
        <w:spacing w:line="357" w:lineRule="auto" w:before="51"/>
        <w:ind w:left="154"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4"/>
        <w:spacing w:line="240" w:lineRule="auto"/>
        <w:ind w:left="154" w:right="985"/>
        <w:jc w:val="left"/>
        <w:rPr>
          <w:b w:val="0"/>
          <w:bCs w:val="0"/>
        </w:rPr>
      </w:pPr>
      <w:bookmarkStart w:name="28、长期待摊费用" w:id="308"/>
      <w:bookmarkEnd w:id="308"/>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9,524,594.01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1,183,654.86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3,663,607.54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7,044,641.33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9,524,594.01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1,183,654.86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3,663,607.54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7,044,641.33</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9、递延所得税资产/递延所得税负债" w:id="309"/>
      <w:bookmarkEnd w:id="309"/>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未经抵销的递延所得税资产" w:id="310"/>
      <w:bookmarkEnd w:id="31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80,960,702.86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8,768,473.72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60,129,579.16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6,447,059.59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40,778,290.37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6,231,287.60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20,339,871.63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4,541,559.85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11,737,340.00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488,630.00</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长期股权投资权益法核 算产生的可抵扣暂时性 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502,770.48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125,692.60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133,476,333.23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16,173,495.32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85,858,521.27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11,602,942.04</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未经抵销的递延所得税负债" w:id="311"/>
      <w:bookmarkEnd w:id="31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21,785,323.60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3,267,798.54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5,004,562.59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750,684.38</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59,787,119.69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5,978,711.97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115,053,651.04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11,505,365.10</w:t>
            </w:r>
          </w:p>
        </w:tc>
      </w:tr>
      <w:tr>
        <w:trPr>
          <w:trHeight w:val="10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77"/>
              <w:jc w:val="both"/>
              <w:rPr>
                <w:rFonts w:ascii="宋体" w:hAnsi="宋体" w:cs="宋体" w:eastAsia="宋体" w:hint="default"/>
                <w:sz w:val="18"/>
                <w:szCs w:val="18"/>
              </w:rPr>
            </w:pPr>
            <w:r>
              <w:rPr>
                <w:rFonts w:ascii="宋体" w:hAnsi="宋体" w:cs="宋体" w:eastAsia="宋体" w:hint="default"/>
                <w:sz w:val="18"/>
                <w:szCs w:val="18"/>
              </w:rPr>
              <w:t>长期股权投资权益法核 算产生的应纳税暂时性 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1,301,470.65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130,147.06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82,873,913.94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9,376,657.57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120,058,213.63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12,256,049.48</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以抵销后净额列示的递延所得税资产或负债" w:id="312"/>
      <w:bookmarkEnd w:id="31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16,173,495.32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11,602,942.04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9,376,657.57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12,256,049.48</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4）未确认递延所得税资产明细" w:id="313"/>
      <w:bookmarkEnd w:id="31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16,258,276.89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10,369,874.24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55,954,723.89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33,353,665.09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72,213,000.78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43,723,539.33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5）未确认递延所得税资产的可抵扣亏损将于以下年度到期" w:id="314"/>
      <w:bookmarkEnd w:id="31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10,095,174.53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10,095,174.53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22,546,124.88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22,546,124.88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712,365.68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712,365.68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22,601,058.80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55,954,723.89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33,353,665.09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0、其他非流动资产" w:id="315"/>
      <w:bookmarkEnd w:id="315"/>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1、短期借款" w:id="316"/>
      <w:bookmarkEnd w:id="316"/>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短期借款分类" w:id="317"/>
      <w:bookmarkEnd w:id="31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left="154" w:right="985"/>
        <w:jc w:val="left"/>
      </w:pPr>
      <w:r>
        <w:rPr/>
        <w:t>短期借款分类的说明：</w:t>
      </w:r>
    </w:p>
    <w:p>
      <w:pPr>
        <w:pStyle w:val="Heading3"/>
        <w:spacing w:line="312" w:lineRule="exact" w:before="97"/>
        <w:ind w:right="1119" w:firstLine="480"/>
        <w:jc w:val="left"/>
      </w:pPr>
      <w:r>
        <w:rPr>
          <w:spacing w:val="-2"/>
        </w:rPr>
        <w:t>子公司远光共创智能科技股份有限公司向建设银行借款</w:t>
      </w:r>
      <w:r>
        <w:rPr>
          <w:rFonts w:ascii="Times New Roman" w:hAnsi="Times New Roman" w:cs="Times New Roman" w:eastAsia="Times New Roman" w:hint="default"/>
          <w:spacing w:val="-2"/>
        </w:rPr>
        <w:t>2,000.00</w:t>
      </w:r>
      <w:r>
        <w:rPr>
          <w:spacing w:val="-2"/>
        </w:rPr>
        <w:t>万元，由公司提供连带责</w:t>
      </w:r>
      <w:r>
        <w:rPr/>
        <w:t> 任保证。</w:t>
      </w:r>
    </w:p>
    <w:p>
      <w:pPr>
        <w:pStyle w:val="Heading3"/>
        <w:spacing w:line="312" w:lineRule="exact"/>
        <w:ind w:right="1119" w:firstLine="480"/>
        <w:jc w:val="left"/>
      </w:pPr>
      <w:r>
        <w:rPr>
          <w:spacing w:val="-2"/>
        </w:rPr>
        <w:t>子公司杭州昊美科技有限公司向招商银行杭州高新支行借款</w:t>
      </w:r>
      <w:r>
        <w:rPr>
          <w:rFonts w:ascii="Times New Roman" w:hAnsi="Times New Roman" w:cs="Times New Roman" w:eastAsia="Times New Roman" w:hint="default"/>
          <w:spacing w:val="-2"/>
        </w:rPr>
        <w:t>2,000.00</w:t>
      </w:r>
      <w:r>
        <w:rPr>
          <w:spacing w:val="-2"/>
        </w:rPr>
        <w:t>万元，由公司提供连</w:t>
      </w:r>
      <w:r>
        <w:rPr/>
        <w:t> 带责任保证。</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985"/>
        <w:jc w:val="left"/>
        <w:rPr>
          <w:b w:val="0"/>
          <w:bCs w:val="0"/>
        </w:rPr>
      </w:pPr>
      <w:bookmarkStart w:name="（2）已逾期未偿还的短期借款情况" w:id="318"/>
      <w:bookmarkEnd w:id="31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85"/>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left="154"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32、以公允价值计量且其变动计入当期损益的金融负债" w:id="319"/>
      <w:bookmarkEnd w:id="319"/>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3、衍生金融负债" w:id="320"/>
      <w:bookmarkEnd w:id="320"/>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34、应付票据" w:id="321"/>
      <w:bookmarkEnd w:id="321"/>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985"/>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54" w:right="985"/>
        <w:jc w:val="left"/>
        <w:rPr>
          <w:b w:val="0"/>
          <w:bCs w:val="0"/>
        </w:rPr>
      </w:pPr>
      <w:bookmarkStart w:name="35、应付账款" w:id="322"/>
      <w:bookmarkEnd w:id="322"/>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应付账款列示" w:id="323"/>
      <w:bookmarkEnd w:id="32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128,978,731.61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132,572,692.16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128,978,731.61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132,572,692.16</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账龄超过1年的重要应付账款" w:id="324"/>
      <w:bookmarkEnd w:id="32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1,880,907.64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1,494,411.00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1,091,863.42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7,639,182.06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36、预收款项" w:id="325"/>
      <w:bookmarkEnd w:id="325"/>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预收款项列示" w:id="326"/>
      <w:bookmarkEnd w:id="32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7,129,933.14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12,141,089.41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7,129,933.14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12,141,089.41</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账龄超过1年的重要预收款项" w:id="327"/>
      <w:bookmarkEnd w:id="32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期末建造合同形成的已结算未完工项目情况" w:id="328"/>
      <w:bookmarkEnd w:id="32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985"/>
        <w:jc w:val="left"/>
      </w:pPr>
      <w:r>
        <w:rPr/>
        <w:t>其他说明：</w:t>
      </w:r>
    </w:p>
    <w:p>
      <w:pPr>
        <w:pStyle w:val="Heading3"/>
        <w:spacing w:line="312" w:lineRule="exact" w:before="97"/>
        <w:ind w:right="985"/>
        <w:jc w:val="left"/>
      </w:pPr>
      <w:r>
        <w:rPr>
          <w:spacing w:val="-1"/>
        </w:rPr>
        <w:t>截止至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日，账龄超过一年的预收款项为</w:t>
      </w:r>
      <w:r>
        <w:rPr>
          <w:rFonts w:ascii="Times New Roman" w:hAnsi="Times New Roman" w:cs="Times New Roman" w:eastAsia="Times New Roman" w:hint="default"/>
          <w:spacing w:val="-1"/>
        </w:rPr>
        <w:t>1,180,192.35</w:t>
      </w:r>
      <w:r>
        <w:rPr>
          <w:spacing w:val="-1"/>
        </w:rPr>
        <w:t>元，主要为预收软件服务项</w:t>
      </w:r>
      <w:r>
        <w:rPr>
          <w:spacing w:val="-91"/>
        </w:rPr>
        <w:t> </w:t>
      </w:r>
      <w:r>
        <w:rPr>
          <w:spacing w:val="-91"/>
        </w:rPr>
      </w:r>
      <w:r>
        <w:rPr/>
        <w:t>目的预收款，鉴于项目尚未完成，该款项尚未结清。</w:t>
      </w:r>
    </w:p>
    <w:p>
      <w:pPr>
        <w:spacing w:line="240" w:lineRule="auto" w:before="7"/>
        <w:rPr>
          <w:rFonts w:ascii="宋体" w:hAnsi="宋体" w:cs="宋体" w:eastAsia="宋体" w:hint="default"/>
          <w:sz w:val="22"/>
          <w:szCs w:val="22"/>
        </w:rPr>
      </w:pPr>
    </w:p>
    <w:p>
      <w:pPr>
        <w:pStyle w:val="Heading4"/>
        <w:spacing w:line="240" w:lineRule="auto"/>
        <w:ind w:right="985"/>
        <w:jc w:val="left"/>
        <w:rPr>
          <w:b w:val="0"/>
          <w:bCs w:val="0"/>
        </w:rPr>
      </w:pPr>
      <w:bookmarkStart w:name="37、应付职工薪酬" w:id="329"/>
      <w:bookmarkEnd w:id="329"/>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应付职工薪酬列示" w:id="330"/>
      <w:bookmarkEnd w:id="33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80,678,333.23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625,424,566.40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619,451,599.49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86,651,300.14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331,607.19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37,609,959.27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37,532,847.44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408,719.02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81,009,940.42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663,215,225.67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657,165,146.93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87,060,019.16</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短期薪酬列示" w:id="331"/>
      <w:bookmarkEnd w:id="33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62,583,728.46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558,838,622.75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544,065,797.97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77,356,553.24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11,521,961.77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11,593,961.77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205,025.95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23,051,265.36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23,004,003.27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252,288.04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173,243.94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19,411,591.88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19,371,792.23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213,043.59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1,213,224.49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1,210,737.01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14,035.62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20,233.87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2,426,448.99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2,421,474.03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25,208.83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20,998,906.87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21,018,985.36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33,882.70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17,763,617.63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11,013,809.65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19,768,851.12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9,008,576.16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80,678,333.23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625,424,566.40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619,451,599.49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86,651,300.14</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设定提存计划列示" w:id="332"/>
      <w:bookmarkEnd w:id="33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288,405.21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32,757,061.30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32,689,899.38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355,567.13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4,852,897.97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4,842,948.06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53,151.89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331,607.19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37,609,959.27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37,532,847.44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408,719.02</w:t>
            </w:r>
          </w:p>
        </w:tc>
      </w:tr>
    </w:tbl>
    <w:p>
      <w:pPr>
        <w:pStyle w:val="BodyText"/>
        <w:spacing w:line="240" w:lineRule="auto" w:before="51"/>
        <w:ind w:left="154" w:right="985"/>
        <w:jc w:val="left"/>
      </w:pPr>
      <w:r>
        <w:rPr/>
        <w:t>其他说明：</w:t>
      </w:r>
    </w:p>
    <w:p>
      <w:pPr>
        <w:pStyle w:val="Heading3"/>
        <w:spacing w:line="312" w:lineRule="exact" w:before="97"/>
        <w:ind w:left="154" w:right="1139" w:firstLine="480"/>
        <w:jc w:val="both"/>
      </w:pPr>
      <w:r>
        <w:rPr/>
        <w:t>本公司按规定参加由政府机构设立的养老保险、失业保险计划，根据该等计划，本公司 按员工基本工资每月向该等计划缴存费用。除上述每月缴存费用外，本公司不再承担进一步 支付义务。相应的支出于发生时计入当期损益或相关资产的成本。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Heading4"/>
        <w:spacing w:line="240" w:lineRule="auto"/>
        <w:ind w:right="985"/>
        <w:jc w:val="left"/>
        <w:rPr>
          <w:b w:val="0"/>
          <w:bCs w:val="0"/>
        </w:rPr>
      </w:pPr>
      <w:bookmarkStart w:name="38、应交税费" w:id="333"/>
      <w:bookmarkEnd w:id="333"/>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18,766,199.58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19,657,279.68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10,526,014.82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1,849,397.47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2,558,095.41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2,425,400.01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1,380,246.47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1,459,628.94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986,839.75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1,072,521.84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544,318.71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671,478.43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34,761,714.74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27,135,706.37</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9、应付利息" w:id="334"/>
      <w:bookmarkEnd w:id="334"/>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985"/>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0、应付股利" w:id="335"/>
      <w:bookmarkEnd w:id="335"/>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550,930.60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667,546.19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550,930.60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667,546.19</w:t>
            </w:r>
          </w:p>
        </w:tc>
      </w:tr>
    </w:tbl>
    <w:p>
      <w:pPr>
        <w:pStyle w:val="BodyText"/>
        <w:spacing w:line="240" w:lineRule="auto" w:before="51"/>
        <w:ind w:left="154" w:right="98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41、其他应付款" w:id="336"/>
      <w:bookmarkEnd w:id="33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按款项性质列示其他应付款" w:id="337"/>
      <w:bookmarkEnd w:id="33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1,150,336.53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1,609,916.03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7,798,609.72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6,137,846.30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8,948,946.25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7,747,762.33</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账龄超过1年的重要其他应付款" w:id="338"/>
      <w:bookmarkEnd w:id="33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2、持有待售的负债" w:id="339"/>
      <w:bookmarkEnd w:id="339"/>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3、一年内到期的非流动负债" w:id="340"/>
      <w:bookmarkEnd w:id="34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4、其他流动负债" w:id="341"/>
      <w:bookmarkEnd w:id="34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37,322,578.16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88,868,663.10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37,322,578.16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88,868,663.10</w:t>
            </w:r>
          </w:p>
        </w:tc>
      </w:tr>
    </w:tbl>
    <w:p>
      <w:pPr>
        <w:pStyle w:val="BodyText"/>
        <w:spacing w:line="240" w:lineRule="auto" w:before="51"/>
        <w:ind w:left="154" w:right="985"/>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5、长期借款" w:id="342"/>
      <w:bookmarkEnd w:id="34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长期借款分类" w:id="343"/>
      <w:bookmarkEnd w:id="34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5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54" w:right="985"/>
        <w:jc w:val="left"/>
        <w:rPr>
          <w:b w:val="0"/>
          <w:bCs w:val="0"/>
        </w:rPr>
      </w:pPr>
      <w:bookmarkStart w:name="46、应付债券" w:id="344"/>
      <w:bookmarkEnd w:id="34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应付债券" w:id="345"/>
      <w:bookmarkEnd w:id="34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应付债券的增减变动（不包括划分为金融负债的优先股、永续债等其他金融工具）" w:id="346"/>
      <w:bookmarkEnd w:id="34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3）可转换公司债券的转股条件、转股时间说明" w:id="347"/>
      <w:bookmarkEnd w:id="34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4）划分为金融负债的其他金融工具说明" w:id="348"/>
      <w:bookmarkEnd w:id="34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left="154" w:right="985"/>
        <w:jc w:val="left"/>
        <w:rPr>
          <w:b w:val="0"/>
          <w:bCs w:val="0"/>
        </w:rPr>
      </w:pPr>
      <w:bookmarkStart w:name="47、长期应付款" w:id="349"/>
      <w:bookmarkEnd w:id="349"/>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按款项性质列示长期应付款" w:id="350"/>
      <w:bookmarkEnd w:id="35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73,774,561.76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155,526,762.30</w:t>
            </w:r>
          </w:p>
        </w:tc>
      </w:tr>
      <w:tr>
        <w:trPr>
          <w:trHeight w:val="402"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减：一年内到期部分（</w:t>
            </w:r>
            <w:r>
              <w:rPr>
                <w:rFonts w:ascii="Times New Roman" w:hAnsi="Times New Roman" w:cs="Times New Roman" w:eastAsia="Times New Roman" w:hint="default"/>
                <w:spacing w:val="-4"/>
                <w:sz w:val="18"/>
                <w:szCs w:val="18"/>
              </w:rPr>
              <w:t>44.</w:t>
            </w:r>
            <w:r>
              <w:rPr>
                <w:rFonts w:ascii="宋体" w:hAnsi="宋体" w:cs="宋体" w:eastAsia="宋体" w:hint="default"/>
                <w:spacing w:val="-4"/>
                <w:sz w:val="18"/>
                <w:szCs w:val="18"/>
              </w:rPr>
              <w:t>其他流动负债</w:t>
            </w:r>
          </w:p>
        </w:tc>
        <w:tc>
          <w:tcPr>
            <w:tcW w:w="3194" w:type="dxa"/>
            <w:tcBorders>
              <w:top w:val="single" w:sz="4" w:space="0" w:color="000000"/>
              <w:left w:val="single" w:sz="13" w:space="0" w:color="FFFFFF"/>
              <w:bottom w:val="single" w:sz="4" w:space="0" w:color="000000"/>
              <w:right w:val="single" w:sz="4" w:space="0" w:color="000000"/>
            </w:tcBorders>
          </w:tcPr>
          <w:p>
            <w:pPr>
              <w:pStyle w:val="TableParagraph"/>
              <w:tabs>
                <w:tab w:pos="2114" w:val="left" w:leader="none"/>
              </w:tabs>
              <w:spacing w:line="240" w:lineRule="auto" w:before="51"/>
              <w:ind w:left="-135"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37,322,578.16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88,868,663.10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36,451,983.60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66,658,099.20</w:t>
            </w:r>
          </w:p>
        </w:tc>
      </w:tr>
    </w:tbl>
    <w:p>
      <w:pPr>
        <w:pStyle w:val="BodyText"/>
        <w:spacing w:line="240" w:lineRule="auto" w:before="51"/>
        <w:ind w:left="154" w:right="985"/>
        <w:jc w:val="left"/>
      </w:pPr>
      <w:r>
        <w:rPr/>
        <w:pict>
          <v:group style="position:absolute;margin-left:217.460007pt;margin-top:-40.238277pt;width:156.9pt;height:19.650pt;mso-position-horizontal-relative:page;mso-position-vertical-relative:paragraph;z-index:-1205896" coordorigin="4349,-805" coordsize="3138,393">
            <v:shape style="position:absolute;left:4349;top:-805;width:3138;height:393" coordorigin="4349,-805" coordsize="3138,393" path="m4349,-412l7486,-412,7486,-805,4349,-805,4349,-412xe" filled="true" fillcolor="#ffffff" stroked="false">
              <v:path arrowok="t"/>
              <v:fill type="solid"/>
            </v:shape>
            <w10:wrap type="none"/>
          </v:group>
        </w:pict>
      </w: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8、长期应付职工薪酬" w:id="351"/>
      <w:bookmarkEnd w:id="351"/>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长期应付职工薪酬表" w:id="352"/>
      <w:bookmarkEnd w:id="35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设定受益计划变动情况" w:id="353"/>
      <w:bookmarkEnd w:id="35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985"/>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985"/>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985"/>
        <w:jc w:val="left"/>
      </w:pPr>
      <w:r>
        <w:rPr/>
        <w:t>设定受益计划净负债（净资产）</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49、专项应付款" w:id="354"/>
      <w:bookmarkEnd w:id="354"/>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0、预计负债" w:id="355"/>
      <w:bookmarkEnd w:id="355"/>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985"/>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51、递延收益" w:id="356"/>
      <w:bookmarkEnd w:id="356"/>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高新区博士 后科研工作 站远光分站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面向智能电 网的安全运 行管理平台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面向集团企 业的风险管 控系统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面向电力行 业信息化的 云计算服务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面向电力行 业的云计算 服务系统的 </w:t>
            </w:r>
            <w:r>
              <w:rPr>
                <w:rFonts w:ascii="Times New Roman" w:hAnsi="Times New Roman" w:cs="Times New Roman" w:eastAsia="Times New Roman" w:hint="default"/>
                <w:sz w:val="18"/>
                <w:szCs w:val="18"/>
              </w:rPr>
              <w:t>QoS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 案与管理平 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电力基建工 程财务风险 内控信息化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面向电力财 务信息化的 大数据实时 处理及智能 分析系统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面向集团企 业的监督管 理系统项目 研发及产业 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工业和信息 化专项资金 支持大数据 应用示范项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9,200,000.00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2、其他非流动负债" w:id="357"/>
      <w:bookmarkEnd w:id="357"/>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3、股本" w:id="358"/>
      <w:bookmarkEnd w:id="358"/>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84"/>
        <w:gridCol w:w="1208"/>
        <w:gridCol w:w="1196"/>
        <w:gridCol w:w="1197"/>
        <w:gridCol w:w="1195"/>
        <w:gridCol w:w="1197"/>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606,563,337.00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1,418,760.00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-5,408,147.00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-3,989,387.00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602,573,950.00</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4、其他权益工具" w:id="359"/>
      <w:bookmarkEnd w:id="359"/>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期末发行在外的优先股、永续债等其他金融工具基本情况" w:id="360"/>
      <w:bookmarkEnd w:id="360"/>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2）期末发行在外的优先股、永续债等金融工具变动情况表" w:id="361"/>
      <w:bookmarkEnd w:id="361"/>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4633"/>
        <w:jc w:val="left"/>
      </w:pPr>
      <w:r>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55、资本公积" w:id="362"/>
      <w:bookmarkEnd w:id="362"/>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191,351,507.90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57,524,758.21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41,993,966.34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206,882,299.77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46,794,681.41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51,594,341.41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11,737,340.00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238,146,189.31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74,061,758.21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93,588,307.75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218,619,639.77</w:t>
            </w:r>
          </w:p>
        </w:tc>
      </w:tr>
    </w:tbl>
    <w:p>
      <w:pPr>
        <w:pStyle w:val="BodyText"/>
        <w:spacing w:line="240" w:lineRule="auto" w:before="51"/>
        <w:ind w:left="154" w:right="985"/>
        <w:jc w:val="left"/>
      </w:pPr>
      <w:r>
        <w:rPr/>
        <w:t>其他说明，包括本期增减变动情况、变动原因说明：</w:t>
      </w:r>
    </w:p>
    <w:p>
      <w:pPr>
        <w:pStyle w:val="Heading3"/>
        <w:spacing w:line="312" w:lineRule="exact" w:before="97"/>
        <w:ind w:left="154" w:right="1131" w:firstLine="480"/>
        <w:jc w:val="both"/>
      </w:pPr>
      <w:r>
        <w:rPr>
          <w:rFonts w:ascii="Times New Roman" w:hAnsi="Times New Roman" w:cs="Times New Roman" w:eastAsia="Times New Roman" w:hint="default"/>
        </w:rPr>
        <w:t>1</w:t>
      </w:r>
      <w:r>
        <w:rPr/>
        <w:t>、资本溢价本年减少原因为本期回购限制性股票减少股本</w:t>
      </w:r>
      <w:r>
        <w:rPr>
          <w:rFonts w:ascii="Times New Roman" w:hAnsi="Times New Roman" w:cs="Times New Roman" w:eastAsia="Times New Roman" w:hint="default"/>
        </w:rPr>
        <w:t>5,408,147.00</w:t>
      </w:r>
      <w:r>
        <w:rPr/>
        <w:t>元，减少资本公 积</w:t>
      </w:r>
      <w:r>
        <w:rPr>
          <w:rFonts w:ascii="Times New Roman" w:hAnsi="Times New Roman" w:cs="Times New Roman" w:eastAsia="Times New Roman" w:hint="default"/>
        </w:rPr>
        <w:t>39,941,207.30</w:t>
      </w:r>
      <w:r>
        <w:rPr/>
        <w:t>元及因子公司的所有者权益份额发生变化且仍控制子公司的交易冲减资本公</w:t>
      </w:r>
      <w:r>
        <w:rPr>
          <w:spacing w:val="-37"/>
        </w:rPr>
        <w:t> </w:t>
      </w:r>
      <w:r>
        <w:rPr>
          <w:spacing w:val="-37"/>
        </w:rPr>
      </w:r>
      <w:r>
        <w:rPr/>
        <w:t>积</w:t>
      </w:r>
      <w:r>
        <w:rPr>
          <w:spacing w:val="-96"/>
        </w:rPr>
        <w:t> </w:t>
      </w:r>
      <w:r>
        <w:rPr>
          <w:rFonts w:ascii="Times New Roman" w:hAnsi="Times New Roman" w:cs="Times New Roman" w:eastAsia="Times New Roman" w:hint="default"/>
        </w:rPr>
        <w:t>2,052,759.04</w:t>
      </w:r>
      <w:r>
        <w:rPr>
          <w:rFonts w:ascii="Times New Roman" w:hAnsi="Times New Roman" w:cs="Times New Roman" w:eastAsia="Times New Roman" w:hint="default"/>
          <w:spacing w:val="-35"/>
        </w:rPr>
        <w:t> </w:t>
      </w:r>
      <w:r>
        <w:rPr>
          <w:spacing w:val="11"/>
        </w:rPr>
        <w:t>元；</w:t>
      </w:r>
      <w:r>
        <w:rPr>
          <w:spacing w:val="-96"/>
        </w:rPr>
        <w:t> </w:t>
      </w:r>
      <w:r>
        <w:rPr>
          <w:spacing w:val="18"/>
        </w:rPr>
        <w:t>本年增加原因为</w:t>
      </w:r>
      <w:r>
        <w:rPr>
          <w:spacing w:val="-9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7"/>
        </w:rPr>
        <w:t> </w:t>
      </w:r>
      <w:r>
        <w:rPr>
          <w:spacing w:val="20"/>
        </w:rPr>
        <w:t>年限制性股票激励计划预留股份授予增加股本</w:t>
      </w:r>
      <w:r>
        <w:rPr>
          <w:spacing w:val="-117"/>
        </w:rPr>
        <w:t> </w:t>
      </w:r>
      <w:r>
        <w:rPr>
          <w:spacing w:val="-117"/>
        </w:rPr>
      </w:r>
      <w:r>
        <w:rPr>
          <w:rFonts w:ascii="Times New Roman" w:hAnsi="Times New Roman" w:cs="Times New Roman" w:eastAsia="Times New Roman" w:hint="default"/>
          <w:spacing w:val="-2"/>
        </w:rPr>
        <w:t>1,418,760.00</w:t>
      </w:r>
      <w:r>
        <w:rPr>
          <w:spacing w:val="-2"/>
        </w:rPr>
        <w:t>股，股本与行权价之间的差异</w:t>
      </w:r>
      <w:r>
        <w:rPr>
          <w:rFonts w:ascii="Times New Roman" w:hAnsi="Times New Roman" w:cs="Times New Roman" w:eastAsia="Times New Roman" w:hint="default"/>
          <w:spacing w:val="-2"/>
        </w:rPr>
        <w:t>5,930,416.80</w:t>
      </w:r>
      <w:r>
        <w:rPr>
          <w:spacing w:val="-2"/>
        </w:rPr>
        <w:t>增加资本公积及限制性股票解锁从其他</w:t>
      </w:r>
      <w:r>
        <w:rPr>
          <w:spacing w:val="-94"/>
        </w:rPr>
        <w:t> </w:t>
      </w:r>
      <w:r>
        <w:rPr/>
        <w:t>资本公积转入。</w:t>
      </w:r>
    </w:p>
    <w:p>
      <w:pPr>
        <w:pStyle w:val="Heading3"/>
        <w:spacing w:line="302" w:lineRule="exact"/>
        <w:ind w:left="634" w:right="985"/>
        <w:jc w:val="left"/>
      </w:pPr>
      <w:r>
        <w:rPr>
          <w:rFonts w:ascii="Times New Roman" w:hAnsi="Times New Roman" w:cs="Times New Roman" w:eastAsia="Times New Roman" w:hint="default"/>
        </w:rPr>
        <w:t>2</w:t>
      </w:r>
      <w:r>
        <w:rPr/>
        <w:t>、其他资本公积本年新增为计提的股权激励费用。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4"/>
        <w:spacing w:line="240" w:lineRule="auto"/>
        <w:ind w:right="985"/>
        <w:jc w:val="left"/>
        <w:rPr>
          <w:b w:val="0"/>
          <w:bCs w:val="0"/>
        </w:rPr>
      </w:pPr>
      <w:bookmarkStart w:name="56、库存股" w:id="363"/>
      <w:bookmarkEnd w:id="363"/>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155,526,762.30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7,349,176.80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89,101,377.34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73,774,561.76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155,526,762.30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7,349,176.80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89,101,377.34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73,774,561.76</w:t>
            </w:r>
          </w:p>
        </w:tc>
      </w:tr>
    </w:tbl>
    <w:p>
      <w:pPr>
        <w:pStyle w:val="BodyText"/>
        <w:spacing w:line="240" w:lineRule="auto" w:before="51"/>
        <w:ind w:left="154" w:right="985"/>
        <w:jc w:val="left"/>
      </w:pPr>
      <w:r>
        <w:rPr/>
        <w:t>其他说明，包括本期增减变动情况、变动原因说明：</w:t>
      </w:r>
    </w:p>
    <w:p>
      <w:pPr>
        <w:pStyle w:val="Heading3"/>
        <w:spacing w:line="312" w:lineRule="exact" w:before="97"/>
        <w:ind w:right="1125" w:firstLine="480"/>
        <w:jc w:val="left"/>
      </w:pPr>
      <w:r>
        <w:rPr>
          <w:spacing w:val="-2"/>
        </w:rPr>
        <w:t>股权激励回购义务包含：公司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日授予的限制性股票回购、</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日授</w:t>
      </w:r>
      <w:r>
        <w:rPr/>
        <w:t> </w:t>
      </w:r>
      <w:r>
        <w:rPr>
          <w:spacing w:val="5"/>
        </w:rPr>
        <w:t>予的限制性股票第一期解除限售期解锁及</w:t>
      </w:r>
      <w:r>
        <w:rPr>
          <w:rFonts w:ascii="Times New Roman" w:hAnsi="Times New Roman" w:cs="Times New Roman" w:eastAsia="Times New Roman" w:hint="default"/>
          <w:spacing w:val="5"/>
        </w:rPr>
        <w:t>2017</w:t>
      </w:r>
      <w:r>
        <w:rPr>
          <w:spacing w:val="5"/>
        </w:rPr>
        <w:t>年授予</w:t>
      </w:r>
      <w:r>
        <w:rPr>
          <w:rFonts w:ascii="Times New Roman" w:hAnsi="Times New Roman" w:cs="Times New Roman" w:eastAsia="Times New Roman" w:hint="default"/>
          <w:spacing w:val="5"/>
        </w:rPr>
        <w:t>2016</w:t>
      </w:r>
      <w:r>
        <w:rPr>
          <w:spacing w:val="5"/>
        </w:rPr>
        <w:t>年预留股份的限制性股票回购义</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985"/>
        <w:jc w:val="left"/>
      </w:pPr>
      <w:r>
        <w:rPr/>
        <w:t>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4"/>
          <w:szCs w:val="24"/>
        </w:rPr>
      </w:pPr>
    </w:p>
    <w:p>
      <w:pPr>
        <w:pStyle w:val="Heading4"/>
        <w:spacing w:line="240" w:lineRule="auto"/>
        <w:ind w:left="154" w:right="985"/>
        <w:jc w:val="left"/>
        <w:rPr>
          <w:b w:val="0"/>
          <w:bCs w:val="0"/>
        </w:rPr>
      </w:pPr>
      <w:bookmarkStart w:name="57、其他综合收益" w:id="364"/>
      <w:bookmarkEnd w:id="364"/>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-13,338.57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-13,338.57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-13,338.5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-13,338.57</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-13,338.57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-13,338.5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-13,338.57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-13,338.57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-13,338.5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985"/>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8、专项储备" w:id="365"/>
      <w:bookmarkEnd w:id="365"/>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985"/>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54" w:right="985"/>
        <w:jc w:val="left"/>
        <w:rPr>
          <w:b w:val="0"/>
          <w:bCs w:val="0"/>
        </w:rPr>
      </w:pPr>
      <w:bookmarkStart w:name="59、盈余公积" w:id="366"/>
      <w:bookmarkEnd w:id="366"/>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193,181,422.89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17,926,861.15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211,108,284.04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193,181,422.89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17,926,861.15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211,108,284.04</w:t>
            </w:r>
          </w:p>
        </w:tc>
      </w:tr>
    </w:tbl>
    <w:p>
      <w:pPr>
        <w:pStyle w:val="BodyText"/>
        <w:spacing w:line="240" w:lineRule="auto" w:before="51"/>
        <w:ind w:left="154" w:right="985"/>
        <w:jc w:val="left"/>
      </w:pPr>
      <w:r>
        <w:rPr/>
        <w:t>盈余公积说明，包括本期增减变动情况、变动原因说明：</w:t>
      </w:r>
    </w:p>
    <w:p>
      <w:pPr>
        <w:pStyle w:val="Heading3"/>
        <w:spacing w:line="312" w:lineRule="exact" w:before="97"/>
        <w:ind w:right="985" w:firstLine="480"/>
        <w:jc w:val="left"/>
      </w:pPr>
      <w:r>
        <w:rPr/>
        <w:t>根据《公司法》、公司章程的规定，本公司按净利润的</w:t>
      </w:r>
      <w:r>
        <w:rPr>
          <w:rFonts w:ascii="Times New Roman" w:hAnsi="Times New Roman" w:cs="Times New Roman" w:eastAsia="Times New Roman" w:hint="default"/>
        </w:rPr>
        <w:t>10%</w:t>
      </w:r>
      <w:r>
        <w:rPr/>
        <w:t>提取法定盈余公积。法定盈 余公积累计额达到本公司注册资本</w:t>
      </w:r>
      <w:r>
        <w:rPr>
          <w:rFonts w:ascii="Times New Roman" w:hAnsi="Times New Roman" w:cs="Times New Roman" w:eastAsia="Times New Roman" w:hint="default"/>
        </w:rPr>
        <w:t>50%</w:t>
      </w:r>
      <w:r>
        <w:rPr/>
        <w:t>以上的，不再提取。</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985"/>
        <w:jc w:val="left"/>
        <w:rPr>
          <w:b w:val="0"/>
          <w:bCs w:val="0"/>
        </w:rPr>
      </w:pPr>
      <w:bookmarkStart w:name="60、未分配利润" w:id="367"/>
      <w:bookmarkEnd w:id="367"/>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909,116,224.42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818,772,302.00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909,116,224.42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818,772,302.00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172,272,603.75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131,374,311.56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17,926,861.15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11,826,699.72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29,494,065.85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29,203,689.42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1,033,967,901.17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909,116,224.42</w:t>
            </w:r>
          </w:p>
        </w:tc>
      </w:tr>
    </w:tbl>
    <w:p>
      <w:pPr>
        <w:pStyle w:val="BodyText"/>
        <w:spacing w:line="240" w:lineRule="auto" w:before="51"/>
        <w:ind w:left="154" w:right="985"/>
        <w:jc w:val="left"/>
      </w:pPr>
      <w:r>
        <w:rPr/>
        <w:t>调整期初未分配利润明细：</w:t>
      </w:r>
    </w:p>
    <w:p>
      <w:pPr>
        <w:pStyle w:val="BodyText"/>
        <w:spacing w:line="240" w:lineRule="auto" w:before="117"/>
        <w:ind w:left="154" w:right="985"/>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85"/>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5"/>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985"/>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85"/>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54" w:right="985"/>
        <w:jc w:val="left"/>
        <w:rPr>
          <w:b w:val="0"/>
          <w:bCs w:val="0"/>
        </w:rPr>
      </w:pPr>
      <w:bookmarkStart w:name="61、营业收入和营业成本" w:id="368"/>
      <w:bookmarkEnd w:id="368"/>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1,174,923,434.61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379,329,364.72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1,090,105,089.78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413,957,980.43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4,335,298.51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1,119,683.48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4,224,025.54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995,636.73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1,179,258,733.12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380,449,048.20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1,094,329,115.32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414,953,617.16</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62、税金及附加" w:id="369"/>
      <w:bookmarkEnd w:id="369"/>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4,884,396.05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4,959,956.33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3,513,916.52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3,673,730.22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2,163,940.37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1,412,548.47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138,890.42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206,689.59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757,078.62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415,939.20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144,900.23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265,257.52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2,208,349.39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1,901,806.13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13,666,571.37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12,980,827.69</w:t>
            </w:r>
          </w:p>
        </w:tc>
      </w:tr>
    </w:tbl>
    <w:p>
      <w:pPr>
        <w:pStyle w:val="BodyText"/>
        <w:spacing w:line="240" w:lineRule="auto" w:before="51"/>
        <w:ind w:left="154"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63、销售费用" w:id="370"/>
      <w:bookmarkEnd w:id="370"/>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96,810,162.70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93,572,082.17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18,640,181.48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16,112,094.46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8,402,928.44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8,584,587.27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35,428,703.68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33,210,564.90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1,449,169.73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2,045,797.28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60,077,075.00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38,876,332.66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220,808,221.03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192,401,458.74</w:t>
            </w:r>
          </w:p>
        </w:tc>
      </w:tr>
    </w:tbl>
    <w:p>
      <w:pPr>
        <w:pStyle w:val="BodyText"/>
        <w:spacing w:line="240" w:lineRule="auto" w:before="51"/>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64、管理费用" w:id="371"/>
      <w:bookmarkEnd w:id="371"/>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257,742,653.17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214,572,654.78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86,343,395.54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73,899,544.16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17,972,035.91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12,944,909.15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4,886,300.00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5,727,958.96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3,743,286.31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41,249,235.12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51,128,712.54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425,572,278.70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361,175,406.94</w:t>
            </w:r>
          </w:p>
        </w:tc>
      </w:tr>
    </w:tbl>
    <w:p>
      <w:pPr>
        <w:pStyle w:val="BodyText"/>
        <w:spacing w:line="240" w:lineRule="auto" w:before="51"/>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65、财务费用" w:id="372"/>
      <w:bookmarkEnd w:id="372"/>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1,823,967.52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400,643.98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12,278,214.60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4,498,802.85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550,530.94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369,094.71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-9,903,716.14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-3,729,064.16</w:t>
            </w:r>
          </w:p>
        </w:tc>
      </w:tr>
    </w:tbl>
    <w:p>
      <w:pPr>
        <w:pStyle w:val="BodyText"/>
        <w:spacing w:line="240" w:lineRule="auto" w:before="51"/>
        <w:ind w:left="154" w:right="985"/>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66、资产减值损失" w:id="373"/>
      <w:bookmarkEnd w:id="373"/>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19,794,065.12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19,645,235.21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1,263,535.79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21,057,600.91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19,645,235.21</w:t>
            </w:r>
          </w:p>
        </w:tc>
      </w:tr>
    </w:tbl>
    <w:p>
      <w:pPr>
        <w:pStyle w:val="BodyText"/>
        <w:spacing w:line="240" w:lineRule="auto" w:before="51"/>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67、公允价值变动收益" w:id="374"/>
      <w:bookmarkEnd w:id="374"/>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68、投资收益" w:id="375"/>
      <w:bookmarkEnd w:id="375"/>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984,940.27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1,228,105.55</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10,531,459.51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10,330,713.33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15,516,399.78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11,558,818.88</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9、资产处置收益" w:id="376"/>
      <w:bookmarkEnd w:id="376"/>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70、其他收益" w:id="377"/>
      <w:bookmarkEnd w:id="377"/>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与企业日常活动相关的政府补助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30,559,381.17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其中：增值税返还</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17,192,642.29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30,559,381.17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71、营业外收入" w:id="378"/>
      <w:bookmarkEnd w:id="378"/>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29,408,367.68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742,123.73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878,442.65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742,123.73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1,825,048.62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1,758,882.15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1,825,048.62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2,567,172.35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32,045,692.48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2,567,172.35</w:t>
            </w:r>
          </w:p>
        </w:tc>
      </w:tr>
    </w:tbl>
    <w:p>
      <w:pPr>
        <w:pStyle w:val="BodyText"/>
        <w:spacing w:line="240" w:lineRule="auto" w:before="51"/>
        <w:ind w:left="154" w:right="985"/>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2、营业外支出" w:id="379"/>
      <w:bookmarkEnd w:id="379"/>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44,309.85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157,063.14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44,309.85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137,604.76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510,338.51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137,604.76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241,914.61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757,401.65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241,914.61</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3、所得税费用" w:id="380"/>
      <w:bookmarkEnd w:id="380"/>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所得税费用表" w:id="381"/>
      <w:bookmarkEnd w:id="38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18,623,580.28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2,741,595.02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-9,297,603.80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-5,082,651.02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9,325,976.48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-2,341,056.00</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会计利润与所得税费用调整过程" w:id="382"/>
      <w:bookmarkEnd w:id="38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176,009,767.74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17,600,976.77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-643,930.78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188,125.97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4,390,459.31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3,609,442.59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922,864.20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-10,690,918.23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其他事项对所得税的影响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-6,051,043.35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9,325,976.48</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4、其他综合收益" w:id="383"/>
      <w:bookmarkEnd w:id="383"/>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84"/>
      <w:bookmarkEnd w:id="384"/>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985"/>
        <w:jc w:val="left"/>
        <w:rPr>
          <w:b w:val="0"/>
          <w:bCs w:val="0"/>
        </w:rPr>
      </w:pPr>
      <w:bookmarkStart w:name="（1）收到的其他与经营活动有关的现金" w:id="385"/>
      <w:bookmarkEnd w:id="38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12,451,850.90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4,498,802.85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13,620,715.92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8,744,201.60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21,335,772.76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17,934,224.14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47,408,339.58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31,177,228.59</w:t>
            </w:r>
          </w:p>
        </w:tc>
      </w:tr>
    </w:tbl>
    <w:p>
      <w:pPr>
        <w:pStyle w:val="BodyText"/>
        <w:spacing w:line="240" w:lineRule="auto" w:before="51"/>
        <w:ind w:left="154" w:right="985"/>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985"/>
        <w:jc w:val="left"/>
        <w:rPr>
          <w:b w:val="0"/>
          <w:bCs w:val="0"/>
        </w:rPr>
      </w:pPr>
      <w:bookmarkStart w:name="（2）支付的其他与经营活动有关的现金" w:id="386"/>
      <w:bookmarkEnd w:id="38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546,727.61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369,094.71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销售及管理费用支付的现金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183,419,996.97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174,432,550.68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63,212.87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600,338.51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25,748,631.61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30,952,571.22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209,778,569.06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206,354,555.12</w:t>
            </w:r>
          </w:p>
        </w:tc>
      </w:tr>
    </w:tbl>
    <w:p>
      <w:pPr>
        <w:pStyle w:val="BodyText"/>
        <w:spacing w:line="240" w:lineRule="auto" w:before="51"/>
        <w:ind w:left="154" w:right="985"/>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3）收到的其他与投资活动有关的现金" w:id="387"/>
      <w:bookmarkEnd w:id="38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2,081,453.51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2,081,453.51</w:t>
            </w:r>
          </w:p>
        </w:tc>
      </w:tr>
    </w:tbl>
    <w:p>
      <w:pPr>
        <w:pStyle w:val="BodyText"/>
        <w:spacing w:line="240" w:lineRule="auto" w:before="51"/>
        <w:ind w:left="154" w:right="985"/>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4）支付的其他与投资活动有关的现金" w:id="388"/>
      <w:bookmarkEnd w:id="38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985"/>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5）收到的其他与筹资活动有关的现金" w:id="389"/>
      <w:bookmarkEnd w:id="38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985"/>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985"/>
        <w:jc w:val="left"/>
        <w:rPr>
          <w:b w:val="0"/>
          <w:bCs w:val="0"/>
        </w:rPr>
      </w:pPr>
      <w:bookmarkStart w:name="（6）支付的其他与筹资活动有关的现金" w:id="390"/>
      <w:bookmarkEnd w:id="39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42,386,198.25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49,752,646.66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42,386,198.25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49,752,646.66</w:t>
            </w:r>
          </w:p>
        </w:tc>
      </w:tr>
    </w:tbl>
    <w:p>
      <w:pPr>
        <w:pStyle w:val="BodyText"/>
        <w:spacing w:line="240" w:lineRule="auto" w:before="51"/>
        <w:ind w:left="154" w:right="985"/>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985"/>
        <w:jc w:val="left"/>
        <w:rPr>
          <w:b w:val="0"/>
          <w:bCs w:val="0"/>
        </w:rPr>
      </w:pPr>
      <w:bookmarkStart w:name="76、现金流量表补充资料" w:id="391"/>
      <w:bookmarkEnd w:id="391"/>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现金流量表补充资料" w:id="392"/>
      <w:bookmarkEnd w:id="39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324.22998pt;width:151.25pt;height:40.9pt;mso-position-horizontal-relative:page;mso-position-vertical-relative:page;z-index:-1205872" coordorigin="4467,6485" coordsize="3025,818">
            <v:group style="position:absolute;left:4478;top:6496;width:2;height:393" coordorigin="4478,6496" coordsize="2,393">
              <v:shape style="position:absolute;left:4478;top:6496;width:2;height:393" coordorigin="4478,6496" coordsize="0,393" path="m4478,6496l4478,6888e" filled="false" stroked="true" strokeweight="1.140pt" strokecolor="#ffffff">
                <v:path arrowok="t"/>
              </v:shape>
            </v:group>
            <v:group style="position:absolute;left:4490;top:6496;width:3002;height:393" coordorigin="4490,6496" coordsize="3002,393">
              <v:shape style="position:absolute;left:4490;top:6496;width:3002;height:393" coordorigin="4490,6496" coordsize="3002,393" path="m4490,6888l7491,6888,7491,6496,4490,6496,4490,6888xe" filled="true" fillcolor="#ffffff" stroked="false">
                <v:path arrowok="t"/>
                <v:fill type="solid"/>
              </v:shape>
            </v:group>
            <v:group style="position:absolute;left:4478;top:6898;width:2;height:393" coordorigin="4478,6898" coordsize="2,393">
              <v:shape style="position:absolute;left:4478;top:6898;width:2;height:393" coordorigin="4478,6898" coordsize="0,393" path="m4478,6898l4478,7290e" filled="false" stroked="true" strokeweight="1.140pt" strokecolor="#ffffff">
                <v:path arrowok="t"/>
              </v:shape>
            </v:group>
            <v:group style="position:absolute;left:4490;top:6898;width:3002;height:393" coordorigin="4490,6898" coordsize="3002,393">
              <v:shape style="position:absolute;left:4490;top:6898;width:3002;height:393" coordorigin="4490,6898" coordsize="3002,393" path="m4490,7290l7491,7290,7491,6898,4490,6898,4490,729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166,683,791.26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142,089,799.45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21,057,600.91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19,645,235.21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17,712,953.02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18,554,116.58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10,156,226.02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2,407,295.62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3,663,607.54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6,008,542.90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-721,379.51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-697,813.88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1,823,967.52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400,643.98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-15,516,399.78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-11,558,818.88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-4,570,553.28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-363,410.46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-3,096,507.07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-5,609,672.13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5,453,581.42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5,667,429.26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-34,276,005.79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-129,294,443.18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-61,263,014.21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25,878,750.72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107,131,433.68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73,104,089.56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1,034,024,947.96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1,062,968,173.75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1,062,968,173.75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931,979,940.95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-28,943,225.79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130,988,232.80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本期支付的取得子公司的现金净额" w:id="393"/>
      <w:bookmarkEnd w:id="39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77,371,196.00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75,771,196.00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20,393,216.19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4,833,183.18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15,560,033.01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56,977,979.81</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本期收到的处置子公司的现金净额" w:id="394"/>
      <w:bookmarkEnd w:id="39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现金和现金等价物的构成" w:id="395"/>
      <w:bookmarkEnd w:id="39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1,034,024,947.96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1,062,968,173.75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93,135.22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815,198.47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1,032,353,260.49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1,060,818,603.23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1,578,552.25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1,334,372.05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1,034,024,947.96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1,062,968,173.75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20,409,221.35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4,450,800.00</w:t>
            </w:r>
          </w:p>
        </w:tc>
      </w:tr>
    </w:tbl>
    <w:p>
      <w:pPr>
        <w:pStyle w:val="BodyText"/>
        <w:spacing w:line="240" w:lineRule="auto" w:before="51"/>
        <w:ind w:left="154" w:right="985"/>
        <w:jc w:val="left"/>
      </w:pPr>
      <w:r>
        <w:rPr/>
        <w:t>其他说明：</w:t>
      </w:r>
    </w:p>
    <w:p>
      <w:pPr>
        <w:pStyle w:val="Heading3"/>
        <w:spacing w:line="240" w:lineRule="auto" w:before="66"/>
        <w:ind w:left="634" w:right="985"/>
        <w:jc w:val="left"/>
      </w:pPr>
      <w:r>
        <w:rPr/>
        <w:t>注：现金和现金等价物不含母公司或集团内子公司使用受限制的现金和现金等价物。</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line="547" w:lineRule="auto" w:before="0"/>
        <w:ind w:left="153" w:right="5373" w:firstLine="0"/>
        <w:jc w:val="left"/>
        <w:rPr>
          <w:rFonts w:ascii="宋体" w:hAnsi="宋体" w:cs="宋体" w:eastAsia="宋体" w:hint="default"/>
          <w:sz w:val="21"/>
          <w:szCs w:val="21"/>
        </w:rPr>
      </w:pPr>
      <w:bookmarkStart w:name="77、所有者权益变动表项目注释" w:id="396"/>
      <w:bookmarkEnd w:id="396"/>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397"/>
      <w:bookmarkEnd w:id="397"/>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20,409,221.35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保函或履约保证金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20,409,221.35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9、外币货币性项目" w:id="398"/>
      <w:bookmarkEnd w:id="398"/>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外币货币性项目" w:id="399"/>
      <w:bookmarkEnd w:id="39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196,129.74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234,548.75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196,059.30</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985"/>
        <w:jc w:val="left"/>
        <w:rPr>
          <w:b w:val="0"/>
          <w:bCs w:val="0"/>
        </w:rPr>
      </w:pPr>
      <w:bookmarkStart w:name="（2）境外经营实体说明，包括对于重要的境外经营实体，应披露其境外主要经营地、记账" w:id="400"/>
      <w:bookmarkEnd w:id="40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80、套期" w:id="401"/>
      <w:bookmarkEnd w:id="401"/>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1、其他" w:id="402"/>
      <w:bookmarkEnd w:id="402"/>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3"/>
      <w:bookmarkEnd w:id="40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4"/>
      <w:bookmarkEnd w:id="40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985"/>
        <w:jc w:val="left"/>
        <w:rPr>
          <w:b w:val="0"/>
          <w:bCs w:val="0"/>
        </w:rPr>
      </w:pPr>
      <w:bookmarkStart w:name="（1）本期发生的非同一控制下企业合并" w:id="405"/>
      <w:bookmarkEnd w:id="40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杭州昊美科 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75,771,196.0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股权转移日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40,448,424.3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9,496,721.12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北京智和管 理咨询有限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3,600,000.00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股权转移日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13,324,804.3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6,361,090.59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6"/>
        <w:gridCol w:w="1064"/>
        <w:gridCol w:w="1063"/>
        <w:gridCol w:w="1065"/>
        <w:gridCol w:w="1064"/>
        <w:gridCol w:w="1063"/>
        <w:gridCol w:w="1062"/>
        <w:gridCol w:w="1062"/>
        <w:gridCol w:w="1062"/>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32.00%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985"/>
        <w:jc w:val="left"/>
      </w:pPr>
      <w:r>
        <w:rPr/>
        <w:t>其他说明：</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70"/>
        <w:gridCol w:w="1984"/>
        <w:gridCol w:w="2268"/>
        <w:gridCol w:w="2693"/>
      </w:tblGrid>
      <w:tr>
        <w:trPr>
          <w:trHeight w:val="355" w:hRule="exact"/>
        </w:trPr>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97" w:right="0"/>
              <w:jc w:val="left"/>
              <w:rPr>
                <w:rFonts w:ascii="宋体" w:hAnsi="宋体" w:cs="宋体" w:eastAsia="宋体" w:hint="default"/>
                <w:sz w:val="21"/>
                <w:szCs w:val="21"/>
              </w:rPr>
            </w:pPr>
            <w:r>
              <w:rPr>
                <w:rFonts w:ascii="宋体" w:hAnsi="宋体" w:cs="宋体" w:eastAsia="宋体" w:hint="default"/>
                <w:sz w:val="21"/>
                <w:szCs w:val="21"/>
              </w:rPr>
              <w:t>取得股权时点</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63" w:right="0"/>
              <w:jc w:val="left"/>
              <w:rPr>
                <w:rFonts w:ascii="宋体" w:hAnsi="宋体" w:cs="宋体" w:eastAsia="宋体" w:hint="default"/>
                <w:sz w:val="21"/>
                <w:szCs w:val="21"/>
              </w:rPr>
            </w:pPr>
            <w:r>
              <w:rPr>
                <w:rFonts w:ascii="宋体" w:hAnsi="宋体" w:cs="宋体" w:eastAsia="宋体" w:hint="default"/>
                <w:sz w:val="21"/>
                <w:szCs w:val="21"/>
              </w:rPr>
              <w:t>取得成本</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取得比例（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93"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取得方式</w:t>
            </w:r>
          </w:p>
        </w:tc>
      </w:tr>
      <w:tr>
        <w:trPr>
          <w:trHeight w:val="352"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3,600,000.00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53"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1,600,000.00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32%</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收购</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985"/>
        <w:jc w:val="left"/>
        <w:rPr>
          <w:b w:val="0"/>
          <w:bCs w:val="0"/>
        </w:rPr>
      </w:pPr>
      <w:bookmarkStart w:name="（2）合并成本及商誉" w:id="406"/>
      <w:bookmarkEnd w:id="40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75,771,196.00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75,771,196.00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65,225,488.17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1,032,469.35</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10,545,707.83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567,530.65</w:t>
            </w:r>
          </w:p>
        </w:tc>
      </w:tr>
    </w:tbl>
    <w:p>
      <w:pPr>
        <w:pStyle w:val="BodyText"/>
        <w:spacing w:line="357" w:lineRule="auto" w:before="51"/>
        <w:ind w:left="154" w:right="6072"/>
        <w:jc w:val="left"/>
      </w:pPr>
      <w:r>
        <w:rPr/>
        <w:t>合并成本公允价值的确定方法、或有对价及其变动的说明： 大额商誉形成的主要原因：</w:t>
      </w:r>
    </w:p>
    <w:p>
      <w:pPr>
        <w:pStyle w:val="BodyText"/>
        <w:spacing w:line="240" w:lineRule="auto" w:before="29"/>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985"/>
        <w:jc w:val="left"/>
        <w:rPr>
          <w:b w:val="0"/>
          <w:bCs w:val="0"/>
        </w:rPr>
      </w:pPr>
      <w:bookmarkStart w:name="（3）被购买方于购买日可辨认资产、负债" w:id="407"/>
      <w:bookmarkEnd w:id="40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397"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007"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r>
      <w:tr>
        <w:trPr>
          <w:trHeight w:val="407"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15,560,033.01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15,560,033.01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4,833,183.18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4,833,183.18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84,109,906.18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84,109,906.18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1,846,959.48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1,846,959.48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6,693,725.31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6,693,725.31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911,603.80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710,769.41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5,455.25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8,018,990.65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8,018,990.65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110,528.49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1,024,735.50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1,024,735.50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829,823.35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829,823.35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526,226.13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526,226.13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12,709,957.62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12,709,957.62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2,910,125.16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558,416.06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558,416.06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2,113,635.23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2,113,635.23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2,900,252.60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2,900,252.60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129,022.72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129,022.72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3,636,913.36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3,636,913.36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10,062.27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6,389,889.76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6,389,889.76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143,165.58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143,165.58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92,243,263.24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75,752,554.01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4,926,466.74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4,926,466.74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27,017,775.07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22,187,695.81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1,032,469.36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1,032,469.36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65,225,488.17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53,564,858.20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1,032,469.35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1,032,469.35</w:t>
            </w:r>
          </w:p>
        </w:tc>
      </w:tr>
    </w:tbl>
    <w:p>
      <w:pPr>
        <w:pStyle w:val="BodyText"/>
        <w:spacing w:line="240" w:lineRule="auto" w:before="51"/>
        <w:ind w:left="154" w:right="985"/>
        <w:jc w:val="left"/>
      </w:pPr>
      <w:r>
        <w:rPr/>
        <w:t>可辨认资产、负债公允价值的确定方法：</w:t>
      </w:r>
    </w:p>
    <w:p>
      <w:pPr>
        <w:pStyle w:val="Heading5"/>
        <w:spacing w:line="276" w:lineRule="auto" w:before="90"/>
        <w:ind w:left="158" w:right="985"/>
        <w:jc w:val="left"/>
      </w:pPr>
      <w:r>
        <w:rPr/>
        <w:t>杭州昊美科技有限公司被合并净资产公允价值是以经北京中和谊资产评估有限公司按资产基础法估值方 </w:t>
      </w:r>
      <w:r>
        <w:rPr>
          <w:spacing w:val="-1"/>
        </w:rPr>
        <w:t>法确定的估值结果确定。本公司以货币资金支付全部企业合并对价，大额商誉形成的主要原因：根据北京</w:t>
      </w:r>
      <w:r>
        <w:rPr>
          <w:spacing w:val="-88"/>
        </w:rPr>
        <w:t> </w:t>
      </w:r>
      <w:r>
        <w:rPr>
          <w:spacing w:val="-88"/>
        </w:rPr>
      </w:r>
      <w:r>
        <w:rPr/>
        <w:t>中和谊资产评估有限公司出具的《资产评估报告书》（中和谊评报字（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11059</w:t>
      </w:r>
      <w:r>
        <w:rPr/>
        <w:t>号），截至评估基准 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日，杭州昊美科技有限公司股东全部权益价值为</w:t>
      </w:r>
      <w:r>
        <w:rPr>
          <w:rFonts w:ascii="Times New Roman" w:hAnsi="Times New Roman" w:cs="Times New Roman" w:eastAsia="Times New Roman" w:hint="default"/>
        </w:rPr>
        <w:t>118,100,000.00</w:t>
      </w:r>
      <w:r>
        <w:rPr/>
        <w:t>元，截至合并日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p>
    <w:p>
      <w:pPr>
        <w:pStyle w:val="Heading5"/>
        <w:spacing w:line="277" w:lineRule="exact"/>
        <w:ind w:left="158" w:right="985"/>
        <w:jc w:val="left"/>
      </w:pPr>
      <w:r>
        <w:rPr>
          <w:rFonts w:ascii="Times New Roman" w:hAnsi="Times New Roman" w:cs="Times New Roman" w:eastAsia="Times New Roman" w:hint="default"/>
        </w:rPr>
        <w:t>30</w:t>
      </w:r>
      <w:r>
        <w:rPr/>
        <w:t>日，杭州昊美科技有限公司</w:t>
      </w:r>
      <w:r>
        <w:rPr>
          <w:rFonts w:ascii="Times New Roman" w:hAnsi="Times New Roman" w:cs="Times New Roman" w:eastAsia="Times New Roman" w:hint="default"/>
        </w:rPr>
        <w:t>70.7103%</w:t>
      </w:r>
      <w:r>
        <w:rPr/>
        <w:t>股权价值为</w:t>
      </w:r>
      <w:r>
        <w:rPr>
          <w:rFonts w:ascii="Times New Roman" w:hAnsi="Times New Roman" w:cs="Times New Roman" w:eastAsia="Times New Roman" w:hint="default"/>
        </w:rPr>
        <w:t>65,225,488.17</w:t>
      </w:r>
      <w:r>
        <w:rPr/>
        <w:t>元。经双方协商确定，本次交易杭州昊美</w:t>
      </w:r>
    </w:p>
    <w:p>
      <w:pPr>
        <w:pStyle w:val="Heading5"/>
        <w:spacing w:line="240" w:lineRule="auto" w:before="22"/>
        <w:ind w:left="158" w:right="985"/>
        <w:jc w:val="left"/>
      </w:pPr>
      <w:r>
        <w:rPr/>
        <w:t>科技有限公司</w:t>
      </w:r>
    </w:p>
    <w:p>
      <w:pPr>
        <w:pStyle w:val="Heading5"/>
        <w:spacing w:line="240" w:lineRule="auto" w:before="70"/>
        <w:ind w:left="158" w:right="985"/>
        <w:jc w:val="left"/>
      </w:pPr>
      <w:r>
        <w:rPr>
          <w:rFonts w:ascii="Times New Roman" w:hAnsi="Times New Roman" w:cs="Times New Roman" w:eastAsia="Times New Roman" w:hint="default"/>
        </w:rPr>
        <w:t>70.7103%</w:t>
      </w:r>
      <w:r>
        <w:rPr/>
        <w:t>股权作价</w:t>
      </w:r>
      <w:r>
        <w:rPr>
          <w:rFonts w:ascii="Times New Roman" w:hAnsi="Times New Roman" w:cs="Times New Roman" w:eastAsia="Times New Roman" w:hint="default"/>
        </w:rPr>
        <w:t>75,771,196.00</w:t>
      </w:r>
      <w:r>
        <w:rPr/>
        <w:t>。</w:t>
      </w:r>
    </w:p>
    <w:p>
      <w:pPr>
        <w:pStyle w:val="Heading5"/>
        <w:spacing w:line="273" w:lineRule="auto" w:before="70"/>
        <w:ind w:left="158" w:right="985"/>
        <w:jc w:val="left"/>
      </w:pPr>
      <w:r>
        <w:rPr>
          <w:spacing w:val="-1"/>
        </w:rPr>
        <w:t>北京智和管理咨询有限公司被合并净资产公允价值是以账面价值确定，主要原因是北京智和管理咨询有限</w:t>
      </w:r>
      <w:r>
        <w:rPr>
          <w:spacing w:val="-87"/>
        </w:rPr>
        <w:t> </w:t>
      </w:r>
      <w:r>
        <w:rPr>
          <w:spacing w:val="-87"/>
        </w:rPr>
      </w:r>
      <w:r>
        <w:rPr/>
        <w:t>公司账面资产主要为货币资金及往来款，无增值空间与减值损失。</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985"/>
        <w:jc w:val="left"/>
      </w:pPr>
      <w:r>
        <w:rPr/>
        <w:t>企业合并中承担的被购买方的或有负债：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85" w:lineRule="auto" w:before="0"/>
        <w:ind w:left="158" w:right="985"/>
        <w:jc w:val="left"/>
        <w:rPr>
          <w:sz w:val="20"/>
          <w:szCs w:val="20"/>
        </w:rPr>
      </w:pPr>
      <w:r>
        <w:rPr>
          <w:spacing w:val="-2"/>
        </w:rPr>
        <w:t>购买日前远光软件（北京）有限公司已持有北京智和管理咨询有限公司</w:t>
      </w:r>
      <w:r>
        <w:rPr>
          <w:rFonts w:ascii="Times New Roman" w:hAnsi="Times New Roman" w:cs="Times New Roman" w:eastAsia="Times New Roman" w:hint="default"/>
          <w:spacing w:val="-2"/>
        </w:rPr>
        <w:t>36%</w:t>
      </w:r>
      <w:r>
        <w:rPr>
          <w:spacing w:val="-2"/>
        </w:rPr>
        <w:t>股权，此部分股权于购买日对应的股东权益金额</w:t>
      </w:r>
      <w:r>
        <w:rPr>
          <w:spacing w:val="-40"/>
        </w:rPr>
        <w:t> </w:t>
      </w:r>
      <w:r>
        <w:rPr>
          <w:spacing w:val="-40"/>
        </w:rPr>
      </w:r>
      <w:r>
        <w:rPr/>
        <w:t>为</w:t>
      </w:r>
      <w:r>
        <w:rPr>
          <w:rFonts w:ascii="Times New Roman" w:hAnsi="Times New Roman" w:cs="Times New Roman" w:eastAsia="Times New Roman" w:hint="default"/>
          <w:sz w:val="20"/>
          <w:szCs w:val="20"/>
        </w:rPr>
        <w:t>2,861,528.03</w:t>
      </w:r>
      <w:r>
        <w:rPr>
          <w:sz w:val="20"/>
          <w:szCs w:val="20"/>
        </w:rPr>
        <w:t>元。</w:t>
      </w:r>
    </w:p>
    <w:p>
      <w:pPr>
        <w:spacing w:line="240" w:lineRule="auto" w:before="1"/>
        <w:rPr>
          <w:rFonts w:ascii="宋体" w:hAnsi="宋体" w:cs="宋体" w:eastAsia="宋体" w:hint="default"/>
          <w:sz w:val="23"/>
          <w:szCs w:val="23"/>
        </w:rPr>
      </w:pPr>
    </w:p>
    <w:p>
      <w:pPr>
        <w:pStyle w:val="BodyText"/>
        <w:spacing w:line="240" w:lineRule="auto" w:before="0"/>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购买日之前持有的股权按照公允价值重新计量产生的利得或损失" w:id="408"/>
      <w:bookmarkEnd w:id="40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left="154" w:right="-20"/>
        <w:jc w:val="left"/>
      </w:pPr>
      <w:r>
        <w:rPr/>
        <w:t>是否存在通过多次交易分步实现企业合并且在报告期内取得控制权的交易</w:t>
      </w:r>
    </w:p>
    <w:p>
      <w:pPr>
        <w:pStyle w:val="BodyText"/>
        <w:spacing w:line="240" w:lineRule="auto" w:before="116"/>
        <w:ind w:left="15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4"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67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购买日之前原持有 股权在购买日的账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2"/>
              <w:jc w:val="left"/>
              <w:rPr>
                <w:rFonts w:ascii="宋体" w:hAnsi="宋体" w:cs="宋体" w:eastAsia="宋体" w:hint="default"/>
                <w:sz w:val="18"/>
                <w:szCs w:val="18"/>
              </w:rPr>
            </w:pPr>
            <w:r>
              <w:rPr>
                <w:rFonts w:ascii="宋体" w:hAnsi="宋体" w:cs="宋体" w:eastAsia="宋体" w:hint="default"/>
                <w:sz w:val="18"/>
                <w:szCs w:val="18"/>
              </w:rPr>
              <w:t>购买日之前原持有 股权在购买日的公</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left"/>
              <w:rPr>
                <w:rFonts w:ascii="宋体" w:hAnsi="宋体" w:cs="宋体" w:eastAsia="宋体" w:hint="default"/>
                <w:sz w:val="18"/>
                <w:szCs w:val="18"/>
              </w:rPr>
            </w:pPr>
            <w:r>
              <w:rPr>
                <w:rFonts w:ascii="宋体" w:hAnsi="宋体" w:cs="宋体" w:eastAsia="宋体" w:hint="default"/>
                <w:sz w:val="18"/>
                <w:szCs w:val="18"/>
              </w:rPr>
              <w:t>购买日之前原持有 股权按照公允价值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left"/>
              <w:rPr>
                <w:rFonts w:ascii="宋体" w:hAnsi="宋体" w:cs="宋体" w:eastAsia="宋体" w:hint="default"/>
                <w:sz w:val="18"/>
                <w:szCs w:val="18"/>
              </w:rPr>
            </w:pPr>
            <w:r>
              <w:rPr>
                <w:rFonts w:ascii="宋体" w:hAnsi="宋体" w:cs="宋体" w:eastAsia="宋体" w:hint="default"/>
                <w:sz w:val="18"/>
                <w:szCs w:val="18"/>
              </w:rPr>
              <w:t>购买日之前原持有 股权在购买日的公</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left"/>
              <w:rPr>
                <w:rFonts w:ascii="宋体" w:hAnsi="宋体" w:cs="宋体" w:eastAsia="宋体" w:hint="default"/>
                <w:sz w:val="18"/>
                <w:szCs w:val="18"/>
              </w:rPr>
            </w:pPr>
            <w:r>
              <w:rPr>
                <w:rFonts w:ascii="宋体" w:hAnsi="宋体" w:cs="宋体" w:eastAsia="宋体" w:hint="default"/>
                <w:sz w:val="18"/>
                <w:szCs w:val="18"/>
              </w:rPr>
              <w:t>购买日之前与原持 有股权相关的其他</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67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9"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2" w:right="0"/>
              <w:jc w:val="left"/>
              <w:rPr>
                <w:rFonts w:ascii="宋体" w:hAnsi="宋体" w:cs="宋体" w:eastAsia="宋体" w:hint="default"/>
                <w:sz w:val="18"/>
                <w:szCs w:val="18"/>
              </w:rPr>
            </w:pPr>
            <w:r>
              <w:rPr>
                <w:rFonts w:ascii="宋体" w:hAnsi="宋体" w:cs="宋体" w:eastAsia="宋体" w:hint="default"/>
                <w:sz w:val="18"/>
                <w:szCs w:val="18"/>
              </w:rPr>
              <w:t>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31" w:right="72" w:hanging="360"/>
              <w:jc w:val="left"/>
              <w:rPr>
                <w:rFonts w:ascii="宋体" w:hAnsi="宋体" w:cs="宋体" w:eastAsia="宋体" w:hint="default"/>
                <w:sz w:val="18"/>
                <w:szCs w:val="18"/>
              </w:rPr>
            </w:pPr>
            <w:r>
              <w:rPr>
                <w:rFonts w:ascii="宋体" w:hAnsi="宋体" w:cs="宋体" w:eastAsia="宋体" w:hint="default"/>
                <w:sz w:val="18"/>
                <w:szCs w:val="18"/>
              </w:rPr>
              <w:t>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1" w:right="72" w:hanging="270"/>
              <w:jc w:val="left"/>
              <w:rPr>
                <w:rFonts w:ascii="宋体" w:hAnsi="宋体" w:cs="宋体" w:eastAsia="宋体" w:hint="default"/>
                <w:sz w:val="18"/>
                <w:szCs w:val="18"/>
              </w:rPr>
            </w:pPr>
            <w:r>
              <w:rPr>
                <w:rFonts w:ascii="宋体" w:hAnsi="宋体" w:cs="宋体" w:eastAsia="宋体" w:hint="default"/>
                <w:sz w:val="18"/>
                <w:szCs w:val="18"/>
              </w:rPr>
              <w:t>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1" w:right="72" w:hanging="270"/>
              <w:jc w:val="left"/>
              <w:rPr>
                <w:rFonts w:ascii="宋体" w:hAnsi="宋体" w:cs="宋体" w:eastAsia="宋体" w:hint="default"/>
                <w:sz w:val="18"/>
                <w:szCs w:val="18"/>
              </w:rPr>
            </w:pPr>
            <w:r>
              <w:rPr>
                <w:rFonts w:ascii="宋体" w:hAnsi="宋体" w:cs="宋体" w:eastAsia="宋体" w:hint="default"/>
                <w:sz w:val="18"/>
                <w:szCs w:val="18"/>
              </w:rPr>
              <w:t>综合收益转入投资 收益的金额</w:t>
            </w: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许勇</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1,032,469.36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1,032,469.36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购买日或合并当期期末无法合理确定合并对价或被购买方可辨认资产、负债公允价值" w:id="409"/>
      <w:bookmarkEnd w:id="40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6）其他说明" w:id="410"/>
      <w:bookmarkEnd w:id="41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left="158" w:right="1118"/>
        <w:jc w:val="left"/>
      </w:pPr>
      <w:r>
        <w:rPr/>
        <w:t>杭州昊美科技有限公司及其下属</w:t>
      </w:r>
      <w:r>
        <w:rPr>
          <w:rFonts w:ascii="Times New Roman" w:hAnsi="Times New Roman" w:cs="Times New Roman" w:eastAsia="Times New Roman" w:hint="default"/>
        </w:rPr>
        <w:t>3</w:t>
      </w:r>
      <w:r>
        <w:rPr/>
        <w:t>家全资子公司（杭州昊美电力工程有限公司、杭州迈测信息工程有限公司、杭州微能智能 科技有限公司）组成一个合并会计主体纳入本次合并报表范围。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4"/>
        <w:spacing w:line="240" w:lineRule="auto"/>
        <w:ind w:left="154" w:right="985"/>
        <w:jc w:val="left"/>
        <w:rPr>
          <w:b w:val="0"/>
          <w:bCs w:val="0"/>
        </w:rPr>
      </w:pPr>
      <w:bookmarkStart w:name="2、同一控制下企业合并" w:id="411"/>
      <w:bookmarkEnd w:id="41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本期发生的同一控制下企业合并" w:id="412"/>
      <w:bookmarkEnd w:id="41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合并成本" w:id="413"/>
      <w:bookmarkEnd w:id="41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left="154" w:right="8592"/>
        <w:jc w:val="left"/>
      </w:pPr>
      <w:r>
        <w:rPr/>
        <w:t>或有对价及其变动的说明： 其他说明：</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3）合并日被合并方资产、负债的账面价值" w:id="414"/>
      <w:bookmarkEnd w:id="41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4" w:right="7512"/>
        <w:jc w:val="left"/>
      </w:pPr>
      <w:r>
        <w:rPr/>
        <w:t>企业合并中承担的被合并方的或有负债：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985"/>
        <w:jc w:val="left"/>
        <w:rPr>
          <w:b w:val="0"/>
          <w:bCs w:val="0"/>
        </w:rPr>
      </w:pPr>
      <w:bookmarkStart w:name="3、反向购买" w:id="415"/>
      <w:bookmarkEnd w:id="41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985"/>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985"/>
        <w:jc w:val="left"/>
        <w:rPr>
          <w:b w:val="0"/>
          <w:bCs w:val="0"/>
        </w:rPr>
      </w:pPr>
      <w:bookmarkStart w:name="4、处置子公司" w:id="416"/>
      <w:bookmarkEnd w:id="41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5、其他原因的合并范围变动" w:id="417"/>
      <w:bookmarkEnd w:id="41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6、其他" w:id="418"/>
      <w:bookmarkEnd w:id="41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9"/>
      <w:bookmarkEnd w:id="41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0"/>
      <w:bookmarkEnd w:id="42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985"/>
        <w:jc w:val="left"/>
        <w:rPr>
          <w:b w:val="0"/>
          <w:bCs w:val="0"/>
        </w:rPr>
      </w:pPr>
      <w:bookmarkStart w:name="（1）企业集团的构成" w:id="421"/>
      <w:bookmarkEnd w:id="42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远光资本管理</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（横琴）有限公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远光智和卓源</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计算机技术推广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远光软件（北京</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南京远光广安信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长沙远光瑞翔科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远光软件（武汉</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武汉</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珠海远光移动互 联科技有限公司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互联网接入及相 关服务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珠海远光软件产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珠海高远电能科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购、售电，软件 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远光能源互联网 </w:t>
            </w:r>
            <w:r>
              <w:rPr>
                <w:rFonts w:ascii="宋体" w:hAnsi="宋体" w:cs="宋体" w:eastAsia="宋体" w:hint="default"/>
                <w:spacing w:val="-9"/>
                <w:sz w:val="18"/>
                <w:szCs w:val="18"/>
              </w:rPr>
              <w:t>产业发展（横琴）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415"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6.7pt;height:20.8pt;mso-position-horizontal-relative:char;mso-position-vertical-relative:line" coordorigin="0,0" coordsize="1334,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1311;height:393" coordorigin="23,11" coordsize="1311,393">
                    <v:shape style="position:absolute;left:23;top:11;width:1311;height:393" coordorigin="23,11" coordsize="1311,393" path="m23,404l1333,404,1333,11,23,11,23,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3"/>
              <w:ind w:right="0"/>
              <w:jc w:val="left"/>
              <w:rPr>
                <w:rFonts w:ascii="宋体" w:hAnsi="宋体" w:cs="宋体" w:eastAsia="宋体" w:hint="default"/>
                <w:b/>
                <w:bCs/>
                <w:sz w:val="22"/>
                <w:szCs w:val="22"/>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远光信息技术</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（澳门）有限公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软件开发及相关 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北京智和管理咨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企业管理咨询、 经济贸易咨询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杭州昊美科技有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杭州昊美电力工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杭州迈测信息工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杭州微能智能科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left="154" w:right="985"/>
        <w:jc w:val="left"/>
        <w:rPr>
          <w:b w:val="0"/>
          <w:bCs w:val="0"/>
        </w:rPr>
      </w:pPr>
      <w:bookmarkStart w:name="（2）重要的非全资子公司" w:id="422"/>
      <w:bookmarkEnd w:id="42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有限公司及其子公司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-8,521,335.50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11,145,569.55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南京远光广安信息科技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-3,478,122.13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12,509,196.54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长沙远光瑞翔科技有限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3,381,365.06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20,901,069.98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杭州昊美科技有限公司 及其子公司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2,781,561.13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29,799,336.20</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985"/>
        <w:jc w:val="left"/>
        <w:rPr>
          <w:b w:val="0"/>
          <w:bCs w:val="0"/>
        </w:rPr>
      </w:pPr>
      <w:bookmarkStart w:name="（3）重要非全资子公司的主要财务信息" w:id="423"/>
      <w:bookmarkEnd w:id="42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远光共 创智能 科技股 份有限 公司及 其子公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251,461,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276.53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1,469,78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252,931,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061.30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228,719,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049.45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228,719,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049.45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314,165,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751.55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3,470,07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317,635,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824.63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269,480,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461.62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269,480,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461.62</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南京远 光广安 信息科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40,933,2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46.22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7,735,98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48,669,2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11,141,7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90.28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11,141,7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47,113,8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5,215,41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52,329,3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4,366,45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4,366,45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长沙远 光瑞翔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71,674,1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24.63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10,920,0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82,594,2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12,220,2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56.36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12,923,9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60,833,1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11,510,1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72,343,2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13,193,5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84.40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13,944,2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68.78</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杭州昊 美科技 有限公 司及其 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112,885,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990.92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29,832,6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142,718,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612.09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38,414,5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44.29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2,564,08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40,978,6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115,407,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390.65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20,621,4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136,028,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817.80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41,195,4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29.40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2,862,12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44,057,5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54.56</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98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96,307,041.8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-23,943,351.1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-23,943,351.1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2" w:right="0"/>
              <w:jc w:val="left"/>
              <w:rPr>
                <w:rFonts w:ascii="Times New Roman" w:hAnsi="Times New Roman" w:cs="Times New Roman" w:eastAsia="Times New Roman" w:hint="default"/>
                <w:sz w:val="18"/>
                <w:szCs w:val="18"/>
              </w:rPr>
            </w:pPr>
            <w:r>
              <w:rPr>
                <w:rFonts w:ascii="Times New Roman"/>
                <w:sz w:val="18"/>
              </w:rPr>
              <w:t>-559,324.22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242,446,961.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13,695,054.9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13,695,054.9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-65,598,838.4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南京远光广 安信息科技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37,215,639.7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-10,435,409.9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-10,435,409.9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-2,467,071.84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43,370,790.8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9,301,064.17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9,301,064.17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-1,945,962.71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长沙远光瑞 翔科技有限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45,651,377.2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11,271,216.8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11,271,216.8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1,520,890.29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37,135,606.5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12,268,608.8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12,268,608.8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-1,343,665.38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杭州昊美科 技有限公司 及其子公司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40,448,424.3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9,496,721.12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9,496,721.12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26,784,097.9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使用企业集团资产和清偿企业集团债务的重大限制" w:id="424"/>
      <w:bookmarkEnd w:id="42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5）向纳入合并财务报表范围的结构化主体提供的财务支持或其他支持" w:id="425"/>
      <w:bookmarkEnd w:id="42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在子公司的所有者权益份额发生变化且仍控制子公司的交易" w:id="426"/>
      <w:bookmarkEnd w:id="42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在子公司所有者权益份额发生变化的情况说明" w:id="427"/>
      <w:bookmarkEnd w:id="42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right="1009" w:firstLine="480"/>
        <w:jc w:val="left"/>
      </w:pPr>
      <w:r>
        <w:rPr/>
        <w:t>①</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月子公司远光软件（北京）有限公司将其持有孙公司北京智和管理咨询有限公 </w:t>
      </w:r>
      <w:r>
        <w:rPr>
          <w:spacing w:val="-4"/>
        </w:rPr>
        <w:t>司</w:t>
      </w:r>
      <w:r>
        <w:rPr>
          <w:rFonts w:ascii="Times New Roman" w:hAnsi="Times New Roman" w:cs="Times New Roman" w:eastAsia="Times New Roman" w:hint="default"/>
          <w:spacing w:val="-4"/>
        </w:rPr>
        <w:t>16%</w:t>
      </w:r>
      <w:r>
        <w:rPr>
          <w:spacing w:val="-4"/>
        </w:rPr>
        <w:t>的股权出售给少数股东许勇，处置对价为</w:t>
      </w:r>
      <w:r>
        <w:rPr>
          <w:rFonts w:ascii="Times New Roman" w:hAnsi="Times New Roman" w:cs="Times New Roman" w:eastAsia="Times New Roman" w:hint="default"/>
          <w:spacing w:val="-4"/>
        </w:rPr>
        <w:t>100</w:t>
      </w:r>
      <w:r>
        <w:rPr>
          <w:spacing w:val="-4"/>
        </w:rPr>
        <w:t>万元，处置后全资子公司远光软件（北京）</w:t>
      </w:r>
      <w:r>
        <w:rPr>
          <w:spacing w:val="-106"/>
        </w:rPr>
        <w:t> </w:t>
      </w:r>
      <w:r>
        <w:rPr>
          <w:spacing w:val="-106"/>
        </w:rPr>
      </w:r>
      <w:r>
        <w:rPr/>
        <w:t>有限公司持有其股份</w:t>
      </w:r>
      <w:r>
        <w:rPr>
          <w:rFonts w:ascii="Times New Roman" w:hAnsi="Times New Roman" w:cs="Times New Roman" w:eastAsia="Times New Roman" w:hint="default"/>
        </w:rPr>
        <w:t>52%</w:t>
      </w:r>
      <w:r>
        <w:rPr/>
        <w:t>，公司合并报表范围不变。</w:t>
      </w:r>
    </w:p>
    <w:p>
      <w:pPr>
        <w:pStyle w:val="Heading3"/>
        <w:spacing w:line="291" w:lineRule="exact"/>
        <w:ind w:left="633" w:right="985"/>
        <w:jc w:val="left"/>
      </w:pPr>
      <w:r>
        <w:rPr>
          <w:spacing w:val="4"/>
        </w:rPr>
        <w:t>②子公司远光共创智能科技股份有限公司增资</w:t>
      </w:r>
      <w:r>
        <w:rPr>
          <w:rFonts w:ascii="Times New Roman" w:hAnsi="Times New Roman" w:cs="Times New Roman" w:eastAsia="Times New Roman" w:hint="default"/>
          <w:spacing w:val="4"/>
        </w:rPr>
        <w:t>4,419</w:t>
      </w:r>
      <w:r>
        <w:rPr>
          <w:spacing w:val="4"/>
        </w:rPr>
        <w:t>万元，分别由子公司远光资本管理</w:t>
      </w:r>
    </w:p>
    <w:p>
      <w:pPr>
        <w:pStyle w:val="Heading3"/>
        <w:spacing w:line="312" w:lineRule="exact"/>
        <w:ind w:left="154" w:right="0"/>
        <w:jc w:val="left"/>
      </w:pPr>
      <w:r>
        <w:rPr/>
        <w:t>（横琴</w:t>
      </w:r>
      <w:r>
        <w:rPr>
          <w:spacing w:val="-114"/>
        </w:rPr>
        <w:t>）</w:t>
      </w:r>
      <w:r>
        <w:rPr/>
        <w:t>有限公司及少数股东王辉以其持有孙公司远光智和卓</w:t>
      </w:r>
      <w:r>
        <w:rPr>
          <w:spacing w:val="-114"/>
        </w:rPr>
        <w:t>源</w:t>
      </w:r>
      <w:r>
        <w:rPr/>
        <w:t>（北京</w:t>
      </w:r>
      <w:r>
        <w:rPr>
          <w:spacing w:val="-114"/>
        </w:rPr>
        <w:t>）</w:t>
      </w:r>
      <w:r>
        <w:rPr/>
        <w:t>科技有限公</w:t>
      </w:r>
      <w:r>
        <w:rPr>
          <w:spacing w:val="1"/>
        </w:rPr>
        <w:t>司</w:t>
      </w:r>
      <w:r>
        <w:rPr>
          <w:rFonts w:ascii="Times New Roman" w:hAnsi="Times New Roman" w:cs="Times New Roman" w:eastAsia="Times New Roman" w:hint="default"/>
        </w:rPr>
        <w:t>66.67%</w:t>
      </w:r>
      <w:r>
        <w:rPr/>
        <w:t>、</w:t>
      </w:r>
    </w:p>
    <w:p>
      <w:pPr>
        <w:pStyle w:val="Heading3"/>
        <w:spacing w:line="312" w:lineRule="exact"/>
        <w:ind w:left="154" w:right="985"/>
        <w:jc w:val="left"/>
      </w:pPr>
      <w:r>
        <w:rPr>
          <w:rFonts w:ascii="Times New Roman" w:hAnsi="Times New Roman" w:cs="Times New Roman" w:eastAsia="Times New Roman" w:hint="default"/>
        </w:rPr>
        <w:t>33.33%</w:t>
      </w:r>
      <w:r>
        <w:rPr/>
        <w:t>股权认购，本次股权整合完成后，子公司远光共创智能科技股份有限公司注册资本由</w:t>
      </w:r>
    </w:p>
    <w:p>
      <w:pPr>
        <w:pStyle w:val="Heading3"/>
        <w:spacing w:line="312" w:lineRule="exact" w:before="20"/>
        <w:ind w:left="154" w:right="1124"/>
        <w:jc w:val="left"/>
      </w:pPr>
      <w:r>
        <w:rPr>
          <w:rFonts w:ascii="Times New Roman" w:hAnsi="Times New Roman" w:cs="Times New Roman" w:eastAsia="Times New Roman" w:hint="default"/>
          <w:spacing w:val="-2"/>
        </w:rPr>
        <w:t>5,500</w:t>
      </w:r>
      <w:r>
        <w:rPr>
          <w:spacing w:val="-2"/>
        </w:rPr>
        <w:t>万元增加至</w:t>
      </w:r>
      <w:r>
        <w:rPr>
          <w:rFonts w:ascii="Times New Roman" w:hAnsi="Times New Roman" w:cs="Times New Roman" w:eastAsia="Times New Roman" w:hint="default"/>
          <w:spacing w:val="-2"/>
        </w:rPr>
        <w:t>9,919</w:t>
      </w:r>
      <w:r>
        <w:rPr>
          <w:spacing w:val="-2"/>
        </w:rPr>
        <w:t>万元，增资后公司及全资子公司远光资本管理（横琴）有限公司合计持</w:t>
      </w:r>
      <w:r>
        <w:rPr>
          <w:spacing w:val="-112"/>
        </w:rPr>
        <w:t> </w:t>
      </w:r>
      <w:r>
        <w:rPr>
          <w:spacing w:val="-112"/>
        </w:rPr>
      </w:r>
      <w:r>
        <w:rPr/>
        <w:t>股比例为</w:t>
      </w:r>
      <w:r>
        <w:rPr>
          <w:rFonts w:ascii="Times New Roman" w:hAnsi="Times New Roman" w:cs="Times New Roman" w:eastAsia="Times New Roman" w:hint="default"/>
        </w:rPr>
        <w:t>57.98%</w:t>
      </w:r>
      <w:r>
        <w:rPr/>
        <w:t>。</w:t>
      </w:r>
      <w:r>
        <w:rPr>
          <w:spacing w:val="-24"/>
        </w:rPr>
        <w:t> </w:t>
      </w:r>
      <w:r>
        <w:rPr/>
        <w:t>远光智和卓源变更为远光共创的全资子公司，公司合并报表范围不变。</w:t>
      </w:r>
    </w:p>
    <w:p>
      <w:pPr>
        <w:pStyle w:val="Heading3"/>
        <w:spacing w:line="312" w:lineRule="exact"/>
        <w:ind w:left="154" w:right="1136" w:firstLine="288"/>
        <w:jc w:val="both"/>
      </w:pPr>
      <w:r>
        <w:rPr>
          <w:spacing w:val="2"/>
        </w:rPr>
        <w:t>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月子公司远光资本管理（横琴）有限公司增持珠海高远电能科技有限公司少数</w:t>
      </w:r>
      <w:r>
        <w:rPr/>
        <w:t> 股东转让的</w:t>
      </w:r>
      <w:r>
        <w:rPr>
          <w:rFonts w:ascii="Times New Roman" w:hAnsi="Times New Roman" w:cs="Times New Roman" w:eastAsia="Times New Roman" w:hint="default"/>
        </w:rPr>
        <w:t>3%</w:t>
      </w:r>
      <w:r>
        <w:rPr/>
        <w:t>股份，收购价为</w:t>
      </w:r>
      <w:r>
        <w:rPr>
          <w:rFonts w:ascii="Times New Roman" w:hAnsi="Times New Roman" w:cs="Times New Roman" w:eastAsia="Times New Roman" w:hint="default"/>
        </w:rPr>
        <w:t>150</w:t>
      </w:r>
      <w:r>
        <w:rPr/>
        <w:t>万元，增持后公司及全资子公司远光资本管理（横琴）有</w:t>
      </w:r>
      <w:r>
        <w:rPr>
          <w:spacing w:val="-63"/>
        </w:rPr>
        <w:t> </w:t>
      </w:r>
      <w:r>
        <w:rPr>
          <w:spacing w:val="-63"/>
        </w:rPr>
      </w:r>
      <w:r>
        <w:rPr/>
        <w:t>限公司合计持股比例为</w:t>
      </w:r>
      <w:r>
        <w:rPr>
          <w:rFonts w:ascii="Times New Roman" w:hAnsi="Times New Roman" w:cs="Times New Roman" w:eastAsia="Times New Roman" w:hint="default"/>
        </w:rPr>
        <w:t>63%</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left="154" w:right="985"/>
        <w:jc w:val="left"/>
        <w:rPr>
          <w:b w:val="0"/>
          <w:bCs w:val="0"/>
        </w:rPr>
      </w:pPr>
      <w:bookmarkStart w:name="（2）交易对于少数股东权益及归属于母公司所有者权益的影响" w:id="428"/>
      <w:bookmarkEnd w:id="42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771" w:right="51" w:hanging="720"/>
              <w:jc w:val="left"/>
              <w:rPr>
                <w:rFonts w:ascii="宋体" w:hAnsi="宋体" w:cs="宋体" w:eastAsia="宋体" w:hint="default"/>
                <w:sz w:val="18"/>
                <w:szCs w:val="18"/>
              </w:rPr>
            </w:pPr>
            <w:r>
              <w:rPr>
                <w:rFonts w:ascii="宋体" w:hAnsi="宋体" w:cs="宋体" w:eastAsia="宋体" w:hint="default"/>
                <w:sz w:val="18"/>
                <w:szCs w:val="18"/>
              </w:rPr>
              <w:t>北京智和管理咨询有限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远光智和卓源（北京） 科技有限公司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珠海高远电能科技有限 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 比例计算的子公司净资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623,191.36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3,422,824.99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-1,020,238.96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1,473,018.35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376,808.64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-3,422,824.99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1,020,238.96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26,981.65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376,808.64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-3,422,824.99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1,020,238.96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-26,981.65</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在合营安排或联营企业中的权益" w:id="429"/>
      <w:bookmarkEnd w:id="42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重要的合营企业或联营企业" w:id="430"/>
      <w:bookmarkEnd w:id="43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985"/>
        <w:jc w:val="left"/>
      </w:pPr>
      <w:r>
        <w:rPr/>
        <w:t>在合营企业或联营企业的持股比例不同于表决权比例的说明：</w:t>
      </w:r>
    </w:p>
    <w:p>
      <w:pPr>
        <w:pStyle w:val="BodyText"/>
        <w:spacing w:line="240" w:lineRule="auto" w:before="117"/>
        <w:ind w:left="154" w:right="985"/>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54" w:right="985"/>
        <w:jc w:val="left"/>
        <w:rPr>
          <w:b w:val="0"/>
          <w:bCs w:val="0"/>
        </w:rPr>
      </w:pPr>
      <w:bookmarkStart w:name="（2）重要合营企业的主要财务信息" w:id="431"/>
      <w:bookmarkEnd w:id="43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重要联营企业的主要财务信息" w:id="432"/>
      <w:bookmarkEnd w:id="43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不重要的合营企业和联营企业的汇总财务信息" w:id="433"/>
      <w:bookmarkEnd w:id="43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34,087,294.89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34,503,760.86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984,940.27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1,228,105.55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984,940.27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1,228,105.55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合营企业或联营企业向本公司转移资金的能力存在重大限制的说明" w:id="434"/>
      <w:bookmarkEnd w:id="43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6）合营企业或联营企业发生的超额亏损" w:id="435"/>
      <w:bookmarkEnd w:id="43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与合营企业投资相关的未确认承诺" w:id="436"/>
      <w:bookmarkEnd w:id="43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8）与合营企业或联营企业投资相关的或有负债" w:id="437"/>
      <w:bookmarkEnd w:id="43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重要的共同经营" w:id="438"/>
      <w:bookmarkEnd w:id="43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在未纳入合并财务报表范围的结构化主体中的权益" w:id="439"/>
      <w:bookmarkEnd w:id="43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6、其他" w:id="440"/>
      <w:bookmarkEnd w:id="44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985"/>
        <w:jc w:val="left"/>
        <w:rPr>
          <w:b w:val="0"/>
          <w:bCs w:val="0"/>
        </w:rPr>
      </w:pPr>
      <w:bookmarkStart w:name="十、与金融工具相关的风险" w:id="441"/>
      <w:bookmarkEnd w:id="441"/>
      <w:r>
        <w:rPr>
          <w:b w:val="0"/>
          <w:bCs w:val="0"/>
        </w:rPr>
      </w:r>
      <w:r>
        <w:rPr/>
        <w:t>十、与金融工具相关的风险</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left="633" w:right="985" w:firstLine="2"/>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 本公司的信用风险主要与应收款项有关。本公司仅与经认可的、信誉良好的第三方进行</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985"/>
        <w:jc w:val="left"/>
      </w:pPr>
      <w:r>
        <w:rPr>
          <w:spacing w:val="-3"/>
        </w:rPr>
        <w:t>交易。按照本公司的政策，需对所有要求采用信用方式进行交易的客户进行信用审核。另外，</w:t>
      </w:r>
      <w:r>
        <w:rPr>
          <w:spacing w:val="-81"/>
        </w:rPr>
        <w:t> </w:t>
      </w:r>
      <w:r>
        <w:rPr>
          <w:spacing w:val="-81"/>
        </w:rPr>
      </w:r>
      <w:r>
        <w:rPr/>
        <w:t>本公司对应收账款余额进行持续监控，以确保本公司不致面临重大坏账风险。</w:t>
      </w:r>
    </w:p>
    <w:p>
      <w:pPr>
        <w:pStyle w:val="Heading3"/>
        <w:spacing w:line="312" w:lineRule="exact"/>
        <w:ind w:left="633" w:right="985" w:firstLine="2"/>
        <w:jc w:val="left"/>
      </w:pPr>
      <w:r>
        <w:rPr>
          <w:rFonts w:ascii="Times New Roman" w:hAnsi="Times New Roman" w:cs="Times New Roman" w:eastAsia="Times New Roman" w:hint="default"/>
          <w:b/>
          <w:bCs/>
        </w:rPr>
        <w:t>2</w:t>
      </w:r>
      <w:r>
        <w:rPr>
          <w:rFonts w:ascii="宋体" w:hAnsi="宋体" w:cs="宋体" w:eastAsia="宋体" w:hint="default"/>
          <w:b/>
          <w:bCs/>
        </w:rPr>
        <w:t>、流动风险</w:t>
      </w:r>
      <w:r>
        <w:rPr>
          <w:rFonts w:ascii="宋体" w:hAnsi="宋体" w:cs="宋体" w:eastAsia="宋体" w:hint="default"/>
          <w:b/>
          <w:bCs/>
          <w:w w:val="99"/>
        </w:rPr>
        <w:t> </w:t>
      </w:r>
      <w:r>
        <w:rPr/>
        <w:t>流动风险，是指企业在履行以交付现金或其他金融资产的方式结算的义务时发生资金短</w:t>
      </w:r>
    </w:p>
    <w:p>
      <w:pPr>
        <w:pStyle w:val="Heading3"/>
        <w:spacing w:line="312" w:lineRule="exact"/>
        <w:ind w:right="1129"/>
        <w:jc w:val="both"/>
      </w:pPr>
      <w:r>
        <w:rPr/>
        <w:t>缺的风险。本公司的政策是确保拥有充足的现金以偿还到期债务。流动性风险由本公司的财 务部门集中控制。财务部门通过监控现金余额、可随时变现的有价证券以及对未来</w:t>
      </w:r>
      <w:r>
        <w:rPr>
          <w:rFonts w:ascii="Times New Roman" w:hAnsi="Times New Roman" w:cs="Times New Roman" w:eastAsia="Times New Roman" w:hint="default"/>
        </w:rPr>
        <w:t>12</w:t>
      </w:r>
      <w:r>
        <w:rPr/>
        <w:t>个月现</w:t>
      </w:r>
      <w:r>
        <w:rPr>
          <w:spacing w:val="-108"/>
        </w:rPr>
        <w:t> </w:t>
      </w:r>
      <w:r>
        <w:rPr/>
        <w:t>金流量的滚动预测，确保公司在所有合理预测的情况下拥有充足的资金偿还债务。</w:t>
      </w:r>
    </w:p>
    <w:p>
      <w:pPr>
        <w:pStyle w:val="Heading3"/>
        <w:spacing w:line="312" w:lineRule="exact"/>
        <w:ind w:right="985" w:firstLine="48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日，本公司资产负债率</w:t>
      </w:r>
      <w:r>
        <w:rPr>
          <w:rFonts w:ascii="Times New Roman" w:hAnsi="Times New Roman" w:cs="Times New Roman" w:eastAsia="Times New Roman" w:hint="default"/>
        </w:rPr>
        <w:t>16.02%</w:t>
      </w:r>
      <w:r>
        <w:rPr/>
        <w:t>，流动比率为</w:t>
      </w:r>
      <w:r>
        <w:rPr>
          <w:rFonts w:ascii="Times New Roman" w:hAnsi="Times New Roman" w:cs="Times New Roman" w:eastAsia="Times New Roman" w:hint="default"/>
        </w:rPr>
        <w:t>5.39</w:t>
      </w:r>
      <w:r>
        <w:rPr/>
        <w:t>，有充足的资金偿还</w:t>
      </w:r>
      <w:r>
        <w:rPr>
          <w:spacing w:val="2"/>
        </w:rPr>
        <w:t> </w:t>
      </w:r>
      <w:r>
        <w:rPr/>
        <w:t>债务，不存在重大流动性风险。</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一、公允价值的披露" w:id="442"/>
      <w:bookmarkEnd w:id="44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以公允价值计量的资产和负债的期末公允价值" w:id="443"/>
      <w:bookmarkEnd w:id="44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持续和非持续第一层次公允价值计量项目市价的确定依据" w:id="444"/>
      <w:bookmarkEnd w:id="44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3、持续和非持续第二层次公允价值计量项目，采用的估值技术和重要参数的定性及定量信" w:id="445"/>
      <w:bookmarkEnd w:id="44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4、持续和非持续第三层次公允价值计量项目，采用的估值技术和重要参数的定性及定量信" w:id="446"/>
      <w:bookmarkEnd w:id="44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5、持续的第三层次公允价值计量项目，期初与期末账面价值间的调节信息及不可观察参数" w:id="447"/>
      <w:bookmarkEnd w:id="44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6、持续的公允价值计量项目，本期内发生各层级之间转换的，转换的原因及确定转换时点" w:id="448"/>
      <w:bookmarkEnd w:id="44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7、本期内发生的估值技术变更及变更原因" w:id="449"/>
      <w:bookmarkEnd w:id="44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8、不以公允价值计量的金融资产和金融负债的公允价值情况" w:id="450"/>
      <w:bookmarkEnd w:id="45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51"/>
      <w:bookmarkEnd w:id="45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2"/>
      <w:bookmarkEnd w:id="45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3"/>
      <w:bookmarkEnd w:id="45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83"/>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2"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2"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bl>
    <w:p>
      <w:pPr>
        <w:pStyle w:val="BodyText"/>
        <w:spacing w:line="360" w:lineRule="auto" w:before="51"/>
        <w:ind w:right="8413"/>
        <w:jc w:val="left"/>
      </w:pPr>
      <w:r>
        <w:rPr/>
        <w:t>本企业的母公司情况的说明 本企业最终控制方是。 其他说明：</w:t>
      </w:r>
    </w:p>
    <w:p>
      <w:pPr>
        <w:spacing w:line="240" w:lineRule="auto" w:before="12"/>
        <w:rPr>
          <w:rFonts w:ascii="宋体" w:hAnsi="宋体" w:cs="宋体" w:eastAsia="宋体" w:hint="default"/>
          <w:sz w:val="19"/>
          <w:szCs w:val="19"/>
        </w:rPr>
      </w:pPr>
    </w:p>
    <w:p>
      <w:pPr>
        <w:spacing w:line="547" w:lineRule="auto" w:before="0"/>
        <w:ind w:left="153" w:right="6298" w:firstLine="0"/>
        <w:jc w:val="left"/>
        <w:rPr>
          <w:rFonts w:ascii="宋体" w:hAnsi="宋体" w:cs="宋体" w:eastAsia="宋体" w:hint="default"/>
          <w:sz w:val="21"/>
          <w:szCs w:val="21"/>
        </w:rPr>
      </w:pPr>
      <w:bookmarkStart w:name="2、本企业的子公司情况" w:id="454"/>
      <w:bookmarkEnd w:id="4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55"/>
      <w:bookmarkEnd w:id="45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北京融和晟源售电有限公司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bl>
    <w:p>
      <w:pPr>
        <w:pStyle w:val="BodyText"/>
        <w:spacing w:line="240" w:lineRule="auto" w:before="68"/>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其他关联方情况" w:id="456"/>
      <w:bookmarkEnd w:id="45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实质控制人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6.24%</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海南华凯置业有限公司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公司投资企业子公司</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关联交易情况" w:id="457"/>
      <w:bookmarkEnd w:id="45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购销商品、提供和接受劳务的关联交易" w:id="458"/>
      <w:bookmarkEnd w:id="45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98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海南华凯置业有限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20,510,515.00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北京智和管理咨询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1,295,140.61</w:t>
            </w:r>
          </w:p>
        </w:tc>
      </w:tr>
    </w:tbl>
    <w:p>
      <w:pPr>
        <w:pStyle w:val="BodyText"/>
        <w:spacing w:line="240" w:lineRule="auto" w:before="51"/>
        <w:ind w:left="154" w:right="98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国电电力发展股份有限公司及 其子公司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软件销售及服务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49,785,421.64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58,341,440.88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国网吉林省电力有限公司及其 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8,479,858.49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13,398,396.24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国网福建省电力有限公司及其 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软件销售及服务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17,752,499.86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11,197,069.81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北京融和晟源售电有限公司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522,069.84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25,641.03</w:t>
            </w:r>
          </w:p>
        </w:tc>
      </w:tr>
    </w:tbl>
    <w:p>
      <w:pPr>
        <w:pStyle w:val="BodyText"/>
        <w:spacing w:line="240" w:lineRule="auto" w:before="51"/>
        <w:ind w:left="154" w:right="985"/>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2）关联受托管理/承包及委托管理/出包情况" w:id="459"/>
      <w:bookmarkEnd w:id="45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985"/>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985"/>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4"/>
        <w:spacing w:line="240" w:lineRule="auto"/>
        <w:ind w:left="154" w:right="985"/>
        <w:jc w:val="left"/>
        <w:rPr>
          <w:b w:val="0"/>
          <w:bCs w:val="0"/>
        </w:rPr>
      </w:pPr>
      <w:bookmarkStart w:name="（3）关联租赁情况" w:id="460"/>
      <w:bookmarkEnd w:id="46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985"/>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54" w:right="985"/>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985"/>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left="154" w:right="985"/>
        <w:jc w:val="left"/>
        <w:rPr>
          <w:b w:val="0"/>
          <w:bCs w:val="0"/>
        </w:rPr>
      </w:pPr>
      <w:bookmarkStart w:name="（4）关联担保情况" w:id="461"/>
      <w:bookmarkEnd w:id="46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985"/>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985"/>
        <w:jc w:val="left"/>
      </w:pPr>
      <w:r>
        <w:rPr/>
        <w:t>本公司作为被担保方</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985"/>
        <w:jc w:val="left"/>
      </w:pPr>
      <w:r>
        <w:rPr/>
        <w:t>关联担保情况说明</w:t>
      </w:r>
    </w:p>
    <w:p>
      <w:pPr>
        <w:spacing w:line="240" w:lineRule="auto" w:before="10"/>
        <w:rPr>
          <w:rFonts w:ascii="宋体" w:hAnsi="宋体" w:cs="宋体" w:eastAsia="宋体" w:hint="default"/>
          <w:sz w:val="26"/>
          <w:szCs w:val="26"/>
        </w:rPr>
      </w:pPr>
    </w:p>
    <w:p>
      <w:pPr>
        <w:pStyle w:val="Heading4"/>
        <w:spacing w:line="240" w:lineRule="auto"/>
        <w:ind w:left="154" w:right="985"/>
        <w:jc w:val="left"/>
        <w:rPr>
          <w:b w:val="0"/>
          <w:bCs w:val="0"/>
        </w:rPr>
      </w:pPr>
      <w:bookmarkStart w:name="（5）关联方资金拆借" w:id="462"/>
      <w:bookmarkEnd w:id="46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6）关联方资产转让、债务重组情况" w:id="463"/>
      <w:bookmarkEnd w:id="46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7）关键管理人员报酬" w:id="464"/>
      <w:bookmarkEnd w:id="46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8,154,760.51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6,588,809.00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8）其他关联交易" w:id="465"/>
      <w:bookmarkEnd w:id="46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6、关联方应收应付款项" w:id="466"/>
      <w:bookmarkEnd w:id="46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应收项目" w:id="467"/>
      <w:bookmarkEnd w:id="46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国网福建省电力有 限公司及其子公司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5,405,204.00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295,330.20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1,977,480.00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98,874.00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国电电力发展股份 有限公司及其子公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60,646,543.40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9,197,268.49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70,209,217.57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6,122,607.35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国网吉林省电力有 限公司及其子公司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163,222.50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1,533,090.00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76,654.50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北京融和晟源售电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69,133,997.40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9,660,071.19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73,719,787.57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6,298,135.85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北京智和管理咨询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340,105.36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340,105.36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应付项目" w:id="468"/>
      <w:bookmarkEnd w:id="46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海南华凯置业有限公司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510,515.00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510,515.00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国电电力发展股份有限公司 及其子公司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378,742.07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641,886.07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国网吉林省电力有限公司及 其子公司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北京融和晟源售电有限公司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379,542.07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749,516.07</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7、关联方承诺" w:id="469"/>
      <w:bookmarkEnd w:id="46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70"/>
      <w:bookmarkEnd w:id="47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1"/>
      <w:bookmarkEnd w:id="47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0" w:right="1141"/>
        <w:jc w:val="right"/>
      </w:pPr>
      <w:r>
        <w:rPr/>
        <w:pict>
          <v:shape style="position:absolute;margin-left:56.459999pt;margin-top:-61.148273pt;width:479.2pt;height:132.2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7,349,176.80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43,752,023.04</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7.04</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期合同剩余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8"/>
                            <w:sz w:val="18"/>
                            <w:szCs w:val="18"/>
                          </w:rPr>
                          <w:t>期，期限为个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p>
                      <w:p>
                        <w:pPr>
                          <w:pStyle w:val="TableParagraph"/>
                          <w:tabs>
                            <w:tab w:pos="2947" w:val="left" w:leader="none"/>
                          </w:tabs>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tab/>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期，期限为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pStyle w:val="BodyText"/>
        <w:spacing w:line="240" w:lineRule="auto" w:before="76"/>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以权益结算的股份支付情况" w:id="473"/>
      <w:bookmarkEnd w:id="47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16,537,000.00</w:t>
            </w:r>
          </w:p>
        </w:tc>
      </w:tr>
    </w:tbl>
    <w:p>
      <w:pPr>
        <w:pStyle w:val="BodyText"/>
        <w:spacing w:line="240" w:lineRule="auto" w:before="51"/>
        <w:ind w:left="154" w:right="985"/>
        <w:jc w:val="left"/>
      </w:pPr>
      <w:r>
        <w:rPr/>
        <w:t>其他说明</w:t>
      </w:r>
    </w:p>
    <w:p>
      <w:pPr>
        <w:pStyle w:val="BodyText"/>
        <w:spacing w:line="300" w:lineRule="auto" w:before="115"/>
        <w:ind w:right="98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日，公司召开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年第三次临时股东大会，审议通过了《</w:t>
      </w:r>
      <w:r>
        <w:rPr>
          <w:rFonts w:ascii="Times New Roman" w:hAnsi="Times New Roman" w:cs="Times New Roman" w:eastAsia="Times New Roman" w:hint="default"/>
        </w:rPr>
        <w:t>2016 </w:t>
      </w:r>
      <w:r>
        <w:rPr>
          <w:spacing w:val="-2"/>
        </w:rPr>
        <w:t>年限制性股票激励计划（草案）》及其摘要，拟向激励对象授予不超过</w:t>
      </w:r>
      <w:r>
        <w:rPr>
          <w:rFonts w:ascii="Times New Roman" w:hAnsi="Times New Roman" w:cs="Times New Roman" w:eastAsia="Times New Roman" w:hint="default"/>
          <w:spacing w:val="-2"/>
        </w:rPr>
        <w:t>1795.58</w:t>
      </w:r>
      <w:r>
        <w:rPr>
          <w:spacing w:val="-2"/>
        </w:rPr>
        <w:t>万股限制性股票，其中首次授予</w:t>
      </w:r>
      <w:r>
        <w:rPr>
          <w:rFonts w:ascii="Times New Roman" w:hAnsi="Times New Roman" w:cs="Times New Roman" w:eastAsia="Times New Roman" w:hint="default"/>
          <w:spacing w:val="-2"/>
        </w:rPr>
        <w:t>1635.58</w:t>
      </w:r>
      <w:r>
        <w:rPr>
          <w:spacing w:val="-2"/>
        </w:rPr>
        <w:t>万股，</w:t>
      </w:r>
      <w:r>
        <w:rPr>
          <w:spacing w:val="-53"/>
        </w:rPr>
        <w:t> </w:t>
      </w:r>
      <w:r>
        <w:rPr>
          <w:spacing w:val="-53"/>
        </w:rPr>
      </w:r>
      <w:r>
        <w:rPr/>
        <w:t>预留</w:t>
      </w:r>
      <w:r>
        <w:rPr>
          <w:rFonts w:ascii="Times New Roman" w:hAnsi="Times New Roman" w:cs="Times New Roman" w:eastAsia="Times New Roman" w:hint="default"/>
        </w:rPr>
        <w:t>160</w:t>
      </w:r>
      <w:r>
        <w:rPr/>
        <w:t>万股，预留部分的激励对象由本计划经股东大会审议通过后</w:t>
      </w:r>
      <w:r>
        <w:rPr>
          <w:rFonts w:ascii="Times New Roman" w:hAnsi="Times New Roman" w:cs="Times New Roman" w:eastAsia="Times New Roman" w:hint="default"/>
        </w:rPr>
        <w:t>12</w:t>
      </w:r>
      <w:r>
        <w:rPr/>
        <w:t>个月内确定，本计划的有效期为限制性股票完成登记</w:t>
      </w:r>
      <w:r>
        <w:rPr>
          <w:spacing w:val="-83"/>
        </w:rPr>
        <w:t> </w:t>
      </w:r>
      <w:r>
        <w:rPr>
          <w:spacing w:val="-83"/>
        </w:rPr>
      </w:r>
      <w:r>
        <w:rPr/>
        <w:t>之日起至所有限制性股票解除限售或回购注销完毕之日止，最长不超过</w:t>
      </w:r>
      <w:r>
        <w:rPr>
          <w:rFonts w:ascii="Times New Roman" w:hAnsi="Times New Roman" w:cs="Times New Roman" w:eastAsia="Times New Roman" w:hint="default"/>
        </w:rPr>
        <w:t>48</w:t>
      </w:r>
      <w:r>
        <w:rPr/>
        <w:t>个月。</w:t>
      </w:r>
    </w:p>
    <w:p>
      <w:pPr>
        <w:pStyle w:val="BodyText"/>
        <w:spacing w:line="240" w:lineRule="auto" w:before="13"/>
        <w:ind w:left="693" w:right="985"/>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日，公司第五届董事会第三十四次会议审议通过了《关于调整</w:t>
      </w:r>
    </w:p>
    <w:p>
      <w:pPr>
        <w:pStyle w:val="BodyText"/>
        <w:spacing w:line="240" w:lineRule="auto" w:before="63"/>
        <w:ind w:right="985"/>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年限制性股票激励计划授予对象及授予数量的议案》、《关于向激励对象授予限制性股票的议案》。</w:t>
      </w:r>
    </w:p>
    <w:p>
      <w:pPr>
        <w:pStyle w:val="BodyText"/>
        <w:spacing w:line="300" w:lineRule="auto" w:before="63"/>
        <w:ind w:right="1132" w:firstLine="360"/>
        <w:jc w:val="both"/>
      </w:pPr>
      <w:r>
        <w:rPr/>
        <w:t>①鉴于</w:t>
      </w:r>
      <w:r>
        <w:rPr>
          <w:rFonts w:ascii="Times New Roman" w:hAnsi="Times New Roman" w:cs="Times New Roman" w:eastAsia="Times New Roman" w:hint="default"/>
        </w:rPr>
        <w:t>40</w:t>
      </w:r>
      <w:r>
        <w:rPr/>
        <w:t>名激励对象因个人原因全部或部分放弃认购共计</w:t>
      </w:r>
      <w:r>
        <w:rPr>
          <w:rFonts w:ascii="Times New Roman" w:hAnsi="Times New Roman" w:cs="Times New Roman" w:eastAsia="Times New Roman" w:hint="default"/>
        </w:rPr>
        <w:t>57.5</w:t>
      </w:r>
      <w:r>
        <w:rPr/>
        <w:t>万股限制性股票，公司首次授予的激励对象人数由</w:t>
      </w:r>
      <w:r>
        <w:rPr>
          <w:rFonts w:ascii="Times New Roman" w:hAnsi="Times New Roman" w:cs="Times New Roman" w:eastAsia="Times New Roman" w:hint="default"/>
        </w:rPr>
        <w:t>668</w:t>
      </w:r>
      <w:r>
        <w:rPr/>
        <w:t>名 </w:t>
      </w:r>
      <w:r>
        <w:rPr>
          <w:spacing w:val="-2"/>
        </w:rPr>
        <w:t>变更为</w:t>
      </w:r>
      <w:r>
        <w:rPr>
          <w:rFonts w:ascii="Times New Roman" w:hAnsi="Times New Roman" w:cs="Times New Roman" w:eastAsia="Times New Roman" w:hint="default"/>
          <w:spacing w:val="-2"/>
        </w:rPr>
        <w:t>633</w:t>
      </w:r>
      <w:r>
        <w:rPr>
          <w:spacing w:val="-2"/>
        </w:rPr>
        <w:t>名；授予的限制性股票数量由</w:t>
      </w:r>
      <w:r>
        <w:rPr>
          <w:rFonts w:ascii="Times New Roman" w:hAnsi="Times New Roman" w:cs="Times New Roman" w:eastAsia="Times New Roman" w:hint="default"/>
          <w:spacing w:val="-2"/>
        </w:rPr>
        <w:t>1,795.58</w:t>
      </w:r>
      <w:r>
        <w:rPr>
          <w:spacing w:val="-2"/>
        </w:rPr>
        <w:t>万股变更为</w:t>
      </w:r>
      <w:r>
        <w:rPr>
          <w:rFonts w:ascii="Times New Roman" w:hAnsi="Times New Roman" w:cs="Times New Roman" w:eastAsia="Times New Roman" w:hint="default"/>
          <w:spacing w:val="-2"/>
        </w:rPr>
        <w:t>1,738.08</w:t>
      </w:r>
      <w:r>
        <w:rPr>
          <w:spacing w:val="-2"/>
        </w:rPr>
        <w:t>万股，首次授予的限制性股票数量由</w:t>
      </w:r>
      <w:r>
        <w:rPr>
          <w:rFonts w:ascii="Times New Roman" w:hAnsi="Times New Roman" w:cs="Times New Roman" w:eastAsia="Times New Roman" w:hint="default"/>
          <w:spacing w:val="-2"/>
        </w:rPr>
        <w:t>1,635.58</w:t>
      </w:r>
      <w:r>
        <w:rPr>
          <w:spacing w:val="-2"/>
        </w:rPr>
        <w:t>万股变更为</w:t>
      </w:r>
      <w:r>
        <w:rPr>
          <w:spacing w:val="-40"/>
        </w:rPr>
        <w:t> </w:t>
      </w:r>
      <w:r>
        <w:rPr>
          <w:spacing w:val="-40"/>
        </w:rPr>
      </w:r>
      <w:r>
        <w:rPr>
          <w:rFonts w:ascii="Times New Roman" w:hAnsi="Times New Roman" w:cs="Times New Roman" w:eastAsia="Times New Roman" w:hint="default"/>
        </w:rPr>
        <w:t>1,578.08</w:t>
      </w:r>
      <w:r>
        <w:rPr/>
        <w:t>万股，预留数量不变。</w:t>
      </w:r>
    </w:p>
    <w:p>
      <w:pPr>
        <w:pStyle w:val="BodyText"/>
        <w:spacing w:line="300" w:lineRule="auto" w:before="13"/>
        <w:ind w:right="1079" w:firstLine="360"/>
        <w:jc w:val="both"/>
      </w:pPr>
      <w:r>
        <w:rPr/>
        <w:t>②议案确定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日为授予日，向激励对象授予相应额度的限制性股票。授予限制性股票的授予价格为每股</w:t>
      </w:r>
      <w:r>
        <w:rPr>
          <w:spacing w:val="-28"/>
        </w:rPr>
        <w:t> </w:t>
      </w:r>
      <w:r>
        <w:rPr>
          <w:rFonts w:ascii="Times New Roman" w:hAnsi="Times New Roman" w:cs="Times New Roman" w:eastAsia="Times New Roman" w:hint="default"/>
        </w:rPr>
        <w:t>7.04 </w:t>
      </w:r>
      <w:r>
        <w:rPr/>
        <w:t>元。股权激励计划拟授予激励对象的标的股票来源为公司定向增发的股票。在可行权</w:t>
      </w:r>
      <w:r>
        <w:rPr>
          <w:rFonts w:ascii="Times New Roman" w:hAnsi="Times New Roman" w:cs="Times New Roman" w:eastAsia="Times New Roman" w:hint="default"/>
        </w:rPr>
        <w:t>/</w:t>
      </w:r>
      <w:r>
        <w:rPr/>
        <w:t>解锁日内，若达到本计划规定的行权</w:t>
      </w:r>
      <w:r>
        <w:rPr>
          <w:rFonts w:ascii="Times New Roman" w:hAnsi="Times New Roman" w:cs="Times New Roman" w:eastAsia="Times New Roman" w:hint="default"/>
        </w:rPr>
        <w:t>/ </w:t>
      </w:r>
      <w:r>
        <w:rPr>
          <w:spacing w:val="-2"/>
        </w:rPr>
        <w:t>解锁条件，本计划首次授予的限制性股票自首次授予完成登记之日起</w:t>
      </w:r>
      <w:r>
        <w:rPr>
          <w:rFonts w:ascii="Times New Roman" w:hAnsi="Times New Roman" w:cs="Times New Roman" w:eastAsia="Times New Roman" w:hint="default"/>
          <w:spacing w:val="-2"/>
        </w:rPr>
        <w:t>12</w:t>
      </w:r>
      <w:r>
        <w:rPr>
          <w:spacing w:val="-2"/>
        </w:rPr>
        <w:t>个月后的首个交易日起至首次授予完成登记之日起</w:t>
      </w:r>
      <w:r>
        <w:rPr>
          <w:rFonts w:ascii="Times New Roman" w:hAnsi="Times New Roman" w:cs="Times New Roman" w:eastAsia="Times New Roman" w:hint="default"/>
          <w:spacing w:val="-2"/>
        </w:rPr>
        <w:t>24</w:t>
      </w:r>
      <w:r>
        <w:rPr>
          <w:rFonts w:ascii="Times New Roman" w:hAnsi="Times New Roman" w:cs="Times New Roman" w:eastAsia="Times New Roman" w:hint="default"/>
          <w:spacing w:val="-15"/>
        </w:rPr>
        <w:t> </w:t>
      </w:r>
      <w:r>
        <w:rPr/>
        <w:t>个月内的最后一个交易日当日止，激励对象可在解锁期内解锁</w:t>
      </w:r>
      <w:r>
        <w:rPr>
          <w:rFonts w:ascii="Times New Roman" w:hAnsi="Times New Roman" w:cs="Times New Roman" w:eastAsia="Times New Roman" w:hint="default"/>
        </w:rPr>
        <w:t>40%,</w:t>
      </w:r>
      <w:r>
        <w:rPr/>
        <w:t>自首次授予完成登记之日起</w:t>
      </w:r>
      <w:r>
        <w:rPr>
          <w:rFonts w:ascii="Times New Roman" w:hAnsi="Times New Roman" w:cs="Times New Roman" w:eastAsia="Times New Roman" w:hint="default"/>
        </w:rPr>
        <w:t>24</w:t>
      </w:r>
      <w:r>
        <w:rPr/>
        <w:t>个月后的首个交易日起至</w:t>
      </w:r>
      <w:r>
        <w:rPr>
          <w:spacing w:val="-17"/>
        </w:rPr>
        <w:t> </w:t>
      </w:r>
      <w:r>
        <w:rPr>
          <w:spacing w:val="-17"/>
        </w:rPr>
      </w:r>
      <w:r>
        <w:rPr>
          <w:spacing w:val="-1"/>
        </w:rPr>
        <w:t>首次授予完成登记之日起</w:t>
      </w:r>
      <w:r>
        <w:rPr>
          <w:rFonts w:ascii="Times New Roman" w:hAnsi="Times New Roman" w:cs="Times New Roman" w:eastAsia="Times New Roman" w:hint="default"/>
          <w:spacing w:val="-1"/>
        </w:rPr>
        <w:t>36</w:t>
      </w:r>
      <w:r>
        <w:rPr>
          <w:spacing w:val="-1"/>
        </w:rPr>
        <w:t>个月内的最后一个交易日当日止，激励对象可在解锁期内解锁</w:t>
      </w:r>
      <w:r>
        <w:rPr>
          <w:rFonts w:ascii="Times New Roman" w:hAnsi="Times New Roman" w:cs="Times New Roman" w:eastAsia="Times New Roman" w:hint="default"/>
          <w:spacing w:val="-1"/>
        </w:rPr>
        <w:t>30%</w:t>
      </w:r>
      <w:r>
        <w:rPr>
          <w:spacing w:val="-1"/>
        </w:rPr>
        <w:t>，自首次授予完成登记之日起</w:t>
      </w:r>
      <w:r>
        <w:rPr>
          <w:spacing w:val="-88"/>
        </w:rPr>
        <w:t> </w:t>
      </w:r>
      <w:r>
        <w:rPr>
          <w:spacing w:val="-88"/>
        </w:rPr>
      </w:r>
      <w:r>
        <w:rPr>
          <w:rFonts w:ascii="Times New Roman" w:hAnsi="Times New Roman" w:cs="Times New Roman" w:eastAsia="Times New Roman" w:hint="default"/>
        </w:rPr>
        <w:t>36</w:t>
      </w:r>
      <w:r>
        <w:rPr/>
        <w:t>个月后的首个交易日起至首次授予完成登记之日起</w:t>
      </w:r>
      <w:r>
        <w:rPr>
          <w:rFonts w:ascii="Times New Roman" w:hAnsi="Times New Roman" w:cs="Times New Roman" w:eastAsia="Times New Roman" w:hint="default"/>
        </w:rPr>
        <w:t>48</w:t>
      </w:r>
      <w:r>
        <w:rPr/>
        <w:t>个月内的最后一个交易日当日止，激励对象可在解锁期内解锁</w:t>
      </w:r>
      <w:r>
        <w:rPr>
          <w:rFonts w:ascii="Times New Roman" w:hAnsi="Times New Roman" w:cs="Times New Roman" w:eastAsia="Times New Roman" w:hint="default"/>
        </w:rPr>
        <w:t>30%</w:t>
      </w:r>
      <w:r>
        <w:rPr/>
        <w:t>。</w:t>
      </w:r>
    </w:p>
    <w:p>
      <w:pPr>
        <w:spacing w:line="240" w:lineRule="auto" w:before="11"/>
        <w:rPr>
          <w:rFonts w:ascii="宋体" w:hAnsi="宋体" w:cs="宋体" w:eastAsia="宋体" w:hint="default"/>
          <w:sz w:val="24"/>
          <w:szCs w:val="24"/>
        </w:rPr>
      </w:pPr>
    </w:p>
    <w:p>
      <w:pPr>
        <w:pStyle w:val="BodyText"/>
        <w:spacing w:line="240" w:lineRule="auto" w:before="0"/>
        <w:ind w:left="513" w:right="985"/>
        <w:jc w:val="left"/>
      </w:pPr>
      <w:r>
        <w:rPr/>
        <w:t>根据授予日的公允价值总额确认限制性股票的激励成本，则</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年限制性股票成本摊销情况：</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218"/>
        <w:gridCol w:w="2036"/>
        <w:gridCol w:w="1099"/>
        <w:gridCol w:w="1306"/>
        <w:gridCol w:w="1305"/>
        <w:gridCol w:w="1306"/>
      </w:tblGrid>
      <w:tr>
        <w:trPr>
          <w:trHeight w:val="667" w:hRule="exact"/>
        </w:trPr>
        <w:tc>
          <w:tcPr>
            <w:tcW w:w="22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授予的限制性股票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2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需摊销的总费用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0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63"/>
              <w:ind w:left="18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53" w:hRule="exact"/>
        </w:trPr>
        <w:tc>
          <w:tcPr>
            <w:tcW w:w="2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1,578.08</w:t>
            </w:r>
          </w:p>
        </w:tc>
        <w:tc>
          <w:tcPr>
            <w:tcW w:w="2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2,421.49</w:t>
            </w:r>
          </w:p>
        </w:tc>
        <w:tc>
          <w:tcPr>
            <w:tcW w:w="10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93" w:right="0"/>
              <w:jc w:val="left"/>
              <w:rPr>
                <w:rFonts w:ascii="Times New Roman" w:hAnsi="Times New Roman" w:cs="Times New Roman" w:eastAsia="Times New Roman" w:hint="default"/>
                <w:sz w:val="18"/>
                <w:szCs w:val="18"/>
              </w:rPr>
            </w:pPr>
            <w:r>
              <w:rPr>
                <w:rFonts w:ascii="Times New Roman"/>
                <w:sz w:val="18"/>
              </w:rPr>
              <w:t>488.63</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29" w:right="0"/>
              <w:jc w:val="left"/>
              <w:rPr>
                <w:rFonts w:ascii="Times New Roman" w:hAnsi="Times New Roman" w:cs="Times New Roman" w:eastAsia="Times New Roman" w:hint="default"/>
                <w:sz w:val="18"/>
                <w:szCs w:val="18"/>
              </w:rPr>
            </w:pPr>
            <w:r>
              <w:rPr>
                <w:rFonts w:ascii="Times New Roman"/>
                <w:sz w:val="18"/>
              </w:rPr>
              <w:t>1,563.14</w:t>
            </w:r>
          </w:p>
        </w:tc>
        <w:tc>
          <w:tcPr>
            <w:tcW w:w="1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97" w:right="0"/>
              <w:jc w:val="left"/>
              <w:rPr>
                <w:rFonts w:ascii="Times New Roman" w:hAnsi="Times New Roman" w:cs="Times New Roman" w:eastAsia="Times New Roman" w:hint="default"/>
                <w:sz w:val="18"/>
                <w:szCs w:val="18"/>
              </w:rPr>
            </w:pPr>
            <w:r>
              <w:rPr>
                <w:rFonts w:ascii="Times New Roman"/>
                <w:sz w:val="18"/>
              </w:rPr>
              <w:t>311.24</w:t>
            </w:r>
          </w:p>
        </w:tc>
        <w:tc>
          <w:tcPr>
            <w:tcW w:w="1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58.48</w:t>
            </w:r>
          </w:p>
        </w:tc>
      </w:tr>
    </w:tbl>
    <w:p>
      <w:pPr>
        <w:spacing w:line="240" w:lineRule="auto" w:before="3"/>
        <w:rPr>
          <w:rFonts w:ascii="宋体" w:hAnsi="宋体" w:cs="宋体" w:eastAsia="宋体" w:hint="default"/>
          <w:sz w:val="21"/>
          <w:szCs w:val="21"/>
        </w:rPr>
      </w:pPr>
    </w:p>
    <w:p>
      <w:pPr>
        <w:pStyle w:val="BodyText"/>
        <w:spacing w:line="300" w:lineRule="auto"/>
        <w:ind w:right="1130" w:firstLine="18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日公司召开第六届董事会第七次会议，审议通过了《关于向激励对象授予预留限制性股票的议案》，公</w:t>
      </w:r>
      <w:r>
        <w:rPr/>
        <w:t> </w:t>
      </w:r>
      <w:r>
        <w:rPr>
          <w:spacing w:val="-2"/>
        </w:rPr>
        <w:t>司董事会确定以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日为本次预留限制性股票的授予日，向</w:t>
      </w:r>
      <w:r>
        <w:rPr>
          <w:rFonts w:ascii="Times New Roman" w:hAnsi="Times New Roman" w:cs="Times New Roman" w:eastAsia="Times New Roman" w:hint="default"/>
          <w:spacing w:val="-2"/>
        </w:rPr>
        <w:t>264</w:t>
      </w:r>
      <w:r>
        <w:rPr>
          <w:spacing w:val="-2"/>
        </w:rPr>
        <w:t>名激励对象授予预留限制性股票</w:t>
      </w:r>
      <w:r>
        <w:rPr>
          <w:rFonts w:ascii="Times New Roman" w:hAnsi="Times New Roman" w:cs="Times New Roman" w:eastAsia="Times New Roman" w:hint="default"/>
          <w:spacing w:val="-2"/>
        </w:rPr>
        <w:t>1,466,810</w:t>
      </w:r>
      <w:r>
        <w:rPr>
          <w:spacing w:val="-2"/>
        </w:rPr>
        <w:t>股，授予价</w:t>
      </w:r>
      <w:r>
        <w:rPr>
          <w:spacing w:val="-45"/>
        </w:rPr>
        <w:t> </w:t>
      </w:r>
      <w:r>
        <w:rPr>
          <w:spacing w:val="-45"/>
        </w:rPr>
      </w:r>
      <w:r>
        <w:rPr/>
        <w:t>格为</w:t>
      </w:r>
      <w:r>
        <w:rPr>
          <w:rFonts w:ascii="Times New Roman" w:hAnsi="Times New Roman" w:cs="Times New Roman" w:eastAsia="Times New Roman" w:hint="default"/>
        </w:rPr>
        <w:t>5.18</w:t>
      </w:r>
      <w:r>
        <w:rPr/>
        <w:t>元</w:t>
      </w:r>
      <w:r>
        <w:rPr>
          <w:rFonts w:ascii="Times New Roman" w:hAnsi="Times New Roman" w:cs="Times New Roman" w:eastAsia="Times New Roman" w:hint="default"/>
        </w:rPr>
        <w:t>/</w:t>
      </w:r>
      <w:r>
        <w:rPr/>
        <w:t>股。公司董事会办理本次授予事项已经公司</w:t>
      </w:r>
      <w:r>
        <w:rPr>
          <w:rFonts w:ascii="Times New Roman" w:hAnsi="Times New Roman" w:cs="Times New Roman" w:eastAsia="Times New Roman" w:hint="default"/>
        </w:rPr>
        <w:t>2016</w:t>
      </w:r>
      <w:r>
        <w:rPr/>
        <w:t>年第三次临时股东大会授权，无需提交公司股东大会审议。</w:t>
      </w:r>
    </w:p>
    <w:p>
      <w:pPr>
        <w:pStyle w:val="BodyText"/>
        <w:spacing w:line="309" w:lineRule="auto" w:before="13"/>
        <w:ind w:right="1131" w:firstLine="360"/>
        <w:jc w:val="both"/>
      </w:pPr>
      <w:r>
        <w:rPr>
          <w:spacing w:val="-2"/>
        </w:rPr>
        <w:t>公司本次激励计划预留限制性股票的授予对公司相关年度的财务状况和经营成果将产生一定的影响。董事会已确定激励</w:t>
      </w:r>
      <w:r>
        <w:rPr/>
        <w:t> </w:t>
      </w:r>
      <w:r>
        <w:rPr>
          <w:spacing w:val="-1"/>
        </w:rPr>
        <w:t>计划的授予日为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日，根据授予日的公允价值总额确认限制性股票的激励成本，则</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-2019</w:t>
      </w:r>
      <w:r>
        <w:rPr>
          <w:spacing w:val="-1"/>
        </w:rPr>
        <w:t>年限制性股票成本</w:t>
      </w:r>
      <w:r>
        <w:rPr>
          <w:spacing w:val="-82"/>
        </w:rPr>
        <w:t> </w:t>
      </w:r>
      <w:r>
        <w:rPr/>
        <w:t>摊销情况见下表：</w:t>
      </w:r>
    </w:p>
    <w:tbl>
      <w:tblPr>
        <w:tblW w:w="0" w:type="auto"/>
        <w:jc w:val="left"/>
        <w:tblInd w:w="146" w:type="dxa"/>
        <w:tblLayout w:type="fixed"/>
        <w:tblCellMar>
          <w:top w:w="0" w:type="dxa"/>
          <w:left w:w="0" w:type="dxa"/>
          <w:bottom w:w="0" w:type="dxa"/>
          <w:right w:w="0" w:type="dxa"/>
        </w:tblCellMar>
        <w:tblLook w:val="01E0"/>
      </w:tblPr>
      <w:tblGrid>
        <w:gridCol w:w="2218"/>
        <w:gridCol w:w="2036"/>
        <w:gridCol w:w="1306"/>
        <w:gridCol w:w="1304"/>
        <w:gridCol w:w="1306"/>
      </w:tblGrid>
      <w:tr>
        <w:trPr>
          <w:trHeight w:val="667" w:hRule="exact"/>
        </w:trPr>
        <w:tc>
          <w:tcPr>
            <w:tcW w:w="22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授予的限制性股票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2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需摊销的总费用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52" w:hRule="exact"/>
        </w:trPr>
        <w:tc>
          <w:tcPr>
            <w:tcW w:w="2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146.6810</w:t>
            </w:r>
          </w:p>
        </w:tc>
        <w:tc>
          <w:tcPr>
            <w:tcW w:w="2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269.89</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90.56</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97" w:right="0"/>
              <w:jc w:val="left"/>
              <w:rPr>
                <w:rFonts w:ascii="Times New Roman" w:hAnsi="Times New Roman" w:cs="Times New Roman" w:eastAsia="Times New Roman" w:hint="default"/>
                <w:sz w:val="18"/>
                <w:szCs w:val="18"/>
              </w:rPr>
            </w:pPr>
            <w:r>
              <w:rPr>
                <w:rFonts w:ascii="Times New Roman"/>
                <w:sz w:val="18"/>
              </w:rPr>
              <w:t>148.68</w:t>
            </w:r>
          </w:p>
        </w:tc>
        <w:tc>
          <w:tcPr>
            <w:tcW w:w="1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30.65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3、以现金结算的股份支付情况" w:id="474"/>
      <w:bookmarkEnd w:id="47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4、股份支付的修改、终止情况" w:id="475"/>
      <w:bookmarkEnd w:id="47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76"/>
      <w:bookmarkEnd w:id="47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7"/>
      <w:bookmarkEnd w:id="477"/>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4" w:right="985"/>
        <w:jc w:val="left"/>
      </w:pPr>
      <w:r>
        <w:rPr/>
        <w:t>资产负债表日存在的重要承诺</w:t>
      </w:r>
    </w:p>
    <w:p>
      <w:pPr>
        <w:pStyle w:val="Heading3"/>
        <w:spacing w:line="240" w:lineRule="auto" w:before="66"/>
        <w:ind w:left="693" w:right="985"/>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4"/>
        <w:spacing w:line="240" w:lineRule="auto"/>
        <w:ind w:right="985"/>
        <w:jc w:val="left"/>
        <w:rPr>
          <w:b w:val="0"/>
          <w:bCs w:val="0"/>
        </w:rPr>
      </w:pPr>
      <w:bookmarkStart w:name="2、或有事项" w:id="479"/>
      <w:bookmarkEnd w:id="47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资产负债表日存在的重要或有事项" w:id="480"/>
      <w:bookmarkEnd w:id="48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3" w:right="985"/>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Heading4"/>
        <w:spacing w:line="240" w:lineRule="auto"/>
        <w:ind w:right="985"/>
        <w:jc w:val="left"/>
        <w:rPr>
          <w:b w:val="0"/>
          <w:bCs w:val="0"/>
        </w:rPr>
      </w:pPr>
      <w:bookmarkStart w:name="（2）公司没有需要披露的重要或有事项，也应予以说明" w:id="481"/>
      <w:bookmarkEnd w:id="48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82"/>
      <w:bookmarkEnd w:id="4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3"/>
      <w:bookmarkEnd w:id="48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4"/>
      <w:bookmarkEnd w:id="48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7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日公司获 得中国证券监督管理委员会 发《关于核准远光软件股份 有限公司非公开发行股票的 </w:t>
            </w:r>
            <w:r>
              <w:rPr>
                <w:rFonts w:ascii="宋体" w:hAnsi="宋体" w:cs="宋体" w:eastAsia="宋体" w:hint="default"/>
                <w:spacing w:val="-6"/>
                <w:sz w:val="18"/>
                <w:szCs w:val="18"/>
              </w:rPr>
              <w:t>批复》（证监许可</w:t>
            </w:r>
            <w:r>
              <w:rPr>
                <w:rFonts w:ascii="Times New Roman" w:hAnsi="Times New Roman" w:cs="Times New Roman" w:eastAsia="Times New Roman" w:hint="default"/>
                <w:spacing w:val="-6"/>
                <w:sz w:val="18"/>
                <w:szCs w:val="18"/>
              </w:rPr>
              <w:t>[2017]1217</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29"/>
                <w:sz w:val="18"/>
                <w:szCs w:val="18"/>
              </w:rPr>
            </w:r>
            <w:r>
              <w:rPr>
                <w:rFonts w:ascii="宋体" w:hAnsi="宋体" w:cs="宋体" w:eastAsia="宋体" w:hint="default"/>
                <w:sz w:val="18"/>
                <w:szCs w:val="18"/>
              </w:rPr>
              <w:t>号）核准文件，核准公司非 公开发行不超过 </w:t>
            </w:r>
            <w:r>
              <w:rPr>
                <w:rFonts w:ascii="Times New Roman" w:hAnsi="Times New Roman" w:cs="Times New Roman" w:eastAsia="Times New Roman" w:hint="default"/>
                <w:sz w:val="18"/>
                <w:szCs w:val="18"/>
              </w:rPr>
              <w:t>45,182,232 </w:t>
            </w:r>
            <w:r>
              <w:rPr>
                <w:rFonts w:ascii="宋体" w:hAnsi="宋体" w:cs="宋体" w:eastAsia="宋体" w:hint="default"/>
                <w:sz w:val="18"/>
                <w:szCs w:val="18"/>
              </w:rPr>
              <w:t>股新股。截至本财务报表批</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3"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078"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317"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准报出日止，公司非公开发</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4,542,682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股，每股面</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元，发行价为每股人民</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13.12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元，募集资金总额为</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59,599,987.84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净额为人民币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56,819,865.64</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元，其中计入股本人民币</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4,542,682.00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元，余额人民币</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3"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52,277,183.64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元计入资本公</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5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利润分配情况" w:id="485"/>
      <w:bookmarkEnd w:id="48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985"/>
        <w:jc w:val="left"/>
        <w:rPr>
          <w:b w:val="0"/>
          <w:bCs w:val="0"/>
        </w:rPr>
      </w:pPr>
      <w:bookmarkStart w:name="3、销售退回" w:id="486"/>
      <w:bookmarkEnd w:id="48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4、其他资产负债表日后事项说明" w:id="487"/>
      <w:bookmarkEnd w:id="48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30"/>
          <w:szCs w:val="30"/>
        </w:rPr>
      </w:pPr>
    </w:p>
    <w:p>
      <w:pPr>
        <w:pStyle w:val="BodyText"/>
        <w:spacing w:line="300" w:lineRule="auto" w:before="0"/>
        <w:ind w:left="154" w:right="1121"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日，公司第六届董事会第十五次会议审议通过了《关于回购注销</w:t>
      </w:r>
      <w:r>
        <w:rPr>
          <w:spacing w:val="5"/>
        </w:rPr>
        <w:t> </w:t>
      </w:r>
      <w:r>
        <w:rPr>
          <w:rFonts w:ascii="Times New Roman" w:hAnsi="Times New Roman" w:cs="Times New Roman" w:eastAsia="Times New Roman" w:hint="default"/>
          <w:spacing w:val="-1"/>
        </w:rPr>
        <w:t>2016</w:t>
      </w:r>
      <w:r>
        <w:rPr>
          <w:spacing w:val="-1"/>
        </w:rPr>
        <w:t>年限制性股票激励计划部分限制性股</w:t>
      </w:r>
      <w:r>
        <w:rPr/>
        <w:t> 票的议案》，同意对</w:t>
      </w:r>
      <w:r>
        <w:rPr>
          <w:rFonts w:ascii="Times New Roman" w:hAnsi="Times New Roman" w:cs="Times New Roman" w:eastAsia="Times New Roman" w:hint="default"/>
        </w:rPr>
        <w:t>11</w:t>
      </w:r>
      <w:r>
        <w:rPr/>
        <w:t>名离职激励对象获授但尚未解锁的限制性股票</w:t>
      </w:r>
      <w:r>
        <w:rPr>
          <w:rFonts w:ascii="Times New Roman" w:hAnsi="Times New Roman" w:cs="Times New Roman" w:eastAsia="Times New Roman" w:hint="default"/>
        </w:rPr>
        <w:t>90,420</w:t>
      </w:r>
      <w:r>
        <w:rPr/>
        <w:t>股进行回购注销。</w:t>
      </w:r>
    </w:p>
    <w:p>
      <w:pPr>
        <w:spacing w:line="240" w:lineRule="auto" w:before="4"/>
        <w:rPr>
          <w:rFonts w:ascii="宋体" w:hAnsi="宋体" w:cs="宋体" w:eastAsia="宋体" w:hint="default"/>
          <w:sz w:val="20"/>
          <w:szCs w:val="20"/>
        </w:rPr>
      </w:pPr>
    </w:p>
    <w:p>
      <w:pPr>
        <w:pStyle w:val="Heading2"/>
        <w:spacing w:line="240" w:lineRule="auto"/>
        <w:ind w:right="985"/>
        <w:jc w:val="left"/>
        <w:rPr>
          <w:b w:val="0"/>
          <w:bCs w:val="0"/>
        </w:rPr>
      </w:pPr>
      <w:bookmarkStart w:name="十六、其他重要事项" w:id="488"/>
      <w:bookmarkEnd w:id="488"/>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前期会计差错更正" w:id="489"/>
      <w:bookmarkEnd w:id="48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追溯重述法" w:id="490"/>
      <w:bookmarkEnd w:id="49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未来适用法" w:id="491"/>
      <w:bookmarkEnd w:id="49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footerReference w:type="default" r:id="rId17"/>
          <w:pgSz w:w="11910" w:h="16840"/>
          <w:pgMar w:footer="979" w:header="747" w:top="1060" w:bottom="1160" w:left="980" w:right="0"/>
          <w:pgNumType w:start="201"/>
        </w:sectPr>
      </w:pPr>
    </w:p>
    <w:p>
      <w:pPr>
        <w:spacing w:line="240" w:lineRule="auto" w:before="10"/>
        <w:rPr>
          <w:rFonts w:ascii="宋体" w:hAnsi="宋体" w:cs="宋体" w:eastAsia="宋体" w:hint="default"/>
          <w:b/>
          <w:bCs/>
          <w:sz w:val="24"/>
          <w:szCs w:val="24"/>
        </w:rPr>
      </w:pPr>
    </w:p>
    <w:p>
      <w:pPr>
        <w:pStyle w:val="Heading4"/>
        <w:spacing w:line="240" w:lineRule="auto" w:before="35"/>
        <w:ind w:right="985"/>
        <w:jc w:val="left"/>
        <w:rPr>
          <w:b w:val="0"/>
          <w:bCs w:val="0"/>
        </w:rPr>
      </w:pPr>
      <w:bookmarkStart w:name="2、债务重组" w:id="492"/>
      <w:bookmarkEnd w:id="49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3、资产置换" w:id="493"/>
      <w:bookmarkEnd w:id="49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非货币性资产交换" w:id="494"/>
      <w:bookmarkEnd w:id="49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2）其他资产置换" w:id="495"/>
      <w:bookmarkEnd w:id="49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年金计划" w:id="496"/>
      <w:bookmarkEnd w:id="49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5、终止经营" w:id="497"/>
      <w:bookmarkEnd w:id="49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分部信息" w:id="498"/>
      <w:bookmarkEnd w:id="49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985"/>
        <w:jc w:val="left"/>
        <w:rPr>
          <w:b w:val="0"/>
          <w:bCs w:val="0"/>
        </w:rPr>
      </w:pPr>
      <w:bookmarkStart w:name="（1）报告分部的确定依据与会计政策" w:id="499"/>
      <w:bookmarkEnd w:id="49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985"/>
        <w:jc w:val="left"/>
        <w:rPr>
          <w:b w:val="0"/>
          <w:bCs w:val="0"/>
        </w:rPr>
      </w:pPr>
      <w:bookmarkStart w:name="（2）报告分部的财务信息" w:id="500"/>
      <w:bookmarkEnd w:id="50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公司无报告分部的，或者不能披露各报告分部的资产总额和负债总额的，应说明原因" w:id="501"/>
      <w:bookmarkEnd w:id="50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154" w:right="985" w:firstLine="420"/>
        <w:jc w:val="left"/>
      </w:pPr>
      <w:r>
        <w:rPr>
          <w:rFonts w:ascii="Times New Roman" w:hAnsi="Times New Roman" w:cs="Times New Roman" w:eastAsia="Times New Roman" w:hint="default"/>
        </w:rPr>
        <w:t>1</w:t>
      </w:r>
      <w:r>
        <w:rPr/>
        <w:t>、由于本公司资源统一管理，并无具体营运分部财务资料，故就资源分配及业绩评估向本公司管理 层呈报的资料以本公司整体营运业绩为主。因此，并无呈列营运分部及地区资料。</w:t>
      </w:r>
    </w:p>
    <w:p>
      <w:pPr>
        <w:pStyle w:val="Heading5"/>
        <w:spacing w:line="259" w:lineRule="auto" w:before="22"/>
        <w:ind w:right="1010" w:firstLine="42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日召开的第五届董事会第十五次会议审议通过了《关于全资子公司对外投资 </w:t>
      </w:r>
      <w:r>
        <w:rPr>
          <w:spacing w:val="-3"/>
        </w:rPr>
        <w:t>收购股权的议案》，公司全资子公司珠海横琴新区集睿思信息技术有限公司（后更名为</w:t>
      </w:r>
      <w:r>
        <w:rPr>
          <w:rFonts w:ascii="Times New Roman" w:hAnsi="Times New Roman" w:cs="Times New Roman" w:eastAsia="Times New Roman" w:hint="default"/>
          <w:spacing w:val="-3"/>
        </w:rPr>
        <w:t>“</w:t>
      </w:r>
      <w:r>
        <w:rPr>
          <w:spacing w:val="-3"/>
        </w:rPr>
        <w:t>远光资本管理（横</w:t>
      </w:r>
      <w:r>
        <w:rPr>
          <w:spacing w:val="-79"/>
        </w:rPr>
        <w:t> </w:t>
      </w:r>
      <w:r>
        <w:rPr>
          <w:spacing w:val="-79"/>
        </w:rPr>
      </w:r>
      <w:r>
        <w:rPr/>
        <w:t>琴）有限公司</w:t>
      </w:r>
      <w:r>
        <w:rPr>
          <w:rFonts w:ascii="Times New Roman" w:hAnsi="Times New Roman" w:cs="Times New Roman" w:eastAsia="Times New Roman" w:hint="default"/>
        </w:rPr>
        <w:t>”</w:t>
      </w:r>
      <w:r>
        <w:rPr/>
        <w:t>）出资收购长沙瑞翔科技有限公司（后更名为</w:t>
      </w:r>
      <w:r>
        <w:rPr>
          <w:rFonts w:ascii="Times New Roman" w:hAnsi="Times New Roman" w:cs="Times New Roman" w:eastAsia="Times New Roman" w:hint="default"/>
        </w:rPr>
        <w:t>“</w:t>
      </w:r>
      <w:r>
        <w:rPr/>
        <w:t>长沙远光瑞翔科技有限公司</w:t>
      </w:r>
      <w:r>
        <w:rPr>
          <w:rFonts w:ascii="Times New Roman" w:hAnsi="Times New Roman" w:cs="Times New Roman" w:eastAsia="Times New Roman" w:hint="default"/>
        </w:rPr>
        <w:t>”</w:t>
      </w:r>
      <w:r>
        <w:rPr/>
        <w:t>）</w:t>
      </w:r>
      <w:r>
        <w:rPr>
          <w:spacing w:val="-57"/>
        </w:rPr>
        <w:t> </w:t>
      </w:r>
      <w:r>
        <w:rPr>
          <w:rFonts w:ascii="Times New Roman" w:hAnsi="Times New Roman" w:cs="Times New Roman" w:eastAsia="Times New Roman" w:hint="default"/>
        </w:rPr>
        <w:t>70%</w:t>
      </w:r>
      <w:r>
        <w:rPr/>
        <w:t>的股权， 根据交易各方签署的《股权收购协议》，远光瑞翔十名自然人股东承诺，收到全部股权收购款后</w:t>
      </w:r>
      <w:r>
        <w:rPr>
          <w:rFonts w:ascii="Times New Roman" w:hAnsi="Times New Roman" w:cs="Times New Roman" w:eastAsia="Times New Roman" w:hint="default"/>
        </w:rPr>
        <w:t>60</w:t>
      </w:r>
      <w:r>
        <w:rPr/>
        <w:t>个工作 </w:t>
      </w:r>
      <w:r>
        <w:rPr>
          <w:spacing w:val="-2"/>
        </w:rPr>
        <w:t>日内，将其中的</w:t>
      </w:r>
      <w:r>
        <w:rPr>
          <w:rFonts w:ascii="Times New Roman" w:hAnsi="Times New Roman" w:cs="Times New Roman" w:eastAsia="Times New Roman" w:hint="default"/>
          <w:spacing w:val="-2"/>
        </w:rPr>
        <w:t>1,600</w:t>
      </w:r>
      <w:r>
        <w:rPr>
          <w:spacing w:val="-2"/>
        </w:rPr>
        <w:t>万元专项用于从二级市场购买远光软件股票，并自愿将相应股票进行锁定。远光瑞翔</w:t>
      </w:r>
      <w:r>
        <w:rPr>
          <w:spacing w:val="-87"/>
        </w:rPr>
        <w:t> </w:t>
      </w:r>
      <w:r>
        <w:rPr>
          <w:spacing w:val="-87"/>
        </w:rPr>
      </w:r>
      <w:r>
        <w:rPr>
          <w:rFonts w:ascii="Times New Roman" w:hAnsi="Times New Roman" w:cs="Times New Roman" w:eastAsia="Times New Roman" w:hint="default"/>
        </w:rPr>
        <w:t>2017</w:t>
      </w:r>
      <w:r>
        <w:rPr/>
        <w:t>年度实现扣除非经常性损益后的净利润</w:t>
      </w:r>
      <w:r>
        <w:rPr>
          <w:rFonts w:ascii="Times New Roman" w:hAnsi="Times New Roman" w:cs="Times New Roman" w:eastAsia="Times New Roman" w:hint="default"/>
        </w:rPr>
        <w:t>1,123.20</w:t>
      </w:r>
      <w:r>
        <w:rPr/>
        <w:t>万元，未达到预测的业绩</w:t>
      </w:r>
      <w:r>
        <w:rPr>
          <w:rFonts w:ascii="Times New Roman" w:hAnsi="Times New Roman" w:cs="Times New Roman" w:eastAsia="Times New Roman" w:hint="default"/>
        </w:rPr>
        <w:t>1,390</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w:t>
      </w:r>
      <w:r>
        <w:rPr>
          <w:spacing w:val="-78"/>
        </w:rPr>
        <w:t> </w:t>
      </w:r>
      <w:r>
        <w:rPr>
          <w:spacing w:val="2"/>
        </w:rPr>
        <w:t>实现扣除非经常性损益后的累计净利润 </w:t>
      </w:r>
      <w:r>
        <w:rPr>
          <w:rFonts w:ascii="Times New Roman" w:hAnsi="Times New Roman" w:cs="Times New Roman" w:eastAsia="Times New Roman" w:hint="default"/>
        </w:rPr>
        <w:t>3,379.39 </w:t>
      </w:r>
      <w:r>
        <w:rPr/>
        <w:t>万元，累计预测的业绩</w:t>
      </w:r>
      <w:r>
        <w:rPr>
          <w:rFonts w:ascii="Times New Roman" w:hAnsi="Times New Roman" w:cs="Times New Roman" w:eastAsia="Times New Roman" w:hint="default"/>
        </w:rPr>
        <w:t>3,500</w:t>
      </w:r>
      <w:r>
        <w:rPr/>
        <w:t>万元，累计未达业绩</w:t>
      </w:r>
      <w:r>
        <w:rPr>
          <w:rFonts w:ascii="Times New Roman" w:hAnsi="Times New Roman" w:cs="Times New Roman" w:eastAsia="Times New Roman" w:hint="default"/>
        </w:rPr>
        <w:t>120.61</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万元。根据《股份收购协议》、《盈利预测补偿协议》的约定，瑞翔科技业绩承诺期三年累积实际净利润 </w:t>
      </w:r>
      <w:r>
        <w:rPr>
          <w:spacing w:val="5"/>
        </w:rPr>
        <w:t>数</w:t>
      </w:r>
      <w:r>
        <w:rPr>
          <w:rFonts w:ascii="Times New Roman" w:hAnsi="Times New Roman" w:cs="Times New Roman" w:eastAsia="Times New Roman" w:hint="default"/>
          <w:spacing w:val="5"/>
        </w:rPr>
        <w:t>≥</w:t>
      </w:r>
      <w:r>
        <w:rPr>
          <w:spacing w:val="5"/>
        </w:rPr>
        <w:t>人民币</w:t>
      </w:r>
      <w:r>
        <w:rPr>
          <w:rFonts w:ascii="Times New Roman" w:hAnsi="Times New Roman" w:cs="Times New Roman" w:eastAsia="Times New Roman" w:hint="default"/>
          <w:spacing w:val="5"/>
        </w:rPr>
        <w:t>3300</w:t>
      </w:r>
      <w:r>
        <w:rPr>
          <w:spacing w:val="5"/>
        </w:rPr>
        <w:t>万元时，交易对方免按当年（</w:t>
      </w:r>
      <w:r>
        <w:rPr>
          <w:rFonts w:ascii="Times New Roman" w:hAnsi="Times New Roman" w:cs="Times New Roman" w:eastAsia="Times New Roman" w:hint="default"/>
          <w:spacing w:val="5"/>
        </w:rPr>
        <w:t>2017</w:t>
      </w:r>
      <w:r>
        <w:rPr>
          <w:spacing w:val="5"/>
        </w:rPr>
        <w:t>年）股权调整比例进行补偿。上述业绩承诺累计完成</w:t>
      </w:r>
      <w:r>
        <w:rPr/>
        <w:t> </w:t>
      </w:r>
      <w:r>
        <w:rPr>
          <w:rFonts w:ascii="Times New Roman" w:hAnsi="Times New Roman" w:cs="Times New Roman" w:eastAsia="Times New Roman" w:hint="default"/>
        </w:rPr>
        <w:t>3,379.39</w:t>
      </w:r>
      <w:r>
        <w:rPr/>
        <w:t>万元，大于</w:t>
      </w:r>
      <w:r>
        <w:rPr>
          <w:rFonts w:ascii="Times New Roman" w:hAnsi="Times New Roman" w:cs="Times New Roman" w:eastAsia="Times New Roman" w:hint="default"/>
        </w:rPr>
        <w:t>3300</w:t>
      </w:r>
      <w:r>
        <w:rPr/>
        <w:t>万元，因此本年无需股份补偿和现金补偿。</w:t>
      </w:r>
    </w:p>
    <w:p>
      <w:pPr>
        <w:spacing w:line="240" w:lineRule="auto" w:before="1"/>
        <w:rPr>
          <w:rFonts w:ascii="宋体" w:hAnsi="宋体" w:cs="宋体" w:eastAsia="宋体" w:hint="default"/>
          <w:sz w:val="24"/>
          <w:szCs w:val="24"/>
        </w:rPr>
      </w:pPr>
    </w:p>
    <w:p>
      <w:pPr>
        <w:pStyle w:val="Heading5"/>
        <w:spacing w:line="256" w:lineRule="auto"/>
        <w:ind w:right="985" w:firstLine="420"/>
        <w:jc w:val="left"/>
      </w:pP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日召开第六届董事会第四次会议，审议通过了《关于对外投资的议案》，同意</w:t>
      </w:r>
      <w:r>
        <w:rPr/>
        <w:t> </w:t>
      </w:r>
      <w:r>
        <w:rPr>
          <w:spacing w:val="-1"/>
        </w:rPr>
        <w:t>公司收购昊美科技</w:t>
      </w:r>
      <w:r>
        <w:rPr>
          <w:rFonts w:ascii="Times New Roman" w:hAnsi="Times New Roman" w:cs="Times New Roman" w:eastAsia="Times New Roman" w:hint="default"/>
          <w:spacing w:val="-1"/>
        </w:rPr>
        <w:t>67%</w:t>
      </w:r>
      <w:r>
        <w:rPr>
          <w:spacing w:val="-1"/>
        </w:rPr>
        <w:t>的股权，并向昊美科技增资，收购及增资后，公司持有昊美科技</w:t>
      </w:r>
      <w:r>
        <w:rPr>
          <w:rFonts w:ascii="Times New Roman" w:hAnsi="Times New Roman" w:cs="Times New Roman" w:eastAsia="Times New Roman" w:hint="default"/>
          <w:spacing w:val="-1"/>
        </w:rPr>
        <w:t>70.71%</w:t>
      </w:r>
      <w:r>
        <w:rPr>
          <w:spacing w:val="-1"/>
        </w:rPr>
        <w:t>的股权。根</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4" w:lineRule="auto" w:before="35"/>
        <w:ind w:right="1132"/>
        <w:jc w:val="both"/>
      </w:pPr>
      <w:r>
        <w:rPr>
          <w:spacing w:val="-1"/>
        </w:rPr>
        <w:t>据交易各方签署的《股权收购及增资协议》及补充协议，昊美科技股东承诺，收到首期股权转让款之日起</w:t>
      </w:r>
      <w:r>
        <w:rPr>
          <w:spacing w:val="-86"/>
        </w:rPr>
        <w:t> </w:t>
      </w:r>
      <w:r>
        <w:rPr>
          <w:spacing w:val="-86"/>
        </w:rPr>
      </w:r>
      <w:r>
        <w:rPr>
          <w:rFonts w:ascii="Times New Roman" w:hAnsi="Times New Roman" w:cs="Times New Roman" w:eastAsia="Times New Roman" w:hint="default"/>
        </w:rPr>
        <w:t>10</w:t>
      </w:r>
      <w:r>
        <w:rPr/>
        <w:t>个工作日内，用股权转让款总金额</w:t>
      </w:r>
      <w:r>
        <w:rPr>
          <w:rFonts w:ascii="Times New Roman" w:hAnsi="Times New Roman" w:cs="Times New Roman" w:eastAsia="Times New Roman" w:hint="default"/>
        </w:rPr>
        <w:t>30%</w:t>
      </w:r>
      <w:r>
        <w:rPr/>
        <w:t>的资金在二级市场购买远光软件股票，并自愿将相应股票进行锁</w:t>
      </w:r>
      <w:r>
        <w:rPr>
          <w:spacing w:val="-99"/>
        </w:rPr>
        <w:t> </w:t>
      </w:r>
      <w:r>
        <w:rPr>
          <w:spacing w:val="-99"/>
        </w:rPr>
      </w:r>
      <w:r>
        <w:rPr>
          <w:spacing w:val="-2"/>
        </w:rPr>
        <w:t>定。杭州昊美</w:t>
      </w:r>
      <w:r>
        <w:rPr>
          <w:rFonts w:ascii="Times New Roman" w:hAnsi="Times New Roman" w:cs="Times New Roman" w:eastAsia="Times New Roman" w:hint="default"/>
          <w:spacing w:val="-2"/>
        </w:rPr>
        <w:t>2017</w:t>
      </w:r>
      <w:r>
        <w:rPr>
          <w:spacing w:val="-2"/>
        </w:rPr>
        <w:t>年度实现扣除非经常性损益后的净利润</w:t>
      </w:r>
      <w:r>
        <w:rPr>
          <w:rFonts w:ascii="Times New Roman" w:hAnsi="Times New Roman" w:cs="Times New Roman" w:eastAsia="Times New Roman" w:hint="default"/>
          <w:spacing w:val="-2"/>
        </w:rPr>
        <w:t>1078.19</w:t>
      </w:r>
      <w:r>
        <w:rPr>
          <w:spacing w:val="-2"/>
        </w:rPr>
        <w:t>万元，未达到预测的业绩</w:t>
      </w:r>
      <w:r>
        <w:rPr>
          <w:rFonts w:ascii="Times New Roman" w:hAnsi="Times New Roman" w:cs="Times New Roman" w:eastAsia="Times New Roman" w:hint="default"/>
          <w:spacing w:val="-2"/>
        </w:rPr>
        <w:t>1150</w:t>
      </w:r>
      <w:r>
        <w:rPr>
          <w:spacing w:val="-2"/>
        </w:rPr>
        <w:t>万元。根据</w:t>
      </w:r>
    </w:p>
    <w:p>
      <w:pPr>
        <w:pStyle w:val="Heading5"/>
        <w:spacing w:line="256" w:lineRule="auto"/>
        <w:ind w:right="1130"/>
        <w:jc w:val="both"/>
        <w:rPr>
          <w:rFonts w:ascii="Times New Roman" w:hAnsi="Times New Roman" w:cs="Times New Roman" w:eastAsia="Times New Roman" w:hint="default"/>
        </w:rPr>
      </w:pPr>
      <w:r>
        <w:rPr>
          <w:spacing w:val="-1"/>
        </w:rPr>
        <w:t>《股权收购及增资协议》、《补充协议一》及《补充协议二》的约定，杭州昊美</w:t>
      </w:r>
      <w:r>
        <w:rPr>
          <w:rFonts w:ascii="Times New Roman" w:hAnsi="Times New Roman" w:cs="Times New Roman" w:eastAsia="Times New Roman" w:hint="default"/>
          <w:spacing w:val="-1"/>
        </w:rPr>
        <w:t>2017</w:t>
      </w:r>
      <w:r>
        <w:rPr>
          <w:spacing w:val="-1"/>
        </w:rPr>
        <w:t>年度实现的实际净利</w:t>
      </w:r>
      <w:r>
        <w:rPr>
          <w:spacing w:val="-83"/>
        </w:rPr>
        <w:t> </w:t>
      </w:r>
      <w:r>
        <w:rPr>
          <w:spacing w:val="-83"/>
        </w:rPr>
      </w:r>
      <w:r>
        <w:rPr>
          <w:spacing w:val="-1"/>
        </w:rPr>
        <w:t>润（扣除非经常性损益后的净利润）已达到第一个业绩承诺年度净利润数的</w:t>
      </w:r>
      <w:r>
        <w:rPr>
          <w:rFonts w:ascii="Times New Roman" w:hAnsi="Times New Roman" w:cs="Times New Roman" w:eastAsia="Times New Roman" w:hint="default"/>
          <w:spacing w:val="-1"/>
        </w:rPr>
        <w:t>93.76%</w:t>
      </w:r>
      <w:r>
        <w:rPr>
          <w:spacing w:val="-1"/>
        </w:rPr>
        <w:t>，交易对方各股东暂不</w:t>
      </w:r>
      <w:r>
        <w:rPr>
          <w:spacing w:val="-98"/>
        </w:rPr>
        <w:t> </w:t>
      </w:r>
      <w:r>
        <w:rPr>
          <w:spacing w:val="-98"/>
        </w:rPr>
      </w:r>
      <w:r>
        <w:rPr/>
        <w:t>需要进行补偿。</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Heading4"/>
        <w:spacing w:line="240" w:lineRule="auto" w:before="171"/>
        <w:ind w:left="154" w:right="0"/>
        <w:jc w:val="both"/>
        <w:rPr>
          <w:b w:val="0"/>
          <w:bCs w:val="0"/>
        </w:rPr>
      </w:pPr>
      <w:bookmarkStart w:name="（4）其他说明" w:id="502"/>
      <w:bookmarkEnd w:id="50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7、其他对投资者决策有影响的重要交易和事项" w:id="503"/>
      <w:bookmarkEnd w:id="50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3" w:firstLine="0"/>
        <w:jc w:val="left"/>
        <w:rPr>
          <w:rFonts w:ascii="宋体" w:hAnsi="宋体" w:cs="宋体" w:eastAsia="宋体" w:hint="default"/>
          <w:sz w:val="21"/>
          <w:szCs w:val="21"/>
        </w:rPr>
      </w:pPr>
      <w:bookmarkStart w:name="8、其他" w:id="504"/>
      <w:bookmarkEnd w:id="50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5"/>
      <w:bookmarkEnd w:id="50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6"/>
      <w:bookmarkEnd w:id="506"/>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54" w:right="0"/>
        <w:jc w:val="both"/>
        <w:rPr>
          <w:b w:val="0"/>
          <w:bCs w:val="0"/>
        </w:rPr>
      </w:pPr>
      <w:bookmarkStart w:name="（1）应收账款分类披露" w:id="507"/>
      <w:bookmarkEnd w:id="50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592,662,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409.39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64,946,1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527,716,3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09.08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508,921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,102.84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48,140,88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460,780,21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5.47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38,348,3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98.20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38,348,39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37,811,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237.00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37,811,237.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631,010,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807.59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64,946,1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566,064,7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07.28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546,732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,339.84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48,140,88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498,591,45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411,920,639.34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20,596,031.97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411,920,639.34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20,596,031.97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114,289,593.91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11,428,959.39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41,913,833.98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8,382,766.79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24,538,342.16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24,538,342.16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592,662,409.39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64,946,100.31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985"/>
        <w:jc w:val="left"/>
        <w:rPr>
          <w:b w:val="0"/>
          <w:bCs w:val="0"/>
        </w:rPr>
      </w:pPr>
      <w:bookmarkStart w:name="（2）本期计提、收回或转回的坏账准备情况" w:id="508"/>
      <w:bookmarkEnd w:id="5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13"/>
        <w:jc w:val="left"/>
      </w:pPr>
      <w:r>
        <w:rPr/>
        <w:t>本期计提坏账准备金额</w:t>
      </w:r>
      <w:r>
        <w:rPr>
          <w:spacing w:val="-47"/>
        </w:rPr>
        <w:t> </w:t>
      </w:r>
      <w:r>
        <w:rPr>
          <w:rFonts w:ascii="Times New Roman" w:hAnsi="Times New Roman" w:cs="Times New Roman" w:eastAsia="Times New Roman" w:hint="default"/>
        </w:rPr>
        <w:t>16,805,212.94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本期实际核销的应收账款情况" w:id="509"/>
      <w:bookmarkEnd w:id="50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985"/>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985"/>
        <w:jc w:val="left"/>
      </w:pPr>
      <w:r>
        <w:rPr/>
        <w:t>应收账款核销说明：</w:t>
      </w:r>
    </w:p>
    <w:p>
      <w:pPr>
        <w:pStyle w:val="Heading3"/>
        <w:spacing w:line="240" w:lineRule="auto" w:before="66"/>
        <w:ind w:left="154" w:right="985"/>
        <w:jc w:val="left"/>
      </w:pPr>
      <w:r>
        <w:rPr/>
        <w:t>本年无实际核销的应收账款情况。</w:t>
      </w:r>
    </w:p>
    <w:p>
      <w:pPr>
        <w:spacing w:line="240" w:lineRule="auto" w:before="9"/>
        <w:rPr>
          <w:rFonts w:ascii="宋体" w:hAnsi="宋体" w:cs="宋体" w:eastAsia="宋体" w:hint="default"/>
          <w:sz w:val="24"/>
          <w:szCs w:val="24"/>
        </w:rPr>
      </w:pPr>
    </w:p>
    <w:p>
      <w:pPr>
        <w:pStyle w:val="Heading4"/>
        <w:spacing w:line="240" w:lineRule="auto"/>
        <w:ind w:left="154" w:right="985"/>
        <w:jc w:val="left"/>
        <w:rPr>
          <w:b w:val="0"/>
          <w:bCs w:val="0"/>
        </w:rPr>
      </w:pPr>
      <w:bookmarkStart w:name="（4）按欠款方归集的期末余额前五名的应收账款情况" w:id="510"/>
      <w:bookmarkEnd w:id="51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1554"/>
        <w:gridCol w:w="2421"/>
        <w:gridCol w:w="1540"/>
        <w:gridCol w:w="1080"/>
        <w:gridCol w:w="2160"/>
      </w:tblGrid>
      <w:tr>
        <w:trPr>
          <w:trHeight w:val="1356" w:hRule="exact"/>
        </w:trPr>
        <w:tc>
          <w:tcPr>
            <w:tcW w:w="1554" w:type="dxa"/>
            <w:tcBorders>
              <w:top w:val="nil" w:sz="6" w:space="0" w:color="auto"/>
              <w:left w:val="nil" w:sz="6" w:space="0" w:color="auto"/>
              <w:bottom w:val="single" w:sz="6" w:space="0" w:color="000000"/>
              <w:right w:val="single" w:sz="6" w:space="0" w:color="000000"/>
            </w:tcBorders>
          </w:tcPr>
          <w:p>
            <w:pPr>
              <w:pStyle w:val="TableParagraph"/>
              <w:spacing w:line="240" w:lineRule="auto" w:before="4"/>
              <w:ind w:left="381"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42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843"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5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85"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85" w:lineRule="auto" w:before="45"/>
              <w:ind w:left="31" w:right="28" w:firstLine="84"/>
              <w:jc w:val="center"/>
              <w:rPr>
                <w:rFonts w:ascii="宋体" w:hAnsi="宋体" w:cs="宋体" w:eastAsia="宋体" w:hint="default"/>
                <w:sz w:val="20"/>
                <w:szCs w:val="20"/>
              </w:rPr>
            </w:pPr>
            <w:r>
              <w:rPr>
                <w:rFonts w:ascii="宋体" w:hAnsi="宋体" w:cs="宋体" w:eastAsia="宋体" w:hint="default"/>
                <w:b/>
                <w:bCs/>
                <w:sz w:val="20"/>
                <w:szCs w:val="20"/>
              </w:rPr>
              <w:t>占应收账</w:t>
            </w:r>
            <w:r>
              <w:rPr>
                <w:rFonts w:ascii="宋体" w:hAnsi="宋体" w:cs="宋体" w:eastAsia="宋体" w:hint="default"/>
                <w:b/>
                <w:bCs/>
                <w:w w:val="99"/>
                <w:sz w:val="20"/>
                <w:szCs w:val="20"/>
              </w:rPr>
              <w:t> </w:t>
            </w:r>
            <w:r>
              <w:rPr>
                <w:rFonts w:ascii="宋体" w:hAnsi="宋体" w:cs="宋体" w:eastAsia="宋体" w:hint="default"/>
                <w:b/>
                <w:bCs/>
                <w:sz w:val="20"/>
                <w:szCs w:val="20"/>
              </w:rPr>
              <w:t>款年末余额</w:t>
            </w:r>
            <w:r>
              <w:rPr>
                <w:rFonts w:ascii="宋体" w:hAnsi="宋体" w:cs="宋体" w:eastAsia="宋体" w:hint="default"/>
                <w:b/>
                <w:bCs/>
                <w:w w:val="99"/>
                <w:sz w:val="20"/>
                <w:szCs w:val="20"/>
              </w:rPr>
              <w:t> </w:t>
            </w:r>
            <w:r>
              <w:rPr>
                <w:rFonts w:ascii="宋体" w:hAnsi="宋体" w:cs="宋体" w:eastAsia="宋体" w:hint="default"/>
                <w:b/>
                <w:bCs/>
                <w:sz w:val="20"/>
                <w:szCs w:val="20"/>
              </w:rPr>
              <w:t>合计数的比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0"/>
                <w:szCs w:val="20"/>
              </w:rPr>
            </w:pPr>
            <w:r>
              <w:rPr>
                <w:rFonts w:ascii="宋体" w:hAnsi="宋体" w:cs="宋体" w:eastAsia="宋体" w:hint="default"/>
                <w:b/>
                <w:bCs/>
                <w:sz w:val="20"/>
                <w:szCs w:val="20"/>
              </w:rPr>
              <w:t>坏账准备期末余额</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2" w:type="dxa"/>
        <w:tblLayout w:type="fixed"/>
        <w:tblCellMar>
          <w:top w:w="0" w:type="dxa"/>
          <w:left w:w="0" w:type="dxa"/>
          <w:bottom w:w="0" w:type="dxa"/>
          <w:right w:w="0" w:type="dxa"/>
        </w:tblCellMar>
        <w:tblLook w:val="01E0"/>
      </w:tblPr>
      <w:tblGrid>
        <w:gridCol w:w="1554"/>
        <w:gridCol w:w="2421"/>
        <w:gridCol w:w="1540"/>
        <w:gridCol w:w="1080"/>
        <w:gridCol w:w="2160"/>
      </w:tblGrid>
      <w:tr>
        <w:trPr>
          <w:trHeight w:val="419" w:hRule="exact"/>
        </w:trPr>
        <w:tc>
          <w:tcPr>
            <w:tcW w:w="1554" w:type="dxa"/>
            <w:tcBorders>
              <w:top w:val="nil" w:sz="6" w:space="0" w:color="auto"/>
              <w:left w:val="nil" w:sz="6" w:space="0" w:color="auto"/>
              <w:bottom w:val="single" w:sz="6" w:space="0" w:color="000000"/>
              <w:right w:val="single" w:sz="6" w:space="0" w:color="000000"/>
            </w:tcBorders>
          </w:tcPr>
          <w:p>
            <w:pPr>
              <w:pStyle w:val="TableParagraph"/>
              <w:spacing w:line="240" w:lineRule="auto" w:before="45"/>
              <w:ind w:left="1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1</w:t>
            </w:r>
          </w:p>
        </w:tc>
        <w:tc>
          <w:tcPr>
            <w:tcW w:w="242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65,133,445.50</w:t>
            </w:r>
          </w:p>
        </w:tc>
        <w:tc>
          <w:tcPr>
            <w:tcW w:w="15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80"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年以内</w:t>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z w:val="20"/>
              </w:rPr>
              <w:t>10.32%</w:t>
            </w: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4,634,342.55</w:t>
            </w:r>
          </w:p>
        </w:tc>
      </w:tr>
      <w:tr>
        <w:trPr>
          <w:trHeight w:val="418"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6"/>
              <w:ind w:left="1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2</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32,771,000.00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5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年以内</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5.19%</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1,638,550.00</w:t>
            </w:r>
          </w:p>
        </w:tc>
      </w:tr>
      <w:tr>
        <w:trPr>
          <w:trHeight w:val="729"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left="1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3</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pacing w:val="-1"/>
                <w:sz w:val="20"/>
              </w:rPr>
              <w:t>21,435,538.91</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0"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年以内</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3.40%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418"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6"/>
              <w:ind w:left="1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4</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15,900,000.00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80"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年以内</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2.52%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3,180,000.00</w:t>
            </w:r>
          </w:p>
        </w:tc>
      </w:tr>
      <w:tr>
        <w:trPr>
          <w:trHeight w:val="728"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left="1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5</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pacing w:val="-1"/>
                <w:sz w:val="20"/>
              </w:rPr>
              <w:t>13,989,588.00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年以内</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2.22%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418" w:hRule="exact"/>
        </w:trPr>
        <w:tc>
          <w:tcPr>
            <w:tcW w:w="15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6"/>
              <w:ind w:left="10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149,229,572.41</w:t>
            </w:r>
          </w:p>
        </w:tc>
        <w:tc>
          <w:tcPr>
            <w:tcW w:w="154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23.65%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9,452,892.55</w:t>
            </w:r>
          </w:p>
        </w:tc>
      </w:tr>
    </w:tbl>
    <w:p>
      <w:pPr>
        <w:spacing w:line="240" w:lineRule="auto" w:before="11"/>
        <w:rPr>
          <w:rFonts w:ascii="宋体" w:hAnsi="宋体" w:cs="宋体" w:eastAsia="宋体" w:hint="default"/>
          <w:b/>
          <w:bCs/>
          <w:sz w:val="18"/>
          <w:szCs w:val="18"/>
        </w:rPr>
      </w:pPr>
    </w:p>
    <w:p>
      <w:pPr>
        <w:pStyle w:val="Heading3"/>
        <w:spacing w:line="312" w:lineRule="exact" w:before="56"/>
        <w:ind w:right="1492" w:firstLine="576"/>
        <w:jc w:val="both"/>
      </w:pPr>
      <w:r>
        <w:rPr/>
        <w:t>本公司本年按欠款方归集的年末余额前五名应收账款汇总金额</w:t>
      </w:r>
      <w:r>
        <w:rPr>
          <w:rFonts w:ascii="Times New Roman" w:hAnsi="Times New Roman" w:cs="Times New Roman" w:eastAsia="Times New Roman" w:hint="default"/>
        </w:rPr>
        <w:t>149,229,572.41</w:t>
      </w:r>
      <w:r>
        <w:rPr/>
        <w:t>元，占 </w:t>
      </w:r>
      <w:r>
        <w:rPr>
          <w:spacing w:val="24"/>
        </w:rPr>
        <w:t>应收账款年末余额合计数的比例</w:t>
      </w:r>
      <w:r>
        <w:rPr>
          <w:spacing w:val="-82"/>
        </w:rPr>
        <w:t> </w:t>
      </w:r>
      <w:r>
        <w:rPr>
          <w:rFonts w:ascii="Times New Roman" w:hAnsi="Times New Roman" w:cs="Times New Roman" w:eastAsia="Times New Roman" w:hint="default"/>
          <w:spacing w:val="3"/>
        </w:rPr>
        <w:t>23.65%</w:t>
      </w:r>
      <w:r>
        <w:rPr>
          <w:spacing w:val="3"/>
        </w:rPr>
        <w:t>，</w:t>
      </w:r>
      <w:r>
        <w:rPr>
          <w:spacing w:val="-86"/>
        </w:rPr>
        <w:t> </w:t>
      </w:r>
      <w:r>
        <w:rPr>
          <w:spacing w:val="24"/>
        </w:rPr>
        <w:t>相应计提的坏账准备年末余额汇总金额</w:t>
      </w:r>
      <w:r>
        <w:rPr>
          <w:spacing w:val="-114"/>
        </w:rPr>
        <w:t> </w:t>
      </w:r>
      <w:r>
        <w:rPr>
          <w:spacing w:val="-114"/>
        </w:rPr>
      </w:r>
      <w:r>
        <w:rPr>
          <w:rFonts w:ascii="Times New Roman" w:hAnsi="Times New Roman" w:cs="Times New Roman" w:eastAsia="Times New Roman" w:hint="default"/>
        </w:rPr>
        <w:t>9,452,892.55</w:t>
      </w:r>
      <w:r>
        <w:rPr/>
        <w:t>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left="154" w:right="985"/>
        <w:jc w:val="left"/>
        <w:rPr>
          <w:b w:val="0"/>
          <w:bCs w:val="0"/>
        </w:rPr>
      </w:pPr>
      <w:bookmarkStart w:name="（5）因金融资产转移而终止确认的应收账款" w:id="511"/>
      <w:bookmarkEnd w:id="51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154" w:right="985"/>
        <w:jc w:val="left"/>
      </w:pPr>
      <w:r>
        <w:rPr/>
        <w:t>本年无因金融资产转移而终止确认的应收账款。</w:t>
      </w:r>
    </w:p>
    <w:p>
      <w:pPr>
        <w:spacing w:line="240" w:lineRule="auto" w:before="9"/>
        <w:rPr>
          <w:rFonts w:ascii="宋体" w:hAnsi="宋体" w:cs="宋体" w:eastAsia="宋体" w:hint="default"/>
          <w:sz w:val="24"/>
          <w:szCs w:val="24"/>
        </w:rPr>
      </w:pPr>
    </w:p>
    <w:p>
      <w:pPr>
        <w:pStyle w:val="Heading4"/>
        <w:spacing w:line="240" w:lineRule="auto"/>
        <w:ind w:left="154" w:right="985"/>
        <w:jc w:val="left"/>
        <w:rPr>
          <w:b w:val="0"/>
          <w:bCs w:val="0"/>
        </w:rPr>
      </w:pPr>
      <w:bookmarkStart w:name="（6）转移应收账款且继续涉入形成的资产、负债金额" w:id="512"/>
      <w:bookmarkEnd w:id="51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154" w:right="985"/>
        <w:jc w:val="left"/>
      </w:pPr>
      <w:r>
        <w:rPr/>
        <w:t>本年无转移应收账款且继续涉入形成的资产、负债金额。</w:t>
      </w:r>
    </w:p>
    <w:p>
      <w:pPr>
        <w:pStyle w:val="BodyText"/>
        <w:spacing w:line="240" w:lineRule="auto" w:before="88"/>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其他应收款" w:id="513"/>
      <w:bookmarkEnd w:id="51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其他应收款分类披露" w:id="514"/>
      <w:bookmarkEnd w:id="51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179,141,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719.14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179,141,7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19.14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237,732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,044.93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237,732,04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4.93</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17,639,7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3,498,12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14,141,66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22,305,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542.84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3,447,367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18,858,175.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48"/>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16,872,0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93.70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16,872,09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12,553,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154.61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12,553,154.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213,653,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602.57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3,498,12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210,155,4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272,590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,742.38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3,447,367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269,143,37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远光软件（北京）有限公</w:t>
            </w:r>
            <w:r>
              <w:rPr>
                <w:rFonts w:ascii="宋体" w:hAnsi="宋体" w:cs="宋体" w:eastAsia="宋体" w:hint="default"/>
                <w:sz w:val="18"/>
                <w:szCs w:val="18"/>
              </w:rPr>
              <w:t>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70,909,176.91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50,766,527.66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远光资本管理（横琴）有</w:t>
            </w:r>
            <w:r>
              <w:rPr>
                <w:rFonts w:ascii="宋体" w:hAnsi="宋体" w:cs="宋体" w:eastAsia="宋体" w:hint="default"/>
                <w:sz w:val="18"/>
                <w:szCs w:val="18"/>
              </w:rPr>
              <w:t>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远光智和卓源（北京）科</w:t>
            </w:r>
            <w:r>
              <w:rPr>
                <w:rFonts w:ascii="宋体" w:hAnsi="宋体" w:cs="宋体" w:eastAsia="宋体" w:hint="default"/>
                <w:sz w:val="18"/>
                <w:szCs w:val="18"/>
              </w:rPr>
              <w:t> 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23,136,014.57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179,141,719.14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12,371,977.29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618,598.86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2,332,101.75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233,210.18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361,740.96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72,348.19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2,573,969.73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2,573,969.73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17,639,789.73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3,498,126.96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本期计提、收回或转回的坏账准备情况" w:id="515"/>
      <w:bookmarkEnd w:id="51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682"/>
        <w:jc w:val="left"/>
      </w:pPr>
      <w:r>
        <w:rPr/>
        <w:t>本期计提坏账准备金额</w:t>
      </w:r>
      <w:r>
        <w:rPr>
          <w:spacing w:val="-46"/>
        </w:rPr>
        <w:t> </w:t>
      </w:r>
      <w:r>
        <w:rPr>
          <w:rFonts w:ascii="Times New Roman" w:hAnsi="Times New Roman" w:cs="Times New Roman" w:eastAsia="Times New Roman" w:hint="default"/>
        </w:rPr>
        <w:t>50,759.34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after="0" w:line="338"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r>
        <w:rPr/>
        <w:pict>
          <v:group style="position:absolute;margin-left:141.139999pt;margin-top:715.859985pt;width:77.1pt;height:34.8pt;mso-position-horizontal-relative:page;mso-position-vertical-relative:page;z-index:-1205632" coordorigin="2823,14317" coordsize="1542,696">
            <v:group style="position:absolute;left:2823;top:14317;width:1542;height:292" coordorigin="2823,14317" coordsize="1542,292">
              <v:shape style="position:absolute;left:2823;top:14317;width:1542;height:292" coordorigin="2823,14317" coordsize="1542,292" path="m2823,14609l4365,14609,4365,14317,2823,14317,2823,14609xe" filled="true" fillcolor="#ffffff" stroked="false">
                <v:path arrowok="t"/>
                <v:fill type="solid"/>
              </v:shape>
            </v:group>
            <v:group style="position:absolute;left:2835;top:14609;width:2;height:393" coordorigin="2835,14609" coordsize="2,393">
              <v:shape style="position:absolute;left:2835;top:14609;width:2;height:393" coordorigin="2835,14609" coordsize="0,393" path="m2835,14609l2835,15001e" filled="false" stroked="true" strokeweight="1.2pt" strokecolor="#ffffff">
                <v:path arrowok="t"/>
              </v:shape>
            </v:group>
            <v:group style="position:absolute;left:2847;top:14609;width:1494;height:393" coordorigin="2847,14609" coordsize="1494,393">
              <v:shape style="position:absolute;left:2847;top:14609;width:1494;height:393" coordorigin="2847,14609" coordsize="1494,393" path="m2847,15001l4341,15001,4341,14609,2847,14609,2847,15001xe" filled="true" fillcolor="#ffffff" stroked="false">
                <v:path arrowok="t"/>
                <v:fill type="solid"/>
              </v:shape>
            </v:group>
            <w10:wrap type="none"/>
          </v:group>
        </w:pict>
      </w: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本期实际核销的其他应收款情况" w:id="516"/>
      <w:bookmarkEnd w:id="51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985"/>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985"/>
        <w:jc w:val="left"/>
      </w:pPr>
      <w:r>
        <w:rPr/>
        <w:t>其他应收款核销说明：</w:t>
      </w:r>
    </w:p>
    <w:p>
      <w:pPr>
        <w:pStyle w:val="Heading3"/>
        <w:spacing w:line="240" w:lineRule="auto" w:before="65"/>
        <w:ind w:left="154" w:right="985"/>
        <w:jc w:val="left"/>
      </w:pPr>
      <w:r>
        <w:rPr/>
        <w:t>本年无实际核销的其他应收款情况</w:t>
      </w:r>
    </w:p>
    <w:p>
      <w:pPr>
        <w:spacing w:line="240" w:lineRule="auto" w:before="9"/>
        <w:rPr>
          <w:rFonts w:ascii="宋体" w:hAnsi="宋体" w:cs="宋体" w:eastAsia="宋体" w:hint="default"/>
          <w:sz w:val="24"/>
          <w:szCs w:val="24"/>
        </w:rPr>
      </w:pPr>
    </w:p>
    <w:p>
      <w:pPr>
        <w:pStyle w:val="Heading4"/>
        <w:spacing w:line="240" w:lineRule="auto"/>
        <w:ind w:left="154" w:right="985"/>
        <w:jc w:val="left"/>
        <w:rPr>
          <w:b w:val="0"/>
          <w:bCs w:val="0"/>
        </w:rPr>
      </w:pPr>
      <w:bookmarkStart w:name="（4）其他应收款按款项性质分类情况" w:id="517"/>
      <w:bookmarkEnd w:id="51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198,301,144.63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251,938,983.89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13,242,138.93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14,164,887.93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2,110,319.01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6,486,870.56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213,653,602.57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272,590,742.38</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5）按欠款方归集的期末余额前五名的其他应收款情况" w:id="518"/>
      <w:bookmarkEnd w:id="51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227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9"/>
              <w:jc w:val="left"/>
              <w:rPr>
                <w:rFonts w:ascii="宋体" w:hAnsi="宋体" w:cs="宋体" w:eastAsia="宋体" w:hint="default"/>
                <w:sz w:val="18"/>
                <w:szCs w:val="18"/>
              </w:rPr>
            </w:pPr>
            <w:r>
              <w:rPr>
                <w:rFonts w:ascii="宋体" w:hAnsi="宋体" w:cs="宋体" w:eastAsia="宋体" w:hint="default"/>
                <w:sz w:val="18"/>
                <w:szCs w:val="18"/>
              </w:rPr>
              <w:t>远光软件（北京）有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70,909,176.91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15,353,971.89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5,492,176.72</w:t>
            </w:r>
          </w:p>
          <w:p>
            <w:pPr>
              <w:pStyle w:val="TableParagraph"/>
              <w:tabs>
                <w:tab w:pos="472" w:val="left" w:leader="none"/>
              </w:tabs>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tab/>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8,700,789.00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年以上</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41,362,239.30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远光共创智能科技股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50,766,527.66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985"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pacing w:val="-10"/>
                <w:sz w:val="18"/>
                <w:szCs w:val="18"/>
              </w:rPr>
              <w:t>远光资本管理（横琴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34,330,000.00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32,650,000.00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16.07%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pacing w:val="-10"/>
                <w:sz w:val="18"/>
                <w:szCs w:val="18"/>
              </w:rPr>
              <w:t>远光智和卓源（北京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往来款</w:t>
            </w:r>
          </w:p>
          <w:p>
            <w:pPr>
              <w:pStyle w:val="TableParagraph"/>
              <w:spacing w:line="716" w:lineRule="exact"/>
              <w:ind w:right="-36"/>
              <w:jc w:val="left"/>
              <w:rPr>
                <w:rFonts w:ascii="宋体" w:hAnsi="宋体" w:cs="宋体" w:eastAsia="宋体" w:hint="default"/>
                <w:sz w:val="20"/>
                <w:szCs w:val="20"/>
              </w:rPr>
            </w:pPr>
            <w:r>
              <w:rPr>
                <w:rFonts w:ascii="宋体" w:hAnsi="宋体" w:cs="宋体" w:eastAsia="宋体" w:hint="default"/>
                <w:position w:val="-13"/>
                <w:sz w:val="20"/>
                <w:szCs w:val="20"/>
              </w:rPr>
              <w:pict>
                <v:group style="width:77.1pt;height:35.85pt;mso-position-horizontal-relative:char;mso-position-vertical-relative:line" coordorigin="0,0" coordsize="1542,717">
                  <v:group style="position:absolute;left:0;top:0;width:1542;height:312" coordorigin="0,0" coordsize="1542,312">
                    <v:shape style="position:absolute;left:0;top:0;width:1542;height:312" coordorigin="0,0" coordsize="1542,312" path="m0,312l1542,312,1542,0,0,0,0,312xe" filled="true" fillcolor="#ffffff" stroked="false">
                      <v:path arrowok="t"/>
                      <v:fill type="solid"/>
                    </v:shape>
                  </v:group>
                  <v:group style="position:absolute;left:12;top:312;width:2;height:393" coordorigin="12,312" coordsize="2,393">
                    <v:shape style="position:absolute;left:12;top:312;width:2;height:393" coordorigin="12,312" coordsize="0,393" path="m12,312l12,704e" filled="false" stroked="true" strokeweight="1.2pt" strokecolor="#ffffff">
                      <v:path arrowok="t"/>
                    </v:shape>
                  </v:group>
                  <v:group style="position:absolute;left:24;top:312;width:1494;height:393" coordorigin="24,312" coordsize="1494,393">
                    <v:shape style="position:absolute;left:24;top:312;width:1494;height:393" coordorigin="24,312" coordsize="1494,393" path="m24,704l1518,704,1518,312,24,312,24,704xe" filled="true" fillcolor="#ffffff" stroked="false">
                      <v:path arrowok="t"/>
                      <v:fill type="solid"/>
                    </v:shape>
                  </v:group>
                </v:group>
              </w:pict>
            </w:r>
            <w:r>
              <w:rPr>
                <w:rFonts w:ascii="宋体" w:hAnsi="宋体" w:cs="宋体" w:eastAsia="宋体" w:hint="default"/>
                <w:position w:val="-13"/>
                <w:sz w:val="20"/>
                <w:szCs w:val="20"/>
              </w:rPr>
            </w:r>
          </w:p>
          <w:p>
            <w:pPr>
              <w:pStyle w:val="TableParagraph"/>
              <w:spacing w:line="240" w:lineRule="auto" w:before="13"/>
              <w:ind w:right="0"/>
              <w:jc w:val="left"/>
              <w:rPr>
                <w:rFonts w:ascii="宋体" w:hAnsi="宋体" w:cs="宋体" w:eastAsia="宋体" w:hint="default"/>
                <w:sz w:val="22"/>
                <w:szCs w:val="22"/>
              </w:rPr>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23,136,014.57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1,429,143.18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21,706,871.39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珠海远光移动互联科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15,618,018.24</w:t>
            </w:r>
          </w:p>
        </w:tc>
        <w:tc>
          <w:tcPr>
            <w:tcW w:w="155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4,450,684.36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9,793,808.28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1,373,525.60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tabs>
                <w:tab w:pos="1110" w:val="left" w:leader="none"/>
              </w:tabs>
              <w:spacing w:line="240" w:lineRule="auto"/>
              <w:ind w:left="-14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7.31%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194,759,737.38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r>
        <w:rPr/>
        <w:pict>
          <v:group style="position:absolute;margin-left:375.100006pt;margin-top:-83.966324pt;width:78pt;height:19.650pt;mso-position-horizontal-relative:page;mso-position-vertical-relative:paragraph;z-index:-1205584" coordorigin="7502,-1679" coordsize="1560,393">
            <v:shape style="position:absolute;left:7502;top:-1679;width:1560;height:393" coordorigin="7502,-1679" coordsize="1560,393" path="m7502,-1287l9061,-1287,9061,-1679,7502,-1679,7502,-1287xe" filled="true" fillcolor="#ffffff" stroked="false">
              <v:path arrowok="t"/>
              <v:fill type="solid"/>
            </v:shape>
            <w10:wrap type="none"/>
          </v:group>
        </w:pict>
      </w:r>
      <w:bookmarkStart w:name="（6）涉及政府补助的应收款项" w:id="519"/>
      <w:bookmarkEnd w:id="51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54" w:right="985"/>
        <w:jc w:val="left"/>
        <w:rPr>
          <w:b w:val="0"/>
          <w:bCs w:val="0"/>
        </w:rPr>
      </w:pPr>
      <w:bookmarkStart w:name="（7）因金融资产转移而终止确认的其他应收款" w:id="520"/>
      <w:bookmarkEnd w:id="52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8）转移其他应收款且继续涉入形成的资产、负债金额" w:id="521"/>
      <w:bookmarkEnd w:id="52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长期股权投资" w:id="522"/>
      <w:bookmarkEnd w:id="52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273,861,196.00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272,597,660.21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114,690,000.00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48,101,470.65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48,101,470.65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31,506,531.35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31,506,531.35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321,962,666.65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320,699,130.86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146,196,531.35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146,196,531.35</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1）对子公司投资" w:id="523"/>
      <w:bookmarkEnd w:id="52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远光资本管理（横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琴）有限公司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6,600,000.00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73,400,000.00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80,000,000.00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远光软件（北京）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远光软件（武汉）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珠海远光软件产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珠海高远电能科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珠海远光移动互 联科技有限公司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远光能源互联网 产业发展（横琴）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杭州昊美科技有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75,771,196.00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75,771,196.00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114,690,000.00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159,171,196.00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273,861,196.00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1,263,535.79</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2）对联营、合营企业投资" w:id="524"/>
      <w:bookmarkEnd w:id="52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北京融和 晟源售电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31,506,53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1,174,817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1,139,878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31,541,47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绍兴柯桥 天堂硅谷 远光股权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16,560,00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16,560,00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31,506,53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16,560,00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1,174,817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1,139,878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48,101,47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31,506,53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16,560,00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1,174,817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1,139,878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48,101,47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3）其他说明" w:id="525"/>
      <w:bookmarkEnd w:id="52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4、营业收入和营业成本" w:id="526"/>
      <w:bookmarkEnd w:id="52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1,040,543,315.03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381,873,729.22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1,010,991,214.23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466,106,613.39</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4,335,298.51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1,119,683.48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4,262,704.79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995,636.73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1,044,878,613.54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382,993,412.70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1,015,253,919.02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467,102,250.12</w:t>
            </w:r>
          </w:p>
        </w:tc>
      </w:tr>
    </w:tbl>
    <w:p>
      <w:pPr>
        <w:pStyle w:val="BodyText"/>
        <w:spacing w:line="240" w:lineRule="auto" w:before="51"/>
        <w:ind w:left="154"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投资收益" w:id="527"/>
      <w:bookmarkEnd w:id="52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1,174,817.51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1,266,531.35</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9,099,081.74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10,258,512.88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14,273,899.25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11,525,044.23</w:t>
            </w:r>
          </w:p>
        </w:tc>
      </w:tr>
    </w:tbl>
    <w:p>
      <w:pPr>
        <w:spacing w:line="240" w:lineRule="auto" w:before="2"/>
        <w:rPr>
          <w:rFonts w:ascii="宋体" w:hAnsi="宋体" w:cs="宋体" w:eastAsia="宋体" w:hint="default"/>
          <w:sz w:val="19"/>
          <w:szCs w:val="19"/>
        </w:rPr>
      </w:pPr>
    </w:p>
    <w:p>
      <w:pPr>
        <w:pStyle w:val="Heading4"/>
        <w:spacing w:line="240" w:lineRule="auto" w:before="35"/>
        <w:ind w:left="154" w:right="985"/>
        <w:jc w:val="left"/>
        <w:rPr>
          <w:b w:val="0"/>
          <w:bCs w:val="0"/>
        </w:rPr>
      </w:pPr>
      <w:bookmarkStart w:name="6、其他" w:id="528"/>
      <w:bookmarkEnd w:id="52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985"/>
        <w:jc w:val="left"/>
        <w:rPr>
          <w:b w:val="0"/>
          <w:bCs w:val="0"/>
        </w:rPr>
      </w:pPr>
      <w:bookmarkStart w:name="十八、补充资料" w:id="529"/>
      <w:bookmarkEnd w:id="52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当期非经常性损益明细表" w:id="530"/>
      <w:bookmarkEnd w:id="5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697,813.88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13,366,738.88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10,531,459.51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1,627,443.86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2,573,709.95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2,144,338.87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21,505,407.31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净资产收益率及每股收益" w:id="531"/>
      <w:bookmarkEnd w:id="5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0.2862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0.2502</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985"/>
        <w:jc w:val="left"/>
        <w:rPr>
          <w:b w:val="0"/>
          <w:bCs w:val="0"/>
        </w:rPr>
      </w:pPr>
      <w:bookmarkStart w:name="3、境内外会计准则下会计数据差异" w:id="532"/>
      <w:bookmarkEnd w:id="53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985"/>
        <w:jc w:val="left"/>
        <w:rPr>
          <w:b w:val="0"/>
          <w:bCs w:val="0"/>
        </w:rPr>
      </w:pPr>
      <w:bookmarkStart w:name="（1）同时按照国际会计准则与按中国会计准则披露的财务报告中净利润和净资产差异情况" w:id="533"/>
      <w:bookmarkEnd w:id="53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2）同时按照境外会计准则与按中国会计准则披露的财务报告中净利润和净资产差异情况" w:id="534"/>
      <w:bookmarkEnd w:id="53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985"/>
        <w:jc w:val="left"/>
        <w:rPr>
          <w:b w:val="0"/>
          <w:bCs w:val="0"/>
        </w:rPr>
      </w:pPr>
      <w:bookmarkStart w:name="（3）境内外会计准则下会计数据差异原因说明，对已经境外审计机构审计的数据进行差异" w:id="535"/>
      <w:bookmarkEnd w:id="53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其他" w:id="536"/>
      <w:bookmarkEnd w:id="53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747"/>
        <w:jc w:val="center"/>
        <w:rPr>
          <w:b w:val="0"/>
          <w:bCs w:val="0"/>
        </w:rPr>
      </w:pPr>
      <w:bookmarkStart w:name="第十二节 备查文件目录" w:id="537"/>
      <w:bookmarkEnd w:id="537"/>
      <w:r>
        <w:rPr>
          <w:b w:val="0"/>
          <w:bCs w:val="0"/>
        </w:rPr>
      </w:r>
      <w:bookmarkStart w:name="_bookmark11" w:id="538"/>
      <w:bookmarkEnd w:id="538"/>
      <w:r>
        <w:rPr>
          <w:b w:val="0"/>
          <w:bCs w:val="0"/>
        </w:rPr>
      </w:r>
      <w:r>
        <w:rPr/>
        <w:t>第十二节</w:t>
      </w:r>
      <w:r>
        <w:rPr>
          <w:spacing w:val="-8"/>
        </w:rPr>
        <w:t> </w:t>
      </w:r>
      <w:r>
        <w:rPr/>
        <w:t>备查文件目录</w:t>
      </w:r>
      <w:r>
        <w:rPr>
          <w:b w:val="0"/>
          <w:bCs w:val="0"/>
        </w:rPr>
      </w:r>
    </w:p>
    <w:p>
      <w:pPr>
        <w:spacing w:line="240" w:lineRule="auto" w:before="9"/>
        <w:rPr>
          <w:rFonts w:ascii="宋体" w:hAnsi="宋体" w:cs="宋体" w:eastAsia="宋体" w:hint="default"/>
          <w:b/>
          <w:bCs/>
          <w:sz w:val="38"/>
          <w:szCs w:val="38"/>
        </w:rPr>
      </w:pPr>
    </w:p>
    <w:p>
      <w:pPr>
        <w:pStyle w:val="Heading3"/>
        <w:spacing w:line="240" w:lineRule="auto"/>
        <w:ind w:right="1153"/>
        <w:jc w:val="left"/>
      </w:pPr>
      <w:r>
        <w:rPr/>
        <w:t>（一）载有公司负责人、主管会计工作负责人、会计机构负责人（会计主管人员）签名并盖 章的财务报表。</w:t>
      </w:r>
    </w:p>
    <w:p>
      <w:pPr>
        <w:pStyle w:val="Heading3"/>
        <w:spacing w:line="240" w:lineRule="auto" w:before="38"/>
        <w:ind w:right="985"/>
        <w:jc w:val="left"/>
      </w:pPr>
      <w:r>
        <w:rPr/>
        <w:t>（二）载有会计师事务所盖章、注册会计师签名并盖章的审计报告原件。</w:t>
      </w:r>
    </w:p>
    <w:p>
      <w:pPr>
        <w:pStyle w:val="Heading3"/>
        <w:spacing w:line="240" w:lineRule="auto" w:before="37"/>
        <w:ind w:right="985"/>
        <w:jc w:val="left"/>
      </w:pPr>
      <w:r>
        <w:rPr/>
        <w:t>（三）报告期内在中国证监会指定网站上公开披露过的所有公司文件的正本及公告的原稿。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06712" type="#_x0000_t75" stroked="false">
          <v:imagedata r:id="rId1" o:title=""/>
        </v:shape>
      </w:pict>
    </w:r>
    <w:r>
      <w:rPr/>
      <w:pict>
        <v:shape style="position:absolute;margin-left:533.179993pt;margin-top:795.517944pt;width:6.5pt;height:11pt;mso-position-horizontal-relative:page;mso-position-vertical-relative:page;z-index:-12066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06664" type="#_x0000_t75" stroked="false">
          <v:imagedata r:id="rId1" o:title=""/>
        </v:shape>
      </w:pict>
    </w:r>
    <w:r>
      <w:rPr/>
      <w:pict>
        <v:shape style="position:absolute;margin-left:527.679993pt;margin-top:781.957947pt;width:13pt;height:11pt;mso-position-horizontal-relative:page;mso-position-vertical-relative:page;z-index:-12066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06616" type="#_x0000_t75" stroked="false">
          <v:imagedata r:id="rId1" o:title=""/>
        </v:shape>
      </w:pict>
    </w:r>
    <w:r>
      <w:rPr/>
      <w:pict>
        <v:shape style="position:absolute;margin-left:524.179993pt;margin-top:781.957947pt;width:15.5pt;height:11pt;mso-position-horizontal-relative:page;mso-position-vertical-relative:page;z-index:-12065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06568" type="#_x0000_t75" stroked="false">
          <v:imagedata r:id="rId1" o:title=""/>
        </v:shape>
      </w:pict>
    </w:r>
    <w:r>
      <w:rPr/>
      <w:pict>
        <v:shape style="position:absolute;margin-left:523.179993pt;margin-top:781.957947pt;width:17.5pt;height:11pt;mso-position-horizontal-relative:page;mso-position-vertical-relative:page;z-index:-12065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06520" type="#_x0000_t75" stroked="false">
          <v:imagedata r:id="rId1" o:title=""/>
        </v:shape>
      </w:pict>
    </w:r>
    <w:r>
      <w:rPr/>
      <w:pict>
        <v:shape style="position:absolute;margin-left:524.179993pt;margin-top:781.957947pt;width:15.5pt;height:11pt;mso-position-horizontal-relative:page;mso-position-vertical-relative:page;z-index:-120649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06472" type="#_x0000_t75" stroked="false">
          <v:imagedata r:id="rId1" o:title=""/>
        </v:shape>
      </w:pict>
    </w:r>
    <w:r>
      <w:rPr/>
      <w:pict>
        <v:shape style="position:absolute;margin-left:523.179993pt;margin-top:781.957947pt;width:17.5pt;height:11pt;mso-position-horizontal-relative:page;mso-position-vertical-relative:page;z-index:-12064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206736"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spacing w:before="44"/>
      <w:ind w:left="153"/>
    </w:pPr>
    <w:rPr>
      <w:rFonts w:ascii="宋体" w:hAnsi="宋体" w:eastAsia="宋体"/>
      <w:sz w:val="18"/>
      <w:szCs w:val="18"/>
    </w:rPr>
  </w:style>
  <w:style w:styleId="Heading1" w:type="paragraph">
    <w:name w:val="Heading 1"/>
    <w:basedOn w:val="Normal"/>
    <w:uiPriority w:val="1"/>
    <w:qFormat/>
    <w:pPr>
      <w:spacing w:before="1"/>
      <w:ind w:left="76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ygsoft.com/" TargetMode="External"/><Relationship Id="rId9" Type="http://schemas.openxmlformats.org/officeDocument/2006/relationships/hyperlink" Target="mailto:ygstock@ygsoft.com" TargetMode="External"/><Relationship Id="rId10" Type="http://schemas.openxmlformats.org/officeDocument/2006/relationships/hyperlink" Target="http://www.cninfo.com.cn/" TargetMode="External"/><Relationship Id="rId11" Type="http://schemas.openxmlformats.org/officeDocument/2006/relationships/hyperlink" Target="http://irm.cninfo.com.cn/ircs/ssgs/compa" TargetMode="External"/><Relationship Id="rId12" Type="http://schemas.openxmlformats.org/officeDocument/2006/relationships/image" Target="media/image2.jpeg"/><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远光软件股份有限公司</dc:creator>
  <dc:title>远光软件股份有限公司2017年年度报告全文</dc:title>
  <dcterms:created xsi:type="dcterms:W3CDTF">2020-05-02T21:09:27Z</dcterms:created>
  <dcterms:modified xsi:type="dcterms:W3CDTF">2020-05-02T21:09:27Z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