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3144" w:right="4125" w:firstLine="0"/>
        <w:jc w:val="center"/>
        <w:rPr>
          <w:rFonts w:ascii="宋体" w:hAnsi="宋体" w:cs="宋体" w:eastAsia="宋体" w:hint="default"/>
          <w:sz w:val="36"/>
          <w:szCs w:val="36"/>
        </w:rPr>
      </w:pPr>
      <w:r>
        <w:rPr/>
        <w:pict>
          <v:group style="position:absolute;margin-left:55.223999pt;margin-top:-84.566536pt;width:485pt;height:.1pt;mso-position-horizontal-relative:page;mso-position-vertical-relative:paragraph;z-index:0" coordorigin="1104,-1691" coordsize="9700,2">
            <v:shape style="position:absolute;left:1104;top:-1691;width:9700;height:2" coordorigin="1104,-1691" coordsize="9700,0" path="m1104,-1691l10804,-1691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3144" w:right="41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3144" w:right="411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公司负责人陈利浩、主管会计工作负责人毛华夏及会计机构负责人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毛华夏声明：保证年度报告中财务报告的真实、准确、完整。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本报告中所涉及未来的经营计划和经营目标，并不代表公司的盈利预测，</w:t>
      </w:r>
      <w:r>
        <w:rPr>
          <w:rFonts w:ascii="宋体" w:hAnsi="宋体" w:cs="宋体" w:eastAsia="宋体" w:hint="default"/>
          <w:spacing w:val="4"/>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也不构成公司对投资者的实质承诺，能否实现取决于市场状况变化等多种因素，</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72" w:lineRule="auto" w:before="0"/>
        <w:ind w:left="714" w:right="0" w:hanging="562"/>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存在不确定性，请投资者注意投资风险。</w:t>
      </w:r>
      <w:r>
        <w:rPr>
          <w:rFonts w:ascii="宋体" w:hAnsi="宋体" w:cs="宋体" w:eastAsia="宋体" w:hint="default"/>
          <w:b/>
          <w:bCs/>
          <w:w w:val="99"/>
          <w:sz w:val="28"/>
          <w:szCs w:val="28"/>
        </w:rPr>
        <w:t> </w:t>
      </w:r>
      <w:r>
        <w:rPr>
          <w:rFonts w:ascii="宋体" w:hAnsi="宋体" w:cs="宋体" w:eastAsia="宋体" w:hint="default"/>
          <w:b/>
          <w:bCs/>
          <w:spacing w:val="8"/>
          <w:sz w:val="28"/>
          <w:szCs w:val="28"/>
        </w:rPr>
        <w:t>公司在本报告第四节</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经营情况讨论与分析</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中</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九</w:t>
      </w:r>
      <w:r>
        <w:rPr>
          <w:rFonts w:ascii="宋体" w:hAnsi="宋体" w:cs="宋体" w:eastAsia="宋体" w:hint="default"/>
          <w:b/>
          <w:bCs/>
          <w:spacing w:val="-61"/>
          <w:sz w:val="28"/>
          <w:szCs w:val="28"/>
        </w:rPr>
        <w:t> </w:t>
      </w:r>
      <w:r>
        <w:rPr>
          <w:rFonts w:ascii="宋体" w:hAnsi="宋体" w:cs="宋体" w:eastAsia="宋体" w:hint="default"/>
          <w:b/>
          <w:bCs/>
          <w:spacing w:val="8"/>
          <w:sz w:val="28"/>
          <w:szCs w:val="28"/>
        </w:rPr>
        <w:t>公司未来发展的展望</w:t>
      </w:r>
      <w:r>
        <w:rPr>
          <w:rFonts w:ascii="Times New Roman" w:hAnsi="Times New Roman" w:cs="Times New Roman" w:eastAsia="Times New Roman" w:hint="default"/>
          <w:b/>
          <w:bCs/>
          <w:spacing w:val="8"/>
          <w:sz w:val="28"/>
          <w:szCs w:val="28"/>
        </w:rPr>
        <w:t>”</w:t>
      </w:r>
      <w:r>
        <w:rPr>
          <w:rFonts w:ascii="Times New Roman" w:hAnsi="Times New Roman" w:cs="Times New Roman" w:eastAsia="Times New Roman" w:hint="default"/>
          <w:spacing w:val="8"/>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部分，描述了公司未来经营中可能面临的风险以及</w:t>
      </w:r>
      <w:r>
        <w:rPr>
          <w:rFonts w:ascii="宋体" w:hAnsi="宋体" w:cs="宋体" w:eastAsia="宋体" w:hint="default"/>
          <w:b/>
          <w:bCs/>
          <w:spacing w:val="-104"/>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38"/>
          <w:sz w:val="28"/>
          <w:szCs w:val="28"/>
        </w:rPr>
        <w:t> </w:t>
      </w:r>
      <w:r>
        <w:rPr>
          <w:rFonts w:ascii="宋体" w:hAnsi="宋体" w:cs="宋体" w:eastAsia="宋体" w:hint="default"/>
          <w:b/>
          <w:bCs/>
          <w:sz w:val="28"/>
          <w:szCs w:val="28"/>
        </w:rPr>
        <w:t>年度经营计划，敬请广</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大投资者注意查阅。</w:t>
      </w:r>
      <w:r>
        <w:rPr>
          <w:rFonts w:ascii="宋体" w:hAnsi="宋体" w:cs="宋体" w:eastAsia="宋体" w:hint="default"/>
          <w:spacing w:val="2"/>
          <w:sz w:val="28"/>
          <w:szCs w:val="28"/>
        </w:rPr>
      </w:r>
    </w:p>
    <w:p>
      <w:pPr>
        <w:spacing w:line="240" w:lineRule="auto" w:before="6"/>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848,066,240</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全体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派发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55</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4"/>
          <w:w w:val="99"/>
          <w:sz w:val="28"/>
          <w:szCs w:val="28"/>
        </w:rPr>
        <w:t>元</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4"/>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9"/>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4"/>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3144" w:right="4118"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52"/>
          <w:szCs w:val="5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9</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5" w:val="right" w:leader="dot"/>
            </w:tabs>
            <w:spacing w:line="240" w:lineRule="auto" w:before="280"/>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64</w:t>
            </w:r>
          </w:hyperlink>
        </w:p>
        <w:p>
          <w:pPr>
            <w:pStyle w:val="TOC1"/>
            <w:tabs>
              <w:tab w:pos="9785" w:val="right" w:leader="dot"/>
            </w:tabs>
            <w:spacing w:line="240" w:lineRule="auto" w:before="280"/>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65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66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80</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86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3"/>
              </w:rPr>
              <w:t> </w:t>
            </w:r>
            <w:r>
              <w:rPr/>
              <w:t>财务报告</w:t>
            </w:r>
            <w:r>
              <w:rPr>
                <w:rFonts w:ascii="Times New Roman" w:hAnsi="Times New Roman" w:cs="Times New Roman" w:eastAsia="Times New Roman" w:hint="default"/>
              </w:rPr>
              <w:tab/>
              <w:t>87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3"/>
              </w:rPr>
              <w:t> </w:t>
            </w:r>
            <w:r>
              <w:rPr/>
              <w:t>备查文件目录</w:t>
            </w:r>
            <w:r>
              <w:rPr>
                <w:rFonts w:ascii="Times New Roman" w:hAnsi="Times New Roman" w:cs="Times New Roman" w:eastAsia="Times New Roman" w:hint="default"/>
              </w:rPr>
              <w:tab/>
              <w:t>242</w:t>
            </w:r>
          </w:hyperlink>
        </w:p>
        <w:p>
          <w:pPr/>
          <w:r>
            <w:fldChar w:fldCharType="end"/>
          </w:r>
        </w:p>
      </w:sdtContent>
    </w:sdt>
    <w:p>
      <w:pPr>
        <w:spacing w:after="0"/>
        <w:sectPr>
          <w:pgSz w:w="11910" w:h="16840"/>
          <w:pgMar w:header="741" w:footer="979" w:top="1060" w:bottom="1160" w:left="980" w:right="0"/>
        </w:sectPr>
      </w:pPr>
    </w:p>
    <w:p>
      <w:pPr>
        <w:spacing w:before="954"/>
        <w:ind w:left="3144" w:right="41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公司、本公司、远光软件</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中国证券监督管理委员会广东监管局</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远光软件股份有限公司章程</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远光软件股份有限公司股东大会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远光软件股份有限公司董事会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远光软件股份有限公司监事会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国网电商</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远光广安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南京远光广安信息科技有限公司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瑞翔科技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长沙远光瑞翔科技有限公司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昊美科技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国家电网、国网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南方电网、南网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1.190002pt;margin-top:292.275970pt;width:362.8pt;height:20.95pt;mso-position-horizontal-relative:page;mso-position-vertical-relative:page;z-index:-1385224" coordorigin="3424,5846" coordsize="7256,419">
            <v:group style="position:absolute;left:3436;top:5858;width:2;height:395" coordorigin="3436,5858" coordsize="2,395">
              <v:shape style="position:absolute;left:3436;top:5858;width:2;height:395" coordorigin="3436,5858" coordsize="0,395" path="m3436,5858l3436,6252e" filled="false" stroked="true" strokeweight="1.2pt" strokecolor="#ffffff">
                <v:path arrowok="t"/>
              </v:shape>
            </v:group>
            <v:group style="position:absolute;left:3448;top:5858;width:7232;height:395" coordorigin="3448,5858" coordsize="7232,395">
              <v:shape style="position:absolute;left:3448;top:5858;width:7232;height:395" coordorigin="3448,5858" coordsize="7232,395" path="m3448,6252l10679,6252,10679,5858,3448,5858,3448,625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002063</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3"/>
                <w:sz w:val="18"/>
              </w:rPr>
              <w:t> </w:t>
            </w:r>
            <w:r>
              <w:rPr>
                <w:rFonts w:ascii="Times New Roman"/>
                <w:spacing w:val="-4"/>
                <w:sz w:val="18"/>
              </w:rPr>
              <w:t>Inc.</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YGSOFT</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广东省珠海市港湾大道科技一路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519085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广东省珠海市港湾大道科技一路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519085</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8">
              <w:r>
                <w:rPr>
                  <w:rFonts w:ascii="Times New Roman"/>
                  <w:spacing w:val="-3"/>
                  <w:sz w:val="18"/>
                </w:rPr>
                <w:t>http://www.ygsoft.com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陈利浩（代）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邓飞、周海霞</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pacing w:val="-3"/>
                <w:sz w:val="18"/>
                <w:szCs w:val="18"/>
              </w:rPr>
              <w:t>广东省珠海市港湾大道科技一路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广东省珠海市港湾大道科技一路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0756-3399888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0756-3399666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0">
              <w:r>
                <w:rPr>
                  <w:rFonts w:ascii="Times New Roman"/>
                  <w:spacing w:val="-3"/>
                  <w:sz w:val="18"/>
                </w:rPr>
                <w:t>http://www.cninfo.com.cn</w:t>
              </w:r>
            </w:hyperlink>
          </w:p>
        </w:tc>
      </w:tr>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91440400707956364B</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93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3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日披露《关于股东权益变动暨第一大股东变更的提示性公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w w:val="101"/>
                <w:sz w:val="18"/>
                <w:szCs w:val="18"/>
              </w:rPr>
              <w:t>告》（公告编号：</w:t>
            </w:r>
            <w:r>
              <w:rPr>
                <w:rFonts w:ascii="Times New Roman" w:hAnsi="Times New Roman" w:cs="Times New Roman" w:eastAsia="Times New Roman" w:hint="default"/>
                <w:spacing w:val="-7"/>
                <w:w w:val="101"/>
                <w:sz w:val="18"/>
                <w:szCs w:val="18"/>
              </w:rPr>
              <w:t>2019-010</w:t>
            </w:r>
            <w:r>
              <w:rPr>
                <w:rFonts w:ascii="宋体" w:hAnsi="宋体" w:cs="宋体" w:eastAsia="宋体" w:hint="default"/>
                <w:spacing w:val="-7"/>
                <w:w w:val="101"/>
                <w:sz w:val="18"/>
                <w:szCs w:val="18"/>
              </w:rPr>
              <w:t>），国网电商公司拟通过无偿划转形式受让其一致行动</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人国网福建省电力有限公司、国网吉林省电力有限公司合计持有的公司股份</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Times New Roman" w:hAnsi="Times New Roman" w:cs="Times New Roman" w:eastAsia="Times New Roman" w:hint="default"/>
                <w:sz w:val="18"/>
                <w:szCs w:val="18"/>
              </w:rPr>
              <w:t>90,275,039 </w:t>
            </w:r>
            <w:r>
              <w:rPr>
                <w:rFonts w:ascii="宋体" w:hAnsi="宋体" w:cs="宋体" w:eastAsia="宋体" w:hint="default"/>
                <w:spacing w:val="-3"/>
                <w:sz w:val="18"/>
                <w:szCs w:val="18"/>
              </w:rPr>
              <w:t>股。股份划转完成后，国网电商公司将成为公司第一大股东，公司无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控股股东及实际控制人。</w:t>
            </w:r>
          </w:p>
          <w:p>
            <w:pPr>
              <w:pStyle w:val="TableParagraph"/>
              <w:spacing w:line="307" w:lineRule="auto" w:before="59"/>
              <w:ind w:left="23" w:right="13"/>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日披露《关于公司股东签署一致行动人协议暨公司控制权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101"/>
                <w:sz w:val="18"/>
                <w:szCs w:val="18"/>
              </w:rPr>
              <w:t>发生变更的提示性公告》（公告编号：</w:t>
            </w:r>
            <w:r>
              <w:rPr>
                <w:rFonts w:ascii="Times New Roman" w:hAnsi="Times New Roman" w:cs="Times New Roman" w:eastAsia="Times New Roman" w:hint="default"/>
                <w:spacing w:val="-7"/>
                <w:w w:val="101"/>
                <w:sz w:val="18"/>
                <w:szCs w:val="18"/>
              </w:rPr>
              <w:t>2019-069</w:t>
            </w:r>
            <w:r>
              <w:rPr>
                <w:rFonts w:ascii="宋体" w:hAnsi="宋体" w:cs="宋体" w:eastAsia="宋体" w:hint="default"/>
                <w:spacing w:val="-7"/>
                <w:w w:val="101"/>
                <w:sz w:val="18"/>
                <w:szCs w:val="18"/>
              </w:rPr>
              <w:t>），国网电商公司与陈利浩先生、</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w w:val="101"/>
                <w:sz w:val="18"/>
                <w:szCs w:val="18"/>
              </w:rPr>
              <w:t>黄笑华先生签署《一致行动人协议》，国网电商公司成为公司控股股东，国务院国</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有资产监督管理委员会成为公司实际控制人。</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致同会计师事务所（特殊普通合伙）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北京市朝阳区建国门外大街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号赛特广场五层</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李恩成、余红</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深圳市福田区红岭中路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2068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号中深国际大厦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陈瑨、桑继春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公司聘请的报告期内履行持续督导职责的财务顾问</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1,565,208,558.82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1,278,381,650.64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1,179,258,733.12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226,707,159.85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194,695,651.63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172,272,603.75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185,073,550.07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168,804,547.73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150,767,196.44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186,617,104.47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142,551,750.65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107,131,433.68</w:t>
            </w:r>
          </w:p>
        </w:tc>
      </w:tr>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0.2292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0.2044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0.2292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0.2044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2,906,222,044.47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2,693,670,483.25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2,494,791,800.03</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2,477,531,654.01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2,253,857,449.49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1,992,481,874.65</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15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15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301,041,291.41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331,337,111.49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312,336,714.19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620,493,441.73</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6,860,169.44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73,448,370.68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53,859,352.20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92,539,267.53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6,646,145.09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72,137,777.50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52,324,815.60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53,964,811.88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-298,204,711.80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-128,833,315.12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-75,796,396.54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689,451,527.93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87"/>
        <w:gridCol w:w="1530"/>
        <w:gridCol w:w="1522"/>
        <w:gridCol w:w="1522"/>
        <w:gridCol w:w="1709"/>
      </w:tblGrid>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 w:right="0"/>
              <w:jc w:val="center"/>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31,278,842.21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6" w:right="0"/>
              <w:jc w:val="left"/>
              <w:rPr>
                <w:rFonts w:ascii="Times New Roman" w:hAnsi="Times New Roman" w:cs="Times New Roman" w:eastAsia="Times New Roman" w:hint="default"/>
                <w:sz w:val="18"/>
                <w:szCs w:val="18"/>
              </w:rPr>
            </w:pPr>
            <w:r>
              <w:rPr>
                <w:rFonts w:ascii="Times New Roman"/>
                <w:sz w:val="18"/>
              </w:rPr>
              <w:t>247,885.48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6" w:right="0"/>
              <w:jc w:val="left"/>
              <w:rPr>
                <w:rFonts w:ascii="Times New Roman" w:hAnsi="Times New Roman" w:cs="Times New Roman" w:eastAsia="Times New Roman" w:hint="default"/>
                <w:sz w:val="18"/>
                <w:szCs w:val="18"/>
              </w:rPr>
            </w:pPr>
            <w:r>
              <w:rPr>
                <w:rFonts w:ascii="Times New Roman"/>
                <w:sz w:val="18"/>
              </w:rPr>
              <w:t>697,813.88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center"/>
              <w:rPr>
                <w:rFonts w:ascii="宋体" w:hAnsi="宋体" w:cs="宋体" w:eastAsia="宋体" w:hint="default"/>
                <w:sz w:val="18"/>
                <w:szCs w:val="18"/>
              </w:rPr>
            </w:pPr>
            <w:r>
              <w:rPr>
                <w:rFonts w:ascii="宋体" w:hAnsi="宋体" w:cs="宋体" w:eastAsia="宋体" w:hint="default"/>
                <w:spacing w:val="-3"/>
                <w:sz w:val="18"/>
                <w:szCs w:val="18"/>
              </w:rPr>
              <w:t>其中，处置长期股权</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67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投资产生的投资收益</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31,330,996.31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7,959,242.72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15,370,925.78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13,366,738.88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84,044.53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8"/>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4,861,233.73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14,166,489.44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10,531,459.51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-617,648.01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1,107,338.15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1,627,443.86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1,426,206.35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3,174,552.95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2,573,709.95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505,899.05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1,826,982.00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2,144,338.87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41,633,609.78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25,891,103.90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21,505,407.31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993"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10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64" w:lineRule="auto" w:before="71"/>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公司是国内主流的企业管理、能源互联和社会服务的信息技术、产品和服务提供商，专注大型企业管</w:t>
      </w:r>
      <w:r>
        <w:rPr>
          <w:rFonts w:ascii="宋体" w:hAnsi="宋体" w:cs="宋体" w:eastAsia="宋体" w:hint="default"/>
          <w:w w:val="100"/>
          <w:sz w:val="21"/>
          <w:szCs w:val="21"/>
        </w:rPr>
        <w:t> </w:t>
      </w:r>
      <w:r>
        <w:rPr>
          <w:rFonts w:ascii="宋体" w:hAnsi="宋体" w:cs="宋体" w:eastAsia="宋体" w:hint="default"/>
          <w:sz w:val="21"/>
          <w:szCs w:val="21"/>
        </w:rPr>
        <w:t>理信息化逾</w:t>
      </w:r>
      <w:r>
        <w:rPr>
          <w:rFonts w:ascii="Times New Roman" w:hAnsi="Times New Roman" w:cs="Times New Roman" w:eastAsia="Times New Roman" w:hint="default"/>
          <w:sz w:val="21"/>
          <w:szCs w:val="21"/>
        </w:rPr>
        <w:t>30</w:t>
      </w:r>
      <w:r>
        <w:rPr>
          <w:rFonts w:ascii="宋体" w:hAnsi="宋体" w:cs="宋体" w:eastAsia="宋体" w:hint="default"/>
          <w:sz w:val="21"/>
          <w:szCs w:val="21"/>
        </w:rPr>
        <w:t>年，长期为能源行业企业提供信息化管理产品与服务。公司秉承</w:t>
      </w:r>
      <w:r>
        <w:rPr>
          <w:rFonts w:ascii="Times New Roman" w:hAnsi="Times New Roman" w:cs="Times New Roman" w:eastAsia="Times New Roman" w:hint="default"/>
          <w:sz w:val="21"/>
          <w:szCs w:val="21"/>
        </w:rPr>
        <w:t>“</w:t>
      </w:r>
      <w:r>
        <w:rPr>
          <w:rFonts w:ascii="宋体" w:hAnsi="宋体" w:cs="宋体" w:eastAsia="宋体" w:hint="default"/>
          <w:sz w:val="21"/>
          <w:szCs w:val="21"/>
        </w:rPr>
        <w:t>科技推动进步，创新引领</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发展</w:t>
      </w:r>
      <w:r>
        <w:rPr>
          <w:rFonts w:ascii="Times New Roman" w:hAnsi="Times New Roman" w:cs="Times New Roman" w:eastAsia="Times New Roman" w:hint="default"/>
          <w:sz w:val="21"/>
          <w:szCs w:val="21"/>
        </w:rPr>
        <w:t>”</w:t>
      </w:r>
      <w:r>
        <w:rPr>
          <w:rFonts w:ascii="宋体" w:hAnsi="宋体" w:cs="宋体" w:eastAsia="宋体" w:hint="default"/>
          <w:sz w:val="21"/>
          <w:szCs w:val="21"/>
        </w:rPr>
        <w:t>的企业理念，围绕集团管理、智慧能源、智能物联和数字社会等领域，深化产品技术创新、强化业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务模式变革，积极推动信息化产品的国产化、智能化，不断用信息技术为产业转型升级提供价值，为企业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管理、能源互联及社会服务提供支撑。</w:t>
      </w:r>
    </w:p>
    <w:p>
      <w:pPr>
        <w:spacing w:line="273" w:lineRule="auto" w:before="16"/>
        <w:ind w:left="153" w:right="0" w:firstLine="422"/>
        <w:jc w:val="left"/>
        <w:rPr>
          <w:rFonts w:ascii="宋体" w:hAnsi="宋体" w:cs="宋体" w:eastAsia="宋体" w:hint="default"/>
          <w:sz w:val="21"/>
          <w:szCs w:val="21"/>
        </w:rPr>
      </w:pPr>
      <w:r>
        <w:rPr>
          <w:rFonts w:ascii="宋体" w:hAnsi="宋体" w:cs="宋体" w:eastAsia="宋体" w:hint="default"/>
          <w:spacing w:val="-5"/>
          <w:sz w:val="21"/>
          <w:szCs w:val="21"/>
        </w:rPr>
        <w:t>报告期内，国网电商公司成为公司控股股东。国网电商公司是国家电网能源互联网的核心数据运营商。</w:t>
      </w:r>
      <w:r>
        <w:rPr>
          <w:rFonts w:ascii="宋体" w:hAnsi="宋体" w:cs="宋体" w:eastAsia="宋体" w:hint="default"/>
          <w:w w:val="100"/>
          <w:sz w:val="21"/>
          <w:szCs w:val="21"/>
        </w:rPr>
        <w:t> </w:t>
      </w:r>
      <w:r>
        <w:rPr>
          <w:rFonts w:ascii="宋体" w:hAnsi="宋体" w:cs="宋体" w:eastAsia="宋体" w:hint="default"/>
          <w:sz w:val="21"/>
          <w:szCs w:val="21"/>
        </w:rPr>
        <w:t>能源互联网以智能电网和电力物联网为基础，以能源技术与信息技术深度融合为标志，正在不断催生具有</w:t>
      </w:r>
      <w:r>
        <w:rPr>
          <w:rFonts w:ascii="宋体" w:hAnsi="宋体" w:cs="宋体" w:eastAsia="宋体" w:hint="default"/>
          <w:w w:val="100"/>
          <w:sz w:val="21"/>
          <w:szCs w:val="21"/>
        </w:rPr>
        <w:t> </w:t>
      </w:r>
      <w:r>
        <w:rPr>
          <w:rFonts w:ascii="宋体" w:hAnsi="宋体" w:cs="宋体" w:eastAsia="宋体" w:hint="default"/>
          <w:sz w:val="21"/>
          <w:szCs w:val="21"/>
        </w:rPr>
        <w:t>智能化、共享化、分布式等特征的能源服务的新模式、新业态，是基础能源行业发展的主要方向。公司不</w:t>
      </w:r>
      <w:r>
        <w:rPr>
          <w:rFonts w:ascii="宋体" w:hAnsi="宋体" w:cs="宋体" w:eastAsia="宋体" w:hint="default"/>
          <w:spacing w:val="-5"/>
          <w:w w:val="100"/>
          <w:sz w:val="21"/>
          <w:szCs w:val="21"/>
        </w:rPr>
        <w:t> </w:t>
      </w:r>
      <w:r>
        <w:rPr>
          <w:rFonts w:ascii="宋体" w:hAnsi="宋体" w:cs="宋体" w:eastAsia="宋体" w:hint="default"/>
          <w:sz w:val="21"/>
          <w:szCs w:val="21"/>
        </w:rPr>
        <w:t>断加大在能源互联网领域的投资和技术创新，并充分应用区块链、人工智能、云计算、物联网、大数据、</w:t>
      </w:r>
      <w:r>
        <w:rPr>
          <w:rFonts w:ascii="宋体" w:hAnsi="宋体" w:cs="宋体" w:eastAsia="宋体" w:hint="default"/>
          <w:w w:val="100"/>
          <w:sz w:val="21"/>
          <w:szCs w:val="21"/>
        </w:rPr>
        <w:t> </w:t>
      </w:r>
      <w:r>
        <w:rPr>
          <w:rFonts w:ascii="宋体" w:hAnsi="宋体" w:cs="宋体" w:eastAsia="宋体" w:hint="default"/>
          <w:sz w:val="21"/>
          <w:szCs w:val="21"/>
        </w:rPr>
        <w:t>移动应用等新技术，不断完善能源互联网业务的相关布局，构建起全面覆盖发电、输电、配电、售电和用</w:t>
      </w:r>
      <w:r>
        <w:rPr>
          <w:rFonts w:ascii="宋体" w:hAnsi="宋体" w:cs="宋体" w:eastAsia="宋体" w:hint="default"/>
          <w:w w:val="100"/>
          <w:sz w:val="21"/>
          <w:szCs w:val="21"/>
        </w:rPr>
        <w:t> </w:t>
      </w:r>
      <w:r>
        <w:rPr>
          <w:rFonts w:ascii="宋体" w:hAnsi="宋体" w:cs="宋体" w:eastAsia="宋体" w:hint="default"/>
          <w:sz w:val="21"/>
          <w:szCs w:val="21"/>
        </w:rPr>
        <w:t>电各价值链环节的产品和服务体系，形成自主研发的解决方案，相关产品和解决方案目前已成功在多个大</w:t>
      </w:r>
      <w:r>
        <w:rPr>
          <w:rFonts w:ascii="宋体" w:hAnsi="宋体" w:cs="宋体" w:eastAsia="宋体" w:hint="default"/>
          <w:w w:val="100"/>
          <w:sz w:val="21"/>
          <w:szCs w:val="21"/>
        </w:rPr>
        <w:t> </w:t>
      </w:r>
      <w:r>
        <w:rPr>
          <w:rFonts w:ascii="宋体" w:hAnsi="宋体" w:cs="宋体" w:eastAsia="宋体" w:hint="default"/>
          <w:sz w:val="21"/>
          <w:szCs w:val="21"/>
        </w:rPr>
        <w:t>型电力集团和众多新生的配售电企业落地应用和实施。</w:t>
      </w:r>
    </w:p>
    <w:p>
      <w:pPr>
        <w:spacing w:line="273" w:lineRule="auto" w:before="8"/>
        <w:ind w:left="153" w:right="1125" w:firstLine="422"/>
        <w:jc w:val="both"/>
        <w:rPr>
          <w:rFonts w:ascii="宋体" w:hAnsi="宋体" w:cs="宋体" w:eastAsia="宋体" w:hint="default"/>
          <w:sz w:val="21"/>
          <w:szCs w:val="21"/>
        </w:rPr>
      </w:pPr>
      <w:r>
        <w:rPr>
          <w:rFonts w:ascii="宋体" w:hAnsi="宋体" w:cs="宋体" w:eastAsia="宋体" w:hint="default"/>
          <w:spacing w:val="-2"/>
          <w:sz w:val="21"/>
          <w:szCs w:val="21"/>
        </w:rPr>
        <w:t>此外，在公司一直坚持的自主可控技术路线的基础上，报告期内公司圆满完成了全系列核心产品的国</w:t>
      </w:r>
      <w:r>
        <w:rPr>
          <w:rFonts w:ascii="宋体" w:hAnsi="宋体" w:cs="宋体" w:eastAsia="宋体" w:hint="default"/>
          <w:w w:val="100"/>
          <w:sz w:val="21"/>
          <w:szCs w:val="21"/>
        </w:rPr>
        <w:t> </w:t>
      </w:r>
      <w:r>
        <w:rPr>
          <w:rFonts w:ascii="宋体" w:hAnsi="宋体" w:cs="宋体" w:eastAsia="宋体" w:hint="default"/>
          <w:spacing w:val="-2"/>
          <w:sz w:val="21"/>
          <w:szCs w:val="21"/>
        </w:rPr>
        <w:t>产化适配测试，在客户端和服务端均形成系统的国产化产品方案，适配国产化环境生态，能与各种自主可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控的国产软硬件环境无障碍对接，有望为国家的自主创新、国产替代战略提供产品、服务和技术支撑。</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8"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3" w:space="0" w:color="D2D2D2"/>
              <w:right w:val="single" w:sz="4" w:space="0" w:color="000000"/>
            </w:tcBorders>
          </w:tcPr>
          <w:p>
            <w:pPr>
              <w:pStyle w:val="TableParagraph"/>
              <w:spacing w:line="300" w:lineRule="auto" w:before="53"/>
              <w:ind w:left="11" w:right="70"/>
              <w:jc w:val="left"/>
              <w:rPr>
                <w:rFonts w:ascii="宋体" w:hAnsi="宋体" w:cs="宋体" w:eastAsia="宋体" w:hint="default"/>
                <w:sz w:val="18"/>
                <w:szCs w:val="18"/>
              </w:rPr>
            </w:pPr>
            <w:r>
              <w:rPr>
                <w:rFonts w:ascii="宋体" w:hAnsi="宋体" w:cs="宋体" w:eastAsia="宋体" w:hint="default"/>
                <w:spacing w:val="-3"/>
                <w:sz w:val="18"/>
                <w:szCs w:val="18"/>
              </w:rPr>
              <w:t>期末较期初增加 </w:t>
            </w:r>
            <w:r>
              <w:rPr>
                <w:rFonts w:ascii="Times New Roman" w:hAnsi="Times New Roman" w:cs="Times New Roman" w:eastAsia="Times New Roman" w:hint="default"/>
                <w:sz w:val="18"/>
                <w:szCs w:val="18"/>
              </w:rPr>
              <w:t>5,485.21 </w:t>
            </w:r>
            <w:r>
              <w:rPr>
                <w:rFonts w:ascii="宋体" w:hAnsi="宋体" w:cs="宋体" w:eastAsia="宋体" w:hint="default"/>
                <w:sz w:val="18"/>
                <w:szCs w:val="18"/>
              </w:rPr>
              <w:t>万元，增加 </w:t>
            </w:r>
            <w:r>
              <w:rPr>
                <w:rFonts w:ascii="Times New Roman" w:hAnsi="Times New Roman" w:cs="Times New Roman" w:eastAsia="Times New Roman" w:hint="default"/>
                <w:spacing w:val="-3"/>
                <w:sz w:val="18"/>
                <w:szCs w:val="18"/>
              </w:rPr>
              <w:t>77.41%</w:t>
            </w:r>
            <w:r>
              <w:rPr>
                <w:rFonts w:ascii="宋体" w:hAnsi="宋体" w:cs="宋体" w:eastAsia="宋体" w:hint="default"/>
                <w:spacing w:val="-3"/>
                <w:sz w:val="18"/>
                <w:szCs w:val="18"/>
              </w:rPr>
              <w:t>，主要原因为：报告期部分拟资本化</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开发项目完工结转无形资产所致。</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13" w:space="0" w:color="D2D2D2"/>
              <w:right w:val="single" w:sz="4" w:space="0" w:color="000000"/>
            </w:tcBorders>
          </w:tcPr>
          <w:p>
            <w:pPr/>
          </w:p>
        </w:tc>
      </w:tr>
      <w:tr>
        <w:trPr>
          <w:trHeight w:val="15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3" w:space="0" w:color="D2D2D2"/>
              <w:bottom w:val="single" w:sz="4" w:space="0" w:color="000000"/>
              <w:right w:val="single" w:sz="4" w:space="0" w:color="000000"/>
            </w:tcBorders>
          </w:tcPr>
          <w:p>
            <w:pPr/>
          </w:p>
        </w:tc>
      </w:tr>
      <w:tr>
        <w:trPr>
          <w:trHeight w:val="163"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27"/>
              <w:jc w:val="left"/>
              <w:rPr>
                <w:rFonts w:ascii="宋体" w:hAnsi="宋体" w:cs="宋体" w:eastAsia="宋体" w:hint="default"/>
                <w:sz w:val="18"/>
                <w:szCs w:val="18"/>
              </w:rPr>
            </w:pPr>
            <w:r>
              <w:rPr>
                <w:rFonts w:ascii="宋体" w:hAnsi="宋体" w:cs="宋体" w:eastAsia="宋体" w:hint="default"/>
                <w:spacing w:val="-3"/>
                <w:sz w:val="18"/>
                <w:szCs w:val="18"/>
              </w:rPr>
              <w:t>期末较期初增加</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3,248.76</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万元，增加</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50.19%</w:t>
            </w:r>
            <w:r>
              <w:rPr>
                <w:rFonts w:ascii="宋体" w:hAnsi="宋体" w:cs="宋体" w:eastAsia="宋体" w:hint="default"/>
                <w:spacing w:val="-3"/>
                <w:sz w:val="18"/>
                <w:szCs w:val="18"/>
              </w:rPr>
              <w:t>，主要原因为：报告期智能产业园项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目建设投入所致。</w:t>
            </w: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10" w:space="0" w:color="D2D2D2"/>
              <w:right w:val="single" w:sz="4" w:space="0" w:color="000000"/>
            </w:tcBorders>
          </w:tcPr>
          <w:p>
            <w:pPr/>
          </w:p>
        </w:tc>
      </w:tr>
      <w:tr>
        <w:trPr>
          <w:trHeight w:val="158"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81,495.85</w:t>
            </w:r>
            <w:r>
              <w:rPr>
                <w:rFonts w:ascii="Times New Roman" w:hAnsi="Times New Roman" w:cs="Times New Roman" w:eastAsia="Times New Roman" w:hint="default"/>
                <w:spacing w:val="22"/>
                <w:sz w:val="18"/>
                <w:szCs w:val="18"/>
              </w:rPr>
              <w:t> </w:t>
            </w:r>
            <w:r>
              <w:rPr>
                <w:rFonts w:ascii="宋体" w:hAnsi="宋体" w:cs="宋体" w:eastAsia="宋体" w:hint="default"/>
                <w:spacing w:val="-6"/>
                <w:sz w:val="18"/>
                <w:szCs w:val="18"/>
              </w:rPr>
              <w:t>万元，减少</w:t>
            </w:r>
            <w:r>
              <w:rPr>
                <w:rFonts w:ascii="宋体" w:hAnsi="宋体" w:cs="宋体" w:eastAsia="宋体" w:hint="default"/>
                <w:spacing w:val="-23"/>
                <w:sz w:val="18"/>
                <w:szCs w:val="18"/>
              </w:rPr>
              <w:t> </w:t>
            </w:r>
            <w:r>
              <w:rPr>
                <w:rFonts w:ascii="Times New Roman" w:hAnsi="Times New Roman" w:cs="Times New Roman" w:eastAsia="Times New Roman" w:hint="default"/>
                <w:spacing w:val="-4"/>
                <w:sz w:val="18"/>
                <w:szCs w:val="18"/>
              </w:rPr>
              <w:t>73.47%,</w:t>
            </w:r>
            <w:r>
              <w:rPr>
                <w:rFonts w:ascii="宋体" w:hAnsi="宋体" w:cs="宋体" w:eastAsia="宋体" w:hint="default"/>
                <w:spacing w:val="-4"/>
                <w:sz w:val="18"/>
                <w:szCs w:val="18"/>
              </w:rPr>
              <w:t>主要原因为：报告期用短期闲置资金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购买结构性存款与理财投资所致。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86,844.87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万元，增加</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55980.77%,</w:t>
            </w:r>
            <w:r>
              <w:rPr>
                <w:rFonts w:ascii="宋体" w:hAnsi="宋体" w:cs="宋体" w:eastAsia="宋体" w:hint="default"/>
                <w:spacing w:val="-3"/>
                <w:sz w:val="18"/>
                <w:szCs w:val="18"/>
              </w:rPr>
              <w:t>主要原因为：报告期用短期闲置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资金购买结构性存款与理财投资所致。</w:t>
            </w:r>
          </w:p>
        </w:tc>
      </w:tr>
      <w:tr>
        <w:trPr>
          <w:trHeight w:val="71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3,012.75</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万元，减少</w:t>
            </w:r>
            <w:r>
              <w:rPr>
                <w:rFonts w:ascii="宋体" w:hAnsi="宋体" w:cs="宋体" w:eastAsia="宋体" w:hint="default"/>
                <w:spacing w:val="-28"/>
                <w:sz w:val="18"/>
                <w:szCs w:val="18"/>
              </w:rPr>
              <w:t> </w:t>
            </w:r>
            <w:r>
              <w:rPr>
                <w:rFonts w:ascii="Times New Roman" w:hAnsi="Times New Roman" w:cs="Times New Roman" w:eastAsia="Times New Roman" w:hint="default"/>
                <w:spacing w:val="-5"/>
                <w:sz w:val="18"/>
                <w:szCs w:val="18"/>
              </w:rPr>
              <w:t>55.13%</w:t>
            </w:r>
            <w:r>
              <w:rPr>
                <w:rFonts w:ascii="宋体" w:hAnsi="宋体" w:cs="宋体" w:eastAsia="宋体" w:hint="default"/>
                <w:spacing w:val="-5"/>
                <w:sz w:val="18"/>
                <w:szCs w:val="18"/>
              </w:rPr>
              <w:t>，主要原因为：报告期部分拟资本化开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发项目完工结转无形资产所致。</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1,575.18</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万元，增加</w:t>
            </w:r>
            <w:r>
              <w:rPr>
                <w:rFonts w:ascii="宋体" w:hAnsi="宋体" w:cs="宋体" w:eastAsia="宋体" w:hint="default"/>
                <w:spacing w:val="-28"/>
                <w:sz w:val="18"/>
                <w:szCs w:val="18"/>
              </w:rPr>
              <w:t> </w:t>
            </w:r>
            <w:r>
              <w:rPr>
                <w:rFonts w:ascii="Times New Roman" w:hAnsi="Times New Roman" w:cs="Times New Roman" w:eastAsia="Times New Roman" w:hint="default"/>
                <w:spacing w:val="-5"/>
                <w:sz w:val="18"/>
                <w:szCs w:val="18"/>
              </w:rPr>
              <w:t>78.23%</w:t>
            </w:r>
            <w:r>
              <w:rPr>
                <w:rFonts w:ascii="宋体" w:hAnsi="宋体" w:cs="宋体" w:eastAsia="宋体" w:hint="default"/>
                <w:spacing w:val="-5"/>
                <w:sz w:val="18"/>
                <w:szCs w:val="18"/>
              </w:rPr>
              <w:t>，主要原因为：报告期信用减值准备计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提、子公司预计可弥补亏损、权益法核算的投资亏损，共同影响所致。</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4"/>
        <w:rPr>
          <w:rFonts w:ascii="宋体" w:hAnsi="宋体" w:cs="宋体" w:eastAsia="宋体" w:hint="default"/>
          <w:b/>
          <w:bCs/>
          <w:sz w:val="25"/>
          <w:szCs w:val="25"/>
        </w:rPr>
      </w:pPr>
    </w:p>
    <w:p>
      <w:pPr>
        <w:spacing w:before="0"/>
        <w:ind w:left="407" w:right="0" w:firstLine="0"/>
        <w:jc w:val="left"/>
        <w:rPr>
          <w:rFonts w:ascii="宋体" w:hAnsi="宋体" w:cs="宋体" w:eastAsia="宋体" w:hint="default"/>
          <w:sz w:val="21"/>
          <w:szCs w:val="21"/>
        </w:rPr>
      </w:pPr>
      <w:r>
        <w:rPr>
          <w:rFonts w:ascii="宋体" w:hAnsi="宋体" w:cs="宋体" w:eastAsia="宋体" w:hint="default"/>
          <w:sz w:val="21"/>
          <w:szCs w:val="21"/>
        </w:rPr>
        <w:t>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年度相比，报告期内，公司的核心竞争力继续得到巩固和提高。</w:t>
      </w:r>
    </w:p>
    <w:p>
      <w:pPr>
        <w:pStyle w:val="Heading2"/>
        <w:spacing w:line="240" w:lineRule="auto" w:before="39"/>
        <w:ind w:right="0"/>
        <w:jc w:val="left"/>
        <w:rPr>
          <w:b w:val="0"/>
          <w:bCs w:val="0"/>
        </w:rPr>
      </w:pPr>
      <w:r>
        <w:rPr>
          <w:rFonts w:ascii="Times New Roman" w:hAnsi="Times New Roman" w:cs="Times New Roman" w:eastAsia="Times New Roman" w:hint="default"/>
        </w:rPr>
        <w:t>1</w:t>
      </w:r>
      <w:r>
        <w:rPr/>
        <w:t>、行业积累优势</w:t>
      </w:r>
      <w:r>
        <w:rPr>
          <w:b w:val="0"/>
          <w:bCs w:val="0"/>
        </w:rPr>
      </w:r>
    </w:p>
    <w:p>
      <w:pPr>
        <w:spacing w:line="264" w:lineRule="auto" w:before="43"/>
        <w:ind w:left="153" w:right="1122" w:firstLine="480"/>
        <w:jc w:val="both"/>
        <w:rPr>
          <w:rFonts w:ascii="宋体" w:hAnsi="宋体" w:cs="宋体" w:eastAsia="宋体" w:hint="default"/>
          <w:sz w:val="21"/>
          <w:szCs w:val="21"/>
        </w:rPr>
      </w:pPr>
      <w:r>
        <w:rPr>
          <w:rFonts w:ascii="宋体" w:hAnsi="宋体" w:cs="宋体" w:eastAsia="宋体" w:hint="default"/>
          <w:spacing w:val="-3"/>
          <w:sz w:val="21"/>
          <w:szCs w:val="21"/>
        </w:rPr>
        <w:t>伴随着中国电力行业信息化的发展，公司已服务电力行业企业信息化逾</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年。在多年的发展中，先后</w:t>
      </w:r>
      <w:r>
        <w:rPr>
          <w:rFonts w:ascii="宋体" w:hAnsi="宋体" w:cs="宋体" w:eastAsia="宋体" w:hint="default"/>
          <w:w w:val="100"/>
          <w:sz w:val="21"/>
          <w:szCs w:val="21"/>
        </w:rPr>
        <w:t> </w:t>
      </w:r>
      <w:r>
        <w:rPr>
          <w:rFonts w:ascii="宋体" w:hAnsi="宋体" w:cs="宋体" w:eastAsia="宋体" w:hint="default"/>
          <w:spacing w:val="-3"/>
          <w:sz w:val="21"/>
          <w:szCs w:val="21"/>
        </w:rPr>
        <w:t>参与了包括国家电网</w:t>
      </w:r>
      <w:r>
        <w:rPr>
          <w:rFonts w:ascii="Times New Roman" w:hAnsi="Times New Roman" w:cs="Times New Roman" w:eastAsia="Times New Roman" w:hint="default"/>
          <w:spacing w:val="-3"/>
          <w:sz w:val="21"/>
          <w:szCs w:val="21"/>
        </w:rPr>
        <w:t>“SG186”“SGERP”</w:t>
      </w:r>
      <w:r>
        <w:rPr>
          <w:rFonts w:ascii="宋体" w:hAnsi="宋体" w:cs="宋体" w:eastAsia="宋体" w:hint="default"/>
          <w:spacing w:val="-3"/>
          <w:sz w:val="21"/>
          <w:szCs w:val="21"/>
        </w:rPr>
        <w:t>、南方电网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企业级管理信息系统（</w:t>
      </w:r>
      <w:r>
        <w:rPr>
          <w:rFonts w:ascii="Times New Roman" w:hAnsi="Times New Roman" w:cs="Times New Roman" w:eastAsia="Times New Roman" w:hint="default"/>
          <w:spacing w:val="-3"/>
          <w:sz w:val="21"/>
          <w:szCs w:val="21"/>
        </w:rPr>
        <w:t>CSG </w:t>
      </w:r>
      <w:r>
        <w:rPr>
          <w:rFonts w:ascii="Times New Roman" w:hAnsi="Times New Roman" w:cs="Times New Roman" w:eastAsia="Times New Roman" w:hint="default"/>
          <w:spacing w:val="-4"/>
          <w:sz w:val="21"/>
          <w:szCs w:val="21"/>
        </w:rPr>
        <w:t>II</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数字南网</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、国电集团</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pacing w:val="-1"/>
          <w:sz w:val="21"/>
          <w:szCs w:val="21"/>
        </w:rPr>
        <w:t>“GD193”</w:t>
      </w:r>
      <w:r>
        <w:rPr>
          <w:rFonts w:ascii="宋体" w:hAnsi="宋体" w:cs="宋体" w:eastAsia="宋体" w:hint="default"/>
          <w:spacing w:val="-1"/>
          <w:sz w:val="21"/>
          <w:szCs w:val="21"/>
        </w:rPr>
        <w:t>等在内的多家大型电力集团的信息化工程建设，对电力行业的产业特性、经营特点、管理模式、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业务流程等有着长期、深入、全面的理解。在当下建设能源互联网战略目标过程中，公司在电力行业多年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沉淀与积累的优势也愈加明显，有利于公司及时掌握客户的需求和信息化建设的方向，在行业和政策变化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形势中，及时抓住战略性的新机遇。</w:t>
      </w:r>
    </w:p>
    <w:p>
      <w:pPr>
        <w:pStyle w:val="Heading2"/>
        <w:spacing w:line="240" w:lineRule="auto" w:before="34"/>
        <w:ind w:right="0"/>
        <w:jc w:val="left"/>
        <w:rPr>
          <w:b w:val="0"/>
          <w:bCs w:val="0"/>
        </w:rPr>
      </w:pPr>
      <w:r>
        <w:rPr>
          <w:rFonts w:ascii="Times New Roman" w:hAnsi="Times New Roman" w:cs="Times New Roman" w:eastAsia="Times New Roman" w:hint="default"/>
        </w:rPr>
        <w:t>2</w:t>
      </w:r>
      <w:r>
        <w:rPr/>
        <w:t>、市场服务优势</w:t>
      </w:r>
      <w:r>
        <w:rPr>
          <w:b w:val="0"/>
          <w:bCs w:val="0"/>
        </w:rPr>
      </w:r>
    </w:p>
    <w:p>
      <w:pPr>
        <w:spacing w:line="273" w:lineRule="auto" w:before="43"/>
        <w:ind w:left="153" w:right="0" w:firstLine="480"/>
        <w:jc w:val="left"/>
        <w:rPr>
          <w:rFonts w:ascii="宋体" w:hAnsi="宋体" w:cs="宋体" w:eastAsia="宋体" w:hint="default"/>
          <w:sz w:val="21"/>
          <w:szCs w:val="21"/>
        </w:rPr>
      </w:pPr>
      <w:r>
        <w:rPr>
          <w:rFonts w:ascii="宋体" w:hAnsi="宋体" w:cs="宋体" w:eastAsia="宋体" w:hint="default"/>
          <w:spacing w:val="-6"/>
          <w:w w:val="100"/>
          <w:sz w:val="21"/>
          <w:szCs w:val="21"/>
        </w:rPr>
        <w:t>基于对集团管理特性的深入理解，以及对电力行业用户，特别是电力央企高质量发展需求的观察掌握，</w:t>
      </w:r>
      <w:r>
        <w:rPr>
          <w:rFonts w:ascii="宋体" w:hAnsi="宋体" w:cs="宋体" w:eastAsia="宋体" w:hint="default"/>
          <w:w w:val="100"/>
          <w:sz w:val="21"/>
          <w:szCs w:val="21"/>
        </w:rPr>
        <w:t> </w:t>
      </w:r>
      <w:r>
        <w:rPr>
          <w:rFonts w:ascii="宋体" w:hAnsi="宋体" w:cs="宋体" w:eastAsia="宋体" w:hint="default"/>
          <w:sz w:val="21"/>
          <w:szCs w:val="21"/>
        </w:rPr>
        <w:t>公司在集团管理等核心产品上已形成稳固的市场份额优势，产品与服务被集团客户特别是电力行业客户认</w:t>
      </w:r>
      <w:r>
        <w:rPr>
          <w:rFonts w:ascii="宋体" w:hAnsi="宋体" w:cs="宋体" w:eastAsia="宋体" w:hint="default"/>
          <w:w w:val="100"/>
          <w:sz w:val="21"/>
          <w:szCs w:val="21"/>
        </w:rPr>
        <w:t> </w:t>
      </w:r>
      <w:r>
        <w:rPr>
          <w:rFonts w:ascii="宋体" w:hAnsi="宋体" w:cs="宋体" w:eastAsia="宋体" w:hint="default"/>
          <w:sz w:val="21"/>
          <w:szCs w:val="21"/>
        </w:rPr>
        <w:t>可和接受。公司拥有一支高素质高效率、能为客户提供全面解决方案的专业的咨询、实施和服务团队；拥</w:t>
      </w:r>
      <w:r>
        <w:rPr>
          <w:rFonts w:ascii="宋体" w:hAnsi="宋体" w:cs="宋体" w:eastAsia="宋体" w:hint="default"/>
          <w:w w:val="100"/>
          <w:sz w:val="21"/>
          <w:szCs w:val="21"/>
        </w:rPr>
        <w:t> </w:t>
      </w:r>
      <w:r>
        <w:rPr>
          <w:rFonts w:ascii="宋体" w:hAnsi="宋体" w:cs="宋体" w:eastAsia="宋体" w:hint="default"/>
          <w:sz w:val="21"/>
          <w:szCs w:val="21"/>
        </w:rPr>
        <w:t>有遍布于全国的五十多个分支机构及分子公司，能为客户提供专业、多层次、快捷、高效的本地化服务，</w:t>
      </w:r>
      <w:r>
        <w:rPr>
          <w:rFonts w:ascii="宋体" w:hAnsi="宋体" w:cs="宋体" w:eastAsia="宋体" w:hint="default"/>
          <w:w w:val="100"/>
          <w:sz w:val="21"/>
          <w:szCs w:val="21"/>
        </w:rPr>
        <w:t> </w:t>
      </w:r>
      <w:r>
        <w:rPr>
          <w:rFonts w:ascii="宋体" w:hAnsi="宋体" w:cs="宋体" w:eastAsia="宋体" w:hint="default"/>
          <w:sz w:val="21"/>
          <w:szCs w:val="21"/>
        </w:rPr>
        <w:t>全面满足客户需求。</w:t>
      </w:r>
    </w:p>
    <w:p>
      <w:pPr>
        <w:pStyle w:val="Heading2"/>
        <w:spacing w:line="240" w:lineRule="auto" w:before="25"/>
        <w:ind w:right="0"/>
        <w:jc w:val="left"/>
        <w:rPr>
          <w:b w:val="0"/>
          <w:bCs w:val="0"/>
        </w:rPr>
      </w:pPr>
      <w:r>
        <w:rPr>
          <w:rFonts w:ascii="Times New Roman" w:hAnsi="Times New Roman" w:cs="Times New Roman" w:eastAsia="Times New Roman" w:hint="default"/>
        </w:rPr>
        <w:t>3</w:t>
      </w:r>
      <w:r>
        <w:rPr/>
        <w:t>、产品技术优势</w:t>
      </w:r>
      <w:r>
        <w:rPr>
          <w:b w:val="0"/>
          <w:bCs w:val="0"/>
        </w:rPr>
      </w:r>
    </w:p>
    <w:p>
      <w:pPr>
        <w:spacing w:line="268" w:lineRule="auto" w:before="39"/>
        <w:ind w:left="153" w:right="993" w:firstLine="480"/>
        <w:jc w:val="left"/>
        <w:rPr>
          <w:rFonts w:ascii="宋体" w:hAnsi="宋体" w:cs="宋体" w:eastAsia="宋体" w:hint="default"/>
          <w:sz w:val="21"/>
          <w:szCs w:val="21"/>
        </w:rPr>
      </w:pPr>
      <w:r>
        <w:rPr>
          <w:rFonts w:ascii="宋体" w:hAnsi="宋体" w:cs="宋体" w:eastAsia="宋体" w:hint="default"/>
          <w:spacing w:val="-3"/>
          <w:sz w:val="21"/>
          <w:szCs w:val="21"/>
        </w:rPr>
        <w:t>公司紧贴行业发展趋势，在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能源互联网</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新基建</w:t>
      </w:r>
      <w:r>
        <w:rPr>
          <w:rFonts w:ascii="Times New Roman" w:hAnsi="Times New Roman" w:cs="Times New Roman" w:eastAsia="Times New Roman" w:hint="default"/>
          <w:sz w:val="21"/>
          <w:szCs w:val="21"/>
        </w:rPr>
        <w:t>”“</w:t>
      </w:r>
      <w:r>
        <w:rPr>
          <w:rFonts w:ascii="宋体" w:hAnsi="宋体" w:cs="宋体" w:eastAsia="宋体" w:hint="default"/>
          <w:sz w:val="21"/>
          <w:szCs w:val="21"/>
        </w:rPr>
        <w:t>数字中国</w:t>
      </w:r>
      <w:r>
        <w:rPr>
          <w:rFonts w:ascii="Times New Roman" w:hAnsi="Times New Roman" w:cs="Times New Roman" w:eastAsia="Times New Roman" w:hint="default"/>
          <w:sz w:val="21"/>
          <w:szCs w:val="21"/>
        </w:rPr>
        <w:t>”</w:t>
      </w:r>
      <w:r>
        <w:rPr>
          <w:rFonts w:ascii="宋体" w:hAnsi="宋体" w:cs="宋体" w:eastAsia="宋体" w:hint="default"/>
          <w:sz w:val="21"/>
          <w:szCs w:val="21"/>
        </w:rPr>
        <w:t>等政策引领下，不断探索信息技术的应</w:t>
      </w:r>
      <w:r>
        <w:rPr>
          <w:rFonts w:ascii="宋体" w:hAnsi="宋体" w:cs="宋体" w:eastAsia="宋体" w:hint="default"/>
          <w:w w:val="100"/>
          <w:sz w:val="21"/>
          <w:szCs w:val="21"/>
        </w:rPr>
        <w:t> </w:t>
      </w:r>
      <w:r>
        <w:rPr>
          <w:rFonts w:ascii="宋体" w:hAnsi="宋体" w:cs="宋体" w:eastAsia="宋体" w:hint="default"/>
          <w:sz w:val="21"/>
          <w:szCs w:val="21"/>
        </w:rPr>
        <w:t>用实践。公司始终坚持自主研发，逐年加大对云计算、大数据、人工智能、区块链、移动互联、物联网等</w:t>
      </w:r>
      <w:r>
        <w:rPr>
          <w:rFonts w:ascii="宋体" w:hAnsi="宋体" w:cs="宋体" w:eastAsia="宋体" w:hint="default"/>
          <w:w w:val="100"/>
          <w:sz w:val="21"/>
          <w:szCs w:val="21"/>
        </w:rPr>
        <w:t> </w:t>
      </w:r>
      <w:r>
        <w:rPr>
          <w:rFonts w:ascii="宋体" w:hAnsi="宋体" w:cs="宋体" w:eastAsia="宋体" w:hint="default"/>
          <w:spacing w:val="-4"/>
          <w:sz w:val="21"/>
          <w:szCs w:val="21"/>
        </w:rPr>
        <w:t>领域的技术储备。公司设立专门的远光研究院，聚焦前沿技术，在区块链、人工智能、高性能计算等领域，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为公司重点技术、业务领域的跟踪、研究和孵化进行技术支撑。公司连续多年的研发投入超过当年营业收</w:t>
      </w:r>
      <w:r>
        <w:rPr>
          <w:rFonts w:ascii="宋体" w:hAnsi="宋体" w:cs="宋体" w:eastAsia="宋体" w:hint="default"/>
          <w:w w:val="100"/>
          <w:sz w:val="21"/>
          <w:szCs w:val="21"/>
        </w:rPr>
        <w:t> </w:t>
      </w:r>
      <w:r>
        <w:rPr>
          <w:rFonts w:ascii="宋体" w:hAnsi="宋体" w:cs="宋体" w:eastAsia="宋体" w:hint="default"/>
          <w:sz w:val="21"/>
          <w:szCs w:val="21"/>
        </w:rPr>
        <w:t>入的</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以上，高额持续的投资，在保证现有产品稳定运行的前提下，不断升级新技术，在行业快速转型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发展过程中抢得先机，使公司产品始终站在行业前端，为现有及潜在的客户提供更先进、灵活的信息化支</w:t>
      </w:r>
      <w:r>
        <w:rPr>
          <w:rFonts w:ascii="宋体" w:hAnsi="宋体" w:cs="宋体" w:eastAsia="宋体" w:hint="default"/>
          <w:w w:val="100"/>
          <w:sz w:val="21"/>
          <w:szCs w:val="21"/>
        </w:rPr>
        <w:t> </w:t>
      </w:r>
      <w:r>
        <w:rPr>
          <w:rFonts w:ascii="宋体" w:hAnsi="宋体" w:cs="宋体" w:eastAsia="宋体" w:hint="default"/>
          <w:sz w:val="21"/>
          <w:szCs w:val="21"/>
        </w:rPr>
        <w:t>持。</w:t>
      </w:r>
    </w:p>
    <w:p>
      <w:pPr>
        <w:pStyle w:val="Heading2"/>
        <w:spacing w:line="240" w:lineRule="auto" w:before="29"/>
        <w:ind w:right="0"/>
        <w:jc w:val="left"/>
        <w:rPr>
          <w:b w:val="0"/>
          <w:bCs w:val="0"/>
        </w:rPr>
      </w:pPr>
      <w:r>
        <w:rPr>
          <w:rFonts w:ascii="Times New Roman" w:hAnsi="Times New Roman" w:cs="Times New Roman" w:eastAsia="Times New Roman" w:hint="default"/>
        </w:rPr>
        <w:t>4</w:t>
      </w:r>
      <w:r>
        <w:rPr/>
        <w:t>、产业链优势</w:t>
      </w:r>
      <w:r>
        <w:rPr>
          <w:b w:val="0"/>
          <w:bCs w:val="0"/>
        </w:rPr>
      </w:r>
    </w:p>
    <w:p>
      <w:pPr>
        <w:spacing w:line="276" w:lineRule="auto" w:before="43"/>
        <w:ind w:left="153" w:right="1137" w:firstLine="480"/>
        <w:jc w:val="left"/>
        <w:rPr>
          <w:rFonts w:ascii="宋体" w:hAnsi="宋体" w:cs="宋体" w:eastAsia="宋体" w:hint="default"/>
          <w:sz w:val="24"/>
          <w:szCs w:val="24"/>
        </w:rPr>
      </w:pPr>
      <w:r>
        <w:rPr>
          <w:rFonts w:ascii="宋体" w:hAnsi="宋体" w:cs="宋体" w:eastAsia="宋体" w:hint="default"/>
          <w:spacing w:val="-4"/>
          <w:sz w:val="21"/>
          <w:szCs w:val="21"/>
        </w:rPr>
        <w:t>能源互联网是信息技术与能源技术融合发展的必然趋势，各类新兴技术在能源行业深入应用，能源互</w:t>
      </w:r>
      <w:r>
        <w:rPr>
          <w:rFonts w:ascii="宋体" w:hAnsi="宋体" w:cs="宋体" w:eastAsia="宋体" w:hint="default"/>
          <w:w w:val="100"/>
          <w:sz w:val="21"/>
          <w:szCs w:val="21"/>
        </w:rPr>
        <w:t> </w:t>
      </w:r>
      <w:r>
        <w:rPr>
          <w:rFonts w:ascii="宋体" w:hAnsi="宋体" w:cs="宋体" w:eastAsia="宋体" w:hint="default"/>
          <w:spacing w:val="-2"/>
          <w:sz w:val="21"/>
          <w:szCs w:val="21"/>
        </w:rPr>
        <w:t>联网迎来实质性发展。公司凭借丰富的行业经验与积累，提前布局，通过对外投资、并购等方式，引入成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熟的产品技术、市场及业务团队，完善产品线布局，整合优势资源，优化配置，快速打通能源行业上下游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产业链，构建了全面覆盖发电、输电、配电、售电和用电全产业价值链各环节的产品体系。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、资本优势</w:t>
      </w:r>
      <w:r>
        <w:rPr>
          <w:rFonts w:ascii="宋体" w:hAnsi="宋体" w:cs="宋体" w:eastAsia="宋体" w:hint="default"/>
          <w:sz w:val="24"/>
          <w:szCs w:val="24"/>
        </w:rPr>
      </w:r>
    </w:p>
    <w:p>
      <w:pPr>
        <w:spacing w:line="268" w:lineRule="auto" w:before="3"/>
        <w:ind w:left="153" w:right="1125" w:firstLine="340"/>
        <w:jc w:val="both"/>
        <w:rPr>
          <w:rFonts w:ascii="宋体" w:hAnsi="宋体" w:cs="宋体" w:eastAsia="宋体" w:hint="default"/>
          <w:sz w:val="21"/>
          <w:szCs w:val="21"/>
        </w:rPr>
      </w:pPr>
      <w:r>
        <w:rPr>
          <w:rFonts w:ascii="宋体" w:hAnsi="宋体" w:cs="宋体" w:eastAsia="宋体" w:hint="default"/>
          <w:sz w:val="21"/>
          <w:szCs w:val="21"/>
        </w:rPr>
        <w:t>能源行业是关系国计民生的命脉行业，各大电力企业对核心信息系统提供商的经营稳定性、持续性有</w:t>
      </w:r>
      <w:r>
        <w:rPr>
          <w:rFonts w:ascii="宋体" w:hAnsi="宋体" w:cs="宋体" w:eastAsia="宋体" w:hint="default"/>
          <w:w w:val="100"/>
          <w:sz w:val="21"/>
          <w:szCs w:val="21"/>
        </w:rPr>
        <w:t> </w:t>
      </w:r>
      <w:r>
        <w:rPr>
          <w:rFonts w:ascii="宋体" w:hAnsi="宋体" w:cs="宋体" w:eastAsia="宋体" w:hint="default"/>
          <w:spacing w:val="-2"/>
          <w:sz w:val="21"/>
          <w:szCs w:val="21"/>
        </w:rPr>
        <w:t>着很高的要求。报告期内，国网电商公司成为公司控股股东，国务院国资委成为公司的实际控制人，从根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本上保证了公司为电力企业提供的产品和服务的持续和稳定。同时，公司的产品优势和国网电商公司的平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台优势相结合，公司成熟、优质的资本平台与国有资产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混改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的要求相结合，都是公司规模增长、业务发</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展的有利因素。</w:t>
      </w:r>
    </w:p>
    <w:p>
      <w:pPr>
        <w:spacing w:after="0" w:line="268"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5"/>
          <w:szCs w:val="25"/>
        </w:rPr>
      </w:pPr>
    </w:p>
    <w:p>
      <w:pPr>
        <w:spacing w:line="266" w:lineRule="auto" w:before="0"/>
        <w:ind w:left="153" w:right="1123"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月，公司与国网电商公司签署合作框架协议，双方在产品及实施服务、外部业务拓展、新技</w:t>
      </w:r>
      <w:r>
        <w:rPr>
          <w:rFonts w:ascii="宋体" w:hAnsi="宋体" w:cs="宋体" w:eastAsia="宋体" w:hint="default"/>
          <w:w w:val="100"/>
          <w:sz w:val="21"/>
          <w:szCs w:val="21"/>
        </w:rPr>
        <w:t> </w:t>
      </w:r>
      <w:r>
        <w:rPr>
          <w:rFonts w:ascii="宋体" w:hAnsi="宋体" w:cs="宋体" w:eastAsia="宋体" w:hint="default"/>
          <w:spacing w:val="-2"/>
          <w:sz w:val="21"/>
          <w:szCs w:val="21"/>
        </w:rPr>
        <w:t>术研发、资本等领域融合共建，充分发挥双方优势，有效整合资源，统筹推进传统业务转型升级和新业态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新模式的培育，通过产业链上下游协同发展和跨界融合，打造共建共享共治的能源互联网生态圈。</w:t>
      </w:r>
    </w:p>
    <w:p>
      <w:pPr>
        <w:spacing w:line="273" w:lineRule="auto" w:before="14"/>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公司在强化原有核心业务的基础上，持续加大新技术的研发、储备和应用，优化产品战略。依托公司</w:t>
      </w:r>
      <w:r>
        <w:rPr>
          <w:rFonts w:ascii="宋体" w:hAnsi="宋体" w:cs="宋体" w:eastAsia="宋体" w:hint="default"/>
          <w:w w:val="100"/>
          <w:sz w:val="21"/>
          <w:szCs w:val="21"/>
        </w:rPr>
        <w:t> </w:t>
      </w:r>
      <w:r>
        <w:rPr>
          <w:rFonts w:ascii="宋体" w:hAnsi="宋体" w:cs="宋体" w:eastAsia="宋体" w:hint="default"/>
          <w:spacing w:val="-2"/>
          <w:sz w:val="21"/>
          <w:szCs w:val="21"/>
        </w:rPr>
        <w:t>在产品、业务、平台方面的优势，重点加强人工智能和区块链技术；深入研究数字云平台和中台服务创新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应用模式；全面提升大数据业务及系统架构升级改造；加速新产品迭代，在已有的技术平台上，融入社交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化元素、移动通信能力，形成覆盖企业全业务的信息共享和工作协同处理云平台。</w:t>
      </w:r>
    </w:p>
    <w:p>
      <w:pPr>
        <w:spacing w:line="259" w:lineRule="auto" w:before="7"/>
        <w:ind w:left="153" w:right="1122"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年，公司全面达成年初制定的经营指标。实现营业收入</w:t>
      </w:r>
      <w:r>
        <w:rPr>
          <w:rFonts w:ascii="Times New Roman" w:hAnsi="Times New Roman" w:cs="Times New Roman" w:eastAsia="Times New Roman" w:hint="default"/>
          <w:spacing w:val="-1"/>
          <w:sz w:val="21"/>
          <w:szCs w:val="21"/>
        </w:rPr>
        <w:t>156,520.86</w:t>
      </w:r>
      <w:r>
        <w:rPr>
          <w:rFonts w:ascii="宋体" w:hAnsi="宋体" w:cs="宋体" w:eastAsia="宋体" w:hint="default"/>
          <w:spacing w:val="-1"/>
          <w:sz w:val="21"/>
          <w:szCs w:val="21"/>
        </w:rPr>
        <w:t>万元，同比增长</w:t>
      </w:r>
      <w:r>
        <w:rPr>
          <w:rFonts w:ascii="Times New Roman" w:hAnsi="Times New Roman" w:cs="Times New Roman" w:eastAsia="Times New Roman" w:hint="default"/>
          <w:spacing w:val="-1"/>
          <w:sz w:val="21"/>
          <w:szCs w:val="21"/>
        </w:rPr>
        <w:t>22.44%</w:t>
      </w:r>
      <w:r>
        <w:rPr>
          <w:rFonts w:ascii="宋体" w:hAnsi="宋体" w:cs="宋体" w:eastAsia="宋体" w:hint="default"/>
          <w:spacing w:val="-1"/>
          <w:sz w:val="21"/>
          <w:szCs w:val="21"/>
        </w:rPr>
        <w:t>；实现</w:t>
      </w:r>
      <w:r>
        <w:rPr>
          <w:rFonts w:ascii="宋体" w:hAnsi="宋体" w:cs="宋体" w:eastAsia="宋体" w:hint="default"/>
          <w:w w:val="100"/>
          <w:sz w:val="21"/>
          <w:szCs w:val="21"/>
        </w:rPr>
        <w:t> </w:t>
      </w:r>
      <w:r>
        <w:rPr>
          <w:rFonts w:ascii="宋体" w:hAnsi="宋体" w:cs="宋体" w:eastAsia="宋体" w:hint="default"/>
          <w:sz w:val="21"/>
          <w:szCs w:val="21"/>
        </w:rPr>
        <w:t>归属于上市公司股东的净利润</w:t>
      </w:r>
      <w:r>
        <w:rPr>
          <w:rFonts w:ascii="Times New Roman" w:hAnsi="Times New Roman" w:cs="Times New Roman" w:eastAsia="Times New Roman" w:hint="default"/>
          <w:sz w:val="21"/>
          <w:szCs w:val="21"/>
        </w:rPr>
        <w:t>22,670.72</w:t>
      </w:r>
      <w:r>
        <w:rPr>
          <w:rFonts w:ascii="宋体" w:hAnsi="宋体" w:cs="宋体" w:eastAsia="宋体" w:hint="default"/>
          <w:sz w:val="21"/>
          <w:szCs w:val="21"/>
        </w:rPr>
        <w:t>万元，同比增长</w:t>
      </w:r>
      <w:r>
        <w:rPr>
          <w:rFonts w:ascii="Times New Roman" w:hAnsi="Times New Roman" w:cs="Times New Roman" w:eastAsia="Times New Roman" w:hint="default"/>
          <w:sz w:val="21"/>
          <w:szCs w:val="21"/>
        </w:rPr>
        <w:t>16.44%</w:t>
      </w:r>
      <w:r>
        <w:rPr>
          <w:rFonts w:ascii="宋体" w:hAnsi="宋体" w:cs="宋体" w:eastAsia="宋体" w:hint="default"/>
          <w:sz w:val="21"/>
          <w:szCs w:val="21"/>
        </w:rPr>
        <w:t>。</w:t>
      </w: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r>
        <w:rPr/>
        <w:t>（一）业务方面</w:t>
      </w:r>
      <w:r>
        <w:rPr>
          <w:b w:val="0"/>
          <w:bCs w:val="0"/>
        </w:rPr>
      </w:r>
    </w:p>
    <w:p>
      <w:pPr>
        <w:pStyle w:val="Heading2"/>
        <w:spacing w:line="240" w:lineRule="auto" w:before="41"/>
        <w:ind w:right="0"/>
        <w:jc w:val="left"/>
        <w:rPr>
          <w:b w:val="0"/>
          <w:bCs w:val="0"/>
        </w:rPr>
      </w:pPr>
      <w:r>
        <w:rPr>
          <w:rFonts w:ascii="Times New Roman" w:hAnsi="Times New Roman" w:cs="Times New Roman" w:eastAsia="Times New Roman" w:hint="default"/>
        </w:rPr>
        <w:t>1</w:t>
      </w:r>
      <w:r>
        <w:rPr/>
        <w:t>、集团管理业务</w:t>
      </w:r>
      <w:r>
        <w:rPr>
          <w:b w:val="0"/>
          <w:bCs w:val="0"/>
        </w:rPr>
      </w:r>
    </w:p>
    <w:p>
      <w:pPr>
        <w:spacing w:line="273" w:lineRule="auto" w:before="39"/>
        <w:ind w:left="575" w:right="0" w:firstLine="0"/>
        <w:jc w:val="left"/>
        <w:rPr>
          <w:rFonts w:ascii="宋体" w:hAnsi="宋体" w:cs="宋体" w:eastAsia="宋体" w:hint="default"/>
          <w:sz w:val="21"/>
          <w:szCs w:val="21"/>
        </w:rPr>
      </w:pPr>
      <w:r>
        <w:rPr>
          <w:rFonts w:ascii="宋体" w:hAnsi="宋体" w:cs="宋体" w:eastAsia="宋体" w:hint="default"/>
          <w:sz w:val="21"/>
          <w:szCs w:val="21"/>
        </w:rPr>
        <w:t>报告期内，公司集团管理业务持续聚焦特大型企业集团。</w:t>
      </w:r>
      <w:r>
        <w:rPr>
          <w:rFonts w:ascii="宋体" w:hAnsi="宋体" w:cs="宋体" w:eastAsia="宋体" w:hint="default"/>
          <w:w w:val="100"/>
          <w:sz w:val="21"/>
          <w:szCs w:val="21"/>
        </w:rPr>
        <w:t> </w:t>
      </w:r>
      <w:r>
        <w:rPr>
          <w:rFonts w:ascii="宋体" w:hAnsi="宋体" w:cs="宋体" w:eastAsia="宋体" w:hint="default"/>
          <w:spacing w:val="-2"/>
          <w:sz w:val="21"/>
          <w:szCs w:val="21"/>
        </w:rPr>
        <w:t>在国家电网，承建多维精益管理体系、</w:t>
      </w:r>
      <w:r>
        <w:rPr>
          <w:rFonts w:ascii="Times New Roman" w:hAnsi="Times New Roman" w:cs="Times New Roman" w:eastAsia="Times New Roman" w:hint="default"/>
          <w:spacing w:val="-2"/>
          <w:sz w:val="21"/>
          <w:szCs w:val="21"/>
        </w:rPr>
        <w:t>1233</w:t>
      </w:r>
      <w:r>
        <w:rPr>
          <w:rFonts w:ascii="宋体" w:hAnsi="宋体" w:cs="宋体" w:eastAsia="宋体" w:hint="default"/>
          <w:spacing w:val="-2"/>
          <w:sz w:val="21"/>
          <w:szCs w:val="21"/>
        </w:rPr>
        <w:t>卓越资金管理体系、新一代电费结算、财务信息化顶层设</w:t>
      </w:r>
    </w:p>
    <w:p>
      <w:pPr>
        <w:spacing w:line="264" w:lineRule="auto"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计、财务中台设计等多个重大项目建设。第一，紧密跟进国家电网多维精益管理体系建设。完成所有单位</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会计科目</w:t>
      </w:r>
      <w:r>
        <w:rPr>
          <w:rFonts w:ascii="Times New Roman" w:hAnsi="Times New Roman" w:cs="Times New Roman" w:eastAsia="Times New Roman" w:hint="default"/>
          <w:sz w:val="21"/>
          <w:szCs w:val="21"/>
        </w:rPr>
        <w:t>+</w:t>
      </w:r>
      <w:r>
        <w:rPr>
          <w:rFonts w:ascii="宋体" w:hAnsi="宋体" w:cs="宋体" w:eastAsia="宋体" w:hint="default"/>
          <w:sz w:val="21"/>
          <w:szCs w:val="21"/>
        </w:rPr>
        <w:t>管理纬度</w:t>
      </w:r>
      <w:r>
        <w:rPr>
          <w:rFonts w:ascii="Times New Roman" w:hAnsi="Times New Roman" w:cs="Times New Roman" w:eastAsia="Times New Roman" w:hint="default"/>
          <w:sz w:val="21"/>
          <w:szCs w:val="21"/>
        </w:rPr>
        <w:t>”</w:t>
      </w:r>
      <w:r>
        <w:rPr>
          <w:rFonts w:ascii="宋体" w:hAnsi="宋体" w:cs="宋体" w:eastAsia="宋体" w:hint="default"/>
          <w:sz w:val="21"/>
          <w:szCs w:val="21"/>
        </w:rPr>
        <w:t>切换，推动会计管理化改造，实现组织类主数据源头统一全局共享，管理频道分析</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输出常态化应用，法定频道报表自动化出具等；第二，全面推进</w:t>
      </w:r>
      <w:r>
        <w:rPr>
          <w:rFonts w:ascii="Times New Roman" w:hAnsi="Times New Roman" w:cs="Times New Roman" w:eastAsia="Times New Roman" w:hint="default"/>
          <w:sz w:val="21"/>
          <w:szCs w:val="21"/>
        </w:rPr>
        <w:t>1233</w:t>
      </w:r>
      <w:r>
        <w:rPr>
          <w:rFonts w:ascii="宋体" w:hAnsi="宋体" w:cs="宋体" w:eastAsia="宋体" w:hint="default"/>
          <w:sz w:val="21"/>
          <w:szCs w:val="21"/>
        </w:rPr>
        <w:t>卓越资金管理体系建设。深入运用自</w:t>
      </w:r>
      <w:r>
        <w:rPr>
          <w:rFonts w:ascii="宋体" w:hAnsi="宋体" w:cs="宋体" w:eastAsia="宋体" w:hint="default"/>
          <w:w w:val="100"/>
          <w:sz w:val="21"/>
          <w:szCs w:val="21"/>
        </w:rPr>
        <w:t> </w:t>
      </w:r>
      <w:r>
        <w:rPr>
          <w:rFonts w:ascii="宋体" w:hAnsi="宋体" w:cs="宋体" w:eastAsia="宋体" w:hint="default"/>
          <w:sz w:val="21"/>
          <w:szCs w:val="21"/>
        </w:rPr>
        <w:t>动化、智能化、生物识别等新兴技术开展资金收支流程优化，完成主业及所有直属单位资金按日排程上线</w:t>
      </w:r>
      <w:r>
        <w:rPr>
          <w:rFonts w:ascii="宋体" w:hAnsi="宋体" w:cs="宋体" w:eastAsia="宋体" w:hint="default"/>
          <w:w w:val="100"/>
          <w:sz w:val="21"/>
          <w:szCs w:val="21"/>
        </w:rPr>
        <w:t> </w:t>
      </w:r>
      <w:r>
        <w:rPr>
          <w:rFonts w:ascii="宋体" w:hAnsi="宋体" w:cs="宋体" w:eastAsia="宋体" w:hint="default"/>
          <w:spacing w:val="-4"/>
          <w:sz w:val="21"/>
          <w:szCs w:val="21"/>
        </w:rPr>
        <w:t>应用，实现了部分省公司收付款</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省级集中</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扩大试点工作，进一步夯实国家电网资金卓越管理基础；第三，</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4"/>
          <w:sz w:val="21"/>
          <w:szCs w:val="21"/>
        </w:rPr>
        <w:t>完成资金实时监控与预警系统正式上线应用。以资金流动为主线，以资金监控系统和财务核算系统为支撑，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建设</w:t>
      </w:r>
      <w:r>
        <w:rPr>
          <w:rFonts w:ascii="Times New Roman" w:hAnsi="Times New Roman" w:cs="Times New Roman" w:eastAsia="Times New Roman" w:hint="default"/>
          <w:sz w:val="21"/>
          <w:szCs w:val="21"/>
        </w:rPr>
        <w:t>“</w:t>
      </w:r>
      <w:r>
        <w:rPr>
          <w:rFonts w:ascii="宋体" w:hAnsi="宋体" w:cs="宋体" w:eastAsia="宋体" w:hint="default"/>
          <w:sz w:val="21"/>
          <w:szCs w:val="21"/>
        </w:rPr>
        <w:t>资金调度、运营分析、全面监测、全景展示</w:t>
      </w:r>
      <w:r>
        <w:rPr>
          <w:rFonts w:ascii="Times New Roman" w:hAnsi="Times New Roman" w:cs="Times New Roman" w:eastAsia="Times New Roman" w:hint="default"/>
          <w:sz w:val="21"/>
          <w:szCs w:val="21"/>
        </w:rPr>
        <w:t>”</w:t>
      </w:r>
      <w:r>
        <w:rPr>
          <w:rFonts w:ascii="宋体" w:hAnsi="宋体" w:cs="宋体" w:eastAsia="宋体" w:hint="default"/>
          <w:sz w:val="21"/>
          <w:szCs w:val="21"/>
        </w:rPr>
        <w:t>功能于一体的资金调控应用；第四，打造统一的电力市</w:t>
      </w:r>
      <w:r>
        <w:rPr>
          <w:rFonts w:ascii="宋体" w:hAnsi="宋体" w:cs="宋体" w:eastAsia="宋体" w:hint="default"/>
          <w:w w:val="100"/>
          <w:sz w:val="21"/>
          <w:szCs w:val="21"/>
        </w:rPr>
        <w:t> </w:t>
      </w:r>
      <w:r>
        <w:rPr>
          <w:rFonts w:ascii="宋体" w:hAnsi="宋体" w:cs="宋体" w:eastAsia="宋体" w:hint="default"/>
          <w:sz w:val="21"/>
          <w:szCs w:val="21"/>
        </w:rPr>
        <w:t>场电费结算平台。与国网电商公司协作完成新一代电费结算系统研发，并在国家电网多个省级单位试点实</w:t>
      </w:r>
      <w:r>
        <w:rPr>
          <w:rFonts w:ascii="宋体" w:hAnsi="宋体" w:cs="宋体" w:eastAsia="宋体" w:hint="default"/>
          <w:w w:val="100"/>
          <w:sz w:val="21"/>
          <w:szCs w:val="21"/>
        </w:rPr>
        <w:t> </w:t>
      </w:r>
      <w:r>
        <w:rPr>
          <w:rFonts w:ascii="宋体" w:hAnsi="宋体" w:cs="宋体" w:eastAsia="宋体" w:hint="default"/>
          <w:sz w:val="21"/>
          <w:szCs w:val="21"/>
        </w:rPr>
        <w:t>施，为国家电网积极适应电改政策提供解决方案及技术支撑；第五，开展财税信息化的综合试点建设。构</w:t>
      </w:r>
      <w:r>
        <w:rPr>
          <w:rFonts w:ascii="宋体" w:hAnsi="宋体" w:cs="宋体" w:eastAsia="宋体" w:hint="default"/>
          <w:w w:val="100"/>
          <w:sz w:val="21"/>
          <w:szCs w:val="21"/>
        </w:rPr>
        <w:t> </w:t>
      </w:r>
      <w:r>
        <w:rPr>
          <w:rFonts w:ascii="宋体" w:hAnsi="宋体" w:cs="宋体" w:eastAsia="宋体" w:hint="default"/>
          <w:spacing w:val="-4"/>
          <w:sz w:val="21"/>
          <w:szCs w:val="21"/>
        </w:rPr>
        <w:t>建基于</w:t>
      </w:r>
      <w:r>
        <w:rPr>
          <w:rFonts w:ascii="Times New Roman" w:hAnsi="Times New Roman" w:cs="Times New Roman" w:eastAsia="Times New Roman" w:hint="default"/>
          <w:spacing w:val="-4"/>
          <w:sz w:val="21"/>
          <w:szCs w:val="21"/>
        </w:rPr>
        <w:t>UAP</w:t>
      </w:r>
      <w:r>
        <w:rPr>
          <w:rFonts w:ascii="宋体" w:hAnsi="宋体" w:cs="宋体" w:eastAsia="宋体" w:hint="default"/>
          <w:spacing w:val="-4"/>
          <w:sz w:val="21"/>
          <w:szCs w:val="21"/>
        </w:rPr>
        <w:t>平台的覆盖税务管理全流程的标准化、智能化、互联化、服务化的新版集团智慧税务管理平台，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实现税务管理在管理体系变革方面从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传统型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智能型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转变，功能定位方面从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管理型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共享型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转变。</w:t>
      </w:r>
      <w:r>
        <w:rPr>
          <w:rFonts w:ascii="宋体" w:hAnsi="宋体" w:cs="宋体" w:eastAsia="宋体" w:hint="default"/>
          <w:spacing w:val="-33"/>
          <w:sz w:val="21"/>
          <w:szCs w:val="21"/>
        </w:rPr>
        <w:t> </w:t>
      </w:r>
      <w:r>
        <w:rPr>
          <w:rFonts w:ascii="宋体" w:hAnsi="宋体" w:cs="宋体" w:eastAsia="宋体" w:hint="default"/>
          <w:sz w:val="21"/>
          <w:szCs w:val="21"/>
        </w:rPr>
        <w:t>第六，深度参与国家电网企业中台、财务信息化顶层设计、财务中台设计等工作。完成国家电网总部、部</w:t>
      </w:r>
      <w:r>
        <w:rPr>
          <w:rFonts w:ascii="宋体" w:hAnsi="宋体" w:cs="宋体" w:eastAsia="宋体" w:hint="default"/>
          <w:w w:val="100"/>
          <w:sz w:val="21"/>
          <w:szCs w:val="21"/>
        </w:rPr>
        <w:t> </w:t>
      </w:r>
      <w:r>
        <w:rPr>
          <w:rFonts w:ascii="宋体" w:hAnsi="宋体" w:cs="宋体" w:eastAsia="宋体" w:hint="default"/>
          <w:spacing w:val="-4"/>
          <w:sz w:val="21"/>
          <w:szCs w:val="21"/>
        </w:rPr>
        <w:t>分省公司、直属单位财务管控新平台架构升级改造，为国家电网构建智慧共享财务管理体系提供系统保障。</w:t>
      </w:r>
    </w:p>
    <w:p>
      <w:pPr>
        <w:spacing w:line="266" w:lineRule="auto" w:before="16"/>
        <w:ind w:left="153" w:right="1124" w:firstLine="480"/>
        <w:jc w:val="both"/>
        <w:rPr>
          <w:rFonts w:ascii="宋体" w:hAnsi="宋体" w:cs="宋体" w:eastAsia="宋体" w:hint="default"/>
          <w:sz w:val="21"/>
          <w:szCs w:val="21"/>
        </w:rPr>
      </w:pPr>
      <w:r>
        <w:rPr>
          <w:rFonts w:ascii="宋体" w:hAnsi="宋体" w:cs="宋体" w:eastAsia="宋体" w:hint="default"/>
          <w:spacing w:val="-4"/>
          <w:sz w:val="21"/>
          <w:szCs w:val="21"/>
        </w:rPr>
        <w:t>在南方电网，公司进一步深化企业级财务管理系统应用建设，强化系统实用性，提升用户体验。持续</w:t>
      </w:r>
      <w:r>
        <w:rPr>
          <w:rFonts w:ascii="宋体" w:hAnsi="宋体" w:cs="宋体" w:eastAsia="宋体" w:hint="default"/>
          <w:w w:val="100"/>
          <w:sz w:val="21"/>
          <w:szCs w:val="21"/>
        </w:rPr>
        <w:t> </w:t>
      </w:r>
      <w:r>
        <w:rPr>
          <w:rFonts w:ascii="宋体" w:hAnsi="宋体" w:cs="宋体" w:eastAsia="宋体" w:hint="default"/>
          <w:spacing w:val="-2"/>
          <w:sz w:val="21"/>
          <w:szCs w:val="21"/>
        </w:rPr>
        <w:t>推进财务域数据分析应用</w:t>
      </w:r>
      <w:r>
        <w:rPr>
          <w:rFonts w:ascii="Times New Roman" w:hAnsi="Times New Roman" w:cs="Times New Roman" w:eastAsia="Times New Roman" w:hint="default"/>
          <w:spacing w:val="-2"/>
          <w:sz w:val="21"/>
          <w:szCs w:val="21"/>
        </w:rPr>
        <w:t>V2.0</w:t>
      </w:r>
      <w:r>
        <w:rPr>
          <w:rFonts w:ascii="宋体" w:hAnsi="宋体" w:cs="宋体" w:eastAsia="宋体" w:hint="default"/>
          <w:spacing w:val="-2"/>
          <w:sz w:val="21"/>
          <w:szCs w:val="21"/>
        </w:rPr>
        <w:t>系统建设，完成项目初验，实现快速组建分析场景、快速分享主题的自助式</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2"/>
          <w:sz w:val="21"/>
          <w:szCs w:val="21"/>
        </w:rPr>
        <w:t>数据分析应用。推进税务管理建设，在全网范围完成推广实施，完成项目终验，实现了公司税务产品在大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型集团企业的全面应用，为大型集团的税务管理数字化提供了优质的产品和服务。积极开展智能化在财务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领域的建设，推进智慧报账等应用拓展，助力数字化转型。在南方电网下属的海南电网公司完成国产化试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点工作，在国产化软硬件环境中，成功部署远光</w:t>
      </w:r>
      <w:r>
        <w:rPr>
          <w:rFonts w:ascii="Times New Roman" w:hAnsi="Times New Roman" w:cs="Times New Roman" w:eastAsia="Times New Roman" w:hint="default"/>
          <w:spacing w:val="-3"/>
          <w:sz w:val="21"/>
          <w:szCs w:val="21"/>
        </w:rPr>
        <w:t>GRIS Plus</w:t>
      </w:r>
      <w:r>
        <w:rPr>
          <w:rFonts w:ascii="宋体" w:hAnsi="宋体" w:cs="宋体" w:eastAsia="宋体" w:hint="default"/>
          <w:spacing w:val="-3"/>
          <w:sz w:val="21"/>
          <w:szCs w:val="21"/>
        </w:rPr>
        <w:t>产品，已通过南网科信部门验收并稳定运行，是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能源行业特别是电力行业第一家全部采用国产化软硬件的财务系统，具有重要示范意义。</w:t>
      </w:r>
    </w:p>
    <w:p>
      <w:pPr>
        <w:spacing w:line="273" w:lineRule="auto" w:before="14"/>
        <w:ind w:left="153" w:right="0" w:firstLine="480"/>
        <w:jc w:val="left"/>
        <w:rPr>
          <w:rFonts w:ascii="宋体" w:hAnsi="宋体" w:cs="宋体" w:eastAsia="宋体" w:hint="default"/>
          <w:sz w:val="21"/>
          <w:szCs w:val="21"/>
        </w:rPr>
      </w:pPr>
      <w:r>
        <w:rPr>
          <w:rFonts w:ascii="宋体" w:hAnsi="宋体" w:cs="宋体" w:eastAsia="宋体" w:hint="default"/>
          <w:spacing w:val="-6"/>
          <w:sz w:val="21"/>
          <w:szCs w:val="21"/>
        </w:rPr>
        <w:t>在发电集团，公司深入推进发电集团业务经营及项目。在国家能源集团，财务信息系统继续深化应用，</w:t>
      </w:r>
      <w:r>
        <w:rPr>
          <w:rFonts w:ascii="宋体" w:hAnsi="宋体" w:cs="宋体" w:eastAsia="宋体" w:hint="default"/>
          <w:w w:val="100"/>
          <w:sz w:val="21"/>
          <w:szCs w:val="21"/>
        </w:rPr>
        <w:t> </w:t>
      </w:r>
      <w:r>
        <w:rPr>
          <w:rFonts w:ascii="宋体" w:hAnsi="宋体" w:cs="宋体" w:eastAsia="宋体" w:hint="default"/>
          <w:sz w:val="21"/>
          <w:szCs w:val="21"/>
        </w:rPr>
        <w:t>完成售电试点上线，智慧工程、智慧财务、智慧税务等项目持续推进，并开展了区块链技术交流。在国家</w:t>
      </w:r>
      <w:r>
        <w:rPr>
          <w:rFonts w:ascii="宋体" w:hAnsi="宋体" w:cs="宋体" w:eastAsia="宋体" w:hint="default"/>
          <w:w w:val="100"/>
          <w:sz w:val="21"/>
          <w:szCs w:val="21"/>
        </w:rPr>
        <w:t> </w:t>
      </w:r>
      <w:r>
        <w:rPr>
          <w:rFonts w:ascii="宋体" w:hAnsi="宋体" w:cs="宋体" w:eastAsia="宋体" w:hint="default"/>
          <w:sz w:val="21"/>
          <w:szCs w:val="21"/>
        </w:rPr>
        <w:t>电投集团，中电国际税务共享项目完成试点上线，黄河公司安健环项目试点运行，积极推进大数据、区块</w:t>
      </w:r>
    </w:p>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1123" w:firstLine="0"/>
        <w:jc w:val="both"/>
        <w:rPr>
          <w:rFonts w:ascii="宋体" w:hAnsi="宋体" w:cs="宋体" w:eastAsia="宋体" w:hint="default"/>
          <w:sz w:val="21"/>
          <w:szCs w:val="21"/>
        </w:rPr>
      </w:pPr>
      <w:r>
        <w:rPr>
          <w:rFonts w:ascii="宋体" w:hAnsi="宋体" w:cs="宋体" w:eastAsia="宋体" w:hint="default"/>
          <w:spacing w:val="-2"/>
          <w:sz w:val="21"/>
          <w:szCs w:val="21"/>
        </w:rPr>
        <w:t>链等新技术的场景落地；按照集团财务共享规划，继续推进二级单位财务共享建设。在华能集团，优化提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升风控系统功能；在大唐集团，有序推进全面风险项目终验工作。在华电集团，与华电环保系统工程有限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公司签署智能喷氨分析站及数字化试点项目，双方在环保岛领域展开合作，共同探索发电企业智能化改造</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业务。</w:t>
      </w:r>
    </w:p>
    <w:p>
      <w:pPr>
        <w:spacing w:line="273" w:lineRule="auto" w:before="7"/>
        <w:ind w:left="153" w:right="0" w:firstLine="480"/>
        <w:jc w:val="left"/>
        <w:rPr>
          <w:rFonts w:ascii="宋体" w:hAnsi="宋体" w:cs="宋体" w:eastAsia="宋体" w:hint="default"/>
          <w:sz w:val="24"/>
          <w:szCs w:val="24"/>
        </w:rPr>
      </w:pPr>
      <w:r>
        <w:rPr>
          <w:rFonts w:ascii="宋体" w:hAnsi="宋体" w:cs="宋体" w:eastAsia="宋体" w:hint="default"/>
          <w:spacing w:val="-2"/>
          <w:sz w:val="21"/>
          <w:szCs w:val="21"/>
        </w:rPr>
        <w:t>在电力行业外，公司不断加快市场拓展，客户范围不断扩大，涵盖了航空、医疗、粮食、能源化工、</w:t>
      </w:r>
      <w:r>
        <w:rPr>
          <w:rFonts w:ascii="宋体" w:hAnsi="宋体" w:cs="宋体" w:eastAsia="宋体" w:hint="default"/>
          <w:w w:val="100"/>
          <w:sz w:val="21"/>
          <w:szCs w:val="21"/>
        </w:rPr>
        <w:t> </w:t>
      </w:r>
      <w:r>
        <w:rPr>
          <w:rFonts w:ascii="宋体" w:hAnsi="宋体" w:cs="宋体" w:eastAsia="宋体" w:hint="default"/>
          <w:sz w:val="21"/>
          <w:szCs w:val="21"/>
        </w:rPr>
        <w:t>金融类等多个行业，其中海尔集团、河南能源化工集团均为</w:t>
      </w:r>
      <w:r>
        <w:rPr>
          <w:rFonts w:ascii="Times New Roman" w:hAnsi="Times New Roman" w:cs="Times New Roman" w:eastAsia="Times New Roman" w:hint="default"/>
          <w:sz w:val="21"/>
          <w:szCs w:val="21"/>
        </w:rPr>
        <w:t>2019</w:t>
      </w:r>
      <w:r>
        <w:rPr>
          <w:rFonts w:ascii="宋体" w:hAnsi="宋体" w:cs="宋体" w:eastAsia="宋体" w:hint="default"/>
          <w:sz w:val="21"/>
          <w:szCs w:val="21"/>
        </w:rPr>
        <w:t>年世界</w:t>
      </w:r>
      <w:r>
        <w:rPr>
          <w:rFonts w:ascii="Times New Roman" w:hAnsi="Times New Roman" w:cs="Times New Roman" w:eastAsia="Times New Roman" w:hint="default"/>
          <w:sz w:val="21"/>
          <w:szCs w:val="21"/>
        </w:rPr>
        <w:t>500</w:t>
      </w:r>
      <w:r>
        <w:rPr>
          <w:rFonts w:ascii="宋体" w:hAnsi="宋体" w:cs="宋体" w:eastAsia="宋体" w:hint="default"/>
          <w:sz w:val="21"/>
          <w:szCs w:val="21"/>
        </w:rPr>
        <w:t>强企业。基于成熟的集团产品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优势，公司在集团管理业务咨询和系统建设等方面取得了丰硕成果，并逐渐形成航空业、冶金冶炼、制造</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业、医疗行业等行业专业解决方案，在整个集团企业管理领域的品牌影响力不断扩大。</w:t>
      </w:r>
      <w:r>
        <w:rPr>
          <w:rFonts w:ascii="宋体" w:hAnsi="宋体" w:cs="宋体" w:eastAsia="宋体" w:hint="default"/>
          <w:w w:val="100"/>
          <w:sz w:val="21"/>
          <w:szCs w:val="21"/>
        </w:rPr>
        <w:t>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、资产全生命周期管理业务</w:t>
      </w:r>
      <w:r>
        <w:rPr>
          <w:rFonts w:ascii="宋体" w:hAnsi="宋体" w:cs="宋体" w:eastAsia="宋体" w:hint="default"/>
          <w:sz w:val="24"/>
          <w:szCs w:val="24"/>
        </w:rPr>
      </w:r>
    </w:p>
    <w:p>
      <w:pPr>
        <w:spacing w:line="261" w:lineRule="auto" w:before="6"/>
        <w:ind w:left="153" w:right="0" w:firstLine="480"/>
        <w:jc w:val="left"/>
        <w:rPr>
          <w:rFonts w:ascii="宋体" w:hAnsi="宋体" w:cs="宋体" w:eastAsia="宋体" w:hint="default"/>
          <w:sz w:val="21"/>
          <w:szCs w:val="21"/>
        </w:rPr>
      </w:pPr>
      <w:r>
        <w:rPr>
          <w:rFonts w:ascii="宋体" w:hAnsi="宋体" w:cs="宋体" w:eastAsia="宋体" w:hint="default"/>
          <w:sz w:val="21"/>
          <w:szCs w:val="21"/>
        </w:rPr>
        <w:t>报告期内，公司以国家</w:t>
      </w:r>
      <w:r>
        <w:rPr>
          <w:rFonts w:ascii="Times New Roman" w:hAnsi="Times New Roman" w:cs="Times New Roman" w:eastAsia="Times New Roman" w:hint="default"/>
          <w:sz w:val="21"/>
          <w:szCs w:val="21"/>
        </w:rPr>
        <w:t>GB/T</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z w:val="21"/>
          <w:szCs w:val="21"/>
        </w:rPr>
        <w:t>33173-2016</w:t>
      </w:r>
      <w:r>
        <w:rPr>
          <w:rFonts w:ascii="宋体" w:hAnsi="宋体" w:cs="宋体" w:eastAsia="宋体" w:hint="default"/>
          <w:sz w:val="21"/>
          <w:szCs w:val="21"/>
        </w:rPr>
        <w:t>《资产管理体系要求》为代表的资产管理系列国家标准为实</w:t>
      </w:r>
      <w:r>
        <w:rPr>
          <w:rFonts w:ascii="宋体" w:hAnsi="宋体" w:cs="宋体" w:eastAsia="宋体" w:hint="default"/>
          <w:w w:val="100"/>
          <w:sz w:val="21"/>
          <w:szCs w:val="21"/>
        </w:rPr>
        <w:t> </w:t>
      </w:r>
      <w:r>
        <w:rPr>
          <w:rFonts w:ascii="宋体" w:hAnsi="宋体" w:cs="宋体" w:eastAsia="宋体" w:hint="default"/>
          <w:sz w:val="21"/>
          <w:szCs w:val="21"/>
        </w:rPr>
        <w:t>施要求，结合能源、冶金、化工等资产密集型行业资产管理现状和要求，以资产全生命周期管理为理念，</w:t>
      </w:r>
      <w:r>
        <w:rPr>
          <w:rFonts w:ascii="宋体" w:hAnsi="宋体" w:cs="宋体" w:eastAsia="宋体" w:hint="default"/>
          <w:w w:val="100"/>
          <w:sz w:val="21"/>
          <w:szCs w:val="21"/>
        </w:rPr>
        <w:t> </w:t>
      </w:r>
      <w:r>
        <w:rPr>
          <w:rFonts w:ascii="宋体" w:hAnsi="宋体" w:cs="宋体" w:eastAsia="宋体" w:hint="default"/>
          <w:spacing w:val="-6"/>
          <w:sz w:val="21"/>
          <w:szCs w:val="21"/>
        </w:rPr>
        <w:t>基于云计算、大数据、物联网、移动互联、智能化等技术手段，完成了固定资产管理</w:t>
      </w:r>
      <w:r>
        <w:rPr>
          <w:rFonts w:ascii="Times New Roman" w:hAnsi="Times New Roman" w:cs="Times New Roman" w:eastAsia="Times New Roman" w:hint="default"/>
          <w:spacing w:val="-6"/>
          <w:sz w:val="21"/>
          <w:szCs w:val="21"/>
        </w:rPr>
        <w:t>2.0</w:t>
      </w:r>
      <w:r>
        <w:rPr>
          <w:rFonts w:ascii="宋体" w:hAnsi="宋体" w:cs="宋体" w:eastAsia="宋体" w:hint="default"/>
          <w:spacing w:val="-6"/>
          <w:sz w:val="21"/>
          <w:szCs w:val="21"/>
        </w:rPr>
        <w:t>、设备设施管理</w:t>
      </w:r>
      <w:r>
        <w:rPr>
          <w:rFonts w:ascii="Times New Roman" w:hAnsi="Times New Roman" w:cs="Times New Roman" w:eastAsia="Times New Roman" w:hint="default"/>
          <w:spacing w:val="-6"/>
          <w:sz w:val="21"/>
          <w:szCs w:val="21"/>
        </w:rPr>
        <w:t>2.0</w:t>
      </w:r>
      <w:r>
        <w:rPr>
          <w:rFonts w:ascii="宋体" w:hAnsi="宋体" w:cs="宋体" w:eastAsia="宋体" w:hint="default"/>
          <w:spacing w:val="-6"/>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设备运维管理</w:t>
      </w:r>
      <w:r>
        <w:rPr>
          <w:rFonts w:ascii="Times New Roman" w:hAnsi="Times New Roman" w:cs="Times New Roman" w:eastAsia="Times New Roman" w:hint="default"/>
          <w:sz w:val="21"/>
          <w:szCs w:val="21"/>
        </w:rPr>
        <w:t>2.0</w:t>
      </w:r>
      <w:r>
        <w:rPr>
          <w:rFonts w:ascii="宋体" w:hAnsi="宋体" w:cs="宋体" w:eastAsia="宋体" w:hint="default"/>
          <w:sz w:val="21"/>
          <w:szCs w:val="21"/>
        </w:rPr>
        <w:t>、安健环管理</w:t>
      </w:r>
      <w:r>
        <w:rPr>
          <w:rFonts w:ascii="Times New Roman" w:hAnsi="Times New Roman" w:cs="Times New Roman" w:eastAsia="Times New Roman" w:hint="default"/>
          <w:sz w:val="21"/>
          <w:szCs w:val="21"/>
        </w:rPr>
        <w:t>2.0</w:t>
      </w:r>
      <w:r>
        <w:rPr>
          <w:rFonts w:ascii="宋体" w:hAnsi="宋体" w:cs="宋体" w:eastAsia="宋体" w:hint="default"/>
          <w:sz w:val="21"/>
          <w:szCs w:val="21"/>
        </w:rPr>
        <w:t>产品的升级换代，持续打造一体化、智能化的远光资产全寿命周期管理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Times New Roman" w:hAnsi="Times New Roman" w:cs="Times New Roman" w:eastAsia="Times New Roman" w:hint="default"/>
          <w:sz w:val="21"/>
          <w:szCs w:val="21"/>
        </w:rPr>
        <w:t>2.0</w:t>
      </w:r>
      <w:r>
        <w:rPr>
          <w:rFonts w:ascii="宋体" w:hAnsi="宋体" w:cs="宋体" w:eastAsia="宋体" w:hint="default"/>
          <w:sz w:val="21"/>
          <w:szCs w:val="21"/>
        </w:rPr>
        <w:t>产品体系。报告期内，公司中标金川集团资产全生命周期管理系统等项目。</w:t>
      </w:r>
    </w:p>
    <w:p>
      <w:pPr>
        <w:spacing w:line="273" w:lineRule="auto" w:before="1"/>
        <w:ind w:left="153" w:right="0" w:firstLine="480"/>
        <w:jc w:val="left"/>
        <w:rPr>
          <w:rFonts w:ascii="宋体" w:hAnsi="宋体" w:cs="宋体" w:eastAsia="宋体" w:hint="default"/>
          <w:sz w:val="21"/>
          <w:szCs w:val="21"/>
        </w:rPr>
      </w:pPr>
      <w:r>
        <w:rPr>
          <w:rFonts w:ascii="宋体" w:hAnsi="宋体" w:cs="宋体" w:eastAsia="宋体" w:hint="default"/>
          <w:spacing w:val="-6"/>
          <w:w w:val="100"/>
          <w:sz w:val="21"/>
          <w:szCs w:val="21"/>
        </w:rPr>
        <w:t>报告期内，公司控股子公司远光广安继续发挥在军工装备领域的项目管理产品优势，在原有东风汽车、</w:t>
      </w:r>
      <w:r>
        <w:rPr>
          <w:rFonts w:ascii="宋体" w:hAnsi="宋体" w:cs="宋体" w:eastAsia="宋体" w:hint="default"/>
          <w:w w:val="100"/>
          <w:sz w:val="21"/>
          <w:szCs w:val="21"/>
        </w:rPr>
        <w:t> </w:t>
      </w:r>
      <w:r>
        <w:rPr>
          <w:rFonts w:ascii="宋体" w:hAnsi="宋体" w:cs="宋体" w:eastAsia="宋体" w:hint="default"/>
          <w:sz w:val="21"/>
          <w:szCs w:val="21"/>
        </w:rPr>
        <w:t>中船动力等客户基础上，成功拓展了中国船舶重工集团、中国北方车辆研究所等客户，在军工装备行业项</w:t>
      </w:r>
      <w:r>
        <w:rPr>
          <w:rFonts w:ascii="宋体" w:hAnsi="宋体" w:cs="宋体" w:eastAsia="宋体" w:hint="default"/>
          <w:w w:val="100"/>
          <w:sz w:val="21"/>
          <w:szCs w:val="21"/>
        </w:rPr>
        <w:t> </w:t>
      </w:r>
      <w:r>
        <w:rPr>
          <w:rFonts w:ascii="宋体" w:hAnsi="宋体" w:cs="宋体" w:eastAsia="宋体" w:hint="default"/>
          <w:sz w:val="21"/>
          <w:szCs w:val="21"/>
        </w:rPr>
        <w:t>目管理领域扩大了市场份额。</w:t>
      </w:r>
    </w:p>
    <w:p>
      <w:pPr>
        <w:pStyle w:val="Heading2"/>
        <w:spacing w:line="240" w:lineRule="auto" w:before="25"/>
        <w:ind w:right="0"/>
        <w:jc w:val="both"/>
        <w:rPr>
          <w:b w:val="0"/>
          <w:bCs w:val="0"/>
        </w:rPr>
      </w:pPr>
      <w:r>
        <w:rPr>
          <w:rFonts w:ascii="Times New Roman" w:hAnsi="Times New Roman" w:cs="Times New Roman" w:eastAsia="Times New Roman" w:hint="default"/>
        </w:rPr>
        <w:t>3</w:t>
      </w:r>
      <w:r>
        <w:rPr/>
        <w:t>、智慧能源业务</w:t>
      </w:r>
      <w:r>
        <w:rPr>
          <w:b w:val="0"/>
          <w:bCs w:val="0"/>
        </w:rPr>
      </w:r>
    </w:p>
    <w:p>
      <w:pPr>
        <w:spacing w:line="273" w:lineRule="auto" w:before="39"/>
        <w:ind w:left="153" w:right="1106"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报告期内，公司持续与国网电商公司展开深度合作，开展平台技术、解决方案、市场应用的共同研究</w:t>
      </w:r>
      <w:r>
        <w:rPr>
          <w:rFonts w:ascii="宋体" w:hAnsi="宋体" w:cs="宋体" w:eastAsia="宋体" w:hint="default"/>
          <w:w w:val="100"/>
          <w:sz w:val="21"/>
          <w:szCs w:val="21"/>
        </w:rPr>
        <w:t> </w:t>
      </w:r>
      <w:r>
        <w:rPr>
          <w:rFonts w:ascii="宋体" w:hAnsi="宋体" w:cs="宋体" w:eastAsia="宋体" w:hint="default"/>
          <w:spacing w:val="-2"/>
          <w:sz w:val="21"/>
          <w:szCs w:val="21"/>
        </w:rPr>
        <w:t>与开发，扩大双方业务及技术优势。在持续强化既有优势业务的基础上，运用区块链、物联网、云计算、</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大数据等前沿技术，不断优化产业布局和产品战略，以更好契合新的市场环境下的各类用户需求。目前已</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经形成围绕电力市场新兴业态的一系列成熟产品和解决方案，包括综合能源服务平台、电力现货交易模拟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仿真平台、电力现货交易结算系统、发电企业市场交易辅助决策系统、碳资产管理系统等。</w:t>
      </w:r>
    </w:p>
    <w:p>
      <w:pPr>
        <w:spacing w:line="266" w:lineRule="auto" w:before="7"/>
        <w:ind w:left="153" w:right="0" w:firstLine="422"/>
        <w:jc w:val="left"/>
        <w:rPr>
          <w:rFonts w:ascii="宋体" w:hAnsi="宋体" w:cs="宋体" w:eastAsia="宋体" w:hint="default"/>
          <w:sz w:val="21"/>
          <w:szCs w:val="21"/>
        </w:rPr>
      </w:pPr>
      <w:r>
        <w:rPr>
          <w:rFonts w:ascii="宋体" w:hAnsi="宋体" w:cs="宋体" w:eastAsia="宋体" w:hint="default"/>
          <w:sz w:val="21"/>
          <w:szCs w:val="21"/>
        </w:rPr>
        <w:t>发电企业市场交易辅助决策系统以发电企业参与电力现货市场的刚性需求和痛点为切入，提供电量预</w:t>
      </w:r>
      <w:r>
        <w:rPr>
          <w:rFonts w:ascii="宋体" w:hAnsi="宋体" w:cs="宋体" w:eastAsia="宋体" w:hint="default"/>
          <w:w w:val="100"/>
          <w:sz w:val="21"/>
          <w:szCs w:val="21"/>
        </w:rPr>
        <w:t> </w:t>
      </w:r>
      <w:r>
        <w:rPr>
          <w:rFonts w:ascii="宋体" w:hAnsi="宋体" w:cs="宋体" w:eastAsia="宋体" w:hint="default"/>
          <w:sz w:val="21"/>
          <w:szCs w:val="21"/>
        </w:rPr>
        <w:t>测、电价预测和现货模拟仿真等核心功能，</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年度荣获中国软件行业协会优秀软件产品、中国电力企业</w:t>
      </w:r>
      <w:r>
        <w:rPr>
          <w:rFonts w:ascii="宋体" w:hAnsi="宋体" w:cs="宋体" w:eastAsia="宋体" w:hint="default"/>
          <w:w w:val="100"/>
          <w:sz w:val="21"/>
          <w:szCs w:val="21"/>
        </w:rPr>
        <w:t> </w:t>
      </w:r>
      <w:r>
        <w:rPr>
          <w:rFonts w:ascii="宋体" w:hAnsi="宋体" w:cs="宋体" w:eastAsia="宋体" w:hint="default"/>
          <w:sz w:val="21"/>
          <w:szCs w:val="21"/>
        </w:rPr>
        <w:t>联合会电力行业两化融合优秀解决方案等奖项。随着电力现货市场深入推进，公司持续优化电力现货交易</w:t>
      </w:r>
      <w:r>
        <w:rPr>
          <w:rFonts w:ascii="宋体" w:hAnsi="宋体" w:cs="宋体" w:eastAsia="宋体" w:hint="default"/>
          <w:w w:val="100"/>
          <w:sz w:val="21"/>
          <w:szCs w:val="21"/>
        </w:rPr>
        <w:t> </w:t>
      </w:r>
      <w:r>
        <w:rPr>
          <w:rFonts w:ascii="宋体" w:hAnsi="宋体" w:cs="宋体" w:eastAsia="宋体" w:hint="default"/>
          <w:sz w:val="21"/>
          <w:szCs w:val="21"/>
        </w:rPr>
        <w:t>模拟仿真平台出清核心算法，为广东、山东、浙江等电力现货试点省份的大型发电企业客户提供电力现货</w:t>
      </w:r>
      <w:r>
        <w:rPr>
          <w:rFonts w:ascii="宋体" w:hAnsi="宋体" w:cs="宋体" w:eastAsia="宋体" w:hint="default"/>
          <w:w w:val="100"/>
          <w:sz w:val="21"/>
          <w:szCs w:val="21"/>
        </w:rPr>
        <w:t> </w:t>
      </w:r>
      <w:r>
        <w:rPr>
          <w:rFonts w:ascii="宋体" w:hAnsi="宋体" w:cs="宋体" w:eastAsia="宋体" w:hint="default"/>
          <w:spacing w:val="-4"/>
          <w:w w:val="100"/>
          <w:sz w:val="21"/>
          <w:szCs w:val="21"/>
        </w:rPr>
        <w:t>市场全景模拟仿真培训，</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远光电力现货交易模拟仿真系统</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荣获</w:t>
      </w:r>
      <w:r>
        <w:rPr>
          <w:rFonts w:ascii="Times New Roman" w:hAnsi="Times New Roman" w:cs="Times New Roman" w:eastAsia="Times New Roman" w:hint="default"/>
          <w:spacing w:val="-4"/>
          <w:w w:val="100"/>
          <w:sz w:val="21"/>
          <w:szCs w:val="21"/>
        </w:rPr>
        <w:t>2019</w:t>
      </w:r>
      <w:r>
        <w:rPr>
          <w:rFonts w:ascii="宋体" w:hAnsi="宋体" w:cs="宋体" w:eastAsia="宋体" w:hint="default"/>
          <w:spacing w:val="-4"/>
          <w:w w:val="100"/>
          <w:sz w:val="21"/>
          <w:szCs w:val="21"/>
        </w:rPr>
        <w:t>中国能源企业信息化产品技术创新奖。</w:t>
      </w:r>
      <w:r>
        <w:rPr>
          <w:rFonts w:ascii="宋体" w:hAnsi="宋体" w:cs="宋体" w:eastAsia="宋体" w:hint="default"/>
          <w:spacing w:val="-61"/>
          <w:w w:val="100"/>
          <w:sz w:val="21"/>
          <w:szCs w:val="21"/>
        </w:rPr>
        <w:t> </w:t>
      </w:r>
      <w:r>
        <w:rPr>
          <w:rFonts w:ascii="宋体" w:hAnsi="宋体" w:cs="宋体" w:eastAsia="宋体" w:hint="default"/>
          <w:spacing w:val="-61"/>
          <w:w w:val="100"/>
          <w:sz w:val="21"/>
          <w:szCs w:val="21"/>
        </w:rPr>
      </w:r>
      <w:r>
        <w:rPr>
          <w:rFonts w:ascii="宋体" w:hAnsi="宋体" w:cs="宋体" w:eastAsia="宋体" w:hint="default"/>
          <w:spacing w:val="-4"/>
          <w:sz w:val="21"/>
          <w:szCs w:val="21"/>
        </w:rPr>
        <w:t>公司深入开展园区综合能源课题研究工作，构建综合能效指标体系。开展企业能效管理、电能质量、光伏、</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储能、需求响应等课题的专项研究。综合能源服务平台</w:t>
      </w:r>
      <w:r>
        <w:rPr>
          <w:rFonts w:ascii="Times New Roman" w:hAnsi="Times New Roman" w:cs="Times New Roman" w:eastAsia="Times New Roman" w:hint="default"/>
          <w:sz w:val="21"/>
          <w:szCs w:val="21"/>
        </w:rPr>
        <w:t>V4.0</w:t>
      </w:r>
      <w:r>
        <w:rPr>
          <w:rFonts w:ascii="宋体" w:hAnsi="宋体" w:cs="宋体" w:eastAsia="宋体" w:hint="default"/>
          <w:sz w:val="21"/>
          <w:szCs w:val="21"/>
        </w:rPr>
        <w:t>成功发布，实现了需求侧响应管理功能，支撑</w:t>
      </w:r>
      <w:r>
        <w:rPr>
          <w:rFonts w:ascii="宋体" w:hAnsi="宋体" w:cs="宋体" w:eastAsia="宋体" w:hint="default"/>
          <w:w w:val="100"/>
          <w:sz w:val="21"/>
          <w:szCs w:val="21"/>
        </w:rPr>
        <w:t> </w:t>
      </w:r>
      <w:r>
        <w:rPr>
          <w:rFonts w:ascii="宋体" w:hAnsi="宋体" w:cs="宋体" w:eastAsia="宋体" w:hint="default"/>
          <w:spacing w:val="-4"/>
          <w:sz w:val="21"/>
          <w:szCs w:val="21"/>
        </w:rPr>
        <w:t>能源运营商、负荷集成商、用电企业开展需求响应业务；建成统一的综合能源监控平台，实现光能、储能、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充电桩等新型能源设备设施的运行监视，以及辅助监控功能，为能源运营商开展综合能源服务业务提供必</w:t>
      </w:r>
      <w:r>
        <w:rPr>
          <w:rFonts w:ascii="宋体" w:hAnsi="宋体" w:cs="宋体" w:eastAsia="宋体" w:hint="default"/>
          <w:w w:val="100"/>
          <w:sz w:val="21"/>
          <w:szCs w:val="21"/>
        </w:rPr>
        <w:t> </w:t>
      </w:r>
      <w:r>
        <w:rPr>
          <w:rFonts w:ascii="宋体" w:hAnsi="宋体" w:cs="宋体" w:eastAsia="宋体" w:hint="default"/>
          <w:sz w:val="21"/>
          <w:szCs w:val="21"/>
        </w:rPr>
        <w:t>要的基础保障。综合能源服务平台荣获 </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年度广东省大数据协会、广东软件行业协会颁发的广东省优</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秀大数据案例</w:t>
      </w:r>
      <w:r>
        <w:rPr>
          <w:rFonts w:ascii="Times New Roman" w:hAnsi="Times New Roman" w:cs="Times New Roman" w:eastAsia="Times New Roman" w:hint="default"/>
          <w:sz w:val="21"/>
          <w:szCs w:val="21"/>
        </w:rPr>
        <w:t>TOP30</w:t>
      </w:r>
      <w:r>
        <w:rPr>
          <w:rFonts w:ascii="宋体" w:hAnsi="宋体" w:cs="宋体" w:eastAsia="宋体" w:hint="default"/>
          <w:sz w:val="21"/>
          <w:szCs w:val="21"/>
        </w:rPr>
        <w:t>。</w:t>
      </w:r>
    </w:p>
    <w:p>
      <w:pPr>
        <w:spacing w:line="256" w:lineRule="auto" w:before="0"/>
        <w:ind w:left="153" w:right="1122" w:firstLine="422"/>
        <w:jc w:val="both"/>
        <w:rPr>
          <w:rFonts w:ascii="宋体" w:hAnsi="宋体" w:cs="宋体" w:eastAsia="宋体" w:hint="default"/>
          <w:sz w:val="21"/>
          <w:szCs w:val="21"/>
        </w:rPr>
      </w:pPr>
      <w:r>
        <w:rPr>
          <w:rFonts w:ascii="宋体" w:hAnsi="宋体" w:cs="宋体" w:eastAsia="宋体" w:hint="default"/>
          <w:spacing w:val="-2"/>
          <w:sz w:val="21"/>
          <w:szCs w:val="21"/>
        </w:rPr>
        <w:t>公司控股子公司昊美科技持续增加能源互联网支撑业务投入，顺利完成了</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年度业绩承诺。在综合</w:t>
      </w:r>
      <w:r>
        <w:rPr>
          <w:rFonts w:ascii="宋体" w:hAnsi="宋体" w:cs="宋体" w:eastAsia="宋体" w:hint="default"/>
          <w:w w:val="100"/>
          <w:sz w:val="21"/>
          <w:szCs w:val="21"/>
        </w:rPr>
        <w:t> </w:t>
      </w:r>
      <w:r>
        <w:rPr>
          <w:rFonts w:ascii="宋体" w:hAnsi="宋体" w:cs="宋体" w:eastAsia="宋体" w:hint="default"/>
          <w:sz w:val="21"/>
          <w:szCs w:val="21"/>
        </w:rPr>
        <w:t>能源解决方案方面，轻量版能源运营平台成功上线运行；开发新版的通信管理机</w:t>
      </w:r>
      <w:r>
        <w:rPr>
          <w:rFonts w:ascii="Times New Roman" w:hAnsi="Times New Roman" w:cs="Times New Roman" w:eastAsia="Times New Roman" w:hint="default"/>
          <w:sz w:val="21"/>
          <w:szCs w:val="21"/>
        </w:rPr>
        <w:t>HM2302D</w:t>
      </w:r>
      <w:r>
        <w:rPr>
          <w:rFonts w:ascii="宋体" w:hAnsi="宋体" w:cs="宋体" w:eastAsia="宋体" w:hint="default"/>
          <w:sz w:val="21"/>
          <w:szCs w:val="21"/>
        </w:rPr>
        <w:t>及物联网网关</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Times New Roman" w:hAnsi="Times New Roman" w:cs="Times New Roman" w:eastAsia="Times New Roman" w:hint="default"/>
          <w:spacing w:val="-3"/>
          <w:sz w:val="21"/>
          <w:szCs w:val="21"/>
        </w:rPr>
        <w:t>HM2360A</w:t>
      </w:r>
      <w:r>
        <w:rPr>
          <w:rFonts w:ascii="宋体" w:hAnsi="宋体" w:cs="宋体" w:eastAsia="宋体" w:hint="default"/>
          <w:spacing w:val="-3"/>
          <w:sz w:val="21"/>
          <w:szCs w:val="21"/>
        </w:rPr>
        <w:t>，支持多种物联网应用场景接入协议，完善边缘计算平台和电力物联网多协议接入</w:t>
      </w:r>
      <w:r>
        <w:rPr>
          <w:rFonts w:ascii="Times New Roman" w:hAnsi="Times New Roman" w:cs="Times New Roman" w:eastAsia="Times New Roman" w:hint="default"/>
          <w:spacing w:val="-3"/>
          <w:sz w:val="21"/>
          <w:szCs w:val="21"/>
        </w:rPr>
        <w:t>SDK</w:t>
      </w:r>
      <w:r>
        <w:rPr>
          <w:rFonts w:ascii="宋体" w:hAnsi="宋体" w:cs="宋体" w:eastAsia="宋体" w:hint="default"/>
          <w:spacing w:val="-3"/>
          <w:sz w:val="21"/>
          <w:szCs w:val="21"/>
        </w:rPr>
        <w:t>等基础支</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撑，完善企业用能、智慧用电等综合能源场景，开发了</w:t>
      </w:r>
      <w:r>
        <w:rPr>
          <w:rFonts w:ascii="Times New Roman" w:hAnsi="Times New Roman" w:cs="Times New Roman" w:eastAsia="Times New Roman" w:hint="default"/>
          <w:sz w:val="21"/>
          <w:szCs w:val="21"/>
        </w:rPr>
        <w:t>“</w:t>
      </w:r>
      <w:r>
        <w:rPr>
          <w:rFonts w:ascii="宋体" w:hAnsi="宋体" w:cs="宋体" w:eastAsia="宋体" w:hint="default"/>
          <w:sz w:val="21"/>
          <w:szCs w:val="21"/>
        </w:rPr>
        <w:t>低碳入住、智慧学校综合用能、商业综合体综合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能源、美丽乡村、独居老人、新能源</w:t>
      </w:r>
      <w:r>
        <w:rPr>
          <w:rFonts w:ascii="Times New Roman" w:hAnsi="Times New Roman" w:cs="Times New Roman" w:eastAsia="Times New Roman" w:hint="default"/>
          <w:sz w:val="21"/>
          <w:szCs w:val="21"/>
        </w:rPr>
        <w:t>”</w:t>
      </w:r>
      <w:r>
        <w:rPr>
          <w:rFonts w:ascii="宋体" w:hAnsi="宋体" w:cs="宋体" w:eastAsia="宋体" w:hint="default"/>
          <w:sz w:val="21"/>
          <w:szCs w:val="21"/>
        </w:rPr>
        <w:t>六大典型综合能源应用场景。</w:t>
      </w:r>
    </w:p>
    <w:p>
      <w:pPr>
        <w:pStyle w:val="Heading2"/>
        <w:spacing w:line="240" w:lineRule="auto" w:before="22"/>
        <w:ind w:right="0"/>
        <w:jc w:val="both"/>
        <w:rPr>
          <w:b w:val="0"/>
          <w:bCs w:val="0"/>
        </w:rPr>
      </w:pPr>
      <w:r>
        <w:rPr>
          <w:rFonts w:ascii="Times New Roman" w:hAnsi="Times New Roman" w:cs="Times New Roman" w:eastAsia="Times New Roman" w:hint="default"/>
        </w:rPr>
        <w:t>4</w:t>
      </w:r>
      <w:r>
        <w:rPr/>
        <w:t>、配售电业务</w:t>
      </w:r>
      <w:r>
        <w:rPr>
          <w:b w:val="0"/>
          <w:bCs w:val="0"/>
        </w:rPr>
      </w:r>
    </w:p>
    <w:p>
      <w:pPr>
        <w:spacing w:line="273" w:lineRule="auto" w:before="44"/>
        <w:ind w:left="153" w:right="1122" w:firstLine="480"/>
        <w:jc w:val="both"/>
        <w:rPr>
          <w:rFonts w:ascii="宋体" w:hAnsi="宋体" w:cs="宋体" w:eastAsia="宋体" w:hint="default"/>
          <w:sz w:val="21"/>
          <w:szCs w:val="21"/>
        </w:rPr>
      </w:pPr>
      <w:r>
        <w:rPr>
          <w:rFonts w:ascii="宋体" w:hAnsi="宋体" w:cs="宋体" w:eastAsia="宋体" w:hint="default"/>
          <w:spacing w:val="-3"/>
          <w:sz w:val="21"/>
          <w:szCs w:val="21"/>
        </w:rPr>
        <w:t>报告期内，公司积极开拓配售电业务，控股子公司高远电能交易电量位居广东售电公司前列。除了售</w:t>
      </w:r>
      <w:r>
        <w:rPr>
          <w:rFonts w:ascii="宋体" w:hAnsi="宋体" w:cs="宋体" w:eastAsia="宋体" w:hint="default"/>
          <w:w w:val="100"/>
          <w:sz w:val="21"/>
          <w:szCs w:val="21"/>
        </w:rPr>
        <w:t> </w:t>
      </w:r>
      <w:r>
        <w:rPr>
          <w:rFonts w:ascii="宋体" w:hAnsi="宋体" w:cs="宋体" w:eastAsia="宋体" w:hint="default"/>
          <w:spacing w:val="-2"/>
          <w:sz w:val="21"/>
          <w:szCs w:val="21"/>
        </w:rPr>
        <w:t>电业务外，高远电能还积极涉足容改需、储能、光伏、充电桩等售电增值服务领域。储能方面，由高远电</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能投资建设的首个电力集装箱储能系统正常运行，降低了用电成本；容改需方面，与多家客户签订了容改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需协议，为客户减少了大量基本电费支出；光伏方面，由高远电能投资的远光软件园</w:t>
      </w:r>
      <w:r>
        <w:rPr>
          <w:rFonts w:ascii="Times New Roman" w:hAnsi="Times New Roman" w:cs="Times New Roman" w:eastAsia="Times New Roman" w:hint="default"/>
          <w:spacing w:val="-2"/>
          <w:sz w:val="21"/>
          <w:szCs w:val="21"/>
        </w:rPr>
        <w:t>108kW</w:t>
      </w:r>
      <w:r>
        <w:rPr>
          <w:rFonts w:ascii="宋体" w:hAnsi="宋体" w:cs="宋体" w:eastAsia="宋体" w:hint="default"/>
          <w:spacing w:val="-2"/>
          <w:sz w:val="21"/>
          <w:szCs w:val="21"/>
        </w:rPr>
        <w:t>分布式光伏项</w:t>
      </w:r>
    </w:p>
    <w:p>
      <w:pPr>
        <w:spacing w:after="0" w:line="273"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目并网发电；充电桩方面，投资了远光软件充电站项目，并正式对外运营。</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售电</w:t>
      </w:r>
      <w:r>
        <w:rPr>
          <w:rFonts w:ascii="Times New Roman" w:hAnsi="Times New Roman" w:cs="Times New Roman" w:eastAsia="Times New Roman" w:hint="default"/>
          <w:sz w:val="21"/>
          <w:szCs w:val="21"/>
        </w:rPr>
        <w:t>+</w:t>
      </w:r>
      <w:r>
        <w:rPr>
          <w:rFonts w:ascii="宋体" w:hAnsi="宋体" w:cs="宋体" w:eastAsia="宋体" w:hint="default"/>
          <w:sz w:val="21"/>
          <w:szCs w:val="21"/>
        </w:rPr>
        <w:t>专业增值服务</w:t>
      </w:r>
      <w:r>
        <w:rPr>
          <w:rFonts w:ascii="Times New Roman" w:hAnsi="Times New Roman" w:cs="Times New Roman" w:eastAsia="Times New Roman" w:hint="default"/>
          <w:sz w:val="21"/>
          <w:szCs w:val="21"/>
        </w:rPr>
        <w:t>”</w:t>
      </w:r>
      <w:r>
        <w:rPr>
          <w:rFonts w:ascii="宋体" w:hAnsi="宋体" w:cs="宋体" w:eastAsia="宋体" w:hint="default"/>
          <w:sz w:val="21"/>
          <w:szCs w:val="21"/>
        </w:rPr>
        <w:t>逐渐成</w:t>
      </w:r>
      <w:r>
        <w:rPr>
          <w:rFonts w:ascii="宋体" w:hAnsi="宋体" w:cs="宋体" w:eastAsia="宋体" w:hint="default"/>
          <w:spacing w:val="-94"/>
          <w:sz w:val="21"/>
          <w:szCs w:val="21"/>
        </w:rPr>
        <w:t> </w:t>
      </w:r>
      <w:r>
        <w:rPr>
          <w:rFonts w:ascii="宋体" w:hAnsi="宋体" w:cs="宋体" w:eastAsia="宋体" w:hint="default"/>
          <w:spacing w:val="-5"/>
          <w:sz w:val="21"/>
          <w:szCs w:val="21"/>
        </w:rPr>
        <w:t>为高远电能的主要业务模式。此外，由远光晴天投资的国药集团</w:t>
      </w:r>
      <w:r>
        <w:rPr>
          <w:rFonts w:ascii="Times New Roman" w:hAnsi="Times New Roman" w:cs="Times New Roman" w:eastAsia="Times New Roman" w:hint="default"/>
          <w:spacing w:val="-5"/>
          <w:sz w:val="21"/>
          <w:szCs w:val="21"/>
        </w:rPr>
        <w:t>1963.5kW</w:t>
      </w:r>
      <w:r>
        <w:rPr>
          <w:rFonts w:ascii="宋体" w:hAnsi="宋体" w:cs="宋体" w:eastAsia="宋体" w:hint="default"/>
          <w:spacing w:val="-5"/>
          <w:sz w:val="21"/>
          <w:szCs w:val="21"/>
        </w:rPr>
        <w:t>分布式光伏项目也完成并网发电。</w:t>
      </w:r>
    </w:p>
    <w:p>
      <w:pPr>
        <w:spacing w:line="264" w:lineRule="auto" w:before="5"/>
        <w:ind w:left="153" w:right="1122" w:firstLine="480"/>
        <w:jc w:val="both"/>
        <w:rPr>
          <w:rFonts w:ascii="宋体" w:hAnsi="宋体" w:cs="宋体" w:eastAsia="宋体" w:hint="default"/>
          <w:sz w:val="21"/>
          <w:szCs w:val="21"/>
        </w:rPr>
      </w:pPr>
      <w:r>
        <w:rPr>
          <w:rFonts w:ascii="宋体" w:hAnsi="宋体" w:cs="宋体" w:eastAsia="宋体" w:hint="default"/>
          <w:spacing w:val="-1"/>
          <w:sz w:val="21"/>
          <w:szCs w:val="21"/>
        </w:rPr>
        <w:t>在配售电业务服务方面，公司购售电一体化平台（</w:t>
      </w:r>
      <w:hyperlink r:id="rId11">
        <w:r>
          <w:rPr>
            <w:rFonts w:ascii="Times New Roman" w:hAnsi="Times New Roman" w:cs="Times New Roman" w:eastAsia="Times New Roman" w:hint="default"/>
            <w:spacing w:val="-1"/>
            <w:sz w:val="21"/>
            <w:szCs w:val="21"/>
          </w:rPr>
          <w:t>www.dian123.com</w:t>
        </w:r>
      </w:hyperlink>
      <w:r>
        <w:rPr>
          <w:rFonts w:ascii="宋体" w:hAnsi="宋体" w:cs="宋体" w:eastAsia="宋体" w:hint="default"/>
          <w:spacing w:val="-1"/>
          <w:sz w:val="21"/>
          <w:szCs w:val="21"/>
        </w:rPr>
        <w:t>）注册用户数突破</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家，服务</w:t>
      </w:r>
      <w:r>
        <w:rPr>
          <w:rFonts w:ascii="宋体" w:hAnsi="宋体" w:cs="宋体" w:eastAsia="宋体" w:hint="default"/>
          <w:w w:val="100"/>
          <w:sz w:val="21"/>
          <w:szCs w:val="21"/>
        </w:rPr>
        <w:t> </w:t>
      </w:r>
      <w:r>
        <w:rPr>
          <w:rFonts w:ascii="宋体" w:hAnsi="宋体" w:cs="宋体" w:eastAsia="宋体" w:hint="default"/>
          <w:spacing w:val="-2"/>
          <w:sz w:val="21"/>
          <w:szCs w:val="21"/>
        </w:rPr>
        <w:t>售电客户覆盖</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个省市区。为淮南矿业集团、上海申能电力等多家大型能源企业提供购售电相关业务平台</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建设服务。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远光购售电一体化云平台</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年度荣获中国软件行业协会优秀软件产品、广东省优秀软件产</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品等奖项。随着国家增量配电业务改革试点推进，公司配网营销系统在河南、江苏等省为增量配售电企业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提供业务运营支撑。控股子公司昊美科技对传统配网专题图产品进一步完善和升级，促进增量配电网业务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发展。</w:t>
      </w:r>
    </w:p>
    <w:p>
      <w:pPr>
        <w:pStyle w:val="Heading2"/>
        <w:spacing w:line="240" w:lineRule="auto" w:before="34"/>
        <w:ind w:right="0"/>
        <w:jc w:val="left"/>
        <w:rPr>
          <w:b w:val="0"/>
          <w:bCs w:val="0"/>
        </w:rPr>
      </w:pPr>
      <w:r>
        <w:rPr>
          <w:rFonts w:ascii="Times New Roman" w:hAnsi="Times New Roman" w:cs="Times New Roman" w:eastAsia="Times New Roman" w:hint="default"/>
        </w:rPr>
        <w:t>5</w:t>
      </w:r>
      <w:r>
        <w:rPr/>
        <w:t>、区块链业务</w:t>
      </w:r>
      <w:r>
        <w:rPr>
          <w:b w:val="0"/>
          <w:bCs w:val="0"/>
        </w:rPr>
      </w:r>
    </w:p>
    <w:p>
      <w:pPr>
        <w:spacing w:line="273" w:lineRule="auto" w:before="43"/>
        <w:ind w:left="633" w:right="0" w:firstLine="0"/>
        <w:jc w:val="left"/>
        <w:rPr>
          <w:rFonts w:ascii="宋体" w:hAnsi="宋体" w:cs="宋体" w:eastAsia="宋体" w:hint="default"/>
          <w:sz w:val="21"/>
          <w:szCs w:val="21"/>
        </w:rPr>
      </w:pPr>
      <w:r>
        <w:rPr>
          <w:rFonts w:ascii="宋体" w:hAnsi="宋体" w:cs="宋体" w:eastAsia="宋体" w:hint="default"/>
          <w:sz w:val="21"/>
          <w:szCs w:val="21"/>
        </w:rPr>
        <w:t>报告期内，公司区块链业务发展迅速。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在区块链技术方面，重点围绕业界所关注的安全、性能、可用性、易用性等方面开展了相关研究与技</w:t>
      </w:r>
    </w:p>
    <w:p>
      <w:pPr>
        <w:spacing w:line="264" w:lineRule="auto" w:before="7"/>
        <w:ind w:left="153" w:right="1123" w:firstLine="0"/>
        <w:jc w:val="both"/>
        <w:rPr>
          <w:rFonts w:ascii="宋体" w:hAnsi="宋体" w:cs="宋体" w:eastAsia="宋体" w:hint="default"/>
          <w:sz w:val="21"/>
          <w:szCs w:val="21"/>
        </w:rPr>
      </w:pPr>
      <w:r>
        <w:rPr>
          <w:rFonts w:ascii="宋体" w:hAnsi="宋体" w:cs="宋体" w:eastAsia="宋体" w:hint="default"/>
          <w:spacing w:val="-2"/>
          <w:sz w:val="21"/>
          <w:szCs w:val="21"/>
        </w:rPr>
        <w:t>术攻关，迭代完成区块链企业应用服务平台多个版本的研发，并将自主研发的多重共识机制、隐私数据保</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护、多级加密、跨链等新特性在区块链企业应用服务平台</w:t>
      </w:r>
      <w:r>
        <w:rPr>
          <w:rFonts w:ascii="Times New Roman" w:hAnsi="Times New Roman" w:cs="Times New Roman" w:eastAsia="Times New Roman" w:hint="default"/>
          <w:spacing w:val="-2"/>
          <w:sz w:val="21"/>
          <w:szCs w:val="21"/>
        </w:rPr>
        <w:t>V2.0</w:t>
      </w:r>
      <w:r>
        <w:rPr>
          <w:rFonts w:ascii="宋体" w:hAnsi="宋体" w:cs="宋体" w:eastAsia="宋体" w:hint="default"/>
          <w:spacing w:val="-2"/>
          <w:sz w:val="21"/>
          <w:szCs w:val="21"/>
        </w:rPr>
        <w:t>中进行了发布，极大地丰富了区块链技术的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可应用场景，有效支撑了公司区块链项目落地应用。</w:t>
      </w:r>
    </w:p>
    <w:p>
      <w:pPr>
        <w:spacing w:line="273" w:lineRule="auto" w:before="16"/>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在区块链应用方面，公司积极推动区块链技术在智慧能源、智能物联等领域的应用发展，目前，已与</w:t>
      </w:r>
      <w:r>
        <w:rPr>
          <w:rFonts w:ascii="宋体" w:hAnsi="宋体" w:cs="宋体" w:eastAsia="宋体" w:hint="default"/>
          <w:w w:val="100"/>
          <w:sz w:val="21"/>
          <w:szCs w:val="21"/>
        </w:rPr>
        <w:t> </w:t>
      </w:r>
      <w:r>
        <w:rPr>
          <w:rFonts w:ascii="宋体" w:hAnsi="宋体" w:cs="宋体" w:eastAsia="宋体" w:hint="default"/>
          <w:spacing w:val="-2"/>
          <w:sz w:val="21"/>
          <w:szCs w:val="21"/>
        </w:rPr>
        <w:t>国家电网上海电力、国家电网湖南电力、国家电网山东电力、国家电网河南电力、国家电网冀北电力、深</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圳链联科技等公司展开合作，试点区块链技术在数据存证、能源交易、供应链金融等领域的应用，实现了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多个项目的成功落地。</w:t>
      </w:r>
    </w:p>
    <w:p>
      <w:pPr>
        <w:spacing w:line="261" w:lineRule="auto" w:before="7"/>
        <w:ind w:left="153" w:right="1126" w:firstLine="480"/>
        <w:jc w:val="both"/>
        <w:rPr>
          <w:rFonts w:ascii="宋体" w:hAnsi="宋体" w:cs="宋体" w:eastAsia="宋体" w:hint="default"/>
          <w:sz w:val="21"/>
          <w:szCs w:val="21"/>
        </w:rPr>
      </w:pPr>
      <w:r>
        <w:rPr>
          <w:rFonts w:ascii="宋体" w:hAnsi="宋体" w:cs="宋体" w:eastAsia="宋体" w:hint="default"/>
          <w:spacing w:val="-4"/>
          <w:sz w:val="21"/>
          <w:szCs w:val="21"/>
        </w:rPr>
        <w:t>在区块链产品专利方面，公司根据国家网信办发布的《区块链信息服务管理规定》，完成了区块链企</w:t>
      </w:r>
      <w:r>
        <w:rPr>
          <w:rFonts w:ascii="宋体" w:hAnsi="宋体" w:cs="宋体" w:eastAsia="宋体" w:hint="default"/>
          <w:w w:val="100"/>
          <w:sz w:val="21"/>
          <w:szCs w:val="21"/>
        </w:rPr>
        <w:t> </w:t>
      </w:r>
      <w:r>
        <w:rPr>
          <w:rFonts w:ascii="宋体" w:hAnsi="宋体" w:cs="宋体" w:eastAsia="宋体" w:hint="default"/>
          <w:sz w:val="21"/>
          <w:szCs w:val="21"/>
        </w:rPr>
        <w:t>业应用服务平台、供应链金融平台、区块链商品溯源等</w:t>
      </w:r>
      <w:r>
        <w:rPr>
          <w:rFonts w:ascii="Times New Roman" w:hAnsi="Times New Roman" w:cs="Times New Roman" w:eastAsia="Times New Roman" w:hint="default"/>
          <w:sz w:val="21"/>
          <w:szCs w:val="21"/>
        </w:rPr>
        <w:t>3</w:t>
      </w:r>
      <w:r>
        <w:rPr>
          <w:rFonts w:ascii="宋体" w:hAnsi="宋体" w:cs="宋体" w:eastAsia="宋体" w:hint="default"/>
          <w:sz w:val="21"/>
          <w:szCs w:val="21"/>
        </w:rPr>
        <w:t>项区块链信息服务的备案。截至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月，公</w:t>
      </w:r>
      <w:r>
        <w:rPr>
          <w:rFonts w:ascii="宋体" w:hAnsi="宋体" w:cs="宋体" w:eastAsia="宋体" w:hint="default"/>
          <w:spacing w:val="-28"/>
          <w:sz w:val="21"/>
          <w:szCs w:val="21"/>
        </w:rPr>
        <w:t> </w:t>
      </w:r>
      <w:r>
        <w:rPr>
          <w:rFonts w:ascii="宋体" w:hAnsi="宋体" w:cs="宋体" w:eastAsia="宋体" w:hint="default"/>
          <w:sz w:val="21"/>
          <w:szCs w:val="21"/>
        </w:rPr>
        <w:t>司已有累计申请区块链发明专利</w:t>
      </w:r>
      <w:r>
        <w:rPr>
          <w:rFonts w:ascii="Times New Roman" w:hAnsi="Times New Roman" w:cs="Times New Roman" w:eastAsia="Times New Roman" w:hint="default"/>
          <w:sz w:val="21"/>
          <w:szCs w:val="21"/>
        </w:rPr>
        <w:t>37</w:t>
      </w:r>
      <w:r>
        <w:rPr>
          <w:rFonts w:ascii="宋体" w:hAnsi="宋体" w:cs="宋体" w:eastAsia="宋体" w:hint="default"/>
          <w:sz w:val="21"/>
          <w:szCs w:val="21"/>
        </w:rPr>
        <w:t>件，其中</w:t>
      </w:r>
      <w:r>
        <w:rPr>
          <w:rFonts w:ascii="Times New Roman" w:hAnsi="Times New Roman" w:cs="Times New Roman" w:eastAsia="Times New Roman" w:hint="default"/>
          <w:sz w:val="21"/>
          <w:szCs w:val="21"/>
        </w:rPr>
        <w:t>2019</w:t>
      </w:r>
      <w:r>
        <w:rPr>
          <w:rFonts w:ascii="宋体" w:hAnsi="宋体" w:cs="宋体" w:eastAsia="宋体" w:hint="default"/>
          <w:sz w:val="21"/>
          <w:szCs w:val="21"/>
        </w:rPr>
        <w:t>年新申请</w:t>
      </w:r>
      <w:r>
        <w:rPr>
          <w:rFonts w:ascii="Times New Roman" w:hAnsi="Times New Roman" w:cs="Times New Roman" w:eastAsia="Times New Roman" w:hint="default"/>
          <w:sz w:val="21"/>
          <w:szCs w:val="21"/>
        </w:rPr>
        <w:t>20</w:t>
      </w:r>
      <w:r>
        <w:rPr>
          <w:rFonts w:ascii="宋体" w:hAnsi="宋体" w:cs="宋体" w:eastAsia="宋体" w:hint="default"/>
          <w:sz w:val="21"/>
          <w:szCs w:val="21"/>
        </w:rPr>
        <w:t>件。公司在</w:t>
      </w:r>
      <w:r>
        <w:rPr>
          <w:rFonts w:ascii="Times New Roman" w:hAnsi="Times New Roman" w:cs="Times New Roman" w:eastAsia="Times New Roman" w:hint="default"/>
          <w:sz w:val="21"/>
          <w:szCs w:val="21"/>
        </w:rPr>
        <w:t>“2019</w:t>
      </w:r>
      <w:r>
        <w:rPr>
          <w:rFonts w:ascii="宋体" w:hAnsi="宋体" w:cs="宋体" w:eastAsia="宋体" w:hint="default"/>
          <w:sz w:val="21"/>
          <w:szCs w:val="21"/>
        </w:rPr>
        <w:t>上半年全球区块链企业发明</w:t>
      </w:r>
      <w:r>
        <w:rPr>
          <w:rFonts w:ascii="宋体" w:hAnsi="宋体" w:cs="宋体" w:eastAsia="宋体" w:hint="default"/>
          <w:spacing w:val="-24"/>
          <w:sz w:val="21"/>
          <w:szCs w:val="21"/>
        </w:rPr>
        <w:t> </w:t>
      </w:r>
      <w:r>
        <w:rPr>
          <w:rFonts w:ascii="宋体" w:hAnsi="宋体" w:cs="宋体" w:eastAsia="宋体" w:hint="default"/>
          <w:sz w:val="21"/>
          <w:szCs w:val="21"/>
        </w:rPr>
        <w:t>专利排行榜（</w:t>
      </w:r>
      <w:r>
        <w:rPr>
          <w:rFonts w:ascii="Times New Roman" w:hAnsi="Times New Roman" w:cs="Times New Roman" w:eastAsia="Times New Roman" w:hint="default"/>
          <w:sz w:val="21"/>
          <w:szCs w:val="21"/>
        </w:rPr>
        <w:t>TOP100</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中位列</w:t>
      </w:r>
      <w:r>
        <w:rPr>
          <w:rFonts w:ascii="Times New Roman" w:hAnsi="Times New Roman" w:cs="Times New Roman" w:eastAsia="Times New Roman" w:hint="default"/>
          <w:sz w:val="21"/>
          <w:szCs w:val="21"/>
        </w:rPr>
        <w:t>53</w:t>
      </w:r>
      <w:r>
        <w:rPr>
          <w:rFonts w:ascii="宋体" w:hAnsi="宋体" w:cs="宋体" w:eastAsia="宋体" w:hint="default"/>
          <w:sz w:val="21"/>
          <w:szCs w:val="21"/>
        </w:rPr>
        <w:t>名。</w:t>
      </w:r>
    </w:p>
    <w:p>
      <w:pPr>
        <w:spacing w:line="256" w:lineRule="auto" w:before="0"/>
        <w:ind w:left="153" w:right="993" w:firstLine="480"/>
        <w:jc w:val="left"/>
        <w:rPr>
          <w:rFonts w:ascii="宋体" w:hAnsi="宋体" w:cs="宋体" w:eastAsia="宋体" w:hint="default"/>
          <w:sz w:val="24"/>
          <w:szCs w:val="24"/>
        </w:rPr>
      </w:pPr>
      <w:r>
        <w:rPr>
          <w:rFonts w:ascii="宋体" w:hAnsi="宋体" w:cs="宋体" w:eastAsia="宋体" w:hint="default"/>
          <w:spacing w:val="-3"/>
          <w:sz w:val="21"/>
          <w:szCs w:val="21"/>
        </w:rPr>
        <w:t>在区块链行业合作方面，公司加入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工信部区块链重点实验室电力应用工作组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，该工作组由国网电商</w:t>
      </w:r>
      <w:r>
        <w:rPr>
          <w:rFonts w:ascii="宋体" w:hAnsi="宋体" w:cs="宋体" w:eastAsia="宋体" w:hint="default"/>
          <w:w w:val="100"/>
          <w:sz w:val="21"/>
          <w:szCs w:val="21"/>
        </w:rPr>
        <w:t> </w:t>
      </w:r>
      <w:r>
        <w:rPr>
          <w:rFonts w:ascii="宋体" w:hAnsi="宋体" w:cs="宋体" w:eastAsia="宋体" w:hint="default"/>
          <w:spacing w:val="-2"/>
          <w:sz w:val="21"/>
          <w:szCs w:val="21"/>
        </w:rPr>
        <w:t>公司牵头，电力行业十余家企事业单位共同组成，将更好的发挥区块链在电力物联网建设中的重要作用。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此外，公司和国网电商联合申报的</w:t>
      </w:r>
      <w:r>
        <w:rPr>
          <w:rFonts w:ascii="Times New Roman" w:hAnsi="Times New Roman" w:cs="Times New Roman" w:eastAsia="Times New Roman" w:hint="default"/>
          <w:sz w:val="21"/>
          <w:szCs w:val="21"/>
        </w:rPr>
        <w:t>“</w:t>
      </w:r>
      <w:r>
        <w:rPr>
          <w:rFonts w:ascii="宋体" w:hAnsi="宋体" w:cs="宋体" w:eastAsia="宋体" w:hint="default"/>
          <w:sz w:val="21"/>
          <w:szCs w:val="21"/>
        </w:rPr>
        <w:t>区块链应用技术联合实验室</w:t>
      </w:r>
      <w:r>
        <w:rPr>
          <w:rFonts w:ascii="Times New Roman" w:hAnsi="Times New Roman" w:cs="Times New Roman" w:eastAsia="Times New Roman" w:hint="default"/>
          <w:sz w:val="21"/>
          <w:szCs w:val="21"/>
        </w:rPr>
        <w:t>”</w:t>
      </w:r>
      <w:r>
        <w:rPr>
          <w:rFonts w:ascii="宋体" w:hAnsi="宋体" w:cs="宋体" w:eastAsia="宋体" w:hint="default"/>
          <w:sz w:val="21"/>
          <w:szCs w:val="21"/>
        </w:rPr>
        <w:t>，顺利获得国家电网公司批准。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、人工智能业务</w:t>
      </w:r>
      <w:r>
        <w:rPr>
          <w:rFonts w:ascii="宋体" w:hAnsi="宋体" w:cs="宋体" w:eastAsia="宋体" w:hint="default"/>
          <w:sz w:val="24"/>
          <w:szCs w:val="24"/>
        </w:rPr>
      </w:r>
    </w:p>
    <w:p>
      <w:pPr>
        <w:spacing w:line="261" w:lineRule="exact" w:before="0"/>
        <w:ind w:left="153" w:right="0" w:firstLine="422"/>
        <w:jc w:val="both"/>
        <w:rPr>
          <w:rFonts w:ascii="宋体" w:hAnsi="宋体" w:cs="宋体" w:eastAsia="宋体" w:hint="default"/>
          <w:sz w:val="21"/>
          <w:szCs w:val="21"/>
        </w:rPr>
      </w:pPr>
      <w:r>
        <w:rPr>
          <w:rFonts w:ascii="宋体" w:hAnsi="宋体" w:cs="宋体" w:eastAsia="宋体" w:hint="default"/>
          <w:sz w:val="21"/>
          <w:szCs w:val="21"/>
        </w:rPr>
        <w:t>报告期内，在人工智能技术研究方面，基于项目聚焦客户实际业务场景中的难点问题展开研究。一方</w:t>
      </w:r>
    </w:p>
    <w:p>
      <w:pPr>
        <w:spacing w:line="266" w:lineRule="auto" w:before="37"/>
        <w:ind w:left="153" w:right="0" w:firstLine="0"/>
        <w:jc w:val="left"/>
        <w:rPr>
          <w:rFonts w:ascii="宋体" w:hAnsi="宋体" w:cs="宋体" w:eastAsia="宋体" w:hint="default"/>
          <w:sz w:val="21"/>
          <w:szCs w:val="21"/>
        </w:rPr>
      </w:pPr>
      <w:r>
        <w:rPr>
          <w:rFonts w:ascii="宋体" w:hAnsi="宋体" w:cs="宋体" w:eastAsia="宋体" w:hint="default"/>
          <w:sz w:val="21"/>
          <w:szCs w:val="21"/>
        </w:rPr>
        <w:t>面对自然语言处理和知识图谱等技术进行了产品化研究，在大唐集团中国水利电力物资集团有限公司，立</w:t>
      </w:r>
      <w:r>
        <w:rPr>
          <w:rFonts w:ascii="宋体" w:hAnsi="宋体" w:cs="宋体" w:eastAsia="宋体" w:hint="default"/>
          <w:w w:val="100"/>
          <w:sz w:val="21"/>
          <w:szCs w:val="21"/>
        </w:rPr>
        <w:t> </w:t>
      </w:r>
      <w:r>
        <w:rPr>
          <w:rFonts w:ascii="宋体" w:hAnsi="宋体" w:cs="宋体" w:eastAsia="宋体" w:hint="default"/>
          <w:sz w:val="21"/>
          <w:szCs w:val="21"/>
        </w:rPr>
        <w:t>项开展了</w:t>
      </w:r>
      <w:r>
        <w:rPr>
          <w:rFonts w:ascii="Times New Roman" w:hAnsi="Times New Roman" w:cs="Times New Roman" w:eastAsia="Times New Roman" w:hint="default"/>
          <w:sz w:val="21"/>
          <w:szCs w:val="21"/>
        </w:rPr>
        <w:t>“</w:t>
      </w:r>
      <w:r>
        <w:rPr>
          <w:rFonts w:ascii="宋体" w:hAnsi="宋体" w:cs="宋体" w:eastAsia="宋体" w:hint="default"/>
          <w:sz w:val="21"/>
          <w:szCs w:val="21"/>
        </w:rPr>
        <w:t>基于自然语言处理和知识图谱技术的企业文档与知识管理系统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的研究；在湖北省电力公司，以</w:t>
      </w:r>
      <w:r>
        <w:rPr>
          <w:rFonts w:ascii="宋体" w:hAnsi="宋体" w:cs="宋体" w:eastAsia="宋体" w:hint="default"/>
          <w:w w:val="100"/>
          <w:sz w:val="21"/>
          <w:szCs w:val="21"/>
        </w:rPr>
        <w:t> </w:t>
      </w:r>
      <w:r>
        <w:rPr>
          <w:rFonts w:ascii="宋体" w:hAnsi="宋体" w:cs="宋体" w:eastAsia="宋体" w:hint="default"/>
          <w:sz w:val="21"/>
          <w:szCs w:val="21"/>
        </w:rPr>
        <w:t>电力行业的审计工作为应用背景开展了审计领域的知识图谱技术的审计智能专家的研究；在南方电网，财</w:t>
      </w:r>
      <w:r>
        <w:rPr>
          <w:rFonts w:ascii="宋体" w:hAnsi="宋体" w:cs="宋体" w:eastAsia="宋体" w:hint="default"/>
          <w:w w:val="100"/>
          <w:sz w:val="21"/>
          <w:szCs w:val="21"/>
        </w:rPr>
        <w:t> </w:t>
      </w:r>
      <w:r>
        <w:rPr>
          <w:rFonts w:ascii="宋体" w:hAnsi="宋体" w:cs="宋体" w:eastAsia="宋体" w:hint="default"/>
          <w:sz w:val="21"/>
          <w:szCs w:val="21"/>
        </w:rPr>
        <w:t>务知识图谱的研究内容被列入南方电网</w:t>
      </w:r>
      <w:r>
        <w:rPr>
          <w:rFonts w:ascii="Times New Roman" w:hAnsi="Times New Roman" w:cs="Times New Roman" w:eastAsia="Times New Roman" w:hint="default"/>
          <w:sz w:val="21"/>
          <w:szCs w:val="21"/>
        </w:rPr>
        <w:t>2020</w:t>
      </w:r>
      <w:r>
        <w:rPr>
          <w:rFonts w:ascii="宋体" w:hAnsi="宋体" w:cs="宋体" w:eastAsia="宋体" w:hint="default"/>
          <w:sz w:val="21"/>
          <w:szCs w:val="21"/>
        </w:rPr>
        <w:t>科技项目指南，并在贵州和云南分别进入科技项目储备库，加</w:t>
      </w:r>
      <w:r>
        <w:rPr>
          <w:rFonts w:ascii="宋体" w:hAnsi="宋体" w:cs="宋体" w:eastAsia="宋体" w:hint="default"/>
          <w:w w:val="100"/>
          <w:sz w:val="21"/>
          <w:szCs w:val="21"/>
        </w:rPr>
        <w:t> </w:t>
      </w:r>
      <w:r>
        <w:rPr>
          <w:rFonts w:ascii="宋体" w:hAnsi="宋体" w:cs="宋体" w:eastAsia="宋体" w:hint="default"/>
          <w:sz w:val="21"/>
          <w:szCs w:val="21"/>
        </w:rPr>
        <w:t>快了人工智能技术由实验室走进办公室、生产线的步伐。另一方面，在机器学习、自然语言处理的算法模</w:t>
      </w:r>
      <w:r>
        <w:rPr>
          <w:rFonts w:ascii="宋体" w:hAnsi="宋体" w:cs="宋体" w:eastAsia="宋体" w:hint="default"/>
          <w:w w:val="100"/>
          <w:sz w:val="21"/>
          <w:szCs w:val="21"/>
        </w:rPr>
        <w:t> </w:t>
      </w:r>
      <w:r>
        <w:rPr>
          <w:rFonts w:ascii="宋体" w:hAnsi="宋体" w:cs="宋体" w:eastAsia="宋体" w:hint="default"/>
          <w:spacing w:val="-4"/>
          <w:sz w:val="21"/>
          <w:szCs w:val="21"/>
        </w:rPr>
        <w:t>型、开发框架等方面持续发力，不断提升产品性能。公司研发的</w:t>
      </w:r>
      <w:r>
        <w:rPr>
          <w:rFonts w:ascii="Times New Roman" w:hAnsi="Times New Roman" w:cs="Times New Roman" w:eastAsia="Times New Roman" w:hint="default"/>
          <w:spacing w:val="-4"/>
          <w:sz w:val="21"/>
          <w:szCs w:val="21"/>
        </w:rPr>
        <w:t>“AICI</w:t>
      </w:r>
      <w:r>
        <w:rPr>
          <w:rFonts w:ascii="宋体" w:hAnsi="宋体" w:cs="宋体" w:eastAsia="宋体" w:hint="default"/>
          <w:spacing w:val="-4"/>
          <w:sz w:val="21"/>
          <w:szCs w:val="21"/>
        </w:rPr>
        <w:t>智能认知机器人平台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通过结项评审，</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该平台以深度学习框架为基础开发了对话模型，实现上下文关联的多轮对话，此外还将知识图谱技术融合</w:t>
      </w:r>
      <w:r>
        <w:rPr>
          <w:rFonts w:ascii="宋体" w:hAnsi="宋体" w:cs="宋体" w:eastAsia="宋体" w:hint="default"/>
          <w:w w:val="100"/>
          <w:sz w:val="21"/>
          <w:szCs w:val="21"/>
        </w:rPr>
        <w:t> </w:t>
      </w:r>
      <w:r>
        <w:rPr>
          <w:rFonts w:ascii="宋体" w:hAnsi="宋体" w:cs="宋体" w:eastAsia="宋体" w:hint="default"/>
          <w:spacing w:val="-4"/>
          <w:sz w:val="21"/>
          <w:szCs w:val="21"/>
        </w:rPr>
        <w:t>其中，使其具备了一定的推理认知能力，从而为客户提供更加智能的服务，有效支撑了智能化项目的落地。</w:t>
      </w:r>
    </w:p>
    <w:p>
      <w:pPr>
        <w:spacing w:line="256" w:lineRule="auto" w:before="14"/>
        <w:ind w:left="153" w:right="1040" w:firstLine="480"/>
        <w:jc w:val="both"/>
        <w:rPr>
          <w:rFonts w:ascii="宋体" w:hAnsi="宋体" w:cs="宋体" w:eastAsia="宋体" w:hint="default"/>
          <w:sz w:val="21"/>
          <w:szCs w:val="21"/>
        </w:rPr>
      </w:pPr>
      <w:r>
        <w:rPr>
          <w:rFonts w:ascii="宋体" w:hAnsi="宋体" w:cs="宋体" w:eastAsia="宋体" w:hint="default"/>
          <w:spacing w:val="-1"/>
          <w:sz w:val="21"/>
          <w:szCs w:val="21"/>
        </w:rPr>
        <w:t>在人工智能专利方面，截至</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年末，公司已有累计申请人工智能相关专利共</w:t>
      </w:r>
      <w:r>
        <w:rPr>
          <w:rFonts w:ascii="Times New Roman" w:hAnsi="Times New Roman" w:cs="Times New Roman" w:eastAsia="Times New Roman" w:hint="default"/>
          <w:spacing w:val="-1"/>
          <w:sz w:val="21"/>
          <w:szCs w:val="21"/>
        </w:rPr>
        <w:t>79</w:t>
      </w:r>
      <w:r>
        <w:rPr>
          <w:rFonts w:ascii="宋体" w:hAnsi="宋体" w:cs="宋体" w:eastAsia="宋体" w:hint="default"/>
          <w:spacing w:val="-1"/>
          <w:sz w:val="21"/>
          <w:szCs w:val="21"/>
        </w:rPr>
        <w:t>件，已获授权</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其中</w:t>
      </w:r>
      <w:r>
        <w:rPr>
          <w:rFonts w:ascii="Times New Roman" w:hAnsi="Times New Roman" w:cs="Times New Roman" w:eastAsia="Times New Roman" w:hint="default"/>
          <w:sz w:val="21"/>
          <w:szCs w:val="21"/>
        </w:rPr>
        <w:t>2019</w:t>
      </w:r>
      <w:r>
        <w:rPr>
          <w:rFonts w:ascii="宋体" w:hAnsi="宋体" w:cs="宋体" w:eastAsia="宋体" w:hint="default"/>
          <w:sz w:val="21"/>
          <w:szCs w:val="21"/>
        </w:rPr>
        <w:t>年新申请专利</w:t>
      </w:r>
      <w:r>
        <w:rPr>
          <w:rFonts w:ascii="Times New Roman" w:hAnsi="Times New Roman" w:cs="Times New Roman" w:eastAsia="Times New Roman" w:hint="default"/>
          <w:sz w:val="21"/>
          <w:szCs w:val="21"/>
        </w:rPr>
        <w:t>14</w:t>
      </w:r>
      <w:r>
        <w:rPr>
          <w:rFonts w:ascii="宋体" w:hAnsi="宋体" w:cs="宋体" w:eastAsia="宋体" w:hint="default"/>
          <w:sz w:val="21"/>
          <w:szCs w:val="21"/>
        </w:rPr>
        <w:t>件，已获授权</w:t>
      </w:r>
      <w:r>
        <w:rPr>
          <w:rFonts w:ascii="Times New Roman" w:hAnsi="Times New Roman" w:cs="Times New Roman" w:eastAsia="Times New Roman" w:hint="default"/>
          <w:sz w:val="21"/>
          <w:szCs w:val="21"/>
        </w:rPr>
        <w:t>3</w:t>
      </w:r>
      <w:r>
        <w:rPr>
          <w:rFonts w:ascii="宋体" w:hAnsi="宋体" w:cs="宋体" w:eastAsia="宋体" w:hint="default"/>
          <w:sz w:val="21"/>
          <w:szCs w:val="21"/>
        </w:rPr>
        <w:t>件。</w:t>
      </w:r>
    </w:p>
    <w:p>
      <w:pPr>
        <w:spacing w:line="302" w:lineRule="exact" w:before="18"/>
        <w:ind w:left="575"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w:t>
      </w:r>
      <w:r>
        <w:rPr>
          <w:rFonts w:ascii="宋体" w:hAnsi="宋体" w:cs="宋体" w:eastAsia="宋体" w:hint="default"/>
          <w:b/>
          <w:bCs/>
          <w:sz w:val="21"/>
          <w:szCs w:val="21"/>
        </w:rPr>
        <w:t>智能硬件及系统业务</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报告期内，公司持续加大在智能硬件及系统领域的技术研究和成果转化，相关业务快速增长。</w:t>
      </w:r>
    </w:p>
    <w:p>
      <w:pPr>
        <w:spacing w:line="264" w:lineRule="auto" w:before="49"/>
        <w:ind w:left="153" w:right="1120" w:firstLine="422"/>
        <w:jc w:val="both"/>
        <w:rPr>
          <w:rFonts w:ascii="宋体" w:hAnsi="宋体" w:cs="宋体" w:eastAsia="宋体" w:hint="default"/>
          <w:sz w:val="21"/>
          <w:szCs w:val="21"/>
        </w:rPr>
      </w:pPr>
      <w:r>
        <w:rPr>
          <w:rFonts w:ascii="宋体" w:hAnsi="宋体" w:cs="宋体" w:eastAsia="宋体" w:hint="default"/>
          <w:spacing w:val="-2"/>
          <w:sz w:val="21"/>
          <w:szCs w:val="21"/>
        </w:rPr>
        <w:t>在智能化技术成果转化方面，公司深入挖掘人工智能在企业管理、社会治理方面的应用潜力，并根据</w:t>
      </w:r>
      <w:r>
        <w:rPr>
          <w:rFonts w:ascii="宋体" w:hAnsi="宋体" w:cs="宋体" w:eastAsia="宋体" w:hint="default"/>
          <w:w w:val="100"/>
          <w:sz w:val="21"/>
          <w:szCs w:val="21"/>
        </w:rPr>
        <w:t> </w:t>
      </w:r>
      <w:r>
        <w:rPr>
          <w:rFonts w:ascii="宋体" w:hAnsi="宋体" w:cs="宋体" w:eastAsia="宋体" w:hint="default"/>
          <w:sz w:val="21"/>
          <w:szCs w:val="21"/>
        </w:rPr>
        <w:t>客户实际业务需求和应用场景，适时推出了多款</w:t>
      </w:r>
      <w:r>
        <w:rPr>
          <w:rFonts w:ascii="Times New Roman" w:hAnsi="Times New Roman" w:cs="Times New Roman" w:eastAsia="Times New Roman" w:hint="default"/>
          <w:sz w:val="21"/>
          <w:szCs w:val="21"/>
        </w:rPr>
        <w:t>“</w:t>
      </w:r>
      <w:r>
        <w:rPr>
          <w:rFonts w:ascii="宋体" w:hAnsi="宋体" w:cs="宋体" w:eastAsia="宋体" w:hint="default"/>
          <w:sz w:val="21"/>
          <w:szCs w:val="21"/>
        </w:rPr>
        <w:t>远光智能机器人</w:t>
      </w:r>
      <w:r>
        <w:rPr>
          <w:rFonts w:ascii="Times New Roman" w:hAnsi="Times New Roman" w:cs="Times New Roman" w:eastAsia="Times New Roman" w:hint="default"/>
          <w:sz w:val="21"/>
          <w:szCs w:val="21"/>
        </w:rPr>
        <w:t>”</w:t>
      </w:r>
      <w:r>
        <w:rPr>
          <w:rFonts w:ascii="宋体" w:hAnsi="宋体" w:cs="宋体" w:eastAsia="宋体" w:hint="default"/>
          <w:sz w:val="21"/>
          <w:szCs w:val="21"/>
        </w:rPr>
        <w:t>新型数字化产品，全力打造</w:t>
      </w:r>
      <w:r>
        <w:rPr>
          <w:rFonts w:ascii="Times New Roman" w:hAnsi="Times New Roman" w:cs="Times New Roman" w:eastAsia="Times New Roman" w:hint="default"/>
          <w:sz w:val="21"/>
          <w:szCs w:val="21"/>
        </w:rPr>
        <w:t>“</w:t>
      </w:r>
      <w:r>
        <w:rPr>
          <w:rFonts w:ascii="宋体" w:hAnsi="宋体" w:cs="宋体" w:eastAsia="宋体" w:hint="default"/>
          <w:sz w:val="21"/>
          <w:szCs w:val="21"/>
        </w:rPr>
        <w:t>远光智能</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Times New Roman" w:hAnsi="Times New Roman" w:cs="Times New Roman" w:eastAsia="Times New Roman" w:hint="default"/>
          <w:sz w:val="21"/>
          <w:szCs w:val="21"/>
        </w:rPr>
        <w:t>YG Brain”</w:t>
      </w:r>
      <w:r>
        <w:rPr>
          <w:rFonts w:ascii="宋体" w:hAnsi="宋体" w:cs="宋体" w:eastAsia="宋体" w:hint="default"/>
          <w:sz w:val="21"/>
          <w:szCs w:val="21"/>
        </w:rPr>
        <w:t>子品牌，致力成为高端智能机器人提供商。</w:t>
      </w:r>
    </w:p>
    <w:p>
      <w:pPr>
        <w:spacing w:line="256" w:lineRule="auto" w:before="31"/>
        <w:ind w:left="153" w:right="0" w:firstLine="422"/>
        <w:jc w:val="left"/>
        <w:rPr>
          <w:rFonts w:ascii="宋体" w:hAnsi="宋体" w:cs="宋体" w:eastAsia="宋体" w:hint="default"/>
          <w:sz w:val="21"/>
          <w:szCs w:val="21"/>
        </w:rPr>
      </w:pPr>
      <w:r>
        <w:rPr>
          <w:rFonts w:ascii="宋体" w:hAnsi="宋体" w:cs="宋体" w:eastAsia="宋体" w:hint="default"/>
          <w:spacing w:val="-4"/>
          <w:sz w:val="21"/>
          <w:szCs w:val="21"/>
        </w:rPr>
        <w:t>首先，在智能硬件产品方面，公司研发的多款</w:t>
      </w:r>
      <w:r>
        <w:rPr>
          <w:rFonts w:ascii="Times New Roman" w:hAnsi="Times New Roman" w:cs="Times New Roman" w:eastAsia="Times New Roman" w:hint="default"/>
          <w:spacing w:val="-4"/>
          <w:sz w:val="21"/>
          <w:szCs w:val="21"/>
        </w:rPr>
        <w:t>RPA</w:t>
      </w:r>
      <w:r>
        <w:rPr>
          <w:rFonts w:ascii="宋体" w:hAnsi="宋体" w:cs="宋体" w:eastAsia="宋体" w:hint="default"/>
          <w:spacing w:val="-4"/>
          <w:sz w:val="21"/>
          <w:szCs w:val="21"/>
        </w:rPr>
        <w:t>流程自动化机器人终端分别在国家电网、南方电网、</w:t>
      </w:r>
      <w:r>
        <w:rPr>
          <w:rFonts w:ascii="宋体" w:hAnsi="宋体" w:cs="宋体" w:eastAsia="宋体" w:hint="default"/>
          <w:w w:val="100"/>
          <w:sz w:val="21"/>
          <w:szCs w:val="21"/>
        </w:rPr>
        <w:t> </w:t>
      </w:r>
      <w:r>
        <w:rPr>
          <w:rFonts w:ascii="宋体" w:hAnsi="宋体" w:cs="宋体" w:eastAsia="宋体" w:hint="default"/>
          <w:sz w:val="21"/>
          <w:szCs w:val="21"/>
        </w:rPr>
        <w:t>北大口腔医院、安徽皖能集团等大型企业成功上线应用，在不同行业形成良好示范作用；其次，在智能软</w:t>
      </w:r>
    </w:p>
    <w:p>
      <w:pPr>
        <w:spacing w:after="0" w:line="256"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56" w:lineRule="auto"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件产品方面，公司研发的上百款</w:t>
      </w:r>
      <w:r>
        <w:rPr>
          <w:rFonts w:ascii="Times New Roman" w:hAnsi="Times New Roman" w:cs="Times New Roman" w:eastAsia="Times New Roman" w:hint="default"/>
          <w:sz w:val="21"/>
          <w:szCs w:val="21"/>
        </w:rPr>
        <w:t>RPA</w:t>
      </w:r>
      <w:r>
        <w:rPr>
          <w:rFonts w:ascii="宋体" w:hAnsi="宋体" w:cs="宋体" w:eastAsia="宋体" w:hint="default"/>
          <w:sz w:val="21"/>
          <w:szCs w:val="21"/>
        </w:rPr>
        <w:t>软件机器人，已服务于上千家单位。其中，光伏结算、银行回单下载</w:t>
      </w:r>
      <w:r>
        <w:rPr>
          <w:rFonts w:ascii="宋体" w:hAnsi="宋体" w:cs="宋体" w:eastAsia="宋体" w:hint="default"/>
          <w:w w:val="100"/>
          <w:sz w:val="21"/>
          <w:szCs w:val="21"/>
        </w:rPr>
        <w:t> </w:t>
      </w:r>
      <w:r>
        <w:rPr>
          <w:rFonts w:ascii="宋体" w:hAnsi="宋体" w:cs="宋体" w:eastAsia="宋体" w:hint="default"/>
          <w:spacing w:val="-4"/>
          <w:sz w:val="21"/>
          <w:szCs w:val="21"/>
        </w:rPr>
        <w:t>及挂接、</w:t>
      </w:r>
      <w:r>
        <w:rPr>
          <w:rFonts w:ascii="Times New Roman" w:hAnsi="Times New Roman" w:cs="Times New Roman" w:eastAsia="Times New Roman" w:hint="default"/>
          <w:spacing w:val="-4"/>
          <w:sz w:val="21"/>
          <w:szCs w:val="21"/>
        </w:rPr>
        <w:t>ETC</w:t>
      </w:r>
      <w:r>
        <w:rPr>
          <w:rFonts w:ascii="宋体" w:hAnsi="宋体" w:cs="宋体" w:eastAsia="宋体" w:hint="default"/>
          <w:spacing w:val="-4"/>
          <w:sz w:val="21"/>
          <w:szCs w:val="21"/>
        </w:rPr>
        <w:t>票证处理、凭证归档等软件机器人已在国家电网多个网省公司全面推广，取得良好应用效果。</w:t>
      </w:r>
    </w:p>
    <w:p>
      <w:pPr>
        <w:spacing w:line="256" w:lineRule="auto" w:before="5"/>
        <w:ind w:left="153" w:right="1118" w:firstLine="422"/>
        <w:jc w:val="both"/>
        <w:rPr>
          <w:rFonts w:ascii="宋体" w:hAnsi="宋体" w:cs="宋体" w:eastAsia="宋体" w:hint="default"/>
          <w:sz w:val="21"/>
          <w:szCs w:val="21"/>
        </w:rPr>
      </w:pPr>
      <w:r>
        <w:rPr>
          <w:rFonts w:ascii="宋体" w:hAnsi="宋体" w:cs="宋体" w:eastAsia="宋体" w:hint="default"/>
          <w:spacing w:val="-4"/>
          <w:sz w:val="21"/>
          <w:szCs w:val="21"/>
        </w:rPr>
        <w:t>在行业合作方面，国网电商公司联合远光软件等单位，结合</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国网小</w:t>
      </w:r>
      <w:r>
        <w:rPr>
          <w:rFonts w:ascii="Times New Roman" w:hAnsi="Times New Roman" w:cs="Times New Roman" w:eastAsia="Times New Roman" w:hint="default"/>
          <w:spacing w:val="-4"/>
          <w:sz w:val="21"/>
          <w:szCs w:val="21"/>
        </w:rPr>
        <w:t>e”</w:t>
      </w:r>
      <w:r>
        <w:rPr>
          <w:rFonts w:ascii="宋体" w:hAnsi="宋体" w:cs="宋体" w:eastAsia="宋体" w:hint="default"/>
          <w:spacing w:val="-4"/>
          <w:sz w:val="21"/>
          <w:szCs w:val="21"/>
        </w:rPr>
        <w:t>创新成果转化产品的电商化采购</w:t>
      </w:r>
      <w:r>
        <w:rPr>
          <w:rFonts w:ascii="宋体" w:hAnsi="宋体" w:cs="宋体" w:eastAsia="宋体" w:hint="default"/>
          <w:w w:val="100"/>
          <w:sz w:val="21"/>
          <w:szCs w:val="21"/>
        </w:rPr>
        <w:t> </w:t>
      </w:r>
      <w:r>
        <w:rPr>
          <w:rFonts w:ascii="宋体" w:hAnsi="宋体" w:cs="宋体" w:eastAsia="宋体" w:hint="default"/>
          <w:spacing w:val="-4"/>
          <w:sz w:val="21"/>
          <w:szCs w:val="21"/>
        </w:rPr>
        <w:t>模式，共同打造</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国网小</w:t>
      </w:r>
      <w:r>
        <w:rPr>
          <w:rFonts w:ascii="Times New Roman" w:hAnsi="Times New Roman" w:cs="Times New Roman" w:eastAsia="Times New Roman" w:hint="default"/>
          <w:spacing w:val="-4"/>
          <w:sz w:val="21"/>
          <w:szCs w:val="21"/>
        </w:rPr>
        <w:t>e”</w:t>
      </w:r>
      <w:r>
        <w:rPr>
          <w:rFonts w:ascii="宋体" w:hAnsi="宋体" w:cs="宋体" w:eastAsia="宋体" w:hint="default"/>
          <w:spacing w:val="-4"/>
          <w:sz w:val="21"/>
          <w:szCs w:val="21"/>
        </w:rPr>
        <w:t>财务机器人统一品牌。公司资金卫士、扫描精灵等多款智能硬件产品已在国网电 </w:t>
      </w:r>
      <w:r>
        <w:rPr>
          <w:rFonts w:ascii="宋体" w:hAnsi="宋体" w:cs="宋体" w:eastAsia="宋体" w:hint="default"/>
          <w:sz w:val="21"/>
          <w:szCs w:val="21"/>
        </w:rPr>
        <w:t>商商城一级采购专区成功上架。</w:t>
      </w:r>
    </w:p>
    <w:p>
      <w:pPr>
        <w:spacing w:line="271" w:lineRule="auto" w:before="22"/>
        <w:ind w:left="153" w:right="1126" w:firstLine="422"/>
        <w:jc w:val="both"/>
        <w:rPr>
          <w:rFonts w:ascii="宋体" w:hAnsi="宋体" w:cs="宋体" w:eastAsia="宋体" w:hint="default"/>
          <w:sz w:val="24"/>
          <w:szCs w:val="24"/>
        </w:rPr>
      </w:pPr>
      <w:r>
        <w:rPr>
          <w:rFonts w:ascii="宋体" w:hAnsi="宋体" w:cs="宋体" w:eastAsia="宋体" w:hint="default"/>
          <w:spacing w:val="-2"/>
          <w:sz w:val="21"/>
          <w:szCs w:val="21"/>
        </w:rPr>
        <w:t>此外，在物联网云平台服务方面，基于多种场景、多种新型数字化工具的应用，公司实现了机器人与</w:t>
      </w:r>
      <w:r>
        <w:rPr>
          <w:rFonts w:ascii="宋体" w:hAnsi="宋体" w:cs="宋体" w:eastAsia="宋体" w:hint="default"/>
          <w:w w:val="100"/>
          <w:sz w:val="21"/>
          <w:szCs w:val="21"/>
        </w:rPr>
        <w:t> </w:t>
      </w:r>
      <w:r>
        <w:rPr>
          <w:rFonts w:ascii="宋体" w:hAnsi="宋体" w:cs="宋体" w:eastAsia="宋体" w:hint="default"/>
          <w:spacing w:val="-2"/>
          <w:sz w:val="21"/>
          <w:szCs w:val="21"/>
        </w:rPr>
        <w:t>设备的连接、数据上云、设备监测、分析与诊断等功能，助力企业优化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数字化员工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的管理和智慧运营。</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、数字社会业务</w:t>
      </w:r>
      <w:r>
        <w:rPr>
          <w:rFonts w:ascii="宋体" w:hAnsi="宋体" w:cs="宋体" w:eastAsia="宋体" w:hint="default"/>
          <w:sz w:val="24"/>
          <w:szCs w:val="24"/>
        </w:rPr>
      </w:r>
    </w:p>
    <w:p>
      <w:pPr>
        <w:spacing w:line="266" w:lineRule="auto" w:before="9"/>
        <w:ind w:left="153" w:right="1125" w:firstLine="480"/>
        <w:jc w:val="both"/>
        <w:rPr>
          <w:rFonts w:ascii="宋体" w:hAnsi="宋体" w:cs="宋体" w:eastAsia="宋体" w:hint="default"/>
          <w:sz w:val="21"/>
          <w:szCs w:val="21"/>
        </w:rPr>
      </w:pPr>
      <w:r>
        <w:rPr>
          <w:rFonts w:ascii="宋体" w:hAnsi="宋体" w:cs="宋体" w:eastAsia="宋体" w:hint="default"/>
          <w:spacing w:val="-3"/>
          <w:sz w:val="21"/>
          <w:szCs w:val="21"/>
        </w:rPr>
        <w:t>报告期内，为适应社会管理新形势，无人智能服务产品体系得到进一步拓展，除了原有的非接触式咨</w:t>
      </w:r>
      <w:r>
        <w:rPr>
          <w:rFonts w:ascii="宋体" w:hAnsi="宋体" w:cs="宋体" w:eastAsia="宋体" w:hint="default"/>
          <w:w w:val="100"/>
          <w:sz w:val="21"/>
          <w:szCs w:val="21"/>
        </w:rPr>
        <w:t> </w:t>
      </w:r>
      <w:r>
        <w:rPr>
          <w:rFonts w:ascii="宋体" w:hAnsi="宋体" w:cs="宋体" w:eastAsia="宋体" w:hint="default"/>
          <w:sz w:val="21"/>
          <w:szCs w:val="21"/>
        </w:rPr>
        <w:t>询、搬运、托管智能服务实体机器人外，更依托自研的</w:t>
      </w:r>
      <w:r>
        <w:rPr>
          <w:rFonts w:ascii="Times New Roman" w:hAnsi="Times New Roman" w:cs="Times New Roman" w:eastAsia="Times New Roman" w:hint="default"/>
          <w:sz w:val="21"/>
          <w:szCs w:val="21"/>
        </w:rPr>
        <w:t>OTalk</w:t>
      </w:r>
      <w:r>
        <w:rPr>
          <w:rFonts w:ascii="宋体" w:hAnsi="宋体" w:cs="宋体" w:eastAsia="宋体" w:hint="default"/>
          <w:sz w:val="21"/>
          <w:szCs w:val="21"/>
        </w:rPr>
        <w:t>自然语言处理平台在阅读理解方面的长足进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步，推出了智能审阅系统，帮助客户自动化处理海量文本数据，提升文字处理效率和文本挖掘深度，降低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人工成本。在社会治理方面，消防大数据及智能接处警平台均得到更进一步发展。</w:t>
      </w:r>
    </w:p>
    <w:p>
      <w:pPr>
        <w:pStyle w:val="Heading2"/>
        <w:spacing w:line="240" w:lineRule="auto" w:before="32"/>
        <w:ind w:right="0"/>
        <w:jc w:val="left"/>
        <w:rPr>
          <w:b w:val="0"/>
          <w:bCs w:val="0"/>
        </w:rPr>
      </w:pPr>
      <w:r>
        <w:rPr>
          <w:rFonts w:ascii="Times New Roman" w:hAnsi="Times New Roman" w:cs="Times New Roman" w:eastAsia="Times New Roman" w:hint="default"/>
        </w:rPr>
        <w:t>9</w:t>
      </w:r>
      <w:r>
        <w:rPr/>
        <w:t>、系统集成业务</w:t>
      </w:r>
      <w:r>
        <w:rPr>
          <w:b w:val="0"/>
          <w:bCs w:val="0"/>
        </w:rPr>
      </w:r>
    </w:p>
    <w:p>
      <w:pPr>
        <w:spacing w:line="266" w:lineRule="auto" w:before="39"/>
        <w:ind w:left="153" w:right="1104" w:firstLine="480"/>
        <w:jc w:val="both"/>
        <w:rPr>
          <w:rFonts w:ascii="宋体" w:hAnsi="宋体" w:cs="宋体" w:eastAsia="宋体" w:hint="default"/>
          <w:sz w:val="21"/>
          <w:szCs w:val="21"/>
        </w:rPr>
      </w:pPr>
      <w:r>
        <w:rPr>
          <w:rFonts w:ascii="宋体" w:hAnsi="宋体" w:cs="宋体" w:eastAsia="宋体" w:hint="default"/>
          <w:spacing w:val="-2"/>
          <w:sz w:val="21"/>
          <w:szCs w:val="21"/>
        </w:rPr>
        <w:t>报告期内，公司系统集成业务在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云计算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云服务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等领域加速推进，积极开展网络及数据安全技术</w:t>
      </w:r>
      <w:r>
        <w:rPr>
          <w:rFonts w:ascii="宋体" w:hAnsi="宋体" w:cs="宋体" w:eastAsia="宋体" w:hint="default"/>
          <w:w w:val="100"/>
          <w:sz w:val="21"/>
          <w:szCs w:val="21"/>
        </w:rPr>
        <w:t> </w:t>
      </w:r>
      <w:r>
        <w:rPr>
          <w:rFonts w:ascii="宋体" w:hAnsi="宋体" w:cs="宋体" w:eastAsia="宋体" w:hint="default"/>
          <w:spacing w:val="-2"/>
          <w:sz w:val="21"/>
          <w:szCs w:val="21"/>
        </w:rPr>
        <w:t>与产品的研究与应用，不断夯实数据库云平台、云备份、数据仿真、数据容灾、数据安全等产品及服务，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1"/>
          <w:sz w:val="21"/>
          <w:szCs w:val="21"/>
        </w:rPr>
        <w:t>公司自主知识产权的</w:t>
      </w:r>
      <w:r>
        <w:rPr>
          <w:rFonts w:ascii="Times New Roman" w:hAnsi="Times New Roman" w:cs="Times New Roman" w:eastAsia="Times New Roman" w:hint="default"/>
          <w:spacing w:val="-1"/>
          <w:sz w:val="21"/>
          <w:szCs w:val="21"/>
        </w:rPr>
        <w:t>YGdata</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2"/>
          <w:sz w:val="21"/>
          <w:szCs w:val="21"/>
        </w:rPr>
        <w:t>Cloud</w:t>
      </w:r>
      <w:r>
        <w:rPr>
          <w:rFonts w:ascii="宋体" w:hAnsi="宋体" w:cs="宋体" w:eastAsia="宋体" w:hint="default"/>
          <w:spacing w:val="-2"/>
          <w:sz w:val="21"/>
          <w:szCs w:val="21"/>
        </w:rPr>
        <w:t>分布式存储云平台管理软件获得广东省</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年高新技术产品认定。</w:t>
      </w:r>
    </w:p>
    <w:p>
      <w:pPr>
        <w:pStyle w:val="Heading2"/>
        <w:spacing w:line="240" w:lineRule="auto" w:before="13"/>
        <w:ind w:right="0"/>
        <w:jc w:val="left"/>
        <w:rPr>
          <w:b w:val="0"/>
          <w:bCs w:val="0"/>
        </w:rPr>
      </w:pPr>
      <w:r>
        <w:rPr/>
        <w:t>（二）公司品牌建设</w:t>
      </w:r>
      <w:r>
        <w:rPr>
          <w:b w:val="0"/>
          <w:bCs w:val="0"/>
        </w:rPr>
      </w:r>
    </w:p>
    <w:p>
      <w:pPr>
        <w:spacing w:line="256" w:lineRule="auto" w:before="61"/>
        <w:ind w:left="153" w:right="1123" w:firstLine="480"/>
        <w:jc w:val="both"/>
        <w:rPr>
          <w:rFonts w:ascii="宋体" w:hAnsi="宋体" w:cs="宋体" w:eastAsia="宋体" w:hint="default"/>
          <w:sz w:val="21"/>
          <w:szCs w:val="21"/>
        </w:rPr>
      </w:pPr>
      <w:r>
        <w:rPr>
          <w:rFonts w:ascii="宋体" w:hAnsi="宋体" w:cs="宋体" w:eastAsia="宋体" w:hint="default"/>
          <w:spacing w:val="-1"/>
          <w:sz w:val="21"/>
          <w:szCs w:val="21"/>
        </w:rPr>
        <w:t>报告期内，公司不断拓展品牌建设的广度和深度，公司获评</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年度中国软件和信息服务业十大领</w:t>
      </w:r>
      <w:r>
        <w:rPr>
          <w:rFonts w:ascii="宋体" w:hAnsi="宋体" w:cs="宋体" w:eastAsia="宋体" w:hint="default"/>
          <w:w w:val="100"/>
          <w:sz w:val="21"/>
          <w:szCs w:val="21"/>
        </w:rPr>
        <w:t> </w:t>
      </w:r>
      <w:r>
        <w:rPr>
          <w:rFonts w:ascii="宋体" w:hAnsi="宋体" w:cs="宋体" w:eastAsia="宋体" w:hint="default"/>
          <w:spacing w:val="-3"/>
          <w:sz w:val="21"/>
          <w:szCs w:val="21"/>
        </w:rPr>
        <w:t>军企业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，董事长陈利浩获评</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年度中国软件和信息服务业十大领军人物</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，公司被中国软件行业协会第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
          <w:sz w:val="21"/>
          <w:szCs w:val="21"/>
        </w:rPr>
        <w:t>五次授予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自主可靠企业核心软件品牌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，并获</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上市公司社会责任奖</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等荣誉，品牌影响力和美誉度持</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续提升。</w:t>
      </w:r>
    </w:p>
    <w:p>
      <w:pPr>
        <w:spacing w:line="259" w:lineRule="auto" w:before="22"/>
        <w:ind w:left="153" w:right="1122"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报告期内，公司凭借优质的产品和专业的服务协助客户打造了多个标杆项目。其中，国家电网上海市</w:t>
      </w:r>
      <w:r>
        <w:rPr>
          <w:rFonts w:ascii="宋体" w:hAnsi="宋体" w:cs="宋体" w:eastAsia="宋体" w:hint="default"/>
          <w:w w:val="100"/>
          <w:sz w:val="21"/>
          <w:szCs w:val="21"/>
        </w:rPr>
        <w:t> </w:t>
      </w:r>
      <w:r>
        <w:rPr>
          <w:rFonts w:ascii="宋体" w:hAnsi="宋体" w:cs="宋体" w:eastAsia="宋体" w:hint="default"/>
          <w:sz w:val="21"/>
          <w:szCs w:val="21"/>
        </w:rPr>
        <w:t>电力公司</w:t>
      </w:r>
      <w:r>
        <w:rPr>
          <w:rFonts w:ascii="Times New Roman" w:hAnsi="Times New Roman" w:cs="Times New Roman" w:eastAsia="Times New Roman" w:hint="default"/>
          <w:sz w:val="21"/>
          <w:szCs w:val="21"/>
        </w:rPr>
        <w:t>“</w:t>
      </w:r>
      <w:r>
        <w:rPr>
          <w:rFonts w:ascii="宋体" w:hAnsi="宋体" w:cs="宋体" w:eastAsia="宋体" w:hint="default"/>
          <w:sz w:val="21"/>
          <w:szCs w:val="21"/>
        </w:rPr>
        <w:t>基于区块链技术的分布式光伏结算项目</w:t>
      </w:r>
      <w:r>
        <w:rPr>
          <w:rFonts w:ascii="Times New Roman" w:hAnsi="Times New Roman" w:cs="Times New Roman" w:eastAsia="Times New Roman" w:hint="default"/>
          <w:sz w:val="21"/>
          <w:szCs w:val="21"/>
        </w:rPr>
        <w:t>”</w:t>
      </w:r>
      <w:r>
        <w:rPr>
          <w:rFonts w:ascii="宋体" w:hAnsi="宋体" w:cs="宋体" w:eastAsia="宋体" w:hint="default"/>
          <w:sz w:val="21"/>
          <w:szCs w:val="21"/>
        </w:rPr>
        <w:t>入选</w:t>
      </w:r>
      <w:r>
        <w:rPr>
          <w:rFonts w:ascii="Times New Roman" w:hAnsi="Times New Roman" w:cs="Times New Roman" w:eastAsia="Times New Roman" w:hint="default"/>
          <w:sz w:val="21"/>
          <w:szCs w:val="21"/>
        </w:rPr>
        <w:t>“2019</w:t>
      </w:r>
      <w:r>
        <w:rPr>
          <w:rFonts w:ascii="宋体" w:hAnsi="宋体" w:cs="宋体" w:eastAsia="宋体" w:hint="default"/>
          <w:sz w:val="21"/>
          <w:szCs w:val="21"/>
        </w:rPr>
        <w:t>可信区块链高价值案例</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9"/>
          <w:sz w:val="21"/>
          <w:szCs w:val="21"/>
        </w:rPr>
        <w:t> </w:t>
      </w:r>
      <w:r>
        <w:rPr>
          <w:rFonts w:ascii="宋体" w:hAnsi="宋体" w:cs="宋体" w:eastAsia="宋体" w:hint="default"/>
          <w:spacing w:val="-8"/>
          <w:sz w:val="21"/>
          <w:szCs w:val="21"/>
        </w:rPr>
        <w:t>，该项目亦分别荣获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100"/>
          <w:sz w:val="21"/>
          <w:szCs w:val="21"/>
        </w:rPr>
        <w:t>中国信息化协会</w:t>
      </w:r>
      <w:r>
        <w:rPr>
          <w:rFonts w:ascii="Times New Roman" w:hAnsi="Times New Roman" w:cs="Times New Roman" w:eastAsia="Times New Roman" w:hint="default"/>
          <w:spacing w:val="-3"/>
          <w:w w:val="100"/>
          <w:sz w:val="21"/>
          <w:szCs w:val="21"/>
        </w:rPr>
        <w:t>“2019</w:t>
      </w:r>
      <w:r>
        <w:rPr>
          <w:rFonts w:ascii="宋体" w:hAnsi="宋体" w:cs="宋体" w:eastAsia="宋体" w:hint="default"/>
          <w:spacing w:val="-3"/>
          <w:w w:val="100"/>
          <w:sz w:val="21"/>
          <w:szCs w:val="21"/>
        </w:rPr>
        <w:t>中国能源企业信息化管理创新奖</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、中国企业联合会智慧企业推进委员会</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全国智慧企</w:t>
      </w:r>
      <w:r>
        <w:rPr>
          <w:rFonts w:ascii="宋体" w:hAnsi="宋体" w:cs="宋体" w:eastAsia="宋体" w:hint="default"/>
          <w:w w:val="100"/>
          <w:sz w:val="21"/>
          <w:szCs w:val="21"/>
        </w:rPr>
        <w:t> </w:t>
      </w:r>
      <w:r>
        <w:rPr>
          <w:rFonts w:ascii="宋体" w:hAnsi="宋体" w:cs="宋体" w:eastAsia="宋体" w:hint="default"/>
          <w:spacing w:val="-4"/>
          <w:sz w:val="21"/>
          <w:szCs w:val="21"/>
        </w:rPr>
        <w:t>业建设创新实践案例</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；公司的</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区块链企业应用服务平台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，荣获中国电子信息产业发展研究院、深圳市前</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海管理局</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年度软件和信息服务业区块链领域最佳产品</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年，公司成为深圳证券交易所和深圳证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券信息有限公司共同发布深证区块链</w:t>
      </w:r>
      <w:r>
        <w:rPr>
          <w:rFonts w:ascii="Times New Roman" w:hAnsi="Times New Roman" w:cs="Times New Roman" w:eastAsia="Times New Roman" w:hint="default"/>
          <w:spacing w:val="-2"/>
          <w:sz w:val="21"/>
          <w:szCs w:val="21"/>
        </w:rPr>
        <w:t>50</w:t>
      </w:r>
      <w:r>
        <w:rPr>
          <w:rFonts w:ascii="宋体" w:hAnsi="宋体" w:cs="宋体" w:eastAsia="宋体" w:hint="default"/>
          <w:spacing w:val="-2"/>
          <w:sz w:val="21"/>
          <w:szCs w:val="21"/>
        </w:rPr>
        <w:t>指数成分股（简称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区块链</w:t>
      </w:r>
      <w:r>
        <w:rPr>
          <w:rFonts w:ascii="Times New Roman" w:hAnsi="Times New Roman" w:cs="Times New Roman" w:eastAsia="Times New Roman" w:hint="default"/>
          <w:spacing w:val="-2"/>
          <w:sz w:val="21"/>
          <w:szCs w:val="21"/>
        </w:rPr>
        <w:t>50”</w:t>
      </w:r>
      <w:r>
        <w:rPr>
          <w:rFonts w:ascii="宋体" w:hAnsi="宋体" w:cs="宋体" w:eastAsia="宋体" w:hint="default"/>
          <w:spacing w:val="-2"/>
          <w:sz w:val="21"/>
          <w:szCs w:val="21"/>
        </w:rPr>
        <w:t>）；公司区块链应用事业部，入选公</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3"/>
          <w:sz w:val="21"/>
          <w:szCs w:val="21"/>
        </w:rPr>
        <w:t>安部网络安全保卫局</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年网络安全管理优秀团队</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。公司还获得《证券日报》发起的</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中国证券市场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金骏马奖之上市公司最佳区块链实践奖</w:t>
      </w:r>
      <w:r>
        <w:rPr>
          <w:rFonts w:ascii="Times New Roman" w:hAnsi="Times New Roman" w:cs="Times New Roman" w:eastAsia="Times New Roman" w:hint="default"/>
          <w:sz w:val="21"/>
          <w:szCs w:val="21"/>
        </w:rPr>
        <w:t>”</w:t>
      </w:r>
      <w:r>
        <w:rPr>
          <w:rFonts w:ascii="宋体" w:hAnsi="宋体" w:cs="宋体" w:eastAsia="宋体" w:hint="default"/>
          <w:sz w:val="21"/>
          <w:szCs w:val="21"/>
        </w:rPr>
        <w:t>。中国南方电网有限责任公司</w:t>
      </w:r>
      <w:r>
        <w:rPr>
          <w:rFonts w:ascii="Times New Roman" w:hAnsi="Times New Roman" w:cs="Times New Roman" w:eastAsia="Times New Roman" w:hint="default"/>
          <w:sz w:val="21"/>
          <w:szCs w:val="21"/>
        </w:rPr>
        <w:t>“</w:t>
      </w:r>
      <w:r>
        <w:rPr>
          <w:rFonts w:ascii="宋体" w:hAnsi="宋体" w:cs="宋体" w:eastAsia="宋体" w:hint="default"/>
          <w:sz w:val="21"/>
          <w:szCs w:val="21"/>
        </w:rPr>
        <w:t>基于互联网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大型集团企业智慧财</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w w:val="100"/>
          <w:sz w:val="21"/>
          <w:szCs w:val="21"/>
        </w:rPr>
        <w:t>税建设实践</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、国电龙源电力技术工程有限责任公司</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龙源工程项目管理系统</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分别荣获</w:t>
      </w:r>
      <w:r>
        <w:rPr>
          <w:rFonts w:ascii="Times New Roman" w:hAnsi="Times New Roman" w:cs="Times New Roman" w:eastAsia="Times New Roman" w:hint="default"/>
          <w:spacing w:val="-3"/>
          <w:w w:val="100"/>
          <w:sz w:val="21"/>
          <w:szCs w:val="21"/>
        </w:rPr>
        <w:t>2019</w:t>
      </w:r>
      <w:r>
        <w:rPr>
          <w:rFonts w:ascii="宋体" w:hAnsi="宋体" w:cs="宋体" w:eastAsia="宋体" w:hint="default"/>
          <w:spacing w:val="-3"/>
          <w:w w:val="100"/>
          <w:sz w:val="21"/>
          <w:szCs w:val="21"/>
        </w:rPr>
        <w:t>年度电力创新奖</w:t>
      </w:r>
      <w:r>
        <w:rPr>
          <w:rFonts w:ascii="宋体" w:hAnsi="宋体" w:cs="宋体" w:eastAsia="宋体" w:hint="default"/>
          <w:w w:val="100"/>
          <w:sz w:val="21"/>
          <w:szCs w:val="21"/>
        </w:rPr>
        <w:t> </w:t>
      </w:r>
      <w:r>
        <w:rPr>
          <w:rFonts w:ascii="宋体" w:hAnsi="宋体" w:cs="宋体" w:eastAsia="宋体" w:hint="default"/>
          <w:sz w:val="21"/>
          <w:szCs w:val="21"/>
        </w:rPr>
        <w:t>电力创新信息化类一等奖、二等奖；国网湖北省电力公司</w:t>
      </w:r>
      <w:r>
        <w:rPr>
          <w:rFonts w:ascii="Times New Roman" w:hAnsi="Times New Roman" w:cs="Times New Roman" w:eastAsia="Times New Roman" w:hint="default"/>
          <w:sz w:val="21"/>
          <w:szCs w:val="21"/>
        </w:rPr>
        <w:t>“</w:t>
      </w:r>
      <w:r>
        <w:rPr>
          <w:rFonts w:ascii="宋体" w:hAnsi="宋体" w:cs="宋体" w:eastAsia="宋体" w:hint="default"/>
          <w:sz w:val="21"/>
          <w:szCs w:val="21"/>
        </w:rPr>
        <w:t>适应输配电价改革形势下的电网投资计划智能</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优化决策管理</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、国网江苏省电力公司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多目标联动经营仿真智能预测系统</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、广东电网有限责任公司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一站</w:t>
      </w:r>
      <w:r>
        <w:rPr>
          <w:rFonts w:ascii="宋体" w:hAnsi="宋体" w:cs="宋体" w:eastAsia="宋体" w:hint="default"/>
          <w:spacing w:val="-27"/>
          <w:sz w:val="21"/>
          <w:szCs w:val="21"/>
        </w:rPr>
        <w:t> </w:t>
      </w:r>
      <w:r>
        <w:rPr>
          <w:rFonts w:ascii="宋体" w:hAnsi="宋体" w:cs="宋体" w:eastAsia="宋体" w:hint="default"/>
          <w:sz w:val="21"/>
          <w:szCs w:val="21"/>
        </w:rPr>
        <w:t>式智能移动商旅服务精益管理</w:t>
      </w:r>
      <w:r>
        <w:rPr>
          <w:rFonts w:ascii="Times New Roman" w:hAnsi="Times New Roman" w:cs="Times New Roman" w:eastAsia="Times New Roman" w:hint="default"/>
          <w:sz w:val="21"/>
          <w:szCs w:val="21"/>
        </w:rPr>
        <w:t>”</w:t>
      </w:r>
      <w:r>
        <w:rPr>
          <w:rFonts w:ascii="宋体" w:hAnsi="宋体" w:cs="宋体" w:eastAsia="宋体" w:hint="default"/>
          <w:sz w:val="21"/>
          <w:szCs w:val="21"/>
        </w:rPr>
        <w:t>等项目皆荣获中国能源企业信息化管理创新奖。</w:t>
      </w:r>
    </w:p>
    <w:p>
      <w:pPr>
        <w:spacing w:line="256" w:lineRule="auto" w:before="2"/>
        <w:ind w:left="153" w:right="1122" w:firstLine="480"/>
        <w:jc w:val="both"/>
        <w:rPr>
          <w:rFonts w:ascii="宋体" w:hAnsi="宋体" w:cs="宋体" w:eastAsia="宋体" w:hint="default"/>
          <w:sz w:val="21"/>
          <w:szCs w:val="21"/>
        </w:rPr>
      </w:pPr>
      <w:r>
        <w:rPr>
          <w:rFonts w:ascii="宋体" w:hAnsi="宋体" w:cs="宋体" w:eastAsia="宋体" w:hint="default"/>
          <w:spacing w:val="-3"/>
          <w:sz w:val="21"/>
          <w:szCs w:val="21"/>
        </w:rPr>
        <w:t>报告期内，公司亮相第二届数字中国建设峰会、</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中国国际大数据产业博览会、</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第二十三届中</w:t>
      </w:r>
      <w:r>
        <w:rPr>
          <w:rFonts w:ascii="宋体" w:hAnsi="宋体" w:cs="宋体" w:eastAsia="宋体" w:hint="default"/>
          <w:w w:val="100"/>
          <w:sz w:val="21"/>
          <w:szCs w:val="21"/>
        </w:rPr>
        <w:t> </w:t>
      </w:r>
      <w:r>
        <w:rPr>
          <w:rFonts w:ascii="宋体" w:hAnsi="宋体" w:cs="宋体" w:eastAsia="宋体" w:hint="default"/>
          <w:spacing w:val="-2"/>
          <w:sz w:val="21"/>
          <w:szCs w:val="21"/>
        </w:rPr>
        <w:t>国国际软件博览会、</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中国综合能源服务产业创新发展大会、</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数字电力峰会暨电力行业信息化年会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等大型展会、高峰论坛，积极推广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云大物移智链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等新技术、新产品，公司在能源互联网背景下的新战略</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布局，获得行业的广泛关注和肯定。</w:t>
      </w:r>
    </w:p>
    <w:p>
      <w:pPr>
        <w:spacing w:line="273" w:lineRule="auto" w:before="22"/>
        <w:ind w:left="153" w:right="1122" w:firstLine="480"/>
        <w:jc w:val="both"/>
        <w:rPr>
          <w:rFonts w:ascii="宋体" w:hAnsi="宋体" w:cs="宋体" w:eastAsia="宋体" w:hint="default"/>
          <w:sz w:val="21"/>
          <w:szCs w:val="21"/>
        </w:rPr>
      </w:pPr>
      <w:r>
        <w:rPr>
          <w:rFonts w:ascii="宋体" w:hAnsi="宋体" w:cs="宋体" w:eastAsia="宋体" w:hint="default"/>
          <w:sz w:val="21"/>
          <w:szCs w:val="21"/>
        </w:rPr>
        <w:t>报告期内，公司继续加强产学研合作，培养技术人才，推动科技成果转化，</w:t>
      </w:r>
      <w:r>
        <w:rPr>
          <w:rFonts w:ascii="宋体" w:hAnsi="宋体" w:cs="宋体" w:eastAsia="宋体" w:hint="default"/>
          <w:spacing w:val="26"/>
          <w:sz w:val="21"/>
          <w:szCs w:val="21"/>
        </w:rPr>
        <w:t> </w:t>
      </w:r>
      <w:r>
        <w:rPr>
          <w:rFonts w:ascii="宋体" w:hAnsi="宋体" w:cs="宋体" w:eastAsia="宋体" w:hint="default"/>
          <w:sz w:val="21"/>
          <w:szCs w:val="21"/>
        </w:rPr>
        <w:t>并参与起草了《发电行</w:t>
      </w:r>
      <w:r>
        <w:rPr>
          <w:rFonts w:ascii="宋体" w:hAnsi="宋体" w:cs="宋体" w:eastAsia="宋体" w:hint="default"/>
          <w:w w:val="100"/>
          <w:sz w:val="21"/>
          <w:szCs w:val="21"/>
        </w:rPr>
        <w:t> </w:t>
      </w:r>
      <w:r>
        <w:rPr>
          <w:rFonts w:ascii="宋体" w:hAnsi="宋体" w:cs="宋体" w:eastAsia="宋体" w:hint="default"/>
          <w:sz w:val="21"/>
          <w:szCs w:val="21"/>
        </w:rPr>
        <w:t>业工业互联网平台白皮书》及供应链金融行业标准，为行业快速健康发展贡献力量。</w:t>
      </w:r>
    </w:p>
    <w:p>
      <w:pPr>
        <w:pStyle w:val="Heading2"/>
        <w:spacing w:line="240" w:lineRule="auto" w:before="25"/>
        <w:ind w:right="0"/>
        <w:jc w:val="left"/>
        <w:rPr>
          <w:b w:val="0"/>
          <w:bCs w:val="0"/>
        </w:rPr>
      </w:pPr>
      <w:r>
        <w:rPr/>
        <w:t>（三）公司内部管理</w:t>
      </w:r>
      <w:r>
        <w:rPr>
          <w:b w:val="0"/>
          <w:bCs w:val="0"/>
        </w:rPr>
      </w:r>
    </w:p>
    <w:p>
      <w:pPr>
        <w:spacing w:line="273" w:lineRule="auto" w:before="62"/>
        <w:ind w:left="153" w:right="0" w:firstLine="480"/>
        <w:jc w:val="left"/>
        <w:rPr>
          <w:rFonts w:ascii="宋体" w:hAnsi="宋体" w:cs="宋体" w:eastAsia="宋体" w:hint="default"/>
          <w:sz w:val="21"/>
          <w:szCs w:val="21"/>
        </w:rPr>
      </w:pPr>
      <w:r>
        <w:rPr>
          <w:rFonts w:ascii="宋体" w:hAnsi="宋体" w:cs="宋体" w:eastAsia="宋体" w:hint="default"/>
          <w:spacing w:val="-6"/>
          <w:sz w:val="21"/>
          <w:szCs w:val="21"/>
        </w:rPr>
        <w:t>报告期内，在人力资源方面，公司人才供应链建设卓有成效，充分为公司的战略实现提供了有效支撑。</w:t>
      </w:r>
      <w:r>
        <w:rPr>
          <w:rFonts w:ascii="宋体" w:hAnsi="宋体" w:cs="宋体" w:eastAsia="宋体" w:hint="default"/>
          <w:w w:val="100"/>
          <w:sz w:val="21"/>
          <w:szCs w:val="21"/>
        </w:rPr>
        <w:t> </w:t>
      </w:r>
      <w:r>
        <w:rPr>
          <w:rFonts w:ascii="宋体" w:hAnsi="宋体" w:cs="宋体" w:eastAsia="宋体" w:hint="default"/>
          <w:spacing w:val="-2"/>
          <w:sz w:val="21"/>
          <w:szCs w:val="21"/>
        </w:rPr>
        <w:t>在完成智慧能源、智能物联、大数据及区块链等领域的人才引进的同时，进一步完善了校招毕业生的引进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机制和</w:t>
      </w:r>
      <w:r>
        <w:rPr>
          <w:rFonts w:ascii="Times New Roman" w:hAnsi="Times New Roman" w:cs="Times New Roman" w:eastAsia="Times New Roman" w:hint="default"/>
          <w:sz w:val="21"/>
          <w:szCs w:val="21"/>
        </w:rPr>
        <w:t>“</w:t>
      </w:r>
      <w:r>
        <w:rPr>
          <w:rFonts w:ascii="宋体" w:hAnsi="宋体" w:cs="宋体" w:eastAsia="宋体" w:hint="default"/>
          <w:sz w:val="21"/>
          <w:szCs w:val="21"/>
        </w:rPr>
        <w:t>未来星培养计划</w:t>
      </w:r>
      <w:r>
        <w:rPr>
          <w:rFonts w:ascii="Times New Roman" w:hAnsi="Times New Roman" w:cs="Times New Roman" w:eastAsia="Times New Roman" w:hint="default"/>
          <w:sz w:val="21"/>
          <w:szCs w:val="21"/>
        </w:rPr>
        <w:t>”</w:t>
      </w:r>
      <w:r>
        <w:rPr>
          <w:rFonts w:ascii="宋体" w:hAnsi="宋体" w:cs="宋体" w:eastAsia="宋体" w:hint="default"/>
          <w:sz w:val="21"/>
          <w:szCs w:val="21"/>
        </w:rPr>
        <w:t>等一系列人才储备和培养体系。公司紧密围绕职业发展双通道为主线，进一步建</w:t>
      </w:r>
    </w:p>
    <w:p>
      <w:pPr>
        <w:spacing w:after="0" w:line="273"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0" w:firstLine="0"/>
        <w:jc w:val="left"/>
        <w:rPr>
          <w:rFonts w:ascii="宋体" w:hAnsi="宋体" w:cs="宋体" w:eastAsia="宋体" w:hint="default"/>
          <w:sz w:val="21"/>
          <w:szCs w:val="21"/>
        </w:rPr>
      </w:pPr>
      <w:r>
        <w:rPr>
          <w:rFonts w:ascii="宋体" w:hAnsi="宋体" w:cs="宋体" w:eastAsia="宋体" w:hint="default"/>
          <w:spacing w:val="-2"/>
          <w:sz w:val="21"/>
          <w:szCs w:val="21"/>
        </w:rPr>
        <w:t>设并完善了公司的专业能力、管理能力体系，配合良好的员工培训体系、有市场竞争优势的薪酬体系、有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效的绩效评估机制，使公司人才的</w:t>
      </w:r>
      <w:r>
        <w:rPr>
          <w:rFonts w:ascii="Times New Roman" w:hAnsi="Times New Roman" w:cs="Times New Roman" w:eastAsia="Times New Roman" w:hint="default"/>
          <w:sz w:val="21"/>
          <w:szCs w:val="21"/>
        </w:rPr>
        <w:t>“</w:t>
      </w:r>
      <w:r>
        <w:rPr>
          <w:rFonts w:ascii="宋体" w:hAnsi="宋体" w:cs="宋体" w:eastAsia="宋体" w:hint="default"/>
          <w:sz w:val="21"/>
          <w:szCs w:val="21"/>
        </w:rPr>
        <w:t>选、育、留、用</w:t>
      </w:r>
      <w:r>
        <w:rPr>
          <w:rFonts w:ascii="Times New Roman" w:hAnsi="Times New Roman" w:cs="Times New Roman" w:eastAsia="Times New Roman" w:hint="default"/>
          <w:sz w:val="21"/>
          <w:szCs w:val="21"/>
        </w:rPr>
        <w:t>”</w:t>
      </w:r>
      <w:r>
        <w:rPr>
          <w:rFonts w:ascii="宋体" w:hAnsi="宋体" w:cs="宋体" w:eastAsia="宋体" w:hint="default"/>
          <w:sz w:val="21"/>
          <w:szCs w:val="21"/>
        </w:rPr>
        <w:t>顺利、有效进行。</w:t>
      </w:r>
    </w:p>
    <w:p>
      <w:pPr>
        <w:spacing w:line="273" w:lineRule="auto" w:before="0"/>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报告期内，公司开展了全司范围的培训需求调查，一方面，通过主题引导、提能接口人赋能等，指导</w:t>
      </w:r>
      <w:r>
        <w:rPr>
          <w:rFonts w:ascii="宋体" w:hAnsi="宋体" w:cs="宋体" w:eastAsia="宋体" w:hint="default"/>
          <w:w w:val="100"/>
          <w:sz w:val="21"/>
          <w:szCs w:val="21"/>
        </w:rPr>
        <w:t> </w:t>
      </w:r>
      <w:r>
        <w:rPr>
          <w:rFonts w:ascii="宋体" w:hAnsi="宋体" w:cs="宋体" w:eastAsia="宋体" w:hint="default"/>
          <w:spacing w:val="-2"/>
          <w:sz w:val="21"/>
          <w:szCs w:val="21"/>
        </w:rPr>
        <w:t>并推动各部门积极开展日常提能活动，促进全员能力提升；另一方面，重点分析研发线、产品线、实施服</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务线的业务能力现状，并依此制定并实施定向的赋能计划。在品牌培训项目方面，为实现更好、更快的梯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队人才培养，公司对远光星起点、春天行动、远光领导力工作坊等进行了项目升级，课程质量与学习体验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都得到了进一步提升；在前沿领域方面，公司持续组织大数据、软件架构、人工智能与机器学习、区块链</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技术等系列专题培训，不断拓宽产品业务端对技术发展趋势的认知；在能力认证方面，公司在原有系列认</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证的基础上，新建了软件测试能力认证。至此，公司内部认证体系已涵盖需求、研发、测试等大部分职业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发展通道。</w:t>
      </w:r>
    </w:p>
    <w:p>
      <w:pPr>
        <w:spacing w:line="273" w:lineRule="auto" w:before="7"/>
        <w:ind w:left="153" w:right="1106"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报告期内，在营销管理方面，公司成立业务督导部，推进重大项目及研发交付，强化后端研发和前端</w:t>
      </w:r>
      <w:r>
        <w:rPr>
          <w:rFonts w:ascii="宋体" w:hAnsi="宋体" w:cs="宋体" w:eastAsia="宋体" w:hint="default"/>
          <w:w w:val="100"/>
          <w:sz w:val="21"/>
          <w:szCs w:val="21"/>
        </w:rPr>
        <w:t> </w:t>
      </w:r>
      <w:r>
        <w:rPr>
          <w:rFonts w:ascii="宋体" w:hAnsi="宋体" w:cs="宋体" w:eastAsia="宋体" w:hint="default"/>
          <w:spacing w:val="-2"/>
          <w:sz w:val="21"/>
          <w:szCs w:val="21"/>
        </w:rPr>
        <w:t>机构的工作协同。多措并举推进前端机构市场开拓及业务突破、细化机构预算管控，提升机构经营效率。</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进一步完善分支机构绩效激励模式，引导机构加强内部提能、注重项目实施交付、优化内部管理。</w:t>
      </w:r>
    </w:p>
    <w:p>
      <w:pPr>
        <w:spacing w:line="273" w:lineRule="auto" w:before="7"/>
        <w:ind w:left="153" w:right="0" w:firstLine="480"/>
        <w:jc w:val="left"/>
        <w:rPr>
          <w:rFonts w:ascii="宋体" w:hAnsi="宋体" w:cs="宋体" w:eastAsia="宋体" w:hint="default"/>
          <w:sz w:val="21"/>
          <w:szCs w:val="21"/>
        </w:rPr>
      </w:pPr>
      <w:r>
        <w:rPr>
          <w:rFonts w:ascii="宋体" w:hAnsi="宋体" w:cs="宋体" w:eastAsia="宋体" w:hint="default"/>
          <w:spacing w:val="-6"/>
          <w:sz w:val="21"/>
          <w:szCs w:val="21"/>
        </w:rPr>
        <w:t>报告期内，在财务管理方面，积极推进战略财务、共享财务、业务财务的工作规划。在公司理财方面，</w:t>
      </w:r>
      <w:r>
        <w:rPr>
          <w:rFonts w:ascii="宋体" w:hAnsi="宋体" w:cs="宋体" w:eastAsia="宋体" w:hint="default"/>
          <w:w w:val="100"/>
          <w:sz w:val="21"/>
          <w:szCs w:val="21"/>
        </w:rPr>
        <w:t> </w:t>
      </w:r>
      <w:r>
        <w:rPr>
          <w:rFonts w:ascii="宋体" w:hAnsi="宋体" w:cs="宋体" w:eastAsia="宋体" w:hint="default"/>
          <w:spacing w:val="-4"/>
          <w:sz w:val="21"/>
          <w:szCs w:val="21"/>
        </w:rPr>
        <w:t>充分利用闲置资金进行理财，在保障公司正常有序运行的同时，取得了不错的理财收益。在预算管理方面，</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成本费用得到有效控制，全员控本增效的意识不断提升。在财务分析方面，加大财务专项分析，为公司及</w:t>
      </w:r>
      <w:r>
        <w:rPr>
          <w:rFonts w:ascii="宋体" w:hAnsi="宋体" w:cs="宋体" w:eastAsia="宋体" w:hint="default"/>
          <w:w w:val="100"/>
          <w:sz w:val="21"/>
          <w:szCs w:val="21"/>
        </w:rPr>
        <w:t> </w:t>
      </w:r>
      <w:r>
        <w:rPr>
          <w:rFonts w:ascii="宋体" w:hAnsi="宋体" w:cs="宋体" w:eastAsia="宋体" w:hint="default"/>
          <w:sz w:val="21"/>
          <w:szCs w:val="21"/>
        </w:rPr>
        <w:t>各部门及时掌握经营动态以及决策提供了有力支持。在公司风险防范方面，加大了财务稽核与风险防范考</w:t>
      </w:r>
      <w:r>
        <w:rPr>
          <w:rFonts w:ascii="宋体" w:hAnsi="宋体" w:cs="宋体" w:eastAsia="宋体" w:hint="default"/>
          <w:w w:val="100"/>
          <w:sz w:val="21"/>
          <w:szCs w:val="21"/>
        </w:rPr>
        <w:t> </w:t>
      </w:r>
      <w:r>
        <w:rPr>
          <w:rFonts w:ascii="宋体" w:hAnsi="宋体" w:cs="宋体" w:eastAsia="宋体" w:hint="default"/>
          <w:sz w:val="21"/>
          <w:szCs w:val="21"/>
        </w:rPr>
        <w:t>核，进一步完善了公司内控体系。</w:t>
      </w:r>
    </w:p>
    <w:p>
      <w:pPr>
        <w:spacing w:line="273" w:lineRule="auto" w:before="7"/>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报告期内，在市场方面，公司围绕企业数字化转型、智慧能源，以及区块链、人工智能、大数据等新</w:t>
      </w:r>
      <w:r>
        <w:rPr>
          <w:rFonts w:ascii="宋体" w:hAnsi="宋体" w:cs="宋体" w:eastAsia="宋体" w:hint="default"/>
          <w:w w:val="100"/>
          <w:sz w:val="21"/>
          <w:szCs w:val="21"/>
        </w:rPr>
        <w:t> </w:t>
      </w:r>
      <w:r>
        <w:rPr>
          <w:rFonts w:ascii="宋体" w:hAnsi="宋体" w:cs="宋体" w:eastAsia="宋体" w:hint="default"/>
          <w:spacing w:val="-2"/>
          <w:sz w:val="21"/>
          <w:szCs w:val="21"/>
        </w:rPr>
        <w:t>技术创新方面积极开展品牌培育工作，强化品牌内涵，面向客户、投资者、政府等群体展现企业实力，提</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升品牌美誉度。针对战略性产品进行市场化包装与推广，并打造标杆项目案例，展现产品及服务价值。同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时，强化企业文化建设，组织打造了系列精品文化活动。</w:t>
      </w:r>
    </w:p>
    <w:p>
      <w:pPr>
        <w:spacing w:line="273" w:lineRule="auto" w:before="7"/>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报告期内，在法务工作方面，持续完善制度合规审查，提升公司内部风险管理水平，保障公司经营管</w:t>
      </w:r>
      <w:r>
        <w:rPr>
          <w:rFonts w:ascii="宋体" w:hAnsi="宋体" w:cs="宋体" w:eastAsia="宋体" w:hint="default"/>
          <w:w w:val="100"/>
          <w:sz w:val="21"/>
          <w:szCs w:val="21"/>
        </w:rPr>
        <w:t> </w:t>
      </w:r>
      <w:r>
        <w:rPr>
          <w:rFonts w:ascii="宋体" w:hAnsi="宋体" w:cs="宋体" w:eastAsia="宋体" w:hint="default"/>
          <w:spacing w:val="-2"/>
          <w:sz w:val="21"/>
          <w:szCs w:val="21"/>
        </w:rPr>
        <w:t>理的合规性；加强内部各类合同审核工作，持续优化修订合同标准文本，降低交易风险；在知识产权管理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方面，新获得商标证书</w:t>
      </w:r>
      <w:r>
        <w:rPr>
          <w:rFonts w:ascii="Times New Roman" w:hAnsi="Times New Roman" w:cs="Times New Roman" w:eastAsia="Times New Roman" w:hint="default"/>
          <w:sz w:val="21"/>
          <w:szCs w:val="21"/>
        </w:rPr>
        <w:t>15</w:t>
      </w:r>
      <w:r>
        <w:rPr>
          <w:rFonts w:ascii="宋体" w:hAnsi="宋体" w:cs="宋体" w:eastAsia="宋体" w:hint="default"/>
          <w:sz w:val="21"/>
          <w:szCs w:val="21"/>
        </w:rPr>
        <w:t>项、著作权登记证书</w:t>
      </w:r>
      <w:r>
        <w:rPr>
          <w:rFonts w:ascii="Times New Roman" w:hAnsi="Times New Roman" w:cs="Times New Roman" w:eastAsia="Times New Roman" w:hint="default"/>
          <w:sz w:val="21"/>
          <w:szCs w:val="21"/>
        </w:rPr>
        <w:t>44</w:t>
      </w:r>
      <w:r>
        <w:rPr>
          <w:rFonts w:ascii="宋体" w:hAnsi="宋体" w:cs="宋体" w:eastAsia="宋体" w:hint="default"/>
          <w:sz w:val="21"/>
          <w:szCs w:val="21"/>
        </w:rPr>
        <w:t>件。</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tbl>
      <w:tblPr>
        <w:tblW w:w="0" w:type="auto"/>
        <w:jc w:val="left"/>
        <w:tblInd w:w="143" w:type="dxa"/>
        <w:tblLayout w:type="fixed"/>
        <w:tblCellMar>
          <w:top w:w="0" w:type="dxa"/>
          <w:left w:w="0" w:type="dxa"/>
          <w:bottom w:w="0" w:type="dxa"/>
          <w:right w:w="0" w:type="dxa"/>
        </w:tblCellMar>
        <w:tblLook w:val="01E0"/>
      </w:tblPr>
      <w:tblGrid>
        <w:gridCol w:w="2607"/>
        <w:gridCol w:w="2454"/>
        <w:gridCol w:w="2271"/>
        <w:gridCol w:w="2223"/>
      </w:tblGrid>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82" w:right="0"/>
              <w:jc w:val="left"/>
              <w:rPr>
                <w:rFonts w:ascii="宋体" w:hAnsi="宋体" w:cs="宋体" w:eastAsia="宋体" w:hint="default"/>
                <w:sz w:val="18"/>
                <w:szCs w:val="18"/>
              </w:rPr>
            </w:pPr>
            <w:r>
              <w:rPr>
                <w:rFonts w:ascii="宋体" w:hAnsi="宋体" w:cs="宋体" w:eastAsia="宋体" w:hint="default"/>
                <w:sz w:val="18"/>
                <w:szCs w:val="18"/>
              </w:rPr>
              <w:t>本年数（元）</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85" w:right="0"/>
              <w:jc w:val="left"/>
              <w:rPr>
                <w:rFonts w:ascii="宋体" w:hAnsi="宋体" w:cs="宋体" w:eastAsia="宋体" w:hint="default"/>
                <w:sz w:val="18"/>
                <w:szCs w:val="18"/>
              </w:rPr>
            </w:pPr>
            <w:r>
              <w:rPr>
                <w:rFonts w:ascii="宋体" w:hAnsi="宋体" w:cs="宋体" w:eastAsia="宋体" w:hint="default"/>
                <w:sz w:val="18"/>
                <w:szCs w:val="18"/>
              </w:rPr>
              <w:t>上年数（元）</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2"/>
                <w:sz w:val="18"/>
              </w:rPr>
              <w:t>1,565,208,558.82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2"/>
                <w:sz w:val="18"/>
              </w:rPr>
              <w:t>1,278,381,650.64</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22.44%</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546,769,668.17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434,817,103.06</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25.75%</w:t>
            </w:r>
          </w:p>
        </w:tc>
      </w:tr>
      <w:tr>
        <w:trPr>
          <w:trHeight w:val="42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15,862,432.01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15,414,844.23</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2.90%</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233,938,768.71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224,634,107.07</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4.14%</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191,167,286.45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190,228,940.67</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0.49%</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308,964,472.83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258,859,298.12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19.36%</w:t>
            </w:r>
          </w:p>
        </w:tc>
      </w:tr>
      <w:tr>
        <w:trPr>
          <w:trHeight w:val="42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-11,268,172.92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-9,039,060.45</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-24.66%</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-100,930,215.23</w:t>
            </w:r>
          </w:p>
        </w:tc>
        <w:tc>
          <w:tcPr>
            <w:tcW w:w="2271"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-2,405,350.37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-20,509,388.06</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-88.27%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2607"/>
        <w:gridCol w:w="2454"/>
        <w:gridCol w:w="2271"/>
        <w:gridCol w:w="2223"/>
      </w:tblGrid>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34,437,524.46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24,005,581.42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43.46%</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16,201,539.50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27,230,691.40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-40.50%</w:t>
            </w:r>
          </w:p>
        </w:tc>
      </w:tr>
      <w:tr>
        <w:trPr>
          <w:trHeight w:val="42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227,025,447.83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194,193,302.70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16.91%</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409,934.70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546,576.83</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943,538.18</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240,318.42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2"/>
                <w:sz w:val="18"/>
              </w:rPr>
              <w:t>292.62%</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226,491,844.35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194,499,561.11</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16.45%</w:t>
            </w:r>
          </w:p>
        </w:tc>
      </w:tr>
      <w:tr>
        <w:trPr>
          <w:trHeight w:val="42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221,406,711.27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187,643,005.92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17.99%</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归属于母公司股东的净利润</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226,707,159.85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194,695,651.63</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16.44%</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0.2671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0.2292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16.54%</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0.2671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0.2292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16.54%</w:t>
            </w:r>
          </w:p>
        </w:tc>
      </w:tr>
      <w:tr>
        <w:trPr>
          <w:trHeight w:val="428"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186,617,104.47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142,551,750.65</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30.91%</w:t>
            </w:r>
          </w:p>
        </w:tc>
      </w:tr>
      <w:tr>
        <w:trPr>
          <w:trHeight w:val="422"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-921,750,535.56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-105,237,940.71</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-775.87%</w:t>
            </w:r>
          </w:p>
        </w:tc>
      </w:tr>
      <w:tr>
        <w:trPr>
          <w:trHeight w:val="427"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
              <w:jc w:val="right"/>
              <w:rPr>
                <w:rFonts w:ascii="Times New Roman" w:hAnsi="Times New Roman" w:cs="Times New Roman" w:eastAsia="Times New Roman" w:hint="default"/>
                <w:sz w:val="20"/>
                <w:szCs w:val="20"/>
              </w:rPr>
            </w:pPr>
            <w:r>
              <w:rPr>
                <w:rFonts w:ascii="Times New Roman"/>
                <w:spacing w:val="-1"/>
                <w:sz w:val="20"/>
              </w:rPr>
              <w:t>-77,087,979.20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21,687,089.53</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3"/>
              <w:jc w:val="right"/>
              <w:rPr>
                <w:rFonts w:ascii="Times New Roman" w:hAnsi="Times New Roman" w:cs="Times New Roman" w:eastAsia="Times New Roman" w:hint="default"/>
                <w:sz w:val="18"/>
                <w:szCs w:val="18"/>
              </w:rPr>
            </w:pPr>
            <w:r>
              <w:rPr>
                <w:rFonts w:ascii="Times New Roman"/>
                <w:spacing w:val="-1"/>
                <w:sz w:val="18"/>
              </w:rPr>
              <w:t>-455.46%</w:t>
            </w:r>
          </w:p>
        </w:tc>
      </w:tr>
      <w:tr>
        <w:trPr>
          <w:trHeight w:val="432" w:hRule="exact"/>
        </w:trPr>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-812,214,844.77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59,010,388.86</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3"/>
              <w:jc w:val="right"/>
              <w:rPr>
                <w:rFonts w:ascii="Times New Roman" w:hAnsi="Times New Roman" w:cs="Times New Roman" w:eastAsia="Times New Roman" w:hint="default"/>
                <w:sz w:val="18"/>
                <w:szCs w:val="18"/>
              </w:rPr>
            </w:pPr>
            <w:r>
              <w:rPr>
                <w:rFonts w:ascii="Times New Roman"/>
                <w:spacing w:val="-1"/>
                <w:sz w:val="18"/>
              </w:rPr>
              <w:t>-1476.39%</w:t>
            </w:r>
          </w:p>
        </w:tc>
      </w:tr>
    </w:tbl>
    <w:p>
      <w:pPr>
        <w:spacing w:line="300" w:lineRule="auto" w:before="1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、信用减值损失增加</w:t>
      </w:r>
      <w:r>
        <w:rPr>
          <w:rFonts w:ascii="Times New Roman" w:hAnsi="Times New Roman" w:cs="Times New Roman" w:eastAsia="Times New Roman" w:hint="default"/>
          <w:spacing w:val="-3"/>
          <w:sz w:val="18"/>
          <w:szCs w:val="18"/>
        </w:rPr>
        <w:t>-100,930,215.23</w:t>
      </w:r>
      <w:r>
        <w:rPr>
          <w:rFonts w:ascii="宋体" w:hAnsi="宋体" w:cs="宋体" w:eastAsia="宋体" w:hint="default"/>
          <w:spacing w:val="-3"/>
          <w:sz w:val="18"/>
          <w:szCs w:val="18"/>
        </w:rPr>
        <w:t>元，主要原因为：会计政策变更，报告期各项金融工具减值准备调整至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信用减值</w:t>
      </w:r>
      <w:r>
        <w:rPr>
          <w:rFonts w:ascii="宋体" w:hAnsi="宋体" w:cs="宋体" w:eastAsia="宋体" w:hint="default"/>
          <w:w w:val="101"/>
          <w:sz w:val="18"/>
          <w:szCs w:val="18"/>
        </w:rPr>
        <w:t> </w:t>
      </w:r>
      <w:r>
        <w:rPr>
          <w:rFonts w:ascii="宋体" w:hAnsi="宋体" w:cs="宋体" w:eastAsia="宋体" w:hint="default"/>
          <w:spacing w:val="-3"/>
          <w:sz w:val="18"/>
          <w:szCs w:val="18"/>
        </w:rPr>
        <w:t>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项目。报告期就应收共创的往来款项全额计提坏账准备，以及应收账款金额与账龄结构变化，共同影响所致。</w:t>
      </w:r>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、资产减值损失减少</w:t>
      </w:r>
      <w:r>
        <w:rPr>
          <w:rFonts w:ascii="Times New Roman" w:hAnsi="Times New Roman" w:cs="Times New Roman" w:eastAsia="Times New Roman" w:hint="default"/>
          <w:spacing w:val="-4"/>
          <w:sz w:val="18"/>
          <w:szCs w:val="18"/>
        </w:rPr>
        <w:t>88.27%</w:t>
      </w:r>
      <w:r>
        <w:rPr>
          <w:rFonts w:ascii="宋体" w:hAnsi="宋体" w:cs="宋体" w:eastAsia="宋体" w:hint="default"/>
          <w:spacing w:val="-4"/>
          <w:sz w:val="18"/>
          <w:szCs w:val="18"/>
        </w:rPr>
        <w:t>，主要原因为：会计政策变更，报告期各项金融工具减值准备调整至</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信用减值损失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、投资收益同比增长</w:t>
      </w:r>
      <w:r>
        <w:rPr>
          <w:rFonts w:ascii="Times New Roman" w:hAnsi="Times New Roman" w:cs="Times New Roman" w:eastAsia="Times New Roman" w:hint="default"/>
          <w:spacing w:val="-3"/>
          <w:sz w:val="18"/>
          <w:szCs w:val="18"/>
        </w:rPr>
        <w:t>43.46%</w:t>
      </w:r>
      <w:r>
        <w:rPr>
          <w:rFonts w:ascii="宋体" w:hAnsi="宋体" w:cs="宋体" w:eastAsia="宋体" w:hint="default"/>
          <w:spacing w:val="-3"/>
          <w:sz w:val="18"/>
          <w:szCs w:val="18"/>
        </w:rPr>
        <w:t>，主要原因为：报告期处置对共创的长期股权投资所产生的投资收益所致。</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、其他收益同比减少</w:t>
      </w:r>
      <w:r>
        <w:rPr>
          <w:rFonts w:ascii="Times New Roman" w:hAnsi="Times New Roman" w:cs="Times New Roman" w:eastAsia="Times New Roman" w:hint="default"/>
          <w:spacing w:val="-3"/>
          <w:sz w:val="18"/>
          <w:szCs w:val="18"/>
        </w:rPr>
        <w:t>40.50%</w:t>
      </w:r>
      <w:r>
        <w:rPr>
          <w:rFonts w:ascii="宋体" w:hAnsi="宋体" w:cs="宋体" w:eastAsia="宋体" w:hint="default"/>
          <w:spacing w:val="-3"/>
          <w:sz w:val="18"/>
          <w:szCs w:val="18"/>
        </w:rPr>
        <w:t>，主要原因为：报告期政府补助收入、增值税即征即退收入同比减少所致。</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、营业外支出同比增长</w:t>
      </w:r>
      <w:r>
        <w:rPr>
          <w:rFonts w:ascii="Times New Roman" w:hAnsi="Times New Roman" w:cs="Times New Roman" w:eastAsia="Times New Roman" w:hint="default"/>
          <w:spacing w:val="-3"/>
          <w:sz w:val="18"/>
          <w:szCs w:val="18"/>
        </w:rPr>
        <w:t>292.62%</w:t>
      </w:r>
      <w:r>
        <w:rPr>
          <w:rFonts w:ascii="宋体" w:hAnsi="宋体" w:cs="宋体" w:eastAsia="宋体" w:hint="default"/>
          <w:spacing w:val="-3"/>
          <w:sz w:val="18"/>
          <w:szCs w:val="18"/>
        </w:rPr>
        <w:t>，主要原因为：金额变化不大、比较基数较小所致。</w:t>
      </w:r>
    </w:p>
    <w:p>
      <w:pPr>
        <w:spacing w:line="300" w:lineRule="auto" w:before="63"/>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、经营活动产生的现金流量净额同比增长</w:t>
      </w:r>
      <w:r>
        <w:rPr>
          <w:rFonts w:ascii="Times New Roman" w:hAnsi="Times New Roman" w:cs="Times New Roman" w:eastAsia="Times New Roman" w:hint="default"/>
          <w:spacing w:val="-3"/>
          <w:sz w:val="18"/>
          <w:szCs w:val="18"/>
        </w:rPr>
        <w:t>30.91%</w:t>
      </w:r>
      <w:r>
        <w:rPr>
          <w:rFonts w:ascii="宋体" w:hAnsi="宋体" w:cs="宋体" w:eastAsia="宋体" w:hint="default"/>
          <w:spacing w:val="-3"/>
          <w:sz w:val="18"/>
          <w:szCs w:val="18"/>
        </w:rPr>
        <w:t>，主要原因为：报告期收入及回款增加，且成本费用控制良好，回款</w:t>
      </w:r>
      <w:r>
        <w:rPr>
          <w:rFonts w:ascii="宋体" w:hAnsi="宋体" w:cs="宋体" w:eastAsia="宋体" w:hint="default"/>
          <w:w w:val="101"/>
          <w:sz w:val="18"/>
          <w:szCs w:val="18"/>
        </w:rPr>
        <w:t> </w:t>
      </w:r>
      <w:r>
        <w:rPr>
          <w:rFonts w:ascii="宋体" w:hAnsi="宋体" w:cs="宋体" w:eastAsia="宋体" w:hint="default"/>
          <w:spacing w:val="-3"/>
          <w:sz w:val="18"/>
          <w:szCs w:val="18"/>
        </w:rPr>
        <w:t>增幅超过经营活动现金流出增幅所致。</w:t>
      </w:r>
    </w:p>
    <w:p>
      <w:pPr>
        <w:spacing w:line="300" w:lineRule="auto" w:before="3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、投资活动产生的现金流量净额同比减少</w:t>
      </w:r>
      <w:r>
        <w:rPr>
          <w:rFonts w:ascii="Times New Roman" w:hAnsi="Times New Roman" w:cs="Times New Roman" w:eastAsia="Times New Roman" w:hint="default"/>
          <w:spacing w:val="-3"/>
          <w:sz w:val="18"/>
          <w:szCs w:val="18"/>
        </w:rPr>
        <w:t>775.87%</w:t>
      </w:r>
      <w:r>
        <w:rPr>
          <w:rFonts w:ascii="宋体" w:hAnsi="宋体" w:cs="宋体" w:eastAsia="宋体" w:hint="default"/>
          <w:spacing w:val="-3"/>
          <w:sz w:val="18"/>
          <w:szCs w:val="18"/>
        </w:rPr>
        <w:t>，主要原因为：报告期末用短期闲置资金购买结构性存款与理财投</w:t>
      </w:r>
      <w:r>
        <w:rPr>
          <w:rFonts w:ascii="宋体" w:hAnsi="宋体" w:cs="宋体" w:eastAsia="宋体" w:hint="default"/>
          <w:w w:val="101"/>
          <w:sz w:val="18"/>
          <w:szCs w:val="18"/>
        </w:rPr>
        <w:t> </w:t>
      </w:r>
      <w:r>
        <w:rPr>
          <w:rFonts w:ascii="宋体" w:hAnsi="宋体" w:cs="宋体" w:eastAsia="宋体" w:hint="default"/>
          <w:sz w:val="18"/>
          <w:szCs w:val="18"/>
        </w:rPr>
        <w:t>资规模同比增加所致。</w:t>
      </w:r>
    </w:p>
    <w:p>
      <w:pPr>
        <w:spacing w:line="300" w:lineRule="auto" w:before="3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、筹资活动产生的现金流量净额同比减少</w:t>
      </w:r>
      <w:r>
        <w:rPr>
          <w:rFonts w:ascii="Times New Roman" w:hAnsi="Times New Roman" w:cs="Times New Roman" w:eastAsia="Times New Roman" w:hint="default"/>
          <w:spacing w:val="-3"/>
          <w:sz w:val="18"/>
          <w:szCs w:val="18"/>
        </w:rPr>
        <w:t>455.46%</w:t>
      </w:r>
      <w:r>
        <w:rPr>
          <w:rFonts w:ascii="宋体" w:hAnsi="宋体" w:cs="宋体" w:eastAsia="宋体" w:hint="default"/>
          <w:spacing w:val="-3"/>
          <w:sz w:val="18"/>
          <w:szCs w:val="18"/>
        </w:rPr>
        <w:t>，主要原因为：上年同期定向增发募集资金到位、报告期无此类业</w:t>
      </w:r>
      <w:r>
        <w:rPr>
          <w:rFonts w:ascii="宋体" w:hAnsi="宋体" w:cs="宋体" w:eastAsia="宋体" w:hint="default"/>
          <w:w w:val="101"/>
          <w:sz w:val="18"/>
          <w:szCs w:val="18"/>
        </w:rPr>
        <w:t> </w:t>
      </w:r>
      <w:r>
        <w:rPr>
          <w:rFonts w:ascii="宋体" w:hAnsi="宋体" w:cs="宋体" w:eastAsia="宋体" w:hint="default"/>
          <w:spacing w:val="-3"/>
          <w:sz w:val="18"/>
          <w:szCs w:val="18"/>
        </w:rPr>
        <w:t>务，以及报告期派发现金股利同比增加、归还银行短期借款，共同影响所致。</w:t>
      </w:r>
    </w:p>
    <w:p>
      <w:pPr>
        <w:spacing w:line="300" w:lineRule="auto" w:before="3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、现金及现金等价物净增加额同比减少</w:t>
      </w:r>
      <w:r>
        <w:rPr>
          <w:rFonts w:ascii="Times New Roman" w:hAnsi="Times New Roman" w:cs="Times New Roman" w:eastAsia="Times New Roman" w:hint="default"/>
          <w:spacing w:val="-3"/>
          <w:sz w:val="18"/>
          <w:szCs w:val="18"/>
        </w:rPr>
        <w:t>1476.39%</w:t>
      </w:r>
      <w:r>
        <w:rPr>
          <w:rFonts w:ascii="宋体" w:hAnsi="宋体" w:cs="宋体" w:eastAsia="宋体" w:hint="default"/>
          <w:spacing w:val="-3"/>
          <w:sz w:val="18"/>
          <w:szCs w:val="18"/>
        </w:rPr>
        <w:t>，主要原因为：报告期末用短期闲置资金购买结构性存款与理财投资</w:t>
      </w:r>
      <w:r>
        <w:rPr>
          <w:rFonts w:ascii="宋体" w:hAnsi="宋体" w:cs="宋体" w:eastAsia="宋体" w:hint="default"/>
          <w:w w:val="101"/>
          <w:sz w:val="18"/>
          <w:szCs w:val="18"/>
        </w:rPr>
        <w:t> </w:t>
      </w:r>
      <w:r>
        <w:rPr>
          <w:rFonts w:ascii="宋体" w:hAnsi="宋体" w:cs="宋体" w:eastAsia="宋体" w:hint="default"/>
          <w:spacing w:val="-3"/>
          <w:sz w:val="18"/>
          <w:szCs w:val="18"/>
        </w:rPr>
        <w:t>规模、派发现金股利、固定资产与在建工程投入增加，以及归还银行贷款、无定向增发募集资金，共同影响所致。</w:t>
      </w:r>
    </w:p>
    <w:p>
      <w:pPr>
        <w:spacing w:line="240" w:lineRule="auto" w:before="7"/>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收入与成本" w:id="28"/>
      <w:bookmarkEnd w:id="2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7"/>
        <w:gridCol w:w="1606"/>
        <w:gridCol w:w="1583"/>
        <w:gridCol w:w="1606"/>
        <w:gridCol w:w="1570"/>
        <w:gridCol w:w="1606"/>
      </w:tblGrid>
      <w:tr>
        <w:trPr>
          <w:trHeight w:val="206" w:hRule="exact"/>
        </w:trPr>
        <w:tc>
          <w:tcPr>
            <w:tcW w:w="15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7"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7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87"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left="290" w:right="0"/>
              <w:jc w:val="left"/>
              <w:rPr>
                <w:rFonts w:ascii="Times New Roman" w:hAnsi="Times New Roman" w:cs="Times New Roman" w:eastAsia="Times New Roman" w:hint="default"/>
                <w:sz w:val="18"/>
                <w:szCs w:val="18"/>
              </w:rPr>
            </w:pPr>
            <w:r>
              <w:rPr>
                <w:rFonts w:ascii="Times New Roman"/>
                <w:sz w:val="18"/>
              </w:rPr>
              <w:t>1,565,208,558.82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60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left="295" w:right="0"/>
              <w:jc w:val="left"/>
              <w:rPr>
                <w:rFonts w:ascii="Times New Roman" w:hAnsi="Times New Roman" w:cs="Times New Roman" w:eastAsia="Times New Roman" w:hint="default"/>
                <w:sz w:val="18"/>
                <w:szCs w:val="18"/>
              </w:rPr>
            </w:pPr>
            <w:r>
              <w:rPr>
                <w:rFonts w:ascii="Times New Roman"/>
                <w:sz w:val="18"/>
              </w:rPr>
              <w:t>1,278,381,650.64</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100%</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22.44%</w:t>
            </w:r>
          </w:p>
        </w:tc>
      </w:tr>
      <w:tr>
        <w:trPr>
          <w:trHeight w:val="398"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1,398,390,758.15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1,155,912,429.29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166,817,800.67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122,469,221.35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36.21%</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集团管理业务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1,104,839,919.47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870,843,043.21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26.87%</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资产全生命周期管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70,500,295.00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69,758,698.46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智慧能源业务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140,405,768.96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116,235,268.80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24,324,325.03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22,143,002.14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9.85%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区块链业务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19,892,547.19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499,056.60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3,886.03%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人工智能业务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36,131,278.37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27,739,571.16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30.25%</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智能硬件及系统业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120,466,479.41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138,260,860.94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数字社会业务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31,032,055.30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10,905,516.06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184.55%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13,611,973.96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15,733,204.22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4,003,916.13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6,263,429.05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-36.07%</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119,076,527.45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116,308,445.24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419,801,030.41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359,181,968.17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462,282,226.74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284,624,110.84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62.42%</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221,454,805.65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142,696,557.72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202,324,814.88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229,289,667.37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-11.76%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140,269,153.69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146,280,901.30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-4.11%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96"/>
        <w:gridCol w:w="1018"/>
        <w:gridCol w:w="1013"/>
        <w:gridCol w:w="1008"/>
        <w:gridCol w:w="1013"/>
        <w:gridCol w:w="1004"/>
        <w:gridCol w:w="1004"/>
        <w:gridCol w:w="1004"/>
        <w:gridCol w:w="1003"/>
      </w:tblGrid>
      <w:tr>
        <w:trPr>
          <w:trHeight w:val="207"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12"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301,041,291.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3"/>
                <w:sz w:val="18"/>
              </w:rPr>
              <w:t>331,337,111.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312,336,714.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19</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620,493,441.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257,101,996.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325,632,648.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277,181,879.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418,465,126.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8" w:type="dxa"/>
            <w:vMerge/>
            <w:tcBorders>
              <w:left w:val="single" w:sz="12"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58"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12"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27"/>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6,860,169.44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73,448,370.6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53,859,352.2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92,539,267.5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6,072,192.05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70,049,264.9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54,742,981.7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63,831,212.9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说明经营季节性（或周期性）发生的原因及波动风险</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1,398,390,758.15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475,497,376.02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21.49%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-0.14%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166,817,800.67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71,272,292.15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64.15%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-7.27%</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集团管理业务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1,104,839,919.47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359,090,323.00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-3.34%</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419,801,030.41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136,208,031.67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-0.62%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462,282,226.74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172,327,815.57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221,454,805.65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71,229,619.54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202,324,814.88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82,151,040.76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-11.76%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6.59%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-6.99%</w:t>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79" w:header="741" w:top="1060" w:bottom="1160" w:left="980" w:right="0"/>
          <w:pgNumType w:start="18"/>
        </w:sectPr>
      </w:pPr>
    </w:p>
    <w:p>
      <w:pPr>
        <w:spacing w:before="53"/>
        <w:ind w:left="153" w:right="-14"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6" w:space="126"/>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集团管理业务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870,843,043.21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253,933,795.22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-3.34%</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智能硬件及系统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138,260,860.94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86,968,793.74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1.11%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line="309" w:lineRule="auto" w:before="10"/>
        <w:ind w:left="153" w:right="1122" w:firstLine="360"/>
        <w:jc w:val="both"/>
        <w:rPr>
          <w:rFonts w:ascii="宋体" w:hAnsi="宋体" w:cs="宋体" w:eastAsia="宋体" w:hint="default"/>
          <w:sz w:val="18"/>
          <w:szCs w:val="18"/>
        </w:rPr>
      </w:pPr>
      <w:r>
        <w:rPr>
          <w:rFonts w:ascii="宋体" w:hAnsi="宋体" w:cs="宋体" w:eastAsia="宋体" w:hint="default"/>
          <w:spacing w:val="-5"/>
          <w:sz w:val="18"/>
          <w:szCs w:val="18"/>
        </w:rPr>
        <w:t>近年来，公司根据业务发展趋势和市场需求，在聚焦核心集团管理业务、为客户提供精细化的产品和服务的同时，持续</w:t>
      </w:r>
      <w:r>
        <w:rPr>
          <w:rFonts w:ascii="宋体" w:hAnsi="宋体" w:cs="宋体" w:eastAsia="宋体" w:hint="default"/>
          <w:w w:val="101"/>
          <w:sz w:val="18"/>
          <w:szCs w:val="18"/>
        </w:rPr>
        <w:t> </w:t>
      </w:r>
      <w:r>
        <w:rPr>
          <w:rFonts w:ascii="宋体" w:hAnsi="宋体" w:cs="宋体" w:eastAsia="宋体" w:hint="default"/>
          <w:spacing w:val="-4"/>
          <w:sz w:val="18"/>
          <w:szCs w:val="18"/>
        </w:rPr>
        <w:t>优化产业布局和产品战略，加大了能源互联网、区块链、人工智能等领域的研发投入，相关业务取得较好发展。</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司根据战略方向、业务发展趋势以及公司核算管理要求，对产品分类进行微调。</w:t>
      </w:r>
    </w:p>
    <w:p>
      <w:pPr>
        <w:spacing w:line="240" w:lineRule="auto" w:before="0"/>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行业和产品分类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22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6"/>
              <w:jc w:val="center"/>
              <w:rPr>
                <w:rFonts w:ascii="宋体" w:hAnsi="宋体" w:cs="宋体" w:eastAsia="宋体" w:hint="default"/>
                <w:sz w:val="18"/>
                <w:szCs w:val="18"/>
              </w:rPr>
            </w:pPr>
            <w:r>
              <w:rPr>
                <w:rFonts w:ascii="宋体" w:hAnsi="宋体" w:cs="宋体" w:eastAsia="宋体" w:hint="default"/>
                <w:spacing w:val="-3"/>
                <w:sz w:val="18"/>
                <w:szCs w:val="18"/>
              </w:rPr>
              <w:t>硬件与服务成本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475,497,376.02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86.96%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391,398,628.49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21.49%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pacing w:val="-3"/>
                <w:sz w:val="18"/>
                <w:szCs w:val="18"/>
              </w:rPr>
              <w:t>硬件与服务成本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71,272,292.15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43,418,474.57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64.15%</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集团管理业务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359,090,323.00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253,933,795.22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资产全生命周期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13,395,056.05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13,312,973.08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智慧能源业务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83,764,471.81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58,916,438.66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7,808,475.92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2,140,679.52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264.77%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区块链业务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3,560,765.95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85,837.74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4,048.25%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人工智能业务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6,075,332.05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4,375,865.45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38.84%</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智能硬件及系统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硬件与服务成本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55,012,860.36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86,968,793.74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数字社会业务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6,841,635.93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1,707,636.57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300.65%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硬件与服务成本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9,446,581.13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11,776,253.60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1,774,165.97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1,598,829.49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00" w:right="0"/>
        </w:sectPr>
      </w:pPr>
    </w:p>
    <w:p>
      <w:pPr>
        <w:spacing w:before="53"/>
        <w:ind w:left="23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3" w:lineRule="auto" w:before="115"/>
        <w:ind w:left="23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00" w:right="0"/>
          <w:cols w:num="2" w:equalWidth="0">
            <w:col w:w="9150" w:space="40"/>
            <w:col w:w="1820"/>
          </w:cols>
        </w:sectPr>
      </w:pPr>
    </w:p>
    <w:p>
      <w:pPr>
        <w:spacing w:line="240" w:lineRule="auto" w:before="10"/>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190,969,653.48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143,112,436.62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33.44%</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1,267,860.96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13,330,451.75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304,988,963.43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224,636,161.50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35.77%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49,543,190.30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53,738,053.19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546,769,668.17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434,817,103.06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25.75%</w:t>
            </w:r>
          </w:p>
        </w:tc>
      </w:tr>
    </w:tbl>
    <w:p>
      <w:pPr>
        <w:spacing w:line="240" w:lineRule="auto" w:before="3"/>
        <w:rPr>
          <w:rFonts w:ascii="宋体" w:hAnsi="宋体" w:cs="宋体" w:eastAsia="宋体" w:hint="default"/>
          <w:sz w:val="19"/>
          <w:szCs w:val="19"/>
        </w:rPr>
      </w:pPr>
    </w:p>
    <w:p>
      <w:pPr>
        <w:spacing w:before="36"/>
        <w:ind w:left="233" w:right="0"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705"/>
        <w:gridCol w:w="850"/>
        <w:gridCol w:w="1133"/>
        <w:gridCol w:w="994"/>
        <w:gridCol w:w="1700"/>
        <w:gridCol w:w="994"/>
        <w:gridCol w:w="1133"/>
        <w:gridCol w:w="994"/>
      </w:tblGrid>
      <w:tr>
        <w:trPr>
          <w:trHeight w:val="326" w:hRule="exact"/>
        </w:trPr>
        <w:tc>
          <w:tcPr>
            <w:tcW w:w="4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 w:right="0"/>
              <w:jc w:val="center"/>
              <w:rPr>
                <w:rFonts w:ascii="宋体" w:hAnsi="宋体" w:cs="宋体" w:eastAsia="宋体" w:hint="default"/>
                <w:sz w:val="20"/>
                <w:szCs w:val="20"/>
              </w:rPr>
            </w:pPr>
            <w:r>
              <w:rPr>
                <w:rFonts w:ascii="宋体" w:hAnsi="宋体" w:cs="宋体" w:eastAsia="宋体" w:hint="default"/>
                <w:sz w:val="20"/>
                <w:szCs w:val="20"/>
              </w:rPr>
              <w:t>本报告期</w:t>
            </w:r>
          </w:p>
        </w:tc>
        <w:tc>
          <w:tcPr>
            <w:tcW w:w="4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8" w:right="0"/>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32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45"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pacing w:val="10"/>
                <w:sz w:val="20"/>
                <w:szCs w:val="20"/>
              </w:rPr>
              <w:t>持股比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3" w:right="0"/>
              <w:jc w:val="left"/>
              <w:rPr>
                <w:rFonts w:ascii="宋体" w:hAnsi="宋体" w:cs="宋体" w:eastAsia="宋体" w:hint="default"/>
                <w:sz w:val="20"/>
                <w:szCs w:val="20"/>
              </w:rPr>
            </w:pPr>
            <w:r>
              <w:rPr>
                <w:rFonts w:ascii="宋体" w:hAnsi="宋体" w:cs="宋体" w:eastAsia="宋体" w:hint="default"/>
                <w:sz w:val="20"/>
                <w:szCs w:val="20"/>
              </w:rPr>
              <w:t>表决权比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1" w:right="0"/>
              <w:jc w:val="left"/>
              <w:rPr>
                <w:rFonts w:ascii="宋体" w:hAnsi="宋体" w:cs="宋体" w:eastAsia="宋体" w:hint="default"/>
                <w:sz w:val="20"/>
                <w:szCs w:val="20"/>
              </w:rPr>
            </w:pPr>
            <w:r>
              <w:rPr>
                <w:rFonts w:ascii="宋体" w:hAnsi="宋体" w:cs="宋体" w:eastAsia="宋体" w:hint="default"/>
                <w:sz w:val="20"/>
                <w:szCs w:val="20"/>
              </w:rPr>
              <w:t>取得方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45"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pacing w:val="86"/>
                <w:w w:val="100"/>
                <w:sz w:val="20"/>
                <w:szCs w:val="20"/>
              </w:rPr>
              <w:t>持股</w:t>
            </w:r>
            <w:r>
              <w:rPr>
                <w:rFonts w:ascii="宋体" w:hAnsi="宋体" w:cs="宋体" w:eastAsia="宋体" w:hint="default"/>
                <w:w w:val="100"/>
                <w:sz w:val="20"/>
                <w:szCs w:val="20"/>
              </w:rPr>
              <w:t>比</w:t>
            </w:r>
            <w:r>
              <w:rPr>
                <w:rFonts w:ascii="宋体" w:hAnsi="宋体" w:cs="宋体" w:eastAsia="宋体" w:hint="default"/>
                <w:spacing w:val="-14"/>
                <w:sz w:val="20"/>
                <w:szCs w:val="20"/>
              </w:rPr>
              <w:t> </w:t>
            </w:r>
            <w:r>
              <w:rPr>
                <w:rFonts w:ascii="宋体" w:hAnsi="宋体" w:cs="宋体" w:eastAsia="宋体" w:hint="default"/>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3" w:right="0"/>
              <w:jc w:val="left"/>
              <w:rPr>
                <w:rFonts w:ascii="宋体" w:hAnsi="宋体" w:cs="宋体" w:eastAsia="宋体" w:hint="default"/>
                <w:sz w:val="20"/>
                <w:szCs w:val="20"/>
              </w:rPr>
            </w:pPr>
            <w:r>
              <w:rPr>
                <w:rFonts w:ascii="宋体" w:hAnsi="宋体" w:cs="宋体" w:eastAsia="宋体" w:hint="default"/>
                <w:sz w:val="20"/>
                <w:szCs w:val="20"/>
              </w:rPr>
              <w:t>表决权比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1" w:right="0"/>
              <w:jc w:val="left"/>
              <w:rPr>
                <w:rFonts w:ascii="宋体" w:hAnsi="宋体" w:cs="宋体" w:eastAsia="宋体" w:hint="default"/>
                <w:sz w:val="20"/>
                <w:szCs w:val="20"/>
              </w:rPr>
            </w:pPr>
            <w:r>
              <w:rPr>
                <w:rFonts w:ascii="宋体" w:hAnsi="宋体" w:cs="宋体" w:eastAsia="宋体" w:hint="default"/>
                <w:sz w:val="20"/>
                <w:szCs w:val="20"/>
              </w:rPr>
              <w:t>取得方</w:t>
            </w:r>
          </w:p>
        </w:tc>
      </w:tr>
    </w:tbl>
    <w:p>
      <w:pPr>
        <w:spacing w:after="0" w:line="254" w:lineRule="exact"/>
        <w:jc w:val="left"/>
        <w:rPr>
          <w:rFonts w:ascii="宋体" w:hAnsi="宋体" w:cs="宋体" w:eastAsia="宋体" w:hint="default"/>
          <w:sz w:val="20"/>
          <w:szCs w:val="20"/>
        </w:rPr>
        <w:sectPr>
          <w:type w:val="continuous"/>
          <w:pgSz w:w="11910" w:h="16840"/>
          <w:pgMar w:top="1060" w:bottom="1160" w:left="90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705"/>
        <w:gridCol w:w="850"/>
        <w:gridCol w:w="1133"/>
        <w:gridCol w:w="994"/>
        <w:gridCol w:w="1700"/>
        <w:gridCol w:w="994"/>
        <w:gridCol w:w="1133"/>
        <w:gridCol w:w="994"/>
      </w:tblGrid>
      <w:tr>
        <w:trPr>
          <w:trHeight w:val="322" w:hRule="exact"/>
        </w:trPr>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w w:val="100"/>
                <w:sz w:val="20"/>
                <w:szCs w:val="20"/>
              </w:rPr>
              <w:t>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w w:val="100"/>
                <w:sz w:val="20"/>
                <w:szCs w:val="20"/>
              </w:rPr>
              <w:t>式</w:t>
            </w:r>
          </w:p>
        </w:tc>
        <w:tc>
          <w:tcPr>
            <w:tcW w:w="170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w w:val="100"/>
                <w:sz w:val="20"/>
                <w:szCs w:val="20"/>
              </w:rPr>
              <w:t>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w w:val="100"/>
                <w:sz w:val="20"/>
                <w:szCs w:val="20"/>
              </w:rPr>
              <w:t>式</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远光资本管理（横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琴）有限公司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远光资本管理（横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琴）有限公司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42"/>
              <w:jc w:val="left"/>
              <w:rPr>
                <w:rFonts w:ascii="宋体" w:hAnsi="宋体" w:cs="宋体" w:eastAsia="宋体" w:hint="default"/>
                <w:sz w:val="18"/>
                <w:szCs w:val="18"/>
              </w:rPr>
            </w:pPr>
            <w:r>
              <w:rPr>
                <w:rFonts w:ascii="宋体" w:hAnsi="宋体" w:cs="宋体" w:eastAsia="宋体" w:hint="default"/>
                <w:spacing w:val="-2"/>
                <w:sz w:val="18"/>
                <w:szCs w:val="18"/>
              </w:rPr>
              <w:t>远光软件（北京）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远光软件（北京）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南京远光广安信息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Times New Roman" w:hAnsi="Times New Roman" w:cs="Times New Roman" w:eastAsia="Times New Roman" w:hint="default"/>
                <w:sz w:val="20"/>
                <w:szCs w:val="20"/>
              </w:rPr>
            </w:pPr>
            <w:r>
              <w:rPr>
                <w:rFonts w:ascii="Times New Roman"/>
                <w:sz w:val="20"/>
              </w:rPr>
              <w:t>66.67%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66.67%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南京远光广安信息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6"/>
              <w:jc w:val="right"/>
              <w:rPr>
                <w:rFonts w:ascii="Times New Roman" w:hAnsi="Times New Roman" w:cs="Times New Roman" w:eastAsia="Times New Roman" w:hint="default"/>
                <w:sz w:val="20"/>
                <w:szCs w:val="20"/>
              </w:rPr>
            </w:pPr>
            <w:r>
              <w:rPr>
                <w:rFonts w:ascii="Times New Roman"/>
                <w:spacing w:val="-1"/>
                <w:sz w:val="20"/>
              </w:rPr>
              <w:t>66.67%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66.67%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长沙远光瑞翔科技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Times New Roman" w:hAnsi="Times New Roman" w:cs="Times New Roman" w:eastAsia="Times New Roman" w:hint="default"/>
                <w:sz w:val="20"/>
                <w:szCs w:val="20"/>
              </w:rPr>
            </w:pPr>
            <w:r>
              <w:rPr>
                <w:rFonts w:ascii="Times New Roman"/>
                <w:sz w:val="20"/>
              </w:rPr>
              <w:t>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长沙远光瑞翔科技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6"/>
              <w:jc w:val="right"/>
              <w:rPr>
                <w:rFonts w:ascii="Times New Roman" w:hAnsi="Times New Roman" w:cs="Times New Roman" w:eastAsia="Times New Roman" w:hint="default"/>
                <w:sz w:val="20"/>
                <w:szCs w:val="20"/>
              </w:rPr>
            </w:pPr>
            <w:r>
              <w:rPr>
                <w:rFonts w:ascii="Times New Roman"/>
                <w:spacing w:val="-1"/>
                <w:sz w:val="20"/>
              </w:rPr>
              <w:t>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远光软件（武汉）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远光软件（武汉）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5" w:right="142"/>
              <w:jc w:val="left"/>
              <w:rPr>
                <w:rFonts w:ascii="宋体" w:hAnsi="宋体" w:cs="宋体" w:eastAsia="宋体" w:hint="default"/>
                <w:sz w:val="18"/>
                <w:szCs w:val="18"/>
              </w:rPr>
            </w:pPr>
            <w:r>
              <w:rPr>
                <w:rFonts w:ascii="宋体" w:hAnsi="宋体" w:cs="宋体" w:eastAsia="宋体" w:hint="default"/>
                <w:spacing w:val="-2"/>
                <w:sz w:val="18"/>
                <w:szCs w:val="18"/>
              </w:rPr>
              <w:t>珠海远光移动互联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5" w:right="137"/>
              <w:jc w:val="left"/>
              <w:rPr>
                <w:rFonts w:ascii="宋体" w:hAnsi="宋体" w:cs="宋体" w:eastAsia="宋体" w:hint="default"/>
                <w:sz w:val="18"/>
                <w:szCs w:val="18"/>
              </w:rPr>
            </w:pPr>
            <w:r>
              <w:rPr>
                <w:rFonts w:ascii="宋体" w:hAnsi="宋体" w:cs="宋体" w:eastAsia="宋体" w:hint="default"/>
                <w:spacing w:val="-2"/>
                <w:sz w:val="18"/>
                <w:szCs w:val="18"/>
              </w:rPr>
              <w:t>珠海远光移动互联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珠海远光软件产业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Times New Roman" w:hAnsi="Times New Roman" w:cs="Times New Roman" w:eastAsia="Times New Roman" w:hint="default"/>
                <w:sz w:val="20"/>
                <w:szCs w:val="20"/>
              </w:rPr>
            </w:pPr>
            <w:r>
              <w:rPr>
                <w:rFonts w:ascii="Times New Roman"/>
                <w:sz w:val="20"/>
              </w:rPr>
              <w:t>51.22%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51.22%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珠海远光软件产业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6"/>
              <w:jc w:val="right"/>
              <w:rPr>
                <w:rFonts w:ascii="Times New Roman" w:hAnsi="Times New Roman" w:cs="Times New Roman" w:eastAsia="Times New Roman" w:hint="default"/>
                <w:sz w:val="20"/>
                <w:szCs w:val="20"/>
              </w:rPr>
            </w:pPr>
            <w:r>
              <w:rPr>
                <w:rFonts w:ascii="Times New Roman"/>
                <w:spacing w:val="-1"/>
                <w:sz w:val="20"/>
              </w:rPr>
              <w:t>51.22%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51.22%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珠海高远电能科技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Times New Roman" w:hAnsi="Times New Roman" w:cs="Times New Roman" w:eastAsia="Times New Roman" w:hint="default"/>
                <w:sz w:val="20"/>
                <w:szCs w:val="20"/>
              </w:rPr>
            </w:pPr>
            <w:r>
              <w:rPr>
                <w:rFonts w:ascii="Times New Roman"/>
                <w:sz w:val="20"/>
              </w:rPr>
              <w:t>63.00%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63.00%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珠海高远电能科技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6"/>
              <w:jc w:val="right"/>
              <w:rPr>
                <w:rFonts w:ascii="Times New Roman" w:hAnsi="Times New Roman" w:cs="Times New Roman" w:eastAsia="Times New Roman" w:hint="default"/>
                <w:sz w:val="20"/>
                <w:szCs w:val="20"/>
              </w:rPr>
            </w:pPr>
            <w:r>
              <w:rPr>
                <w:rFonts w:ascii="Times New Roman"/>
                <w:spacing w:val="-1"/>
                <w:sz w:val="20"/>
              </w:rPr>
              <w:t>63.00%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63.00%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42"/>
              <w:jc w:val="both"/>
              <w:rPr>
                <w:rFonts w:ascii="宋体" w:hAnsi="宋体" w:cs="宋体" w:eastAsia="宋体" w:hint="default"/>
                <w:sz w:val="18"/>
                <w:szCs w:val="18"/>
              </w:rPr>
            </w:pPr>
            <w:r>
              <w:rPr>
                <w:rFonts w:ascii="宋体" w:hAnsi="宋体" w:cs="宋体" w:eastAsia="宋体" w:hint="default"/>
                <w:spacing w:val="-2"/>
                <w:sz w:val="18"/>
                <w:szCs w:val="18"/>
              </w:rPr>
              <w:t>远光能源互联网产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业发展（横琴）有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both"/>
              <w:rPr>
                <w:rFonts w:ascii="宋体" w:hAnsi="宋体" w:cs="宋体" w:eastAsia="宋体" w:hint="default"/>
                <w:sz w:val="18"/>
                <w:szCs w:val="18"/>
              </w:rPr>
            </w:pPr>
            <w:r>
              <w:rPr>
                <w:rFonts w:ascii="宋体" w:hAnsi="宋体" w:cs="宋体" w:eastAsia="宋体" w:hint="default"/>
                <w:spacing w:val="-2"/>
                <w:sz w:val="18"/>
                <w:szCs w:val="18"/>
              </w:rPr>
              <w:t>远光能源互联网产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业发展（横琴）有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远光信息技术（澳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门）有限公司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远光信息技术（澳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北京智和管理咨询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Times New Roman"/>
                <w:sz w:val="18"/>
              </w:rPr>
              <w:t>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北京智和管理咨询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pacing w:val="-1"/>
                <w:sz w:val="18"/>
              </w:rPr>
              <w:t>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3" w:right="0"/>
              <w:jc w:val="left"/>
              <w:rPr>
                <w:rFonts w:ascii="Times New Roman" w:hAnsi="Times New Roman" w:cs="Times New Roman" w:eastAsia="Times New Roman" w:hint="default"/>
                <w:sz w:val="18"/>
                <w:szCs w:val="18"/>
              </w:rPr>
            </w:pPr>
            <w:r>
              <w:rPr>
                <w:rFonts w:ascii="Times New Roman"/>
                <w:sz w:val="18"/>
              </w:rPr>
              <w:t>52.00%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42"/>
              <w:jc w:val="left"/>
              <w:rPr>
                <w:rFonts w:ascii="宋体" w:hAnsi="宋体" w:cs="宋体" w:eastAsia="宋体" w:hint="default"/>
                <w:sz w:val="18"/>
                <w:szCs w:val="18"/>
              </w:rPr>
            </w:pPr>
            <w:r>
              <w:rPr>
                <w:rFonts w:ascii="宋体" w:hAnsi="宋体" w:cs="宋体" w:eastAsia="宋体" w:hint="default"/>
                <w:spacing w:val="-2"/>
                <w:sz w:val="18"/>
                <w:szCs w:val="18"/>
              </w:rPr>
              <w:t>杭州昊美科技有限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公司及其子公司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Times New Roman"/>
                <w:sz w:val="18"/>
              </w:rPr>
              <w:t>70.71%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70.71%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37"/>
              <w:jc w:val="left"/>
              <w:rPr>
                <w:rFonts w:ascii="宋体" w:hAnsi="宋体" w:cs="宋体" w:eastAsia="宋体" w:hint="default"/>
                <w:sz w:val="18"/>
                <w:szCs w:val="18"/>
              </w:rPr>
            </w:pPr>
            <w:r>
              <w:rPr>
                <w:rFonts w:ascii="宋体" w:hAnsi="宋体" w:cs="宋体" w:eastAsia="宋体" w:hint="default"/>
                <w:spacing w:val="-2"/>
                <w:sz w:val="18"/>
                <w:szCs w:val="18"/>
              </w:rPr>
              <w:t>杭州昊美科技有限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公司及其子公司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6"/>
              <w:jc w:val="right"/>
              <w:rPr>
                <w:rFonts w:ascii="Times New Roman" w:hAnsi="Times New Roman" w:cs="Times New Roman" w:eastAsia="Times New Roman" w:hint="default"/>
                <w:sz w:val="18"/>
                <w:szCs w:val="18"/>
              </w:rPr>
            </w:pPr>
            <w:r>
              <w:rPr>
                <w:rFonts w:ascii="Times New Roman"/>
                <w:spacing w:val="-1"/>
                <w:sz w:val="18"/>
              </w:rPr>
              <w:t>70.71%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Times New Roman" w:hAnsi="Times New Roman" w:cs="Times New Roman" w:eastAsia="Times New Roman" w:hint="default"/>
                <w:sz w:val="18"/>
                <w:szCs w:val="18"/>
              </w:rPr>
            </w:pPr>
            <w:r>
              <w:rPr>
                <w:rFonts w:ascii="Times New Roman"/>
                <w:sz w:val="18"/>
              </w:rPr>
              <w:t>70.71%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2"/>
              <w:jc w:val="left"/>
              <w:rPr>
                <w:rFonts w:ascii="宋体" w:hAnsi="宋体" w:cs="宋体" w:eastAsia="宋体" w:hint="default"/>
                <w:sz w:val="18"/>
                <w:szCs w:val="18"/>
              </w:rPr>
            </w:pPr>
            <w:r>
              <w:rPr>
                <w:rFonts w:ascii="宋体" w:hAnsi="宋体" w:cs="宋体" w:eastAsia="宋体" w:hint="default"/>
                <w:spacing w:val="-2"/>
                <w:sz w:val="18"/>
                <w:szCs w:val="18"/>
              </w:rPr>
              <w:t>珠海智行慧达商务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旅行社有限公司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珠海智行慧达商务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旅行社有限公司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42"/>
              <w:jc w:val="both"/>
              <w:rPr>
                <w:rFonts w:ascii="宋体" w:hAnsi="宋体" w:cs="宋体" w:eastAsia="宋体" w:hint="default"/>
                <w:sz w:val="18"/>
                <w:szCs w:val="18"/>
              </w:rPr>
            </w:pPr>
            <w:r>
              <w:rPr>
                <w:rFonts w:ascii="宋体" w:hAnsi="宋体" w:cs="宋体" w:eastAsia="宋体" w:hint="default"/>
                <w:spacing w:val="-2"/>
                <w:sz w:val="18"/>
                <w:szCs w:val="18"/>
              </w:rPr>
              <w:t>珠海远光晴天能源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科技有限公司及其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Times New Roman" w:hAnsi="Times New Roman" w:cs="Times New Roman" w:eastAsia="Times New Roman" w:hint="default"/>
                <w:sz w:val="20"/>
                <w:szCs w:val="20"/>
              </w:rPr>
            </w:pPr>
            <w:r>
              <w:rPr>
                <w:rFonts w:ascii="Times New Roman"/>
                <w:sz w:val="20"/>
              </w:rPr>
              <w:t>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0"/>
                <w:szCs w:val="20"/>
              </w:rPr>
            </w:pPr>
            <w:r>
              <w:rPr>
                <w:rFonts w:ascii="Times New Roman"/>
                <w:sz w:val="20"/>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远光共创智能科技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57.98</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57.98%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37"/>
              <w:jc w:val="left"/>
              <w:rPr>
                <w:rFonts w:ascii="宋体" w:hAnsi="宋体" w:cs="宋体" w:eastAsia="宋体" w:hint="default"/>
                <w:sz w:val="18"/>
                <w:szCs w:val="18"/>
              </w:rPr>
            </w:pPr>
            <w:r>
              <w:rPr>
                <w:rFonts w:ascii="宋体" w:hAnsi="宋体" w:cs="宋体" w:eastAsia="宋体" w:hint="default"/>
                <w:spacing w:val="-2"/>
                <w:sz w:val="18"/>
                <w:szCs w:val="18"/>
              </w:rPr>
              <w:t>远光智和卓源（北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京）科技有限公司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57.98</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0"/>
                <w:szCs w:val="20"/>
              </w:rPr>
            </w:pPr>
            <w:r>
              <w:rPr>
                <w:rFonts w:ascii="Times New Roman"/>
                <w:sz w:val="20"/>
              </w:rPr>
              <w:t>57.98%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9" w:hRule="exact"/>
        </w:trPr>
        <w:tc>
          <w:tcPr>
            <w:tcW w:w="17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37"/>
              <w:jc w:val="left"/>
              <w:rPr>
                <w:rFonts w:ascii="宋体" w:hAnsi="宋体" w:cs="宋体" w:eastAsia="宋体" w:hint="default"/>
                <w:sz w:val="18"/>
                <w:szCs w:val="18"/>
              </w:rPr>
            </w:pPr>
            <w:r>
              <w:rPr>
                <w:rFonts w:ascii="宋体" w:hAnsi="宋体" w:cs="宋体" w:eastAsia="宋体" w:hint="default"/>
                <w:spacing w:val="-2"/>
                <w:sz w:val="18"/>
                <w:szCs w:val="18"/>
              </w:rPr>
              <w:t>北京神航星云科技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7" w:right="0"/>
              <w:jc w:val="left"/>
              <w:rPr>
                <w:rFonts w:ascii="Times New Roman" w:hAnsi="Times New Roman" w:cs="Times New Roman" w:eastAsia="Times New Roman" w:hint="default"/>
                <w:sz w:val="20"/>
                <w:szCs w:val="20"/>
              </w:rPr>
            </w:pPr>
            <w:r>
              <w:rPr>
                <w:rFonts w:ascii="Times New Roman"/>
                <w:sz w:val="20"/>
              </w:rPr>
              <w:t>100.00</w:t>
            </w:r>
          </w:p>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100"/>
                <w:sz w:val="20"/>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Times New Roman" w:hAnsi="Times New Roman" w:cs="Times New Roman" w:eastAsia="Times New Roman" w:hint="default"/>
                <w:sz w:val="20"/>
                <w:szCs w:val="20"/>
              </w:rPr>
            </w:pPr>
            <w:r>
              <w:rPr>
                <w:rFonts w:ascii="Times New Roman"/>
                <w:sz w:val="20"/>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233" w:right="0"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270,866,225.58</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17.31%</w:t>
            </w:r>
          </w:p>
        </w:tc>
      </w:tr>
      <w:tr>
        <w:trPr>
          <w:trHeight w:val="7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10.83%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3"/>
        <w:gridCol w:w="3320"/>
        <w:gridCol w:w="2324"/>
        <w:gridCol w:w="3140"/>
      </w:tblGrid>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79,573,207.62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5.08%</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57,732,707.76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3.69%</w:t>
            </w:r>
          </w:p>
        </w:tc>
      </w:tr>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49,094,434.12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3.14%</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46,204,382.56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2.95%</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38,261,493.52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2.44%</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270,866,225.58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17.31%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2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37,910,320.33</w:t>
            </w:r>
          </w:p>
        </w:tc>
      </w:tr>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11.97%</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14,379,347.50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8,389,500.00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2.65%</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5,800,746.42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1.83%</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4,756,698.11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4,584,028.30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37,910,320.33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11.97%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650"/>
        <w:gridCol w:w="1637"/>
        <w:gridCol w:w="1460"/>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233,938,768.71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224,634,107.07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191,167,286.45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190,228,940.67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-11,268,172.92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-9,039,060.45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-24.66%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308,964,472.83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258,859,298.12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19.36%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9" w:lineRule="auto" w:before="0"/>
        <w:ind w:left="162" w:right="993" w:hanging="1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报告期内，公司在强化核心业务的基础上，优化产业布局和产品战略。依托公司在产品、业务、平台方面的优势，持续加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大新技术的研发、储备和应用。重点布局人工智能和区块链技术；深入研究数字云平台和中台服务创新应用模式；全面提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升大数据业务及系统架构升级改造；加速新产品迭代，在已有的技术平台上，融入社交化元素、移动通信能力，形成覆盖</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企业全业务的信息神经网络和工作协同处理云平台，构建企业管理生态系统。报告期内公司研发投入金额</w:t>
      </w:r>
      <w:r>
        <w:rPr>
          <w:rFonts w:ascii="Times New Roman" w:hAnsi="Times New Roman" w:cs="Times New Roman" w:eastAsia="Times New Roman" w:hint="default"/>
          <w:spacing w:val="-3"/>
          <w:sz w:val="18"/>
          <w:szCs w:val="18"/>
        </w:rPr>
        <w:t>35,268.93</w:t>
      </w:r>
      <w:r>
        <w:rPr>
          <w:rFonts w:ascii="宋体" w:hAnsi="宋体" w:cs="宋体" w:eastAsia="宋体" w:hint="default"/>
          <w:spacing w:val="-3"/>
          <w:sz w:val="18"/>
          <w:szCs w:val="18"/>
        </w:rPr>
        <w:t>万元，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同比增长</w:t>
      </w:r>
      <w:r>
        <w:rPr>
          <w:rFonts w:ascii="Times New Roman" w:hAnsi="Times New Roman" w:cs="Times New Roman" w:eastAsia="Times New Roman" w:hint="default"/>
          <w:sz w:val="18"/>
          <w:szCs w:val="18"/>
        </w:rPr>
        <w:t>18.37%</w:t>
      </w:r>
      <w:r>
        <w:rPr>
          <w:rFonts w:ascii="宋体" w:hAnsi="宋体" w:cs="宋体" w:eastAsia="宋体" w:hint="default"/>
          <w:sz w:val="18"/>
          <w:szCs w:val="18"/>
        </w:rPr>
        <w:t>。</w:t>
      </w:r>
    </w:p>
    <w:p>
      <w:pPr>
        <w:spacing w:before="41"/>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35.90%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4.66%</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352,689,313.69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297,944,772.61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18.37%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-0.78%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43,724,840.86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39,085,474.49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11.87%</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-0.72%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before="115"/>
        <w:ind w:left="153"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1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云服务与接入平台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5,017,183.98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ECP </w:t>
            </w:r>
            <w:r>
              <w:rPr>
                <w:rFonts w:ascii="宋体" w:hAnsi="宋体" w:cs="宋体" w:eastAsia="宋体" w:hint="default"/>
                <w:spacing w:val="-4"/>
                <w:sz w:val="18"/>
                <w:szCs w:val="18"/>
              </w:rPr>
              <w:t>云服务及接入平台，采用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先进实用的软件开发技术，帮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助企业建立云架构管理体系，</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提供即需即用的信息服务敏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捷接入和弹性扩展能力；引入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分布式计算、内存计算、缓存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框架、云安全和云监控等技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术，全面提升系统的性能、安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全性和可靠性，为企业构建云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服务平台提供基础支撑和运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行保障，并基于能力化扩展架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构和数据化运营方式，帮助开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发者、合作伙伴持续推出企业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客户所需的应用及服务。</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04" w:lineRule="auto"/>
              <w:ind w:left="24" w:right="13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平台的设备及运维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3,806,884.30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平台的设备及运维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管理系统建立企业全口径设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备台账，实现设备资产从投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运、变动到报废阶段的实物全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过程管理；建立设备和资产的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实时联动，实现资产实物管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理、价值管理、信息管理的统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一；通过对设备与设备组运维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过程进行管理，实现运维过程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精细化管理，包括运行管理、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缺陷管理、检测管理、试验管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理、检修管理、成本管理，从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而提高设备健康水平，降低生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7"/>
                <w:w w:val="101"/>
                <w:sz w:val="18"/>
                <w:szCs w:val="18"/>
              </w:rPr>
              <w:t>产成本，提高经济效益。与</w:t>
            </w:r>
            <w:r>
              <w:rPr>
                <w:rFonts w:ascii="宋体" w:hAnsi="宋体" w:cs="宋体" w:eastAsia="宋体" w:hint="default"/>
                <w:spacing w:val="-67"/>
                <w:w w:val="101"/>
                <w:sz w:val="18"/>
                <w:szCs w:val="18"/>
              </w:rPr>
              <w:t> </w:t>
            </w:r>
            <w:r>
              <w:rPr>
                <w:rFonts w:ascii="Times New Roman" w:hAnsi="Times New Roman" w:cs="Times New Roman" w:eastAsia="Times New Roman" w:hint="default"/>
                <w:spacing w:val="-2"/>
                <w:w w:val="101"/>
                <w:sz w:val="18"/>
                <w:szCs w:val="18"/>
              </w:rPr>
              <w:t>ECP</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业务平台其它产品相互融合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贯通，形成统一风格、可独立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部署、可融合部署的设备及运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维管理系统。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539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智能审计管理系统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4,372,188.64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3"/>
              <w:jc w:val="left"/>
              <w:rPr>
                <w:rFonts w:ascii="宋体" w:hAnsi="宋体" w:cs="宋体" w:eastAsia="宋体" w:hint="default"/>
                <w:sz w:val="18"/>
                <w:szCs w:val="18"/>
              </w:rPr>
            </w:pPr>
            <w:r>
              <w:rPr>
                <w:rFonts w:ascii="宋体" w:hAnsi="宋体" w:cs="宋体" w:eastAsia="宋体" w:hint="default"/>
                <w:spacing w:val="-3"/>
                <w:sz w:val="18"/>
                <w:szCs w:val="18"/>
              </w:rPr>
              <w:t>智能审计管理系统利用先进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的大数据信息技术，非结构化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数据分析技术、数据追溯技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术，研发出一套以远程审计发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现问题为主，以现场审计确认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问题为辅的创新审计模式，颠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覆传统审计模式，极大提高审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计效率及效果。其根据内部审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计业务特点，探索建设涵盖作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业规范、管理支撑、知识共享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和成果转化等模块的审计管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理信息系统产品，建立起完善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的审计管理系统、审计作业系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统、风险预警系统、内部控制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评价管理系统，实现对审计工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作的全面管理和持续智能审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23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pacing w:val="-3"/>
                <w:sz w:val="18"/>
                <w:szCs w:val="18"/>
              </w:rPr>
              <w:t>输配电成本管理系统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5,812,012.61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
              <w:jc w:val="left"/>
              <w:rPr>
                <w:rFonts w:ascii="宋体" w:hAnsi="宋体" w:cs="宋体" w:eastAsia="宋体" w:hint="default"/>
                <w:sz w:val="18"/>
                <w:szCs w:val="18"/>
              </w:rPr>
            </w:pPr>
            <w:r>
              <w:rPr>
                <w:rFonts w:ascii="宋体" w:hAnsi="宋体" w:cs="宋体" w:eastAsia="宋体" w:hint="default"/>
                <w:spacing w:val="-3"/>
                <w:sz w:val="18"/>
                <w:szCs w:val="18"/>
              </w:rPr>
              <w:t>输配电成本管理系统基于电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网管理信息体系建设的基础，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结合业务管理现状分析，优化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成本归集载体，构建多维成本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反映与归集体系、输配电成本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多维分摊模型、输配电成本多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维分析模型等全方位的输配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0.057281pt;margin-top:622.966003pt;width:125.1pt;height:62.45pt;mso-position-horizontal-relative:page;mso-position-vertical-relative:page;z-index:-1385152" type="#_x0000_t202" filled="false" stroked="false">
            <v:textbox inset="0,0,0,0">
              <w:txbxContent>
                <w:p>
                  <w:pPr>
                    <w:spacing w:line="240" w:lineRule="auto" w:before="9"/>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电成本精益化管理体系。</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00" w:lineRule="auto"/>
              <w:ind w:left="24" w:right="13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云服务平台的智能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分析系统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2,162,517.37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云服务平台的智能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分析系统遵循互联网理念，基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于大数据及人智能技术，构建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云服务平台的智能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运维分析平台，实现一体化运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sz w:val="18"/>
                <w:szCs w:val="18"/>
              </w:rPr>
              <w:t>维、自动化运维、智能化运维、</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场景化运维和数字化运营，优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化运维流程，减少人工成本，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提升运维效率，提高系统风险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防控能力，提升信息系统运维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智能化水平。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417" w:lineRule="exact"/>
              <w:ind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18.1pt;height:20.9pt;mso-position-horizontal-relative:char;mso-position-vertical-relative:line" coordorigin="0,0" coordsize="2362,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2338;height:394" coordorigin="24,12" coordsize="2338,394">
                    <v:shape style="position:absolute;left:24;top:12;width:2338;height:394" coordorigin="24,12" coordsize="2338,394" path="m24,406l2362,406,2362,12,24,12,24,406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90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数据存证区块链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10,282,165.66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
              <w:jc w:val="left"/>
              <w:rPr>
                <w:rFonts w:ascii="宋体" w:hAnsi="宋体" w:cs="宋体" w:eastAsia="宋体" w:hint="default"/>
                <w:sz w:val="18"/>
                <w:szCs w:val="18"/>
              </w:rPr>
            </w:pPr>
            <w:r>
              <w:rPr>
                <w:rFonts w:ascii="宋体" w:hAnsi="宋体" w:cs="宋体" w:eastAsia="宋体" w:hint="default"/>
                <w:spacing w:val="-3"/>
                <w:sz w:val="18"/>
                <w:szCs w:val="18"/>
              </w:rPr>
              <w:t>数据存证区块链利用区块链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分布式数据库的本质和防篡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改、易追溯的特点，对重要数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据多点备份，并记录数据归</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属、合法性、流转过程并提供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存证服务，同时支持一键审计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及点对点数据共享，可被广泛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应用于身份认证、电子合同、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电子票据、电子档案等领域。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月开始，预计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r>
        <w:trPr>
          <w:trHeight w:val="227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pacing w:val="-3"/>
                <w:sz w:val="18"/>
                <w:szCs w:val="18"/>
              </w:rPr>
              <w:t>基于分布式架构的研发运维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一体化平台（天擎）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9,133,555.49</w:t>
            </w:r>
          </w:p>
        </w:tc>
        <w:tc>
          <w:tcPr>
            <w:tcW w:w="2391"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3"/>
              <w:ind w:left="23" w:right="-55"/>
              <w:jc w:val="left"/>
              <w:rPr>
                <w:rFonts w:ascii="宋体" w:hAnsi="宋体" w:cs="宋体" w:eastAsia="宋体" w:hint="default"/>
                <w:sz w:val="18"/>
                <w:szCs w:val="18"/>
              </w:rPr>
            </w:pPr>
            <w:r>
              <w:rPr>
                <w:rFonts w:ascii="宋体" w:hAnsi="宋体" w:cs="宋体" w:eastAsia="宋体" w:hint="default"/>
                <w:spacing w:val="-3"/>
                <w:sz w:val="18"/>
                <w:szCs w:val="18"/>
              </w:rPr>
              <w:t>基于分布式架构的研发运维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一体化平台是底层开发平台，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提供基础服务和专项服务，支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撑微服务、</w:t>
            </w:r>
            <w:r>
              <w:rPr>
                <w:rFonts w:ascii="Times New Roman" w:hAnsi="Times New Roman" w:cs="Times New Roman" w:eastAsia="Times New Roman" w:hint="default"/>
                <w:sz w:val="18"/>
                <w:szCs w:val="18"/>
              </w:rPr>
              <w:t>AI </w:t>
            </w:r>
            <w:r>
              <w:rPr>
                <w:rFonts w:ascii="宋体" w:hAnsi="宋体" w:cs="宋体" w:eastAsia="宋体" w:hint="default"/>
                <w:sz w:val="18"/>
                <w:szCs w:val="18"/>
              </w:rPr>
              <w:t>智能、大数据、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区块链、大数据、移动应用等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服务框架，实现环境、资源、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安全、性能全面的智能监控。</w:t>
            </w:r>
          </w:p>
        </w:tc>
        <w:tc>
          <w:tcPr>
            <w:tcW w:w="23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月开始，预计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月研发完成</w:t>
            </w:r>
          </w:p>
        </w:tc>
      </w:tr>
      <w:tr>
        <w:trPr>
          <w:trHeight w:val="320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知识共享交流管理平台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2,097,901.95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采用大数据、人工智能等新技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术，运用互联网思维，支持精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准的知识管理及模糊的知识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管理两种方式，智能化进行知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识管理。为各业务场景提供统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一标准的知识收集、知识整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合、知识权限、知识搜索、知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识问答、知识分享、知识交流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知识推荐、知识运营等中台服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月开始，预计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月研发完成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1248"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119.3pt;height:62.45pt;mso-position-horizontal-relative:char;mso-position-vertical-relative:line" coordorigin="0,0" coordsize="2386,1249">
                  <v:group style="position:absolute;left:0;top:0;width:2386;height:1249" coordorigin="0,0" coordsize="2386,1249">
                    <v:shape style="position:absolute;left:0;top:0;width:2386;height:1249" coordorigin="0,0" coordsize="2386,1249" path="m0,1248l2386,1248,2386,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r>
      <w:tr>
        <w:trPr>
          <w:trHeight w:val="16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营销云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1,040,430.86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
              <w:jc w:val="both"/>
              <w:rPr>
                <w:rFonts w:ascii="宋体" w:hAnsi="宋体" w:cs="宋体" w:eastAsia="宋体" w:hint="default"/>
                <w:sz w:val="18"/>
                <w:szCs w:val="18"/>
              </w:rPr>
            </w:pPr>
            <w:r>
              <w:rPr>
                <w:rFonts w:ascii="宋体" w:hAnsi="宋体" w:cs="宋体" w:eastAsia="宋体" w:hint="default"/>
                <w:spacing w:val="-3"/>
                <w:sz w:val="18"/>
                <w:szCs w:val="18"/>
              </w:rPr>
              <w:t>打造智慧的营销管理系统，提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供按业务拆分订单、开票、授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权流程，提高业务流转效率；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实现与财务融合：实现销售和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财务的全面集成、数据融合。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月开始，预计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月研发完成</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
              <w:jc w:val="left"/>
              <w:rPr>
                <w:rFonts w:ascii="宋体" w:hAnsi="宋体" w:cs="宋体" w:eastAsia="宋体" w:hint="default"/>
                <w:sz w:val="18"/>
                <w:szCs w:val="18"/>
              </w:rPr>
            </w:pPr>
            <w:r>
              <w:rPr>
                <w:rFonts w:ascii="宋体" w:hAnsi="宋体" w:cs="宋体" w:eastAsia="宋体" w:hint="default"/>
                <w:spacing w:val="-3"/>
                <w:sz w:val="18"/>
                <w:szCs w:val="18"/>
              </w:rPr>
              <w:t>增强授权管理，更多产品授权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线上处理，统一授权目录管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理。贯通营销、财务、项目、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人资等核心领域业务链条。提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升业务领域数据价值，支撑企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业高效运营。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43,724,840.86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24" w:lineRule="auto" w:before="53"/>
        <w:ind w:left="153" w:right="993" w:firstLine="0"/>
        <w:jc w:val="left"/>
        <w:rPr>
          <w:rFonts w:ascii="宋体" w:hAnsi="宋体" w:cs="宋体" w:eastAsia="宋体" w:hint="default"/>
          <w:sz w:val="18"/>
          <w:szCs w:val="18"/>
        </w:rPr>
      </w:pPr>
      <w:r>
        <w:rPr>
          <w:rFonts w:ascii="宋体" w:hAnsi="宋体" w:cs="宋体" w:eastAsia="宋体" w:hint="default"/>
          <w:spacing w:val="-4"/>
          <w:sz w:val="18"/>
          <w:szCs w:val="18"/>
        </w:rPr>
        <w:t>公司制订和发布了《研发资本化管理办法》，对研发资本化项目的评估与决策、研究支出与开发支出的划分依据等进行了明</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确和规范。</w:t>
      </w:r>
    </w:p>
    <w:p>
      <w:pPr>
        <w:spacing w:line="309" w:lineRule="auto" w:before="47"/>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研究阶段为项目前期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市场调研－可行性论证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的阶段，按照公司研发业务流程，具体归集范围包括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市场调研－产品储备及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可研立项（可行性论证）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二个阶段， </w:t>
      </w:r>
      <w:r>
        <w:rPr>
          <w:rFonts w:ascii="宋体" w:hAnsi="宋体" w:cs="宋体" w:eastAsia="宋体" w:hint="default"/>
          <w:spacing w:val="-5"/>
          <w:sz w:val="18"/>
          <w:szCs w:val="18"/>
        </w:rPr>
        <w:t>核算实务上，以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产品储备立项审批通过的时间</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作为项目进入研发阶段的标准，以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产</w:t>
      </w:r>
      <w:r>
        <w:rPr>
          <w:rFonts w:ascii="宋体" w:hAnsi="宋体" w:cs="宋体" w:eastAsia="宋体" w:hint="default"/>
          <w:spacing w:val="-33"/>
          <w:sz w:val="18"/>
          <w:szCs w:val="18"/>
        </w:rPr>
        <w:t> </w:t>
      </w:r>
      <w:r>
        <w:rPr>
          <w:rFonts w:ascii="宋体" w:hAnsi="宋体" w:cs="宋体" w:eastAsia="宋体" w:hint="default"/>
          <w:spacing w:val="-3"/>
          <w:sz w:val="18"/>
          <w:szCs w:val="18"/>
        </w:rPr>
        <w:t>品规划评审通过时间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作为项目完成阶段的标准。</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开发阶段为项目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需求分析－程序设计－代码编写、功能测试</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的阶段，按照公司研发立务流程，项目经审批确认开发立项后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即进入开发阶段，核算实务上，以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产品规划评审通过时间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即规划立项经公司评审会议通过作为项目进入开发阶段的标准，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产品规划验收时间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作为项目完成开发阶段的标准。</w:t>
      </w:r>
    </w:p>
    <w:p>
      <w:pPr>
        <w:spacing w:line="357" w:lineRule="auto" w:before="4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研究阶段的支出，于发生时计入当期损益。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开发阶段的支出同时满足下列条件的，确认为无形资产，不能满足下述条件的开发阶段的支出计入当期损益：</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65"/>
          <w:sz w:val="18"/>
          <w:szCs w:val="18"/>
        </w:rPr>
        <w:t> </w:t>
      </w:r>
      <w:r>
        <w:rPr>
          <w:rFonts w:ascii="宋体" w:hAnsi="宋体" w:cs="宋体" w:eastAsia="宋体" w:hint="default"/>
          <w:spacing w:val="-3"/>
          <w:sz w:val="18"/>
          <w:szCs w:val="18"/>
        </w:rPr>
        <w:t>完成该无形资产以使其能够使用或出售在技术上具有可行性；</w:t>
      </w:r>
    </w:p>
    <w:p>
      <w:pPr>
        <w:spacing w:before="120"/>
        <w:ind w:left="153"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42"/>
          <w:sz w:val="18"/>
          <w:szCs w:val="18"/>
        </w:rPr>
        <w:t> </w:t>
      </w:r>
      <w:r>
        <w:rPr>
          <w:rFonts w:ascii="宋体" w:hAnsi="宋体" w:cs="宋体" w:eastAsia="宋体" w:hint="default"/>
          <w:spacing w:val="-3"/>
          <w:sz w:val="18"/>
          <w:szCs w:val="18"/>
        </w:rPr>
        <w:t>具有完成该无形资产并使用或出售的意图；</w:t>
      </w:r>
    </w:p>
    <w:p>
      <w:pPr>
        <w:spacing w:line="321" w:lineRule="auto" w:before="110"/>
        <w:ind w:left="153" w:right="0" w:firstLine="0"/>
        <w:jc w:val="left"/>
        <w:rPr>
          <w:rFonts w:ascii="宋体" w:hAnsi="宋体" w:cs="宋体" w:eastAsia="宋体" w:hint="default"/>
          <w:sz w:val="18"/>
          <w:szCs w:val="18"/>
        </w:rPr>
      </w:pPr>
      <w:r>
        <w:rPr>
          <w:rFonts w:ascii="宋体" w:hAnsi="宋体" w:cs="宋体" w:eastAsia="宋体" w:hint="default"/>
          <w:sz w:val="18"/>
          <w:szCs w:val="18"/>
        </w:rPr>
        <w:t>③ </w:t>
      </w:r>
      <w:r>
        <w:rPr>
          <w:rFonts w:ascii="宋体" w:hAnsi="宋体" w:cs="宋体" w:eastAsia="宋体" w:hint="default"/>
          <w:spacing w:val="-3"/>
          <w:sz w:val="18"/>
          <w:szCs w:val="18"/>
        </w:rPr>
        <w:t>无形资产产生经济利益的方式，包括能够证明运用该无形资产生产的产品存在市场或无形资产自身存在市场，无形资产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将在内部使用的，能够证明其有用性；</w:t>
      </w:r>
    </w:p>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④ </w:t>
      </w:r>
      <w:r>
        <w:rPr>
          <w:rFonts w:ascii="宋体" w:hAnsi="宋体" w:cs="宋体" w:eastAsia="宋体" w:hint="default"/>
          <w:spacing w:val="27"/>
          <w:sz w:val="18"/>
          <w:szCs w:val="18"/>
        </w:rPr>
        <w:t> </w:t>
      </w:r>
      <w:r>
        <w:rPr>
          <w:rFonts w:ascii="宋体" w:hAnsi="宋体" w:cs="宋体" w:eastAsia="宋体" w:hint="default"/>
          <w:spacing w:val="-3"/>
          <w:sz w:val="18"/>
          <w:szCs w:val="18"/>
        </w:rPr>
        <w:t>有足够的技术、财务资源和其他资源支持，以完成该无形资产的开发，并有能力使用或出售该无形资产；</w:t>
      </w:r>
    </w:p>
    <w:p>
      <w:pPr>
        <w:spacing w:line="357" w:lineRule="auto" w:before="119"/>
        <w:ind w:left="153" w:right="1547" w:firstLine="0"/>
        <w:jc w:val="left"/>
        <w:rPr>
          <w:rFonts w:ascii="宋体" w:hAnsi="宋体" w:cs="宋体" w:eastAsia="宋体" w:hint="default"/>
          <w:sz w:val="18"/>
          <w:szCs w:val="18"/>
        </w:rPr>
      </w:pPr>
      <w:r>
        <w:rPr>
          <w:rFonts w:ascii="宋体" w:hAnsi="宋体" w:cs="宋体" w:eastAsia="宋体" w:hint="default"/>
          <w:sz w:val="18"/>
          <w:szCs w:val="18"/>
        </w:rPr>
        <w:t>⑤ </w:t>
      </w:r>
      <w:r>
        <w:rPr>
          <w:rFonts w:ascii="宋体" w:hAnsi="宋体" w:cs="宋体" w:eastAsia="宋体" w:hint="default"/>
          <w:spacing w:val="-3"/>
          <w:sz w:val="18"/>
          <w:szCs w:val="18"/>
        </w:rPr>
        <w:t>归属于该无形资产开发阶段的支出能够可靠地计量。</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before="14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研发投入资本化率大幅变动的原因及其合理性说明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1,543,313,864.56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1,416,648,929.58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8.94%</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1,356,696,760.09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1,274,097,178.93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6.48%</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186,617,104.47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142,551,750.65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30.91%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165,660,100.37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373,747,827.34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-55.68%</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1,087,410,635.93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478,985,768.05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127.02%</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-921,750,535.56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-105,237,940.71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-775.87%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85,154,406.54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174,792,981.41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-51.28%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162,242,385.74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153,105,891.88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5.97%</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-77,087,979.20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21,687,089.53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-455.46%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-812,214,844.77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59,010,388.86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-1,476.39%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line="312" w:lineRule="auto" w:before="119"/>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经营活动产生的现金流量净额同比增长</w:t>
      </w:r>
      <w:r>
        <w:rPr>
          <w:rFonts w:ascii="Times New Roman" w:hAnsi="Times New Roman" w:cs="Times New Roman" w:eastAsia="Times New Roman" w:hint="default"/>
          <w:spacing w:val="-3"/>
          <w:sz w:val="18"/>
          <w:szCs w:val="18"/>
        </w:rPr>
        <w:t>30.91%</w:t>
      </w:r>
      <w:r>
        <w:rPr>
          <w:rFonts w:ascii="宋体" w:hAnsi="宋体" w:cs="宋体" w:eastAsia="宋体" w:hint="default"/>
          <w:spacing w:val="-3"/>
          <w:sz w:val="18"/>
          <w:szCs w:val="18"/>
        </w:rPr>
        <w:t>，主要原因为：报告期收入及回款增加，且成本费用控制良好，回款增幅超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过经营活动现金流出增幅所致。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投资活动现金流入同比减少</w:t>
      </w:r>
      <w:r>
        <w:rPr>
          <w:rFonts w:ascii="Times New Roman" w:hAnsi="Times New Roman" w:cs="Times New Roman" w:eastAsia="Times New Roman" w:hint="default"/>
          <w:spacing w:val="-3"/>
          <w:sz w:val="18"/>
          <w:szCs w:val="18"/>
        </w:rPr>
        <w:t>55.68%</w:t>
      </w:r>
      <w:r>
        <w:rPr>
          <w:rFonts w:ascii="宋体" w:hAnsi="宋体" w:cs="宋体" w:eastAsia="宋体" w:hint="default"/>
          <w:spacing w:val="-3"/>
          <w:sz w:val="18"/>
          <w:szCs w:val="18"/>
        </w:rPr>
        <w:t>，主要原因为：报告期短期投资理财产品到期赎回同比减少所致。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投资活动现金流出同比增加</w:t>
      </w:r>
      <w:r>
        <w:rPr>
          <w:rFonts w:ascii="Times New Roman" w:hAnsi="Times New Roman" w:cs="Times New Roman" w:eastAsia="Times New Roman" w:hint="default"/>
          <w:spacing w:val="-3"/>
          <w:sz w:val="18"/>
          <w:szCs w:val="18"/>
        </w:rPr>
        <w:t>127.02%</w:t>
      </w:r>
      <w:r>
        <w:rPr>
          <w:rFonts w:ascii="宋体" w:hAnsi="宋体" w:cs="宋体" w:eastAsia="宋体" w:hint="default"/>
          <w:spacing w:val="-3"/>
          <w:sz w:val="18"/>
          <w:szCs w:val="18"/>
        </w:rPr>
        <w:t>，主要原因为：报告期用短期闲置资金购买结构性存款与理财投资规模增加所致。</w:t>
      </w:r>
    </w:p>
    <w:p>
      <w:pPr>
        <w:spacing w:line="307" w:lineRule="auto" w:before="3"/>
        <w:ind w:left="153" w:right="993" w:firstLine="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投资活动产生的现金流量净额同比减少</w:t>
      </w:r>
      <w:r>
        <w:rPr>
          <w:rFonts w:ascii="Times New Roman" w:hAnsi="Times New Roman" w:cs="Times New Roman" w:eastAsia="Times New Roman" w:hint="default"/>
          <w:spacing w:val="-3"/>
          <w:sz w:val="18"/>
          <w:szCs w:val="18"/>
        </w:rPr>
        <w:t>775.87%</w:t>
      </w:r>
      <w:r>
        <w:rPr>
          <w:rFonts w:ascii="宋体" w:hAnsi="宋体" w:cs="宋体" w:eastAsia="宋体" w:hint="default"/>
          <w:spacing w:val="-3"/>
          <w:sz w:val="18"/>
          <w:szCs w:val="18"/>
        </w:rPr>
        <w:t>，主要原因为：报告期用短期闲置资金购买结构性存款与理财投资规模增加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筹资活动现金流入同比减少</w:t>
      </w:r>
      <w:r>
        <w:rPr>
          <w:rFonts w:ascii="Times New Roman" w:hAnsi="Times New Roman" w:cs="Times New Roman" w:eastAsia="Times New Roman" w:hint="default"/>
          <w:spacing w:val="-3"/>
          <w:sz w:val="18"/>
          <w:szCs w:val="18"/>
        </w:rPr>
        <w:t>51.28%</w:t>
      </w:r>
      <w:r>
        <w:rPr>
          <w:rFonts w:ascii="宋体" w:hAnsi="宋体" w:cs="宋体" w:eastAsia="宋体" w:hint="default"/>
          <w:spacing w:val="-3"/>
          <w:sz w:val="18"/>
          <w:szCs w:val="18"/>
        </w:rPr>
        <w:t>，主要原因为：上年同期定向增发募集资金到位、报告期无此类业务，以及报告期短期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借款同比减少，共同影响所致。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筹资活动产生的现金流量净额同比减少</w:t>
      </w:r>
      <w:r>
        <w:rPr>
          <w:rFonts w:ascii="Times New Roman" w:hAnsi="Times New Roman" w:cs="Times New Roman" w:eastAsia="Times New Roman" w:hint="default"/>
          <w:spacing w:val="-3"/>
          <w:sz w:val="18"/>
          <w:szCs w:val="18"/>
        </w:rPr>
        <w:t>455.46%</w:t>
      </w:r>
      <w:r>
        <w:rPr>
          <w:rFonts w:ascii="宋体" w:hAnsi="宋体" w:cs="宋体" w:eastAsia="宋体" w:hint="default"/>
          <w:spacing w:val="-3"/>
          <w:sz w:val="18"/>
          <w:szCs w:val="18"/>
        </w:rPr>
        <w:t>，主要原因为：上年同期定向增发募集资金到位、报告期无此类业务，以及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报告期派发现金股利同比增加、归还银行短期借款，共同影响所致。 </w:t>
      </w:r>
      <w:r>
        <w:rPr>
          <w:rFonts w:ascii="宋体" w:hAnsi="宋体" w:cs="宋体" w:eastAsia="宋体" w:hint="default"/>
          <w:spacing w:val="-3"/>
          <w:sz w:val="18"/>
          <w:szCs w:val="18"/>
        </w:rPr>
        <w:t>现金及现金等价物净增加额同比减少</w:t>
      </w:r>
      <w:r>
        <w:rPr>
          <w:rFonts w:ascii="Times New Roman" w:hAnsi="Times New Roman" w:cs="Times New Roman" w:eastAsia="Times New Roman" w:hint="default"/>
          <w:spacing w:val="-3"/>
          <w:sz w:val="18"/>
          <w:szCs w:val="18"/>
        </w:rPr>
        <w:t>1476.39%</w:t>
      </w:r>
      <w:r>
        <w:rPr>
          <w:rFonts w:ascii="宋体" w:hAnsi="宋体" w:cs="宋体" w:eastAsia="宋体" w:hint="default"/>
          <w:spacing w:val="-3"/>
          <w:sz w:val="18"/>
          <w:szCs w:val="18"/>
        </w:rPr>
        <w:t>，主要原因为：报告期末用短期闲置资金购买结构性存款与理财投资规模、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派发现金股利、固定资产与在建工程投入增加，以及归还银行贷款、无定向增发募集资金，共同影响所致。</w:t>
      </w:r>
    </w:p>
    <w:p>
      <w:pPr>
        <w:spacing w:before="6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252"/>
        <w:gridCol w:w="2257"/>
      </w:tblGrid>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6"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34,437,524.46</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15.20%</w:t>
            </w:r>
          </w:p>
        </w:tc>
        <w:tc>
          <w:tcPr>
            <w:tcW w:w="22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51"/>
              <w:jc w:val="both"/>
              <w:rPr>
                <w:rFonts w:ascii="宋体" w:hAnsi="宋体" w:cs="宋体" w:eastAsia="宋体" w:hint="default"/>
                <w:sz w:val="18"/>
                <w:szCs w:val="18"/>
              </w:rPr>
            </w:pPr>
            <w:r>
              <w:rPr>
                <w:rFonts w:ascii="宋体" w:hAnsi="宋体" w:cs="宋体" w:eastAsia="宋体" w:hint="default"/>
                <w:spacing w:val="-3"/>
                <w:sz w:val="18"/>
                <w:szCs w:val="18"/>
              </w:rPr>
              <w:t>处置长期股权投资收益、长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期股权投资收益、短期闲置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资金理财收益</w:t>
            </w:r>
          </w:p>
        </w:tc>
        <w:tc>
          <w:tcPr>
            <w:tcW w:w="2257" w:type="dxa"/>
            <w:vMerge w:val="restart"/>
            <w:tcBorders>
              <w:top w:val="single" w:sz="4" w:space="0" w:color="000000"/>
              <w:left w:val="single" w:sz="4" w:space="0" w:color="000000"/>
              <w:right w:val="single" w:sz="4" w:space="0" w:color="000000"/>
            </w:tcBorders>
          </w:tcPr>
          <w:p>
            <w:pPr>
              <w:pStyle w:val="TableParagraph"/>
              <w:spacing w:line="319" w:lineRule="auto" w:before="58"/>
              <w:ind w:left="23" w:right="55"/>
              <w:jc w:val="both"/>
              <w:rPr>
                <w:rFonts w:ascii="宋体" w:hAnsi="宋体" w:cs="宋体" w:eastAsia="宋体" w:hint="default"/>
                <w:sz w:val="18"/>
                <w:szCs w:val="18"/>
              </w:rPr>
            </w:pPr>
            <w:r>
              <w:rPr>
                <w:rFonts w:ascii="宋体" w:hAnsi="宋体" w:cs="宋体" w:eastAsia="宋体" w:hint="default"/>
                <w:spacing w:val="-3"/>
                <w:sz w:val="18"/>
                <w:szCs w:val="18"/>
              </w:rPr>
              <w:t>处置长期股权投资收益不具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有可持续性；长期股权投资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收益、短期闲置资金理财收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益具有可持续性。</w:t>
            </w:r>
          </w:p>
        </w:tc>
      </w:tr>
      <w:tr>
        <w:trPr>
          <w:trHeight w:val="394"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470"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2"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409,934.70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固定资产报废清理利得</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943,538.18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固定资产报废清理损失</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6"/>
        <w:ind w:left="0" w:right="1127" w:firstLine="0"/>
        <w:jc w:val="right"/>
        <w:rPr>
          <w:rFonts w:ascii="宋体" w:hAnsi="宋体" w:cs="宋体" w:eastAsia="宋体" w:hint="default"/>
          <w:sz w:val="18"/>
          <w:szCs w:val="18"/>
        </w:rPr>
      </w:pPr>
      <w:r>
        <w:rPr/>
        <w:pict>
          <v:shape style="position:absolute;margin-left:56.424pt;margin-top:-621.468262pt;width:479.5pt;height:654.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77" w:hRule="exact"/>
                    </w:trPr>
                    <w:tc>
                      <w:tcPr>
                        <w:tcW w:w="1369"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5" w:hRule="exact"/>
                    </w:trPr>
                    <w:tc>
                      <w:tcPr>
                        <w:tcW w:w="1369" w:type="dxa"/>
                        <w:vMerge w:val="restart"/>
                        <w:tcBorders>
                          <w:top w:val="single" w:sz="14" w:space="0" w:color="FFFFFF"/>
                          <w:left w:val="single" w:sz="4" w:space="0" w:color="000000"/>
                          <w:right w:val="single" w:sz="4" w:space="0" w:color="000000"/>
                        </w:tcBorders>
                        <w:shd w:val="clear" w:color="auto" w:fill="D2D2D2"/>
                      </w:tcPr>
                      <w:p>
                        <w:pPr/>
                      </w:p>
                    </w:tc>
                    <w:tc>
                      <w:tcPr>
                        <w:tcW w:w="116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4"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4"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294,234,099.7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1,109,192,603.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41.26%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-31.14%</w:t>
                        </w:r>
                      </w:p>
                    </w:tc>
                    <w:tc>
                      <w:tcPr>
                        <w:tcW w:w="2920"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报告期用短期闲置资金购买结构性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存款与理财投资所致。</w:t>
                        </w:r>
                      </w:p>
                    </w:tc>
                  </w:tr>
                  <w:tr>
                    <w:trPr>
                      <w:trHeight w:val="389"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791,526,391.4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686,087,606.31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25.52%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1.72%</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31,608,743.15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38,283,762.82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-0.33%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43,020,543.74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42,979,523.14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120,947,702.7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4.16%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115,286,297.87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4.29%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-0.13%</w:t>
                        </w:r>
                      </w:p>
                    </w:tc>
                    <w:tc>
                      <w:tcPr>
                        <w:tcW w:w="2920" w:type="dxa"/>
                        <w:vMerge w:val="restart"/>
                        <w:tcBorders>
                          <w:top w:val="single" w:sz="4" w:space="0" w:color="000000"/>
                          <w:left w:val="single" w:sz="4" w:space="0" w:color="000000"/>
                          <w:right w:val="single" w:sz="4" w:space="0" w:color="000000"/>
                        </w:tcBorders>
                      </w:tcPr>
                      <w:p>
                        <w:pPr/>
                      </w:p>
                    </w:tc>
                  </w:tr>
                  <w:tr>
                    <w:trPr>
                      <w:trHeight w:val="389"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165,622,751.8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165,564,475.83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6.16%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-0.46%</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97,220,739.20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64,733,148.88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2.41%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0.94%</w:t>
                        </w:r>
                      </w:p>
                    </w:tc>
                    <w:tc>
                      <w:tcPr>
                        <w:tcW w:w="292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报告期智能产业园项目建设投入所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394"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vMerge/>
                        <w:tcBorders>
                          <w:left w:val="single" w:sz="13"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9"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3"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40,968,387.02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870,000,000.0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1,551,334.00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报告期用短期闲置资金购买结构性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存款与理财投资所致。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36,845,554.66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39,369,774.83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33,804,310.86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48,791,157.11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-0.66%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报告期强化投标保证金催收及备用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金管理所致。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188,153,476.8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176,628,248.72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125,711,387.9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70,859,278.26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报告期部分拟资本化开发项目完工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结转无形资产所致。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24,518,311.19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54,645,854.35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报告期部分拟资本化开发项目完工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结转无形资产所致。</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35,310,460.25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37,715,810.62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35,887,629.80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20,135,805.82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7"/>
                          <w:jc w:val="both"/>
                          <w:rPr>
                            <w:rFonts w:ascii="宋体" w:hAnsi="宋体" w:cs="宋体" w:eastAsia="宋体" w:hint="default"/>
                            <w:sz w:val="18"/>
                            <w:szCs w:val="18"/>
                          </w:rPr>
                        </w:pPr>
                        <w:r>
                          <w:rPr>
                            <w:rFonts w:ascii="宋体" w:hAnsi="宋体" w:cs="宋体" w:eastAsia="宋体" w:hint="default"/>
                            <w:spacing w:val="-4"/>
                            <w:sz w:val="18"/>
                            <w:szCs w:val="18"/>
                          </w:rPr>
                          <w:t>报告期信用减值准备计提、子公司预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计可弥补亏损、权益法核算的投资亏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损，共同影响所致。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134,954,065.2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110,719,365.87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98,879,330.34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93,992,786.97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50,090,085.25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31,271,963.51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报告期在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月确认的收入同比增加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计提的增值税及附加税费相应增加</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所致。</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83"/>
        <w:gridCol w:w="1096"/>
        <w:gridCol w:w="1089"/>
        <w:gridCol w:w="1090"/>
        <w:gridCol w:w="1090"/>
        <w:gridCol w:w="1091"/>
        <w:gridCol w:w="1088"/>
        <w:gridCol w:w="971"/>
        <w:gridCol w:w="960"/>
      </w:tblGrid>
      <w:tr>
        <w:trPr>
          <w:trHeight w:val="163" w:hRule="exact"/>
        </w:trPr>
        <w:tc>
          <w:tcPr>
            <w:tcW w:w="1083" w:type="dxa"/>
            <w:vMerge w:val="restart"/>
            <w:tcBorders>
              <w:top w:val="single" w:sz="4" w:space="0" w:color="000000"/>
              <w:left w:val="single" w:sz="4" w:space="0" w:color="000000"/>
              <w:right w:val="single" w:sz="4" w:space="0" w:color="000000"/>
            </w:tcBorders>
            <w:shd w:val="clear" w:color="auto" w:fill="D2D2D2"/>
          </w:tcPr>
          <w:p>
            <w:pPr/>
          </w:p>
        </w:tc>
        <w:tc>
          <w:tcPr>
            <w:tcW w:w="1096" w:type="dxa"/>
            <w:vMerge w:val="restart"/>
            <w:tcBorders>
              <w:top w:val="single" w:sz="4" w:space="0" w:color="000000"/>
              <w:left w:val="single" w:sz="4" w:space="0" w:color="000000"/>
              <w:right w:val="single" w:sz="4" w:space="0" w:color="000000"/>
            </w:tcBorders>
            <w:shd w:val="clear" w:color="auto" w:fill="D2D2D2"/>
          </w:tcPr>
          <w:p>
            <w:pPr/>
          </w:p>
        </w:tc>
        <w:tc>
          <w:tcPr>
            <w:tcW w:w="10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1" w:right="8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0"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1083"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85" w:right="89"/>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09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60" w:right="84" w:hanging="270"/>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51" w:right="85" w:hanging="361"/>
              <w:jc w:val="left"/>
              <w:rPr>
                <w:rFonts w:ascii="宋体" w:hAnsi="宋体" w:cs="宋体" w:eastAsia="宋体" w:hint="default"/>
                <w:sz w:val="18"/>
                <w:szCs w:val="18"/>
              </w:rPr>
            </w:pPr>
            <w:r>
              <w:rPr>
                <w:rFonts w:ascii="宋体" w:hAnsi="宋体" w:cs="宋体" w:eastAsia="宋体" w:hint="default"/>
                <w:spacing w:val="-2"/>
                <w:sz w:val="18"/>
                <w:szCs w:val="18"/>
              </w:rPr>
              <w:t>本期购买金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49" w:right="83"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389" w:hRule="exact"/>
        </w:trPr>
        <w:tc>
          <w:tcPr>
            <w:tcW w:w="10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58"/>
              <w:jc w:val="right"/>
              <w:rPr>
                <w:rFonts w:ascii="宋体" w:hAnsi="宋体" w:cs="宋体" w:eastAsia="宋体" w:hint="default"/>
                <w:sz w:val="18"/>
                <w:szCs w:val="18"/>
              </w:rPr>
            </w:pPr>
            <w:r>
              <w:rPr>
                <w:rFonts w:ascii="宋体" w:hAnsi="宋体" w:cs="宋体" w:eastAsia="宋体" w:hint="default"/>
                <w:sz w:val="18"/>
                <w:szCs w:val="18"/>
              </w:rPr>
              <w:t>项目</w:t>
            </w:r>
          </w:p>
        </w:tc>
        <w:tc>
          <w:tcPr>
            <w:tcW w:w="1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9" w:hRule="exact"/>
        </w:trPr>
        <w:tc>
          <w:tcPr>
            <w:tcW w:w="1083" w:type="dxa"/>
            <w:vMerge w:val="restart"/>
            <w:tcBorders>
              <w:top w:val="nil" w:sz="6" w:space="0" w:color="auto"/>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83"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10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4"/>
              <w:jc w:val="right"/>
              <w:rPr>
                <w:rFonts w:ascii="宋体" w:hAnsi="宋体" w:cs="宋体" w:eastAsia="宋体" w:hint="default"/>
                <w:sz w:val="18"/>
                <w:szCs w:val="18"/>
              </w:rPr>
            </w:pPr>
            <w:r>
              <w:rPr>
                <w:rFonts w:ascii="宋体" w:hAnsi="宋体" w:cs="宋体" w:eastAsia="宋体" w:hint="default"/>
                <w:spacing w:val="-2"/>
                <w:sz w:val="18"/>
                <w:szCs w:val="18"/>
              </w:rPr>
              <w:t>金融资产</w:t>
            </w:r>
          </w:p>
        </w:tc>
        <w:tc>
          <w:tcPr>
            <w:tcW w:w="8475"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资产（不含衍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生金融资产）</w:t>
            </w:r>
          </w:p>
        </w:tc>
        <w:tc>
          <w:tcPr>
            <w:tcW w:w="1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1,551,334.00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14,994.00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870,000,000.0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1,566,328.00</w:t>
            </w: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711"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w:t>
            </w:r>
          </w:p>
        </w:tc>
        <w:tc>
          <w:tcPr>
            <w:tcW w:w="1096" w:type="dxa"/>
            <w:tcBorders>
              <w:top w:val="single" w:sz="4" w:space="0" w:color="000000"/>
              <w:left w:val="single" w:sz="13" w:space="0" w:color="D2D2D2"/>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145,400,000.0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具投资</w:t>
            </w:r>
          </w:p>
        </w:tc>
        <w:tc>
          <w:tcPr>
            <w:tcW w:w="1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176,628,248.7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12,170,389.39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645,161.29</w:t>
            </w: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188,153,476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r>
      <w:tr>
        <w:trPr>
          <w:trHeight w:val="163" w:hRule="exact"/>
        </w:trPr>
        <w:tc>
          <w:tcPr>
            <w:tcW w:w="1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vMerge w:val="restart"/>
            <w:tcBorders>
              <w:top w:val="single" w:sz="4" w:space="0" w:color="000000"/>
              <w:left w:val="single" w:sz="10" w:space="0" w:color="D2D2D2"/>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178,179,582.7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14,994.00</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12,170,389.39</w:t>
            </w:r>
          </w:p>
        </w:tc>
        <w:tc>
          <w:tcPr>
            <w:tcW w:w="1090"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1,015,400,000</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147,611,489.2</w:t>
            </w:r>
          </w:p>
          <w:p>
            <w:pPr>
              <w:pStyle w:val="TableParagraph"/>
              <w:spacing w:line="240" w:lineRule="auto" w:before="110"/>
              <w:ind w:right="15"/>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971"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1,058,153,4</w:t>
            </w:r>
          </w:p>
          <w:p>
            <w:pPr>
              <w:pStyle w:val="TableParagraph"/>
              <w:spacing w:line="240" w:lineRule="auto" w:before="110"/>
              <w:ind w:left="528" w:right="0"/>
              <w:jc w:val="left"/>
              <w:rPr>
                <w:rFonts w:ascii="Times New Roman" w:hAnsi="Times New Roman" w:cs="Times New Roman" w:eastAsia="Times New Roman" w:hint="default"/>
                <w:sz w:val="18"/>
                <w:szCs w:val="18"/>
              </w:rPr>
            </w:pPr>
            <w:r>
              <w:rPr>
                <w:rFonts w:ascii="Times New Roman"/>
                <w:sz w:val="18"/>
              </w:rPr>
              <w:t>76.82</w:t>
            </w:r>
          </w:p>
        </w:tc>
      </w:tr>
      <w:tr>
        <w:trPr>
          <w:trHeight w:val="389" w:hRule="exact"/>
        </w:trPr>
        <w:tc>
          <w:tcPr>
            <w:tcW w:w="10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334"/>
              <w:jc w:val="right"/>
              <w:rPr>
                <w:rFonts w:ascii="宋体" w:hAnsi="宋体" w:cs="宋体" w:eastAsia="宋体" w:hint="default"/>
                <w:sz w:val="18"/>
                <w:szCs w:val="18"/>
              </w:rPr>
            </w:pPr>
            <w:r>
              <w:rPr>
                <w:rFonts w:ascii="宋体" w:hAnsi="宋体" w:cs="宋体" w:eastAsia="宋体" w:hint="default"/>
                <w:spacing w:val="-2"/>
                <w:sz w:val="18"/>
                <w:szCs w:val="18"/>
              </w:rPr>
              <w:t>上述合计</w:t>
            </w:r>
          </w:p>
        </w:tc>
        <w:tc>
          <w:tcPr>
            <w:tcW w:w="1096" w:type="dxa"/>
            <w:vMerge/>
            <w:tcBorders>
              <w:left w:val="single" w:sz="10" w:space="0" w:color="D2D2D2"/>
              <w:right w:val="single" w:sz="4" w:space="0" w:color="000000"/>
            </w:tcBorders>
          </w:tcPr>
          <w:p>
            <w:pPr/>
          </w:p>
        </w:tc>
        <w:tc>
          <w:tcPr>
            <w:tcW w:w="1089"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163" w:hRule="exact"/>
        </w:trPr>
        <w:tc>
          <w:tcPr>
            <w:tcW w:w="1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vMerge/>
            <w:tcBorders>
              <w:left w:val="single" w:sz="10" w:space="0" w:color="D2D2D2"/>
              <w:bottom w:val="single" w:sz="4" w:space="0" w:color="000000"/>
              <w:right w:val="single" w:sz="4" w:space="0" w:color="000000"/>
            </w:tcBorders>
          </w:tcPr>
          <w:p>
            <w:pPr/>
          </w:p>
        </w:tc>
        <w:tc>
          <w:tcPr>
            <w:tcW w:w="1089"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34"/>
              <w:jc w:val="right"/>
              <w:rPr>
                <w:rFonts w:ascii="宋体" w:hAnsi="宋体" w:cs="宋体" w:eastAsia="宋体" w:hint="default"/>
                <w:sz w:val="18"/>
                <w:szCs w:val="18"/>
              </w:rPr>
            </w:pPr>
            <w:r>
              <w:rPr>
                <w:rFonts w:ascii="宋体" w:hAnsi="宋体" w:cs="宋体" w:eastAsia="宋体" w:hint="default"/>
                <w:spacing w:val="-2"/>
                <w:sz w:val="18"/>
                <w:szCs w:val="18"/>
              </w:rPr>
              <w:t>金融负债</w:t>
            </w:r>
          </w:p>
        </w:tc>
        <w:tc>
          <w:tcPr>
            <w:tcW w:w="10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0" w:right="0"/>
              <w:jc w:val="lef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352" w:lineRule="auto" w:before="53"/>
        <w:ind w:left="153" w:right="9372"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无</w:t>
      </w:r>
    </w:p>
    <w:p>
      <w:pPr>
        <w:spacing w:before="3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tbl>
      <w:tblPr>
        <w:tblW w:w="0" w:type="auto"/>
        <w:jc w:val="left"/>
        <w:tblInd w:w="155" w:type="dxa"/>
        <w:tblLayout w:type="fixed"/>
        <w:tblCellMar>
          <w:top w:w="0" w:type="dxa"/>
          <w:left w:w="0" w:type="dxa"/>
          <w:bottom w:w="0" w:type="dxa"/>
          <w:right w:w="0" w:type="dxa"/>
        </w:tblCellMar>
        <w:tblLook w:val="01E0"/>
      </w:tblPr>
      <w:tblGrid>
        <w:gridCol w:w="2965"/>
        <w:gridCol w:w="3405"/>
        <w:gridCol w:w="3261"/>
      </w:tblGrid>
      <w:tr>
        <w:trPr>
          <w:trHeight w:val="332" w:hRule="exact"/>
        </w:trPr>
        <w:tc>
          <w:tcPr>
            <w:tcW w:w="2965" w:type="dxa"/>
            <w:tcBorders>
              <w:top w:val="nil" w:sz="6" w:space="0" w:color="auto"/>
              <w:left w:val="nil" w:sz="6" w:space="0" w:color="auto"/>
              <w:bottom w:val="single" w:sz="6" w:space="0" w:color="000000"/>
              <w:right w:val="single" w:sz="6" w:space="0" w:color="000000"/>
            </w:tcBorders>
            <w:shd w:val="clear" w:color="auto" w:fill="D0CECE"/>
          </w:tcPr>
          <w:p>
            <w:pPr>
              <w:pStyle w:val="TableParagraph"/>
              <w:tabs>
                <w:tab w:pos="403" w:val="left" w:leader="none"/>
              </w:tabs>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05" w:type="dxa"/>
            <w:tcBorders>
              <w:top w:val="nil" w:sz="6" w:space="0" w:color="auto"/>
              <w:left w:val="single" w:sz="6" w:space="0" w:color="000000"/>
              <w:bottom w:val="single" w:sz="6" w:space="0" w:color="000000"/>
              <w:right w:val="single" w:sz="6" w:space="0" w:color="000000"/>
            </w:tcBorders>
            <w:shd w:val="clear" w:color="auto" w:fill="D0CECE"/>
          </w:tcPr>
          <w:p>
            <w:pPr>
              <w:pStyle w:val="TableParagraph"/>
              <w:spacing w:line="240" w:lineRule="auto" w:before="16"/>
              <w:ind w:left="816" w:right="0"/>
              <w:jc w:val="left"/>
              <w:rPr>
                <w:rFonts w:ascii="宋体" w:hAnsi="宋体" w:cs="宋体" w:eastAsia="宋体" w:hint="default"/>
                <w:sz w:val="18"/>
                <w:szCs w:val="18"/>
              </w:rPr>
            </w:pPr>
            <w:r>
              <w:rPr>
                <w:rFonts w:ascii="宋体" w:hAnsi="宋体" w:cs="宋体" w:eastAsia="宋体" w:hint="default"/>
                <w:sz w:val="18"/>
                <w:szCs w:val="18"/>
              </w:rPr>
              <w:t>年末账面价值</w:t>
            </w:r>
            <w:r>
              <w:rPr>
                <w:rFonts w:ascii="宋体" w:hAnsi="宋体" w:cs="宋体" w:eastAsia="宋体" w:hint="default"/>
                <w:spacing w:val="60"/>
                <w:sz w:val="18"/>
                <w:szCs w:val="18"/>
              </w:rPr>
              <w:t> </w:t>
            </w:r>
            <w:r>
              <w:rPr>
                <w:rFonts w:ascii="宋体" w:hAnsi="宋体" w:cs="宋体" w:eastAsia="宋体" w:hint="default"/>
                <w:sz w:val="18"/>
                <w:szCs w:val="18"/>
              </w:rPr>
              <w:t>（元）</w:t>
            </w:r>
          </w:p>
        </w:tc>
        <w:tc>
          <w:tcPr>
            <w:tcW w:w="3261" w:type="dxa"/>
            <w:tcBorders>
              <w:top w:val="nil" w:sz="6" w:space="0" w:color="auto"/>
              <w:left w:val="single" w:sz="6" w:space="0" w:color="000000"/>
              <w:bottom w:val="single" w:sz="6" w:space="0" w:color="000000"/>
              <w:right w:val="single" w:sz="6" w:space="0" w:color="000000"/>
            </w:tcBorders>
            <w:shd w:val="clear" w:color="auto" w:fill="D0CECE"/>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3" w:hRule="exact"/>
        </w:trPr>
        <w:tc>
          <w:tcPr>
            <w:tcW w:w="29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left"/>
              <w:rPr>
                <w:rFonts w:ascii="Times New Roman" w:hAnsi="Times New Roman" w:cs="Times New Roman" w:eastAsia="Times New Roman" w:hint="default"/>
                <w:sz w:val="18"/>
                <w:szCs w:val="18"/>
              </w:rPr>
            </w:pPr>
            <w:r>
              <w:rPr>
                <w:rFonts w:ascii="Times New Roman"/>
                <w:sz w:val="18"/>
              </w:rPr>
              <w:t>13,413,607.73</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保函或履约保证金</w:t>
            </w:r>
          </w:p>
        </w:tc>
      </w:tr>
      <w:tr>
        <w:trPr>
          <w:trHeight w:val="336" w:hRule="exact"/>
        </w:trPr>
        <w:tc>
          <w:tcPr>
            <w:tcW w:w="2965" w:type="dxa"/>
            <w:tcBorders>
              <w:top w:val="single" w:sz="6" w:space="0" w:color="000000"/>
              <w:left w:val="nil" w:sz="6" w:space="0" w:color="auto"/>
              <w:bottom w:val="single" w:sz="6" w:space="0" w:color="000000"/>
              <w:right w:val="single" w:sz="6" w:space="0" w:color="000000"/>
            </w:tcBorders>
          </w:tcPr>
          <w:p>
            <w:pPr>
              <w:pStyle w:val="TableParagraph"/>
              <w:tabs>
                <w:tab w:pos="398" w:val="left" w:leader="none"/>
              </w:tabs>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 w:right="0"/>
              <w:jc w:val="left"/>
              <w:rPr>
                <w:rFonts w:ascii="Times New Roman" w:hAnsi="Times New Roman" w:cs="Times New Roman" w:eastAsia="Times New Roman" w:hint="default"/>
                <w:sz w:val="18"/>
                <w:szCs w:val="18"/>
              </w:rPr>
            </w:pPr>
            <w:r>
              <w:rPr>
                <w:rFonts w:ascii="Times New Roman"/>
                <w:sz w:val="18"/>
              </w:rPr>
              <w:t>13,413,607.73</w:t>
            </w:r>
          </w:p>
        </w:tc>
        <w:tc>
          <w:tcPr>
            <w:tcW w:w="32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19,685,001.00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89,954,911.00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报告期内获取的重大的股权投资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报告期内正在进行的重大的非股权投资情况"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以公允价值计量的金融资产" w:id="49"/>
      <w:bookmarkEnd w:id="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88"/>
        <w:gridCol w:w="893"/>
        <w:gridCol w:w="1090"/>
        <w:gridCol w:w="1181"/>
        <w:gridCol w:w="1195"/>
        <w:gridCol w:w="956"/>
        <w:gridCol w:w="956"/>
        <w:gridCol w:w="956"/>
        <w:gridCol w:w="955"/>
      </w:tblGrid>
      <w:tr>
        <w:trPr>
          <w:trHeight w:val="1028"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63" w:right="75" w:hanging="183"/>
              <w:jc w:val="left"/>
              <w:rPr>
                <w:rFonts w:ascii="宋体" w:hAnsi="宋体" w:cs="宋体" w:eastAsia="宋体" w:hint="default"/>
                <w:sz w:val="18"/>
                <w:szCs w:val="18"/>
              </w:rPr>
            </w:pPr>
            <w:r>
              <w:rPr>
                <w:rFonts w:ascii="宋体" w:hAnsi="宋体" w:cs="宋体" w:eastAsia="宋体" w:hint="default"/>
                <w:sz w:val="18"/>
                <w:szCs w:val="18"/>
              </w:rPr>
              <w:t>初始投资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1" w:right="84"/>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 w:right="41"/>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计公允价值变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12" w:right="45" w:hanging="360"/>
              <w:jc w:val="left"/>
              <w:rPr>
                <w:rFonts w:ascii="宋体" w:hAnsi="宋体" w:cs="宋体" w:eastAsia="宋体" w:hint="default"/>
                <w:sz w:val="18"/>
                <w:szCs w:val="18"/>
              </w:rPr>
            </w:pPr>
            <w:r>
              <w:rPr>
                <w:rFonts w:ascii="宋体" w:hAnsi="宋体" w:cs="宋体" w:eastAsia="宋体" w:hint="default"/>
                <w:spacing w:val="-2"/>
                <w:sz w:val="18"/>
                <w:szCs w:val="18"/>
              </w:rPr>
              <w:t>报告期内购入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报告期内售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84" w:right="17" w:hanging="361"/>
              <w:jc w:val="left"/>
              <w:rPr>
                <w:rFonts w:ascii="宋体" w:hAnsi="宋体" w:cs="宋体" w:eastAsia="宋体" w:hint="default"/>
                <w:sz w:val="18"/>
                <w:szCs w:val="18"/>
              </w:rPr>
            </w:pPr>
            <w:r>
              <w:rPr>
                <w:rFonts w:ascii="宋体" w:hAnsi="宋体" w:cs="宋体" w:eastAsia="宋体" w:hint="default"/>
                <w:spacing w:val="-2"/>
                <w:sz w:val="18"/>
                <w:szCs w:val="18"/>
              </w:rPr>
              <w:t>累计投资收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178,179,58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12,170,389.39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1,015,400,000.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147,611,489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4,861,233.7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1,058,153,4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178,179,58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12,170,389.39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1,015,400,000.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147,611,489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4,861,233.7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sz w:val="18"/>
              </w:rPr>
              <w:t>1,058,153,4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76.82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募集资金使用情况" w:id="50"/>
      <w:bookmarkEnd w:id="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募集资金总体使用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3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行股票</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5,681.99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023"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日，公司已使用募集资金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5,681.99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万元，占本次募集资金净额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5,681.99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万元的比例为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p>
            <w:pPr>
              <w:pStyle w:val="TableParagraph"/>
              <w:spacing w:line="304" w:lineRule="auto" w:before="58"/>
              <w:ind w:left="24" w:right="17"/>
              <w:jc w:val="left"/>
              <w:rPr>
                <w:rFonts w:ascii="宋体" w:hAnsi="宋体" w:cs="宋体" w:eastAsia="宋体" w:hint="default"/>
                <w:sz w:val="18"/>
                <w:szCs w:val="18"/>
              </w:rPr>
            </w:pPr>
            <w:r>
              <w:rPr>
                <w:rFonts w:ascii="宋体" w:hAnsi="宋体" w:cs="宋体" w:eastAsia="宋体" w:hint="default"/>
                <w:spacing w:val="-4"/>
                <w:sz w:val="18"/>
                <w:szCs w:val="18"/>
              </w:rPr>
              <w:t>司募集资金已使用完毕，募集资金专用账户已完成销户手续，并于</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日披露《关于募集资金使用完毕并注销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w w:val="101"/>
                <w:sz w:val="18"/>
                <w:szCs w:val="18"/>
              </w:rPr>
              <w:t>募集资金专户的公告》。</w:t>
            </w:r>
            <w:r>
              <w:rPr>
                <w:rFonts w:ascii="宋体" w:hAnsi="宋体" w:cs="宋体" w:eastAsia="宋体" w:hint="default"/>
                <w:spacing w:val="-11"/>
                <w:sz w:val="18"/>
                <w:szCs w:val="18"/>
              </w:rPr>
            </w:r>
          </w:p>
        </w:tc>
      </w:tr>
    </w:tbl>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募集资金承诺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22"/>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404"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sz w:val="18"/>
                <w:szCs w:val="18"/>
              </w:rPr>
              <w:t>依托 </w:t>
            </w:r>
            <w:r>
              <w:rPr>
                <w:rFonts w:ascii="Times New Roman" w:hAnsi="Times New Roman" w:cs="Times New Roman" w:eastAsia="Times New Roman" w:hint="default"/>
                <w:spacing w:val="-4"/>
                <w:sz w:val="18"/>
                <w:szCs w:val="18"/>
              </w:rPr>
              <w:t>Al</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技术的智能</w:t>
            </w:r>
            <w:r>
              <w:rPr>
                <w:rFonts w:ascii="宋体" w:hAnsi="宋体" w:cs="宋体" w:eastAsia="宋体" w:hint="default"/>
                <w:w w:val="101"/>
                <w:sz w:val="18"/>
                <w:szCs w:val="18"/>
              </w:rPr>
              <w:t> </w:t>
            </w:r>
            <w:r>
              <w:rPr>
                <w:rFonts w:ascii="宋体" w:hAnsi="宋体" w:cs="宋体" w:eastAsia="宋体" w:hint="default"/>
                <w:sz w:val="18"/>
                <w:szCs w:val="18"/>
              </w:rPr>
              <w:t>企业管理软件项目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186.47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186.47</w:t>
            </w:r>
          </w:p>
        </w:tc>
        <w:tc>
          <w:tcPr>
            <w:tcW w:w="78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5,681.99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186.47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5,681.99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8"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154"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4"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8" w:type="dxa"/>
            <w:gridSpan w:val="10"/>
            <w:vMerge/>
            <w:tcBorders>
              <w:left w:val="single" w:sz="10" w:space="0" w:color="D2D2D2"/>
              <w:bottom w:val="single" w:sz="4" w:space="0" w:color="000000"/>
              <w:right w:val="single" w:sz="4" w:space="0" w:color="000000"/>
            </w:tcBorders>
          </w:tcPr>
          <w:p>
            <w:pPr/>
          </w:p>
        </w:tc>
      </w:tr>
      <w:tr>
        <w:trPr>
          <w:trHeight w:val="398"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154"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日，公司第六届董事会第十六次会议和第六届监事会第十次会议审议通过了《关于</w:t>
            </w:r>
          </w:p>
          <w:p>
            <w:pPr>
              <w:pStyle w:val="TableParagraph"/>
              <w:spacing w:line="240" w:lineRule="auto" w:before="58"/>
              <w:ind w:left="16" w:right="0"/>
              <w:jc w:val="both"/>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预</w:t>
            </w:r>
            <w:r>
              <w:rPr>
                <w:rFonts w:ascii="宋体" w:hAnsi="宋体" w:cs="宋体" w:eastAsia="宋体" w:hint="default"/>
                <w:spacing w:val="-5"/>
                <w:w w:val="101"/>
                <w:sz w:val="18"/>
                <w:szCs w:val="18"/>
              </w:rPr>
              <w:t>先</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6"/>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以</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截止</w:t>
            </w:r>
            <w:r>
              <w:rPr>
                <w:rFonts w:ascii="宋体" w:hAnsi="宋体" w:cs="宋体" w:eastAsia="宋体" w:hint="default"/>
                <w:sz w:val="18"/>
                <w:szCs w:val="18"/>
              </w:rPr>
            </w:r>
          </w:p>
          <w:p>
            <w:pPr>
              <w:pStyle w:val="TableParagraph"/>
              <w:spacing w:line="309" w:lineRule="auto" w:before="63"/>
              <w:ind w:left="16"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日预先投入募投项目的自筹资金，截止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5,244.28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1"/>
                <w:sz w:val="18"/>
                <w:szCs w:val="18"/>
              </w:rPr>
              <w:t> </w:t>
            </w:r>
            <w:r>
              <w:rPr>
                <w:rFonts w:ascii="宋体" w:hAnsi="宋体" w:cs="宋体" w:eastAsia="宋体" w:hint="default"/>
                <w:spacing w:val="-3"/>
                <w:sz w:val="18"/>
                <w:szCs w:val="18"/>
              </w:rPr>
              <w:t>自募集资金专户中转出。上述置换事项及置换金额业经瑞华会计师事务所（特殊普通合伙）出具了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瑞华核字【</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40030001 </w:t>
            </w:r>
            <w:r>
              <w:rPr>
                <w:rFonts w:ascii="宋体" w:hAnsi="宋体" w:cs="宋体" w:eastAsia="宋体" w:hint="default"/>
                <w:spacing w:val="-3"/>
                <w:sz w:val="18"/>
                <w:szCs w:val="18"/>
              </w:rPr>
              <w:t>号《关于远光软件股份有限公司以自筹资金预先投入募集资金投资项目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w w:val="101"/>
                <w:sz w:val="18"/>
                <w:szCs w:val="18"/>
              </w:rPr>
              <w:t>情况报告的鉴证报告》。公司保荐机构海通证券股份有限公司发表了核查意见，同意公司本次以募集</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3"/>
                <w:sz w:val="18"/>
                <w:szCs w:val="18"/>
              </w:rPr>
              <w:t>资金置换预先投入募集资金投资项目的自筹资金。</w:t>
            </w:r>
          </w:p>
        </w:tc>
      </w:tr>
      <w:tr>
        <w:trPr>
          <w:trHeight w:val="70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8" w:type="dxa"/>
            <w:gridSpan w:val="10"/>
            <w:vMerge/>
            <w:tcBorders>
              <w:left w:val="single" w:sz="10" w:space="0" w:color="D2D2D2"/>
              <w:right w:val="single" w:sz="4" w:space="0" w:color="000000"/>
            </w:tcBorders>
          </w:tcPr>
          <w:p>
            <w:pPr/>
          </w:p>
        </w:tc>
      </w:tr>
      <w:tr>
        <w:trPr>
          <w:trHeight w:val="98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72"/>
        <w:gridCol w:w="7798"/>
      </w:tblGrid>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日，募集资金无结余，已使用完毕。</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出售重大资产情况" w:id="55"/>
      <w:bookmarkEnd w:id="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8"/>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出售重大股权情况" w:id="56"/>
      <w:bookmarkEnd w:id="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南京远光广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安信息科技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软件开发、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47,708,139.7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37,276,667.7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30,186,681.2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1,742,718.40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2,198,967.98</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长沙远光瑞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翔科技有限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软件开发、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30,080,000.0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77,622,728.7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65,951,533.5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40,237,899.8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-12,066,965.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-9,894,860.4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杭州昊美科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及其子公司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软件开发、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183,584,705.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127,800,901.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144,632,696.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16,083,100.1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14,035,867.6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珠海远光晴天能源科技有限公司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微</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佛山市晴方太阳能科技有限公司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4"/>
              <w:jc w:val="lef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微</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北京神航星云科技有限公司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微</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杭州迈测信息工程有限公司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4"/>
              <w:jc w:val="lef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微</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89"/>
              <w:jc w:val="left"/>
              <w:rPr>
                <w:rFonts w:ascii="宋体" w:hAnsi="宋体" w:cs="宋体" w:eastAsia="宋体" w:hint="default"/>
                <w:sz w:val="18"/>
                <w:szCs w:val="18"/>
              </w:rPr>
            </w:pPr>
            <w:r>
              <w:rPr>
                <w:rFonts w:ascii="宋体" w:hAnsi="宋体" w:cs="宋体" w:eastAsia="宋体" w:hint="default"/>
                <w:spacing w:val="-3"/>
                <w:sz w:val="18"/>
                <w:szCs w:val="18"/>
              </w:rPr>
              <w:t>远光共创智能科技股份有限公司及其子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both"/>
              <w:rPr>
                <w:rFonts w:ascii="宋体" w:hAnsi="宋体" w:cs="宋体" w:eastAsia="宋体" w:hint="default"/>
                <w:sz w:val="18"/>
                <w:szCs w:val="18"/>
              </w:rPr>
            </w:pPr>
            <w:r>
              <w:rPr>
                <w:rFonts w:ascii="宋体" w:hAnsi="宋体" w:cs="宋体" w:eastAsia="宋体" w:hint="default"/>
                <w:spacing w:val="-3"/>
                <w:sz w:val="18"/>
                <w:szCs w:val="18"/>
              </w:rPr>
              <w:t>有利于公司优化资源配置，提高经营管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理效率，不会对公司整体业务发展和生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产经营产生重大影响。</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23"/>
          <w:szCs w:val="23"/>
        </w:rPr>
      </w:pPr>
    </w:p>
    <w:p>
      <w:pPr>
        <w:pStyle w:val="Heading2"/>
        <w:spacing w:line="240" w:lineRule="auto"/>
        <w:ind w:right="0"/>
        <w:jc w:val="left"/>
        <w:rPr>
          <w:b w:val="0"/>
          <w:bCs w:val="0"/>
        </w:rPr>
      </w:pPr>
      <w:r>
        <w:rPr/>
        <w:t>（一）行业格局和趋势</w:t>
      </w:r>
      <w:r>
        <w:rPr>
          <w:b w:val="0"/>
          <w:bCs w:val="0"/>
        </w:rPr>
      </w:r>
    </w:p>
    <w:p>
      <w:pPr>
        <w:spacing w:line="273" w:lineRule="auto" w:before="61"/>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党的十八大以来，必须通过信息产品、服务的自主可控以确保网络与国家安全已成为全国共识。《国</w:t>
      </w:r>
      <w:r>
        <w:rPr>
          <w:rFonts w:ascii="宋体" w:hAnsi="宋体" w:cs="宋体" w:eastAsia="宋体" w:hint="default"/>
          <w:w w:val="100"/>
          <w:sz w:val="21"/>
          <w:szCs w:val="21"/>
        </w:rPr>
        <w:t> </w:t>
      </w:r>
      <w:r>
        <w:rPr>
          <w:rFonts w:ascii="宋体" w:hAnsi="宋体" w:cs="宋体" w:eastAsia="宋体" w:hint="default"/>
          <w:spacing w:val="-2"/>
          <w:sz w:val="21"/>
          <w:szCs w:val="21"/>
        </w:rPr>
        <w:t>家信息化发展战略纲要》、网络强国战略均要求国有大型央企加强网络和信息安全工作，国家鼓励在国产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软件和信息关键技术等领域实现自主可控、自主创新。大型集团，特别是中央企业的信息化安全运行对于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企业健康发展，维护国家经济安全和社会稳定具有的重要意义。随着我国核心软硬件技术的日趋成熟，主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机、操作系统、中间件、数据库、浏览器等国产产品已广泛应用于各行业及国家重点部门，自主可控软硬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件产品全国产化成为发展趋势。</w:t>
      </w:r>
    </w:p>
    <w:p>
      <w:pPr>
        <w:spacing w:line="261" w:lineRule="auto" w:before="7"/>
        <w:ind w:left="153" w:right="1126" w:firstLine="480"/>
        <w:jc w:val="both"/>
        <w:rPr>
          <w:rFonts w:ascii="宋体" w:hAnsi="宋体" w:cs="宋体" w:eastAsia="宋体" w:hint="default"/>
          <w:sz w:val="21"/>
          <w:szCs w:val="21"/>
        </w:rPr>
      </w:pPr>
      <w:r>
        <w:rPr>
          <w:rFonts w:ascii="宋体" w:hAnsi="宋体" w:cs="宋体" w:eastAsia="宋体" w:hint="default"/>
          <w:spacing w:val="-1"/>
          <w:sz w:val="21"/>
          <w:szCs w:val="21"/>
        </w:rPr>
        <w:t>随着产业和技术的发展，能源互联网建设也如箭在弦。国家电网确立了</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具有中国特色国际领先的能</w:t>
      </w:r>
      <w:r>
        <w:rPr>
          <w:rFonts w:ascii="宋体" w:hAnsi="宋体" w:cs="宋体" w:eastAsia="宋体" w:hint="default"/>
          <w:w w:val="100"/>
          <w:sz w:val="21"/>
          <w:szCs w:val="21"/>
        </w:rPr>
        <w:t> </w:t>
      </w:r>
      <w:r>
        <w:rPr>
          <w:rFonts w:ascii="宋体" w:hAnsi="宋体" w:cs="宋体" w:eastAsia="宋体" w:hint="default"/>
          <w:sz w:val="21"/>
          <w:szCs w:val="21"/>
        </w:rPr>
        <w:t>源互联网企业</w:t>
      </w:r>
      <w:r>
        <w:rPr>
          <w:rFonts w:ascii="Times New Roman" w:hAnsi="Times New Roman" w:cs="Times New Roman" w:eastAsia="Times New Roman" w:hint="default"/>
          <w:sz w:val="21"/>
          <w:szCs w:val="21"/>
        </w:rPr>
        <w:t>”</w:t>
      </w:r>
      <w:r>
        <w:rPr>
          <w:rFonts w:ascii="宋体" w:hAnsi="宋体" w:cs="宋体" w:eastAsia="宋体" w:hint="default"/>
          <w:sz w:val="21"/>
          <w:szCs w:val="21"/>
        </w:rPr>
        <w:t>的战略目标，</w:t>
      </w:r>
      <w:r>
        <w:rPr>
          <w:rFonts w:ascii="Times New Roman" w:hAnsi="Times New Roman" w:cs="Times New Roman" w:eastAsia="Times New Roman" w:hint="default"/>
          <w:sz w:val="21"/>
          <w:szCs w:val="21"/>
        </w:rPr>
        <w:t>2020</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2025</w:t>
      </w:r>
      <w:r>
        <w:rPr>
          <w:rFonts w:ascii="宋体" w:hAnsi="宋体" w:cs="宋体" w:eastAsia="宋体" w:hint="default"/>
          <w:sz w:val="21"/>
          <w:szCs w:val="21"/>
        </w:rPr>
        <w:t>年，将基本建成具有中国特色国际领先的能源互联网企业，部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分领域、关键环节和主要指标达到国际领先，中国特色优势鲜明、电网数字化水平显著提升，能源互联网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功能形态作用彰显。</w:t>
      </w:r>
    </w:p>
    <w:p>
      <w:pPr>
        <w:spacing w:line="268" w:lineRule="auto" w:before="18"/>
        <w:ind w:left="153" w:right="1124" w:firstLine="480"/>
        <w:jc w:val="both"/>
        <w:rPr>
          <w:rFonts w:ascii="宋体" w:hAnsi="宋体" w:cs="宋体" w:eastAsia="宋体" w:hint="default"/>
          <w:sz w:val="21"/>
          <w:szCs w:val="21"/>
        </w:rPr>
      </w:pPr>
      <w:r>
        <w:rPr>
          <w:rFonts w:ascii="宋体" w:hAnsi="宋体" w:cs="宋体" w:eastAsia="宋体" w:hint="default"/>
          <w:spacing w:val="-3"/>
          <w:sz w:val="21"/>
          <w:szCs w:val="21"/>
        </w:rPr>
        <w:t>南方电网全力推进</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数字南网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建设，规划建设涵盖能源生产、传输和消费全过程的数字化平台。各大</w:t>
      </w:r>
      <w:r>
        <w:rPr>
          <w:rFonts w:ascii="宋体" w:hAnsi="宋体" w:cs="宋体" w:eastAsia="宋体" w:hint="default"/>
          <w:w w:val="100"/>
          <w:sz w:val="21"/>
          <w:szCs w:val="21"/>
        </w:rPr>
        <w:t> </w:t>
      </w:r>
      <w:r>
        <w:rPr>
          <w:rFonts w:ascii="宋体" w:hAnsi="宋体" w:cs="宋体" w:eastAsia="宋体" w:hint="default"/>
          <w:spacing w:val="-2"/>
          <w:sz w:val="21"/>
          <w:szCs w:val="21"/>
        </w:rPr>
        <w:t>发电集团也都提出了新能源建设的相关目标，利用云计算和互联网技术构建企业云平台，整合企业信息资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源，构建平台生态。随着各大电力央企战略的实施，企业的管理决策、资源调度、生产运行、营销服务等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各个环节都将通过数字系统链接并反映到企业效率、经营成果中。</w:t>
      </w:r>
    </w:p>
    <w:p>
      <w:pPr>
        <w:spacing w:line="273" w:lineRule="auto" w:before="12"/>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随着社会、经济的发展，涌现出越来越多的集团化企业，这些企业对集团化、集约化、精细化管理都</w:t>
      </w:r>
      <w:r>
        <w:rPr>
          <w:rFonts w:ascii="宋体" w:hAnsi="宋体" w:cs="宋体" w:eastAsia="宋体" w:hint="default"/>
          <w:w w:val="100"/>
          <w:sz w:val="21"/>
          <w:szCs w:val="21"/>
        </w:rPr>
        <w:t> </w:t>
      </w:r>
      <w:r>
        <w:rPr>
          <w:rFonts w:ascii="宋体" w:hAnsi="宋体" w:cs="宋体" w:eastAsia="宋体" w:hint="default"/>
          <w:spacing w:val="-2"/>
          <w:sz w:val="21"/>
          <w:szCs w:val="21"/>
        </w:rPr>
        <w:t>提出了很高的要求，迫切需要通过成熟的集团管理信息系统来优化架构、流程和体系，配置资源、提高效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率、提升价企业价值。</w:t>
      </w:r>
    </w:p>
    <w:p>
      <w:pPr>
        <w:spacing w:line="261" w:lineRule="auto" w:before="7"/>
        <w:ind w:left="153" w:right="1125" w:firstLine="422"/>
        <w:jc w:val="both"/>
        <w:rPr>
          <w:rFonts w:ascii="宋体" w:hAnsi="宋体" w:cs="宋体" w:eastAsia="宋体" w:hint="default"/>
          <w:sz w:val="21"/>
          <w:szCs w:val="21"/>
        </w:rPr>
      </w:pPr>
      <w:r>
        <w:rPr>
          <w:rFonts w:ascii="宋体" w:hAnsi="宋体" w:cs="宋体" w:eastAsia="宋体" w:hint="default"/>
          <w:sz w:val="21"/>
          <w:szCs w:val="21"/>
        </w:rPr>
        <w:t>党的十九届四中全会《决定》提出</w:t>
      </w:r>
      <w:r>
        <w:rPr>
          <w:rFonts w:ascii="Times New Roman" w:hAnsi="Times New Roman" w:cs="Times New Roman" w:eastAsia="Times New Roman" w:hint="default"/>
          <w:sz w:val="21"/>
          <w:szCs w:val="21"/>
        </w:rPr>
        <w:t>“</w:t>
      </w:r>
      <w:r>
        <w:rPr>
          <w:rFonts w:ascii="宋体" w:hAnsi="宋体" w:cs="宋体" w:eastAsia="宋体" w:hint="default"/>
          <w:sz w:val="21"/>
          <w:szCs w:val="21"/>
        </w:rPr>
        <w:t>更加重视运用人工智能、互联网、大数据等现代信息技术手段提</w:t>
      </w:r>
      <w:r>
        <w:rPr>
          <w:rFonts w:ascii="宋体" w:hAnsi="宋体" w:cs="宋体" w:eastAsia="宋体" w:hint="default"/>
          <w:w w:val="100"/>
          <w:sz w:val="21"/>
          <w:szCs w:val="21"/>
        </w:rPr>
        <w:t> </w:t>
      </w:r>
      <w:r>
        <w:rPr>
          <w:rFonts w:ascii="宋体" w:hAnsi="宋体" w:cs="宋体" w:eastAsia="宋体" w:hint="default"/>
          <w:sz w:val="21"/>
          <w:szCs w:val="21"/>
        </w:rPr>
        <w:t>升治理能力和治理现代化水平</w:t>
      </w:r>
      <w:r>
        <w:rPr>
          <w:rFonts w:ascii="Times New Roman" w:hAnsi="Times New Roman" w:cs="Times New Roman" w:eastAsia="Times New Roman" w:hint="default"/>
          <w:sz w:val="21"/>
          <w:szCs w:val="21"/>
        </w:rPr>
        <w:t>”</w:t>
      </w:r>
      <w:r>
        <w:rPr>
          <w:rFonts w:ascii="宋体" w:hAnsi="宋体" w:cs="宋体" w:eastAsia="宋体" w:hint="default"/>
          <w:sz w:val="21"/>
          <w:szCs w:val="21"/>
        </w:rPr>
        <w:t>，在抗击新冠肺炎疫情的战斗中，以大数据、人工智能为代表的信息技术</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得到了大量的运用。现代信息技术开放、多元、扁平、分布、客观等特性，与人民美好生活需求中的社会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性部分，与国家治理体系、治理能力的现代化方向高度一致，为解决深层次难题，提升治理能力和水平提</w:t>
      </w:r>
    </w:p>
    <w:p>
      <w:pPr>
        <w:spacing w:after="0" w:line="261" w:lineRule="auto"/>
        <w:jc w:val="both"/>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sz w:val="21"/>
          <w:szCs w:val="21"/>
        </w:rPr>
        <w:t>供了可能。</w:t>
      </w:r>
    </w:p>
    <w:p>
      <w:pPr>
        <w:spacing w:line="240" w:lineRule="auto" w:before="0"/>
        <w:rPr>
          <w:rFonts w:ascii="宋体" w:hAnsi="宋体" w:cs="宋体" w:eastAsia="宋体" w:hint="default"/>
          <w:sz w:val="20"/>
          <w:szCs w:val="20"/>
        </w:rPr>
      </w:pPr>
    </w:p>
    <w:p>
      <w:pPr>
        <w:pStyle w:val="Heading2"/>
        <w:spacing w:line="240" w:lineRule="auto" w:before="148"/>
        <w:ind w:right="0"/>
        <w:jc w:val="left"/>
        <w:rPr>
          <w:b w:val="0"/>
          <w:bCs w:val="0"/>
        </w:rPr>
      </w:pPr>
      <w:r>
        <w:rPr/>
        <w:t>（二）公司发展战略</w:t>
      </w:r>
      <w:r>
        <w:rPr>
          <w:b w:val="0"/>
          <w:bCs w:val="0"/>
        </w:rPr>
      </w:r>
    </w:p>
    <w:p>
      <w:pPr>
        <w:spacing w:line="264" w:lineRule="auto" w:before="57"/>
        <w:ind w:left="153" w:right="0" w:firstLine="480"/>
        <w:jc w:val="left"/>
        <w:rPr>
          <w:rFonts w:ascii="宋体" w:hAnsi="宋体" w:cs="宋体" w:eastAsia="宋体" w:hint="default"/>
          <w:sz w:val="21"/>
          <w:szCs w:val="21"/>
        </w:rPr>
      </w:pPr>
      <w:r>
        <w:rPr>
          <w:rFonts w:ascii="宋体" w:hAnsi="宋体" w:cs="宋体" w:eastAsia="宋体" w:hint="default"/>
          <w:spacing w:val="-5"/>
          <w:w w:val="100"/>
          <w:sz w:val="21"/>
          <w:szCs w:val="21"/>
        </w:rPr>
        <w:t>坚持</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科技推动进步、创新引领发展</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的理念，把握新时代全面改革开放和全球命运共同体建设的机遇，</w:t>
      </w:r>
      <w:r>
        <w:rPr>
          <w:rFonts w:ascii="宋体" w:hAnsi="宋体" w:cs="宋体" w:eastAsia="宋体" w:hint="default"/>
          <w:w w:val="100"/>
          <w:sz w:val="21"/>
          <w:szCs w:val="21"/>
        </w:rPr>
        <w:t> </w:t>
      </w:r>
      <w:r>
        <w:rPr>
          <w:rFonts w:ascii="宋体" w:hAnsi="宋体" w:cs="宋体" w:eastAsia="宋体" w:hint="default"/>
          <w:sz w:val="21"/>
          <w:szCs w:val="21"/>
        </w:rPr>
        <w:t>始终以先进的信息技术、能源技术等核心技术为根本动力，在集团管理、智慧能源、智能物联和数字社会</w:t>
      </w:r>
      <w:r>
        <w:rPr>
          <w:rFonts w:ascii="宋体" w:hAnsi="宋体" w:cs="宋体" w:eastAsia="宋体" w:hint="default"/>
          <w:w w:val="100"/>
          <w:sz w:val="21"/>
          <w:szCs w:val="21"/>
        </w:rPr>
        <w:t> </w:t>
      </w:r>
      <w:r>
        <w:rPr>
          <w:rFonts w:ascii="宋体" w:hAnsi="宋体" w:cs="宋体" w:eastAsia="宋体" w:hint="default"/>
          <w:sz w:val="21"/>
          <w:szCs w:val="21"/>
        </w:rPr>
        <w:t>等各个领域为广大客户提供最优质的产品和服务，推动企业升级、能源革命、经济增长和社会进步，实现</w:t>
      </w:r>
      <w:r>
        <w:rPr>
          <w:rFonts w:ascii="宋体" w:hAnsi="宋体" w:cs="宋体" w:eastAsia="宋体" w:hint="default"/>
          <w:w w:val="100"/>
          <w:sz w:val="21"/>
          <w:szCs w:val="21"/>
        </w:rPr>
        <w:t> </w:t>
      </w:r>
      <w:r>
        <w:rPr>
          <w:rFonts w:ascii="宋体" w:hAnsi="宋体" w:cs="宋体" w:eastAsia="宋体" w:hint="default"/>
          <w:spacing w:val="-2"/>
          <w:sz w:val="21"/>
          <w:szCs w:val="21"/>
        </w:rPr>
        <w:t>公司健康、良善、全面、优质的可持续发展，向着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国际一流的企业管理、能源互联和社会服务信息技术、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产品和服务提供商</w:t>
      </w:r>
      <w:r>
        <w:rPr>
          <w:rFonts w:ascii="Times New Roman" w:hAnsi="Times New Roman" w:cs="Times New Roman" w:eastAsia="Times New Roman" w:hint="default"/>
          <w:sz w:val="21"/>
          <w:szCs w:val="21"/>
        </w:rPr>
        <w:t>”</w:t>
      </w:r>
      <w:r>
        <w:rPr>
          <w:rFonts w:ascii="宋体" w:hAnsi="宋体" w:cs="宋体" w:eastAsia="宋体" w:hint="default"/>
          <w:sz w:val="21"/>
          <w:szCs w:val="21"/>
        </w:rPr>
        <w:t>的目标努力。</w:t>
      </w:r>
    </w:p>
    <w:p>
      <w:pPr>
        <w:spacing w:line="240" w:lineRule="auto" w:before="5"/>
        <w:rPr>
          <w:rFonts w:ascii="宋体" w:hAnsi="宋体" w:cs="宋体" w:eastAsia="宋体" w:hint="default"/>
          <w:sz w:val="28"/>
          <w:szCs w:val="28"/>
        </w:rPr>
      </w:pPr>
    </w:p>
    <w:p>
      <w:pPr>
        <w:pStyle w:val="Heading2"/>
        <w:spacing w:line="240" w:lineRule="auto"/>
        <w:ind w:right="0"/>
        <w:jc w:val="left"/>
        <w:rPr>
          <w:b w:val="0"/>
          <w:bCs w:val="0"/>
        </w:rPr>
      </w:pPr>
      <w:r>
        <w:rPr/>
        <w:t>（三）经营计划</w:t>
      </w:r>
      <w:r>
        <w:rPr>
          <w:b w:val="0"/>
          <w:bCs w:val="0"/>
        </w:rPr>
      </w:r>
    </w:p>
    <w:p>
      <w:pPr>
        <w:pStyle w:val="Heading2"/>
        <w:spacing w:line="240" w:lineRule="auto" w:before="31"/>
        <w:ind w:right="0"/>
        <w:jc w:val="left"/>
        <w:rPr>
          <w:b w:val="0"/>
          <w:bCs w:val="0"/>
        </w:rPr>
      </w:pPr>
      <w:r>
        <w:rPr>
          <w:rFonts w:ascii="Times New Roman" w:hAnsi="Times New Roman" w:cs="Times New Roman" w:eastAsia="Times New Roman" w:hint="default"/>
        </w:rPr>
        <w:t>1</w:t>
      </w:r>
      <w:r>
        <w:rPr/>
        <w:t>、业务方面</w:t>
      </w:r>
      <w:r>
        <w:rPr>
          <w:b w:val="0"/>
          <w:bCs w:val="0"/>
        </w:rPr>
      </w:r>
    </w:p>
    <w:p>
      <w:pPr>
        <w:spacing w:line="264" w:lineRule="auto" w:before="125"/>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年，公司作为国家电网的成员单位，将通过与国网电商公司在产品研发、实施服务、外部业务拓</w:t>
      </w:r>
      <w:r>
        <w:rPr>
          <w:rFonts w:ascii="宋体" w:hAnsi="宋体" w:cs="宋体" w:eastAsia="宋体" w:hint="default"/>
          <w:w w:val="100"/>
          <w:sz w:val="21"/>
          <w:szCs w:val="21"/>
        </w:rPr>
        <w:t> </w:t>
      </w:r>
      <w:r>
        <w:rPr>
          <w:rFonts w:ascii="宋体" w:hAnsi="宋体" w:cs="宋体" w:eastAsia="宋体" w:hint="default"/>
          <w:spacing w:val="-2"/>
          <w:sz w:val="21"/>
          <w:szCs w:val="21"/>
        </w:rPr>
        <w:t>展、新兴技术研究、资本等领域的深入合作，充分发挥双方优势及协同效应，有效整合优势资源，实现集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
          <w:sz w:val="21"/>
          <w:szCs w:val="21"/>
        </w:rPr>
        <w:t>团管理、能源互联网、金融科技、电子商务、国产化</w:t>
      </w:r>
      <w:r>
        <w:rPr>
          <w:rFonts w:ascii="Times New Roman" w:hAnsi="Times New Roman" w:cs="Times New Roman" w:eastAsia="Times New Roman" w:hint="default"/>
          <w:spacing w:val="-1"/>
          <w:sz w:val="21"/>
          <w:szCs w:val="21"/>
        </w:rPr>
        <w:t>ERP</w:t>
      </w:r>
      <w:r>
        <w:rPr>
          <w:rFonts w:ascii="宋体" w:hAnsi="宋体" w:cs="宋体" w:eastAsia="宋体" w:hint="default"/>
          <w:spacing w:val="-1"/>
          <w:sz w:val="21"/>
          <w:szCs w:val="21"/>
        </w:rPr>
        <w:t>等业务与国内资本市场平台的融合和贯通。公司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将以能源互联网发展为契机，通过深入参与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智慧能源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产业链及企业中台等重点项目建设，在智能化、区</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块链、大数据及平台融合等方面重点布局。同时加大在国家电网企业中台（含业务中台、数据中台）、企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业级报表中心、数字化审计、智慧共享财务管理等重点项目上的投入，为国家电网战略落地及数字化转型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提供有力支撑。</w:t>
      </w:r>
    </w:p>
    <w:p>
      <w:pPr>
        <w:spacing w:line="264" w:lineRule="auto" w:before="136"/>
        <w:ind w:left="153" w:right="1125"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年，公司将持续深化在中国南方电网公司、五大发电集团、地方电力集团等特大型集团企业的深</w:t>
      </w:r>
      <w:r>
        <w:rPr>
          <w:rFonts w:ascii="宋体" w:hAnsi="宋体" w:cs="宋体" w:eastAsia="宋体" w:hint="default"/>
          <w:w w:val="100"/>
          <w:sz w:val="21"/>
          <w:szCs w:val="21"/>
        </w:rPr>
        <w:t> </w:t>
      </w:r>
      <w:r>
        <w:rPr>
          <w:rFonts w:ascii="宋体" w:hAnsi="宋体" w:cs="宋体" w:eastAsia="宋体" w:hint="default"/>
          <w:spacing w:val="-2"/>
          <w:sz w:val="21"/>
          <w:szCs w:val="21"/>
        </w:rPr>
        <w:t>耕细作，持续经营，保持市场优势地位，持续积极推进企业级财务管理系统、财务共享中心的推广建设及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深化应用。</w:t>
      </w:r>
    </w:p>
    <w:p>
      <w:pPr>
        <w:spacing w:line="266" w:lineRule="auto" w:before="136"/>
        <w:ind w:left="153" w:right="11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年，在电力行业外，公司将在持续深度经营河南能源化工、安徽能源、金川、海尔等大型集团客</w:t>
      </w:r>
      <w:r>
        <w:rPr>
          <w:rFonts w:ascii="宋体" w:hAnsi="宋体" w:cs="宋体" w:eastAsia="宋体" w:hint="default"/>
          <w:w w:val="100"/>
          <w:sz w:val="21"/>
          <w:szCs w:val="21"/>
        </w:rPr>
        <w:t> </w:t>
      </w:r>
      <w:r>
        <w:rPr>
          <w:rFonts w:ascii="宋体" w:hAnsi="宋体" w:cs="宋体" w:eastAsia="宋体" w:hint="default"/>
          <w:spacing w:val="-2"/>
          <w:sz w:val="21"/>
          <w:szCs w:val="21"/>
        </w:rPr>
        <w:t>户的基础上，广泛开展以集团管理为核心的咨询业务及信息化系统实施服务。同时进一步加强行业及产品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标准化工作，在医疗行业、制造业开展以共享报账产品为核心应用的规模化信息化系统实施服务。</w:t>
      </w:r>
    </w:p>
    <w:p>
      <w:pPr>
        <w:pStyle w:val="Heading2"/>
        <w:spacing w:line="240" w:lineRule="auto" w:before="108"/>
        <w:ind w:right="0"/>
        <w:jc w:val="left"/>
        <w:rPr>
          <w:b w:val="0"/>
          <w:bCs w:val="0"/>
        </w:rPr>
      </w:pPr>
      <w:r>
        <w:rPr>
          <w:rFonts w:ascii="Times New Roman" w:hAnsi="Times New Roman" w:cs="Times New Roman" w:eastAsia="Times New Roman" w:hint="default"/>
        </w:rPr>
        <w:t>2</w:t>
      </w:r>
      <w:r>
        <w:rPr/>
        <w:t>、研发方面</w:t>
      </w:r>
      <w:r>
        <w:rPr>
          <w:b w:val="0"/>
          <w:bCs w:val="0"/>
        </w:rPr>
      </w:r>
    </w:p>
    <w:p>
      <w:pPr>
        <w:spacing w:line="261" w:lineRule="auto" w:before="5"/>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2020</w:t>
      </w:r>
      <w:r>
        <w:rPr>
          <w:rFonts w:ascii="宋体" w:hAnsi="宋体" w:cs="宋体" w:eastAsia="宋体" w:hint="default"/>
          <w:spacing w:val="-4"/>
          <w:sz w:val="21"/>
          <w:szCs w:val="21"/>
        </w:rPr>
        <w:t>年，公司将继续深度推进集团化融合，加强市场、业务、技术以及管理等领域协作，充分发挥集</w:t>
      </w:r>
      <w:r>
        <w:rPr>
          <w:rFonts w:ascii="宋体" w:hAnsi="宋体" w:cs="宋体" w:eastAsia="宋体" w:hint="default"/>
          <w:w w:val="100"/>
          <w:sz w:val="21"/>
          <w:szCs w:val="21"/>
        </w:rPr>
        <w:t> </w:t>
      </w:r>
      <w:r>
        <w:rPr>
          <w:rFonts w:ascii="宋体" w:hAnsi="宋体" w:cs="宋体" w:eastAsia="宋体" w:hint="default"/>
          <w:spacing w:val="-4"/>
          <w:sz w:val="21"/>
          <w:szCs w:val="21"/>
        </w:rPr>
        <w:t>团企业优势，加快完善对国产</w:t>
      </w:r>
      <w:r>
        <w:rPr>
          <w:rFonts w:ascii="Times New Roman" w:hAnsi="Times New Roman" w:cs="Times New Roman" w:eastAsia="Times New Roman" w:hint="default"/>
          <w:spacing w:val="-4"/>
          <w:sz w:val="21"/>
          <w:szCs w:val="21"/>
        </w:rPr>
        <w:t>ERP</w:t>
      </w:r>
      <w:r>
        <w:rPr>
          <w:rFonts w:ascii="宋体" w:hAnsi="宋体" w:cs="宋体" w:eastAsia="宋体" w:hint="default"/>
          <w:spacing w:val="-4"/>
          <w:sz w:val="21"/>
          <w:szCs w:val="21"/>
        </w:rPr>
        <w:t>的支撑、依托区块链、云计算、大数据、物联网等新技术，推进产品化、</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国际化、共享化，推行咨询成果产品化运营、深挖项目管理价值、紧抓市场新兴机遇，基于分布式系统建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设策略、开展微服务化改造、建设业务中台服务、开展云部署方案设计。</w:t>
      </w:r>
    </w:p>
    <w:p>
      <w:pPr>
        <w:spacing w:line="261" w:lineRule="auto" w:before="18"/>
        <w:ind w:left="153" w:right="1124" w:firstLine="480"/>
        <w:jc w:val="both"/>
        <w:rPr>
          <w:rFonts w:ascii="宋体" w:hAnsi="宋体" w:cs="宋体" w:eastAsia="宋体" w:hint="default"/>
          <w:sz w:val="21"/>
          <w:szCs w:val="21"/>
        </w:rPr>
      </w:pPr>
      <w:r>
        <w:rPr>
          <w:rFonts w:ascii="宋体" w:hAnsi="宋体" w:cs="宋体" w:eastAsia="宋体" w:hint="default"/>
          <w:spacing w:val="-3"/>
          <w:sz w:val="21"/>
          <w:szCs w:val="21"/>
        </w:rPr>
        <w:t>在软件国产化方面，</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年公司启动了</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产品国产化适配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计划，目的就是让自主研发的产品能与主流</w:t>
      </w:r>
      <w:r>
        <w:rPr>
          <w:rFonts w:ascii="宋体" w:hAnsi="宋体" w:cs="宋体" w:eastAsia="宋体" w:hint="default"/>
          <w:w w:val="100"/>
          <w:sz w:val="21"/>
          <w:szCs w:val="21"/>
        </w:rPr>
        <w:t> </w:t>
      </w:r>
      <w:r>
        <w:rPr>
          <w:rFonts w:ascii="宋体" w:hAnsi="宋体" w:cs="宋体" w:eastAsia="宋体" w:hint="default"/>
          <w:spacing w:val="-2"/>
          <w:sz w:val="21"/>
          <w:szCs w:val="21"/>
        </w:rPr>
        <w:t>国产软硬件相适配，在操作环境国产化的情况下仍然能够顺畅运行，在保障信息安全的同时，节约企业建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sz w:val="21"/>
          <w:szCs w:val="21"/>
        </w:rPr>
        <w:t>设成本。目前，包括</w:t>
      </w:r>
      <w:r>
        <w:rPr>
          <w:rFonts w:ascii="Times New Roman" w:hAnsi="Times New Roman" w:cs="Times New Roman" w:eastAsia="Times New Roman" w:hint="default"/>
          <w:spacing w:val="-5"/>
          <w:sz w:val="21"/>
          <w:szCs w:val="21"/>
        </w:rPr>
        <w:t>ECP/GRIS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Plus</w:t>
      </w:r>
      <w:r>
        <w:rPr>
          <w:rFonts w:ascii="宋体" w:hAnsi="宋体" w:cs="宋体" w:eastAsia="宋体" w:hint="default"/>
          <w:spacing w:val="-2"/>
          <w:sz w:val="21"/>
          <w:szCs w:val="21"/>
        </w:rPr>
        <w:t>在内的多个产品已通过测试，在客户端和服务端均形成系统的国产化产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品方案，确保将来能与国产软硬件环境无障碍对接。</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年，公司将继续精研互联网新技术，立足自主可</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控，扩展产品范围，做好双轨运行模式的迁移工作，积极助力国产化进程。</w:t>
      </w:r>
    </w:p>
    <w:p>
      <w:pPr>
        <w:spacing w:line="256" w:lineRule="auto" w:before="18"/>
        <w:ind w:left="153" w:right="1122" w:firstLine="480"/>
        <w:jc w:val="both"/>
        <w:rPr>
          <w:rFonts w:ascii="宋体" w:hAnsi="宋体" w:cs="宋体" w:eastAsia="宋体" w:hint="default"/>
          <w:sz w:val="21"/>
          <w:szCs w:val="21"/>
        </w:rPr>
      </w:pPr>
      <w:r>
        <w:rPr>
          <w:rFonts w:ascii="宋体" w:hAnsi="宋体" w:cs="宋体" w:eastAsia="宋体" w:hint="default"/>
          <w:sz w:val="21"/>
          <w:szCs w:val="21"/>
        </w:rPr>
        <w:t>在区块链方面，全面打造区块链</w:t>
      </w:r>
      <w:r>
        <w:rPr>
          <w:rFonts w:ascii="Times New Roman" w:hAnsi="Times New Roman" w:cs="Times New Roman" w:eastAsia="Times New Roman" w:hint="default"/>
          <w:sz w:val="21"/>
          <w:szCs w:val="21"/>
        </w:rPr>
        <w:t>“</w:t>
      </w:r>
      <w:r>
        <w:rPr>
          <w:rFonts w:ascii="宋体" w:hAnsi="宋体" w:cs="宋体" w:eastAsia="宋体" w:hint="default"/>
          <w:sz w:val="21"/>
          <w:szCs w:val="21"/>
        </w:rPr>
        <w:t>一平台、二生态、三体系</w:t>
      </w:r>
      <w:r>
        <w:rPr>
          <w:rFonts w:ascii="Times New Roman" w:hAnsi="Times New Roman" w:cs="Times New Roman" w:eastAsia="Times New Roman" w:hint="default"/>
          <w:sz w:val="21"/>
          <w:szCs w:val="21"/>
        </w:rPr>
        <w:t>”</w:t>
      </w:r>
      <w:r>
        <w:rPr>
          <w:rFonts w:ascii="宋体" w:hAnsi="宋体" w:cs="宋体" w:eastAsia="宋体" w:hint="default"/>
          <w:sz w:val="21"/>
          <w:szCs w:val="21"/>
        </w:rPr>
        <w:t>，即</w:t>
      </w:r>
      <w:r>
        <w:rPr>
          <w:rFonts w:ascii="Times New Roman" w:hAnsi="Times New Roman" w:cs="Times New Roman" w:eastAsia="Times New Roman" w:hint="default"/>
          <w:sz w:val="21"/>
          <w:szCs w:val="21"/>
        </w:rPr>
        <w:t>“</w:t>
      </w:r>
      <w:r>
        <w:rPr>
          <w:rFonts w:ascii="宋体" w:hAnsi="宋体" w:cs="宋体" w:eastAsia="宋体" w:hint="default"/>
          <w:sz w:val="21"/>
          <w:szCs w:val="21"/>
        </w:rPr>
        <w:t>区块链企业应用服务平台</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能源</w:t>
      </w:r>
      <w:r>
        <w:rPr>
          <w:rFonts w:ascii="宋体" w:hAnsi="宋体" w:cs="宋体" w:eastAsia="宋体" w:hint="default"/>
          <w:w w:val="100"/>
          <w:sz w:val="21"/>
          <w:szCs w:val="21"/>
        </w:rPr>
        <w:t> </w:t>
      </w:r>
      <w:r>
        <w:rPr>
          <w:rFonts w:ascii="宋体" w:hAnsi="宋体" w:cs="宋体" w:eastAsia="宋体" w:hint="default"/>
          <w:spacing w:val="-2"/>
          <w:sz w:val="21"/>
          <w:szCs w:val="21"/>
        </w:rPr>
        <w:t>金融生态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大湾区公共存证生态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物流溯源体系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票据凭证体系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结算体系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，逐步建立远光区块</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链应用生态。完成上海电益链等签约项目的交付，在行业内、行业外，持续推广区块链应用。</w:t>
      </w:r>
    </w:p>
    <w:p>
      <w:pPr>
        <w:spacing w:line="256" w:lineRule="auto" w:before="22"/>
        <w:ind w:left="153" w:right="0" w:firstLine="480"/>
        <w:jc w:val="left"/>
        <w:rPr>
          <w:rFonts w:ascii="宋体" w:hAnsi="宋体" w:cs="宋体" w:eastAsia="宋体" w:hint="default"/>
          <w:sz w:val="21"/>
          <w:szCs w:val="21"/>
        </w:rPr>
      </w:pPr>
      <w:r>
        <w:rPr>
          <w:rFonts w:ascii="宋体" w:hAnsi="宋体" w:cs="宋体" w:eastAsia="宋体" w:hint="default"/>
          <w:spacing w:val="-3"/>
          <w:sz w:val="21"/>
          <w:szCs w:val="21"/>
        </w:rPr>
        <w:t>在大数据建设方面，公司持续建设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远光数聚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品牌，该品牌以数据、用户为动因，以大数据技术为核</w:t>
      </w:r>
      <w:r>
        <w:rPr>
          <w:rFonts w:ascii="宋体" w:hAnsi="宋体" w:cs="宋体" w:eastAsia="宋体" w:hint="default"/>
          <w:w w:val="100"/>
          <w:sz w:val="21"/>
          <w:szCs w:val="21"/>
        </w:rPr>
        <w:t> </w:t>
      </w:r>
      <w:r>
        <w:rPr>
          <w:rFonts w:ascii="宋体" w:hAnsi="宋体" w:cs="宋体" w:eastAsia="宋体" w:hint="default"/>
          <w:spacing w:val="-4"/>
          <w:sz w:val="21"/>
          <w:szCs w:val="21"/>
        </w:rPr>
        <w:t>心引擎，以企业价值信息的深度整合与挖掘为目标，以智慧化为定义。利用企业数字技术平台</w:t>
      </w:r>
      <w:r>
        <w:rPr>
          <w:rFonts w:ascii="Times New Roman" w:hAnsi="Times New Roman" w:cs="Times New Roman" w:eastAsia="Times New Roman" w:hint="default"/>
          <w:spacing w:val="-4"/>
          <w:sz w:val="21"/>
          <w:szCs w:val="21"/>
        </w:rPr>
        <w:t>EDT</w:t>
      </w:r>
      <w:r>
        <w:rPr>
          <w:rFonts w:ascii="宋体" w:hAnsi="宋体" w:cs="宋体" w:eastAsia="宋体" w:hint="default"/>
          <w:spacing w:val="-4"/>
          <w:sz w:val="21"/>
          <w:szCs w:val="21"/>
        </w:rPr>
        <w:t>为基底、</w:t>
      </w:r>
      <w:r>
        <w:rPr>
          <w:rFonts w:ascii="宋体" w:hAnsi="宋体" w:cs="宋体" w:eastAsia="宋体" w:hint="default"/>
          <w:spacing w:val="-23"/>
          <w:sz w:val="21"/>
          <w:szCs w:val="21"/>
        </w:rPr>
        <w:t> </w:t>
      </w:r>
      <w:r>
        <w:rPr>
          <w:rFonts w:ascii="宋体" w:hAnsi="宋体" w:cs="宋体" w:eastAsia="宋体" w:hint="default"/>
          <w:spacing w:val="-3"/>
          <w:sz w:val="21"/>
          <w:szCs w:val="21"/>
        </w:rPr>
        <w:t>数字化创新应用平台</w:t>
      </w:r>
      <w:r>
        <w:rPr>
          <w:rFonts w:ascii="Times New Roman" w:hAnsi="Times New Roman" w:cs="Times New Roman" w:eastAsia="Times New Roman" w:hint="default"/>
          <w:spacing w:val="-3"/>
          <w:sz w:val="21"/>
          <w:szCs w:val="21"/>
        </w:rPr>
        <w:t>Realinsight</w:t>
      </w:r>
      <w:r>
        <w:rPr>
          <w:rFonts w:ascii="宋体" w:hAnsi="宋体" w:cs="宋体" w:eastAsia="宋体" w:hint="default"/>
          <w:spacing w:val="-3"/>
          <w:sz w:val="21"/>
          <w:szCs w:val="21"/>
        </w:rPr>
        <w:t>为应用，能源</w:t>
      </w:r>
      <w:r>
        <w:rPr>
          <w:rFonts w:ascii="Times New Roman" w:hAnsi="Times New Roman" w:cs="Times New Roman" w:eastAsia="Times New Roman" w:hint="default"/>
          <w:spacing w:val="-3"/>
          <w:sz w:val="21"/>
          <w:szCs w:val="21"/>
        </w:rPr>
        <w:t>BDaaS</w:t>
      </w:r>
      <w:r>
        <w:rPr>
          <w:rFonts w:ascii="宋体" w:hAnsi="宋体" w:cs="宋体" w:eastAsia="宋体" w:hint="default"/>
          <w:spacing w:val="-3"/>
          <w:sz w:val="21"/>
          <w:szCs w:val="21"/>
        </w:rPr>
        <w:t>为服务平台，聚焦能源生态大数据的广泛连接与深度融</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合，提供云端数据服务和增值应用。</w:t>
      </w:r>
    </w:p>
    <w:p>
      <w:pPr>
        <w:spacing w:before="22"/>
        <w:ind w:left="633" w:right="0" w:firstLine="0"/>
        <w:jc w:val="left"/>
        <w:rPr>
          <w:rFonts w:ascii="宋体" w:hAnsi="宋体" w:cs="宋体" w:eastAsia="宋体" w:hint="default"/>
          <w:sz w:val="21"/>
          <w:szCs w:val="21"/>
        </w:rPr>
      </w:pPr>
      <w:r>
        <w:rPr>
          <w:rFonts w:ascii="宋体" w:hAnsi="宋体" w:cs="宋体" w:eastAsia="宋体" w:hint="default"/>
          <w:spacing w:val="-4"/>
          <w:sz w:val="21"/>
          <w:szCs w:val="21"/>
        </w:rPr>
        <w:t>在人工智能方面，围绕机器学习算法、深度学习、智能仿真等技术，以企业应用拓展与产品智能升级</w:t>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line="273" w:lineRule="auto" w:before="36"/>
        <w:ind w:left="153" w:right="1125" w:firstLine="0"/>
        <w:jc w:val="both"/>
        <w:rPr>
          <w:rFonts w:ascii="宋体" w:hAnsi="宋体" w:cs="宋体" w:eastAsia="宋体" w:hint="default"/>
          <w:sz w:val="21"/>
          <w:szCs w:val="21"/>
        </w:rPr>
      </w:pPr>
      <w:r>
        <w:rPr>
          <w:rFonts w:ascii="宋体" w:hAnsi="宋体" w:cs="宋体" w:eastAsia="宋体" w:hint="default"/>
          <w:spacing w:val="-2"/>
          <w:sz w:val="21"/>
          <w:szCs w:val="21"/>
        </w:rPr>
        <w:t>为需求，加强与知名高校人工智能研究团队的合作，继续深入研发基于自然语言处理和知识图谱技术的智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能认识平台，深度发掘高性能计算领域的场景应用。借助与国网电商公司车联网项目的合作，将更多的人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工智能技术与物联网技术进行融合，探索智能交通的信息网络搭建。</w:t>
      </w:r>
    </w:p>
    <w:p>
      <w:pPr>
        <w:pStyle w:val="Heading2"/>
        <w:spacing w:line="315" w:lineRule="exact"/>
        <w:ind w:right="0"/>
        <w:jc w:val="both"/>
        <w:rPr>
          <w:b w:val="0"/>
          <w:bCs w:val="0"/>
        </w:rPr>
      </w:pPr>
      <w:r>
        <w:rPr>
          <w:rFonts w:ascii="Times New Roman" w:hAnsi="Times New Roman" w:cs="Times New Roman" w:eastAsia="Times New Roman" w:hint="default"/>
        </w:rPr>
        <w:t>3</w:t>
      </w:r>
      <w:r>
        <w:rPr/>
        <w:t>、公司内部管理方面</w:t>
      </w:r>
      <w:r>
        <w:rPr>
          <w:b w:val="0"/>
          <w:bCs w:val="0"/>
        </w:rPr>
      </w:r>
    </w:p>
    <w:p>
      <w:pPr>
        <w:spacing w:line="266" w:lineRule="auto" w:before="5"/>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年，公司将继续坚持稳健经营的方针，强化经营计划、绩效管理等举措，形成科学的决策机制、</w:t>
      </w:r>
      <w:r>
        <w:rPr>
          <w:rFonts w:ascii="宋体" w:hAnsi="宋体" w:cs="宋体" w:eastAsia="宋体" w:hint="default"/>
          <w:w w:val="100"/>
          <w:sz w:val="21"/>
          <w:szCs w:val="21"/>
        </w:rPr>
        <w:t> </w:t>
      </w:r>
      <w:r>
        <w:rPr>
          <w:rFonts w:ascii="宋体" w:hAnsi="宋体" w:cs="宋体" w:eastAsia="宋体" w:hint="default"/>
          <w:sz w:val="21"/>
          <w:szCs w:val="21"/>
        </w:rPr>
        <w:t>执行机制和监督机制，保证公司经营管理目标的实现。公司将继续健全和完善相关管理制度和流程，推动</w:t>
      </w:r>
      <w:r>
        <w:rPr>
          <w:rFonts w:ascii="宋体" w:hAnsi="宋体" w:cs="宋体" w:eastAsia="宋体" w:hint="default"/>
          <w:w w:val="100"/>
          <w:sz w:val="21"/>
          <w:szCs w:val="21"/>
        </w:rPr>
        <w:t> </w:t>
      </w:r>
      <w:r>
        <w:rPr>
          <w:rFonts w:ascii="宋体" w:hAnsi="宋体" w:cs="宋体" w:eastAsia="宋体" w:hint="default"/>
          <w:sz w:val="21"/>
          <w:szCs w:val="21"/>
        </w:rPr>
        <w:t>公司各项管理的规范化、制度化、标准化、程序化，保证公司各项经营业务活动的正常有序运行；以</w:t>
      </w:r>
      <w:r>
        <w:rPr>
          <w:rFonts w:ascii="Times New Roman" w:hAnsi="Times New Roman" w:cs="Times New Roman" w:eastAsia="Times New Roman" w:hint="default"/>
          <w:sz w:val="21"/>
          <w:szCs w:val="21"/>
        </w:rPr>
        <w:t>“</w:t>
      </w:r>
      <w:r>
        <w:rPr>
          <w:rFonts w:ascii="宋体" w:hAnsi="宋体" w:cs="宋体" w:eastAsia="宋体" w:hint="default"/>
          <w:sz w:val="21"/>
          <w:szCs w:val="21"/>
        </w:rPr>
        <w:t>客</w:t>
      </w:r>
      <w:r>
        <w:rPr>
          <w:rFonts w:ascii="宋体" w:hAnsi="宋体" w:cs="宋体" w:eastAsia="宋体" w:hint="default"/>
          <w:spacing w:val="-12"/>
          <w:sz w:val="21"/>
          <w:szCs w:val="21"/>
        </w:rPr>
        <w:t> </w:t>
      </w:r>
      <w:r>
        <w:rPr>
          <w:rFonts w:ascii="宋体" w:hAnsi="宋体" w:cs="宋体" w:eastAsia="宋体" w:hint="default"/>
          <w:spacing w:val="-6"/>
          <w:sz w:val="21"/>
          <w:szCs w:val="21"/>
        </w:rPr>
        <w:t>户第一、效率优先</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轻形式、重实效</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的方针全面规范内部运营管理，提高效率；加强内部信息化管理建设，</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将财务、业务、管理一体化，实现信息资源共享，使管理者与员工、各个部门之间以及企业与外部之间的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交流更顺畅，提高管理的高效性、准确性，降低管理成本；加强信息安全建设，提升风险控制能力。公司</w:t>
      </w:r>
      <w:r>
        <w:rPr>
          <w:rFonts w:ascii="宋体" w:hAnsi="宋体" w:cs="宋体" w:eastAsia="宋体" w:hint="default"/>
          <w:w w:val="100"/>
          <w:sz w:val="21"/>
          <w:szCs w:val="21"/>
        </w:rPr>
        <w:t> </w:t>
      </w:r>
      <w:r>
        <w:rPr>
          <w:rFonts w:ascii="宋体" w:hAnsi="宋体" w:cs="宋体" w:eastAsia="宋体" w:hint="default"/>
          <w:sz w:val="21"/>
          <w:szCs w:val="21"/>
        </w:rPr>
        <w:t>将持续引进智慧能源、智能物联、大数据及区块链等领域的人才，优化人才结构。公司将加强财务管理，</w:t>
      </w:r>
      <w:r>
        <w:rPr>
          <w:rFonts w:ascii="宋体" w:hAnsi="宋体" w:cs="宋体" w:eastAsia="宋体" w:hint="default"/>
          <w:w w:val="100"/>
          <w:sz w:val="21"/>
          <w:szCs w:val="21"/>
        </w:rPr>
        <w:t> </w:t>
      </w:r>
      <w:r>
        <w:rPr>
          <w:rFonts w:ascii="宋体" w:hAnsi="宋体" w:cs="宋体" w:eastAsia="宋体" w:hint="default"/>
          <w:sz w:val="21"/>
          <w:szCs w:val="21"/>
        </w:rPr>
        <w:t>保证研发投入，控本增效。</w:t>
      </w:r>
    </w:p>
    <w:p>
      <w:pPr>
        <w:pStyle w:val="Heading2"/>
        <w:spacing w:line="321" w:lineRule="exact"/>
        <w:ind w:right="0"/>
        <w:jc w:val="both"/>
        <w:rPr>
          <w:b w:val="0"/>
          <w:bCs w:val="0"/>
        </w:rPr>
      </w:pPr>
      <w:r>
        <w:rPr>
          <w:rFonts w:ascii="Times New Roman" w:hAnsi="Times New Roman" w:cs="Times New Roman" w:eastAsia="Times New Roman" w:hint="default"/>
        </w:rPr>
        <w:t>4</w:t>
      </w:r>
      <w:r>
        <w:rPr/>
        <w:t>、投资方面</w:t>
      </w:r>
      <w:r>
        <w:rPr>
          <w:b w:val="0"/>
          <w:bCs w:val="0"/>
        </w:rPr>
      </w:r>
    </w:p>
    <w:p>
      <w:pPr>
        <w:spacing w:line="266" w:lineRule="auto" w:before="5"/>
        <w:ind w:left="153" w:right="1125" w:firstLine="48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年，公司以产业协同为投资并购主方向，继续坚持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一横一纵</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投资并购战略，横向上不断拓展公</w:t>
      </w:r>
      <w:r>
        <w:rPr>
          <w:rFonts w:ascii="宋体" w:hAnsi="宋体" w:cs="宋体" w:eastAsia="宋体" w:hint="default"/>
          <w:w w:val="100"/>
          <w:sz w:val="21"/>
          <w:szCs w:val="21"/>
        </w:rPr>
        <w:t> </w:t>
      </w:r>
      <w:r>
        <w:rPr>
          <w:rFonts w:ascii="宋体" w:hAnsi="宋体" w:cs="宋体" w:eastAsia="宋体" w:hint="default"/>
          <w:spacing w:val="-2"/>
          <w:sz w:val="21"/>
          <w:szCs w:val="21"/>
        </w:rPr>
        <w:t>司产品在电力行业外的应用范围，积极开拓新的业务领域；纵向上深入挖掘客户需求，不断完善公司产品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线。重点关注能源互联网、区块链方面的投资并购机会。</w:t>
      </w:r>
    </w:p>
    <w:p>
      <w:pPr>
        <w:spacing w:line="240" w:lineRule="auto" w:before="13"/>
        <w:rPr>
          <w:rFonts w:ascii="宋体" w:hAnsi="宋体" w:cs="宋体" w:eastAsia="宋体" w:hint="default"/>
          <w:sz w:val="22"/>
          <w:szCs w:val="22"/>
        </w:rPr>
      </w:pPr>
    </w:p>
    <w:p>
      <w:pPr>
        <w:pStyle w:val="Heading2"/>
        <w:spacing w:line="313" w:lineRule="exact"/>
        <w:ind w:right="0"/>
        <w:jc w:val="both"/>
        <w:rPr>
          <w:b w:val="0"/>
          <w:bCs w:val="0"/>
        </w:rPr>
      </w:pPr>
      <w:r>
        <w:rPr/>
        <w:t>（四）可能面临的风险</w:t>
      </w:r>
      <w:r>
        <w:rPr>
          <w:b w:val="0"/>
          <w:bCs w:val="0"/>
        </w:rPr>
      </w:r>
    </w:p>
    <w:p>
      <w:pPr>
        <w:pStyle w:val="Heading2"/>
        <w:spacing w:line="331" w:lineRule="exact"/>
        <w:ind w:right="0"/>
        <w:jc w:val="both"/>
        <w:rPr>
          <w:b w:val="0"/>
          <w:bCs w:val="0"/>
        </w:rPr>
      </w:pPr>
      <w:r>
        <w:rPr>
          <w:rFonts w:ascii="Times New Roman" w:hAnsi="Times New Roman" w:cs="Times New Roman" w:eastAsia="Times New Roman" w:hint="default"/>
        </w:rPr>
        <w:t>1</w:t>
      </w:r>
      <w:r>
        <w:rPr/>
        <w:t>、行业政策风险</w:t>
      </w:r>
      <w:r>
        <w:rPr>
          <w:b w:val="0"/>
          <w:bCs w:val="0"/>
        </w:rPr>
      </w:r>
    </w:p>
    <w:p>
      <w:pPr>
        <w:spacing w:line="268" w:lineRule="auto" w:before="5"/>
        <w:ind w:left="153" w:right="1125" w:firstLine="480"/>
        <w:jc w:val="both"/>
        <w:rPr>
          <w:rFonts w:ascii="宋体" w:hAnsi="宋体" w:cs="宋体" w:eastAsia="宋体" w:hint="default"/>
          <w:sz w:val="21"/>
          <w:szCs w:val="21"/>
        </w:rPr>
      </w:pPr>
      <w:r>
        <w:rPr>
          <w:rFonts w:ascii="宋体" w:hAnsi="宋体" w:cs="宋体" w:eastAsia="宋体" w:hint="default"/>
          <w:spacing w:val="-4"/>
          <w:sz w:val="21"/>
          <w:szCs w:val="21"/>
        </w:rPr>
        <w:t>公司长期为能源行业企业管理提供产品与服务，公司的发展受能源行业信息化需求的影响，也受到国</w:t>
      </w:r>
      <w:r>
        <w:rPr>
          <w:rFonts w:ascii="宋体" w:hAnsi="宋体" w:cs="宋体" w:eastAsia="宋体" w:hint="default"/>
          <w:w w:val="100"/>
          <w:sz w:val="21"/>
          <w:szCs w:val="21"/>
        </w:rPr>
        <w:t> </w:t>
      </w:r>
      <w:r>
        <w:rPr>
          <w:rFonts w:ascii="宋体" w:hAnsi="宋体" w:cs="宋体" w:eastAsia="宋体" w:hint="default"/>
          <w:spacing w:val="-3"/>
          <w:sz w:val="21"/>
          <w:szCs w:val="21"/>
        </w:rPr>
        <w:t>家行业政策的影响。随着能源互联网、新基建相关政策出台，</w:t>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网络、特高压、人工智能等迎来良好的发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展机遇，能源互联网相关的投资也将加大，同时也带来一定的行业风险。公司将积极关注相关政策，对市</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场变化做出准确快速的应对举措，持续探索创新模式，研究能源互联网适配方案，促进能源互联网产业核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心产品的研发，增强公司未来在行业的核心竞争力。</w:t>
      </w:r>
    </w:p>
    <w:p>
      <w:pPr>
        <w:pStyle w:val="Heading2"/>
        <w:spacing w:line="319" w:lineRule="exact"/>
        <w:ind w:right="0"/>
        <w:jc w:val="both"/>
        <w:rPr>
          <w:b w:val="0"/>
          <w:bCs w:val="0"/>
        </w:rPr>
      </w:pPr>
      <w:r>
        <w:rPr>
          <w:rFonts w:ascii="Times New Roman" w:hAnsi="Times New Roman" w:cs="Times New Roman" w:eastAsia="Times New Roman" w:hint="default"/>
        </w:rPr>
        <w:t>2</w:t>
      </w:r>
      <w:r>
        <w:rPr/>
        <w:t>、市场竞争风险</w:t>
      </w:r>
      <w:r>
        <w:rPr>
          <w:b w:val="0"/>
          <w:bCs w:val="0"/>
        </w:rPr>
      </w:r>
    </w:p>
    <w:p>
      <w:pPr>
        <w:spacing w:line="273" w:lineRule="auto" w:before="5"/>
        <w:ind w:left="153" w:right="0" w:firstLine="480"/>
        <w:jc w:val="left"/>
        <w:rPr>
          <w:rFonts w:ascii="宋体" w:hAnsi="宋体" w:cs="宋体" w:eastAsia="宋体" w:hint="default"/>
          <w:sz w:val="21"/>
          <w:szCs w:val="21"/>
        </w:rPr>
      </w:pPr>
      <w:r>
        <w:rPr>
          <w:rFonts w:ascii="宋体" w:hAnsi="宋体" w:cs="宋体" w:eastAsia="宋体" w:hint="default"/>
          <w:spacing w:val="-4"/>
          <w:sz w:val="21"/>
          <w:szCs w:val="21"/>
        </w:rPr>
        <w:t>在电力体制新一轮改革的时代机遇下，多元化投资主体纷纷涌入，电力业务尤其是配售电行业信息化</w:t>
      </w:r>
      <w:r>
        <w:rPr>
          <w:rFonts w:ascii="宋体" w:hAnsi="宋体" w:cs="宋体" w:eastAsia="宋体" w:hint="default"/>
          <w:w w:val="100"/>
          <w:sz w:val="21"/>
          <w:szCs w:val="21"/>
        </w:rPr>
        <w:t> </w:t>
      </w:r>
      <w:r>
        <w:rPr>
          <w:rFonts w:ascii="宋体" w:hAnsi="宋体" w:cs="宋体" w:eastAsia="宋体" w:hint="default"/>
          <w:spacing w:val="-2"/>
          <w:sz w:val="21"/>
          <w:szCs w:val="21"/>
        </w:rPr>
        <w:t>领域同质化竞争现象严重。公司将凭借多年来深耕电力行业的优势，利用多年行业积累的市场敏感性，对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行业发展做出正确的分析和判断，适时调整产品战略。充分利用云大物移智链等新技术，打通能源产业链，</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打造能源互联网核心产品，构建能源服务生态链。使公司产品具备行业稀缺性和较高的技术性，有力的提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升公司的核心竞争力。</w:t>
      </w:r>
    </w:p>
    <w:p>
      <w:pPr>
        <w:pStyle w:val="Heading2"/>
        <w:spacing w:line="315" w:lineRule="exact"/>
        <w:ind w:right="0"/>
        <w:jc w:val="both"/>
        <w:rPr>
          <w:b w:val="0"/>
          <w:bCs w:val="0"/>
        </w:rPr>
      </w:pPr>
      <w:r>
        <w:rPr>
          <w:rFonts w:ascii="Times New Roman" w:hAnsi="Times New Roman" w:cs="Times New Roman" w:eastAsia="Times New Roman" w:hint="default"/>
        </w:rPr>
        <w:t>3</w:t>
      </w:r>
      <w:r>
        <w:rPr/>
        <w:t>、高端技术人才相对不足的风险</w:t>
      </w:r>
      <w:r>
        <w:rPr>
          <w:b w:val="0"/>
          <w:bCs w:val="0"/>
        </w:rPr>
      </w:r>
    </w:p>
    <w:p>
      <w:pPr>
        <w:spacing w:line="273" w:lineRule="auto" w:before="5"/>
        <w:ind w:left="153" w:right="0" w:firstLine="480"/>
        <w:jc w:val="left"/>
        <w:rPr>
          <w:rFonts w:ascii="宋体" w:hAnsi="宋体" w:cs="宋体" w:eastAsia="宋体" w:hint="default"/>
          <w:sz w:val="21"/>
          <w:szCs w:val="21"/>
        </w:rPr>
      </w:pPr>
      <w:r>
        <w:rPr>
          <w:rFonts w:ascii="宋体" w:hAnsi="宋体" w:cs="宋体" w:eastAsia="宋体" w:hint="default"/>
          <w:spacing w:val="-4"/>
          <w:sz w:val="21"/>
          <w:szCs w:val="21"/>
        </w:rPr>
        <w:t>软件行业属于技术密集型的高科技行业，针对大型集团的管理软件，由于应用场景复杂、性能要求严</w:t>
      </w:r>
      <w:r>
        <w:rPr>
          <w:rFonts w:ascii="宋体" w:hAnsi="宋体" w:cs="宋体" w:eastAsia="宋体" w:hint="default"/>
          <w:w w:val="100"/>
          <w:sz w:val="21"/>
          <w:szCs w:val="21"/>
        </w:rPr>
        <w:t> </w:t>
      </w:r>
      <w:r>
        <w:rPr>
          <w:rFonts w:ascii="宋体" w:hAnsi="宋体" w:cs="宋体" w:eastAsia="宋体" w:hint="default"/>
          <w:spacing w:val="-2"/>
          <w:sz w:val="21"/>
          <w:szCs w:val="21"/>
        </w:rPr>
        <w:t>苛，因此，对软件的研发、实施和咨询服务都提出了更高的人才要求。公司需准确把握新技术发展动向和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趋势，将前沿技术与公司现有技术平台、核心产品有效结合，储备对应的高端技术人才。公司将结合未来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sz w:val="21"/>
          <w:szCs w:val="21"/>
        </w:rPr>
        <w:t>发展战略，重点引进高素质、高技术的核心人才；加强校园招聘，储备高素质后备人才；加强与高校合作，</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建立高端人才培养基地；对公司现有的技术骨干、管理骨干等核心人才的育留提供强有力的职能支持。</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报告期内接待调研、沟通、采访等活动登记表" w:id="61"/>
      <w:bookmarkEnd w:id="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深交所互动易平台，网址：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984"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52"/>
              <w:ind w:left="23" w:right="103"/>
              <w:jc w:val="both"/>
              <w:rPr>
                <w:rFonts w:ascii="Times New Roman" w:hAnsi="Times New Roman" w:cs="Times New Roman" w:eastAsia="Times New Roman" w:hint="default"/>
                <w:sz w:val="18"/>
                <w:szCs w:val="18"/>
              </w:rPr>
            </w:pPr>
            <w:hyperlink r:id="rId13">
              <w:r>
                <w:rPr>
                  <w:rFonts w:ascii="Times New Roman"/>
                  <w:spacing w:val="-2"/>
                  <w:sz w:val="18"/>
                </w:rPr>
                <w:t>http://irm.cninfo.com.cn/ircs/company/c</w:t>
              </w:r>
            </w:hyperlink>
            <w:r>
              <w:rPr>
                <w:rFonts w:ascii="Times New Roman"/>
                <w:spacing w:val="10"/>
                <w:sz w:val="18"/>
              </w:rPr>
              <w:t> </w:t>
            </w:r>
            <w:r>
              <w:rPr>
                <w:rFonts w:ascii="Times New Roman"/>
                <w:spacing w:val="10"/>
                <w:sz w:val="18"/>
              </w:rPr>
            </w:r>
            <w:r>
              <w:rPr>
                <w:rFonts w:ascii="Times New Roman"/>
                <w:spacing w:val="-2"/>
                <w:sz w:val="18"/>
              </w:rPr>
              <w:t>ompanyDetail?stockcode=002063&amp;orgI</w:t>
            </w:r>
            <w:r>
              <w:rPr>
                <w:rFonts w:ascii="Times New Roman"/>
                <w:spacing w:val="11"/>
                <w:sz w:val="18"/>
              </w:rPr>
              <w:t> </w:t>
            </w:r>
            <w:r>
              <w:rPr>
                <w:rFonts w:ascii="Times New Roman"/>
                <w:spacing w:val="11"/>
                <w:sz w:val="18"/>
              </w:rPr>
            </w:r>
            <w:r>
              <w:rPr>
                <w:rFonts w:ascii="Times New Roman"/>
                <w:sz w:val="18"/>
              </w:rPr>
              <w:t>d=9900000382</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4"/>
              <w:ind w:left="23" w:right="10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深交所互动易平台，网址：</w:t>
            </w:r>
            <w:r>
              <w:rPr>
                <w:rFonts w:ascii="宋体" w:hAnsi="宋体" w:cs="宋体" w:eastAsia="宋体" w:hint="default"/>
                <w:spacing w:val="-51"/>
                <w:sz w:val="18"/>
                <w:szCs w:val="18"/>
              </w:rPr>
              <w:t> </w:t>
            </w:r>
            <w:r>
              <w:rPr>
                <w:rFonts w:ascii="宋体" w:hAnsi="宋体" w:cs="宋体" w:eastAsia="宋体" w:hint="default"/>
                <w:spacing w:val="-51"/>
                <w:sz w:val="18"/>
                <w:szCs w:val="18"/>
              </w:rPr>
            </w:r>
            <w:hyperlink r:id="rId13">
              <w:r>
                <w:rPr>
                  <w:rFonts w:ascii="Times New Roman" w:hAnsi="Times New Roman" w:cs="Times New Roman" w:eastAsia="Times New Roman" w:hint="default"/>
                  <w:spacing w:val="-2"/>
                  <w:sz w:val="18"/>
                  <w:szCs w:val="18"/>
                </w:rPr>
                <w:t>http://irm.cninfo.com.cn/ircs/company/c</w:t>
              </w:r>
            </w:hyperlink>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2"/>
                <w:sz w:val="18"/>
                <w:szCs w:val="18"/>
              </w:rPr>
              <w:t>ompanyDetail?stockcode=002063&amp;orgI</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z w:val="18"/>
                <w:szCs w:val="18"/>
              </w:rPr>
              <w:t>d=9900000382</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10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深交所互动易平台，网址：</w:t>
            </w:r>
            <w:r>
              <w:rPr>
                <w:rFonts w:ascii="宋体" w:hAnsi="宋体" w:cs="宋体" w:eastAsia="宋体" w:hint="default"/>
                <w:spacing w:val="-51"/>
                <w:sz w:val="18"/>
                <w:szCs w:val="18"/>
              </w:rPr>
              <w:t> </w:t>
            </w:r>
            <w:r>
              <w:rPr>
                <w:rFonts w:ascii="宋体" w:hAnsi="宋体" w:cs="宋体" w:eastAsia="宋体" w:hint="default"/>
                <w:spacing w:val="-51"/>
                <w:sz w:val="18"/>
                <w:szCs w:val="18"/>
              </w:rPr>
            </w:r>
            <w:hyperlink r:id="rId13">
              <w:r>
                <w:rPr>
                  <w:rFonts w:ascii="Times New Roman" w:hAnsi="Times New Roman" w:cs="Times New Roman" w:eastAsia="Times New Roman" w:hint="default"/>
                  <w:spacing w:val="-2"/>
                  <w:sz w:val="18"/>
                  <w:szCs w:val="18"/>
                </w:rPr>
                <w:t>http://irm.cninfo.com.cn/ircs/company/c</w:t>
              </w:r>
            </w:hyperlink>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2"/>
                <w:sz w:val="18"/>
                <w:szCs w:val="18"/>
              </w:rPr>
              <w:t>ompanyDetail?stockcode=002063&amp;orgI</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z w:val="18"/>
                <w:szCs w:val="18"/>
              </w:rPr>
              <w:t>d=9900000382</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23" w:right="10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深交所互动易平台，网址：</w:t>
            </w:r>
            <w:r>
              <w:rPr>
                <w:rFonts w:ascii="宋体" w:hAnsi="宋体" w:cs="宋体" w:eastAsia="宋体" w:hint="default"/>
                <w:spacing w:val="-51"/>
                <w:sz w:val="18"/>
                <w:szCs w:val="18"/>
              </w:rPr>
              <w:t> </w:t>
            </w:r>
            <w:r>
              <w:rPr>
                <w:rFonts w:ascii="宋体" w:hAnsi="宋体" w:cs="宋体" w:eastAsia="宋体" w:hint="default"/>
                <w:spacing w:val="-51"/>
                <w:sz w:val="18"/>
                <w:szCs w:val="18"/>
              </w:rPr>
            </w:r>
            <w:hyperlink r:id="rId13">
              <w:r>
                <w:rPr>
                  <w:rFonts w:ascii="Times New Roman" w:hAnsi="Times New Roman" w:cs="Times New Roman" w:eastAsia="Times New Roman" w:hint="default"/>
                  <w:spacing w:val="-2"/>
                  <w:sz w:val="18"/>
                  <w:szCs w:val="18"/>
                </w:rPr>
                <w:t>http://irm.cninfo.com.cn/ircs/company/c</w:t>
              </w:r>
            </w:hyperlink>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2"/>
                <w:sz w:val="18"/>
                <w:szCs w:val="18"/>
              </w:rPr>
              <w:t>ompanyDetail?stockcode=002063&amp;orgI</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z w:val="18"/>
                <w:szCs w:val="18"/>
              </w:rPr>
              <w:t>d=9900000382</w:t>
            </w:r>
          </w:p>
        </w:tc>
      </w:tr>
    </w:tbl>
    <w:p>
      <w:pPr>
        <w:spacing w:after="0" w:line="362"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right="4113"/>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line="312" w:lineRule="auto" w:before="115"/>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报告期内，根据公司</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年度股东大会审议通过的</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年度利润分配方案：以未来实施</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年度权益分配方案时股权登记日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的总股本为基数，向全体股东每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元（含税）。公司于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日刊登了《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年度权益分派实施公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日实施完毕。</w:t>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312" w:lineRule="auto" w:before="46"/>
        <w:ind w:left="153" w:right="1547"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5"/>
          <w:w w:val="101"/>
          <w:sz w:val="18"/>
          <w:szCs w:val="18"/>
        </w:rPr>
        <w:t>年（包括本报告期）的普通股股利分配方案（预案）、资本公积金转增股本方案（预案）情况</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年度利润分配预案为： </w:t>
      </w:r>
      <w:r>
        <w:rPr>
          <w:rFonts w:ascii="宋体" w:hAnsi="宋体" w:cs="宋体" w:eastAsia="宋体" w:hint="default"/>
          <w:spacing w:val="-3"/>
          <w:sz w:val="18"/>
          <w:szCs w:val="18"/>
        </w:rPr>
        <w:t>在综合考虑公司业务前景、资产状况以及市场环境的前提下，以未来实施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w:t>
      </w:r>
      <w:r>
        <w:rPr>
          <w:rFonts w:ascii="宋体" w:hAnsi="宋体" w:cs="宋体" w:eastAsia="宋体" w:hint="default"/>
          <w:spacing w:val="-25"/>
          <w:sz w:val="18"/>
          <w:szCs w:val="18"/>
        </w:rPr>
        <w:t> </w:t>
      </w:r>
      <w:r>
        <w:rPr>
          <w:rFonts w:ascii="宋体" w:hAnsi="宋体" w:cs="宋体" w:eastAsia="宋体" w:hint="default"/>
          <w:spacing w:val="-3"/>
          <w:sz w:val="18"/>
          <w:szCs w:val="18"/>
        </w:rPr>
        <w:t>权益分配方案时股权登记日的总股本为基数，向全体股东每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0.55</w:t>
      </w:r>
      <w:r>
        <w:rPr>
          <w:rFonts w:ascii="宋体" w:hAnsi="宋体" w:cs="宋体" w:eastAsia="宋体" w:hint="default"/>
          <w:spacing w:val="-3"/>
          <w:sz w:val="18"/>
          <w:szCs w:val="18"/>
        </w:rPr>
        <w:t>元（含税）、送红股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股（含税），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以资本公积金向全体股东每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股转增</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 </w:t>
      </w:r>
      <w:r>
        <w:rPr>
          <w:rFonts w:ascii="宋体" w:hAnsi="宋体" w:cs="宋体" w:eastAsia="宋体" w:hint="default"/>
          <w:spacing w:val="34"/>
          <w:sz w:val="18"/>
          <w:szCs w:val="18"/>
        </w:rPr>
        <w:t> </w:t>
      </w:r>
      <w:r>
        <w:rPr>
          <w:rFonts w:ascii="宋体" w:hAnsi="宋体" w:cs="宋体" w:eastAsia="宋体" w:hint="default"/>
          <w:spacing w:val="-3"/>
          <w:sz w:val="18"/>
          <w:szCs w:val="18"/>
        </w:rPr>
        <w:t>本次利润分配方案完成后，剩余未分配利润结转至以后年度。</w:t>
      </w:r>
    </w:p>
    <w:p>
      <w:pPr>
        <w:spacing w:line="240" w:lineRule="auto" w:before="1"/>
        <w:rPr>
          <w:rFonts w:ascii="宋体" w:hAnsi="宋体" w:cs="宋体" w:eastAsia="宋体" w:hint="default"/>
          <w:sz w:val="24"/>
          <w:szCs w:val="24"/>
        </w:rPr>
      </w:pPr>
    </w:p>
    <w:p>
      <w:pPr>
        <w:spacing w:line="304"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年年度权益分派方案为：以公司现有总股本</w:t>
      </w:r>
      <w:r>
        <w:rPr>
          <w:rFonts w:ascii="Times New Roman" w:hAnsi="Times New Roman" w:cs="Times New Roman" w:eastAsia="Times New Roman" w:hint="default"/>
          <w:spacing w:val="-5"/>
          <w:sz w:val="18"/>
          <w:szCs w:val="18"/>
        </w:rPr>
        <w:t>849,403,251</w:t>
      </w:r>
      <w:r>
        <w:rPr>
          <w:rFonts w:ascii="宋体" w:hAnsi="宋体" w:cs="宋体" w:eastAsia="宋体" w:hint="default"/>
          <w:spacing w:val="-5"/>
          <w:sz w:val="18"/>
          <w:szCs w:val="18"/>
        </w:rPr>
        <w:t>股为基数，向全体股东每</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股派</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元人民币现金（含</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税；扣税后，通过深股通持有股份的香港市场投资者、</w:t>
      </w:r>
      <w:r>
        <w:rPr>
          <w:rFonts w:ascii="Times New Roman" w:hAnsi="Times New Roman" w:cs="Times New Roman" w:eastAsia="Times New Roman" w:hint="default"/>
          <w:spacing w:val="-3"/>
          <w:sz w:val="18"/>
          <w:szCs w:val="18"/>
        </w:rPr>
        <w:t>QFII</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RQFII</w:t>
      </w:r>
      <w:r>
        <w:rPr>
          <w:rFonts w:ascii="宋体" w:hAnsi="宋体" w:cs="宋体" w:eastAsia="宋体" w:hint="default"/>
          <w:spacing w:val="-3"/>
          <w:sz w:val="18"/>
          <w:szCs w:val="18"/>
        </w:rPr>
        <w:t>以及持有首发前限售股的个人和证券投资基金每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w:t>
      </w:r>
      <w:r>
        <w:rPr>
          <w:rFonts w:ascii="Times New Roman" w:hAnsi="Times New Roman" w:cs="Times New Roman" w:eastAsia="Times New Roman" w:hint="default"/>
          <w:spacing w:val="-3"/>
          <w:sz w:val="18"/>
          <w:szCs w:val="18"/>
        </w:rPr>
        <w:t>0.45</w:t>
      </w:r>
      <w:r>
        <w:rPr>
          <w:rFonts w:ascii="宋体" w:hAnsi="宋体" w:cs="宋体" w:eastAsia="宋体" w:hint="default"/>
          <w:spacing w:val="-3"/>
          <w:sz w:val="18"/>
          <w:szCs w:val="18"/>
        </w:rPr>
        <w:t>元；持有首发后限售股、股权激励限售股及无限售流通股的个人股息红利税实行差别化税率征收，本公司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暂不扣缴个人所得税，待个人转让股票时，根据其持股期限计算应纳税额；持有首发后限售股、股权激励限售股及无</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限售流通股的证券投资基金所涉红利税，对香港投资者持有基金份额部分按</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征收，对内地投资者持有基金份额部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分实行差别化税率征收）。该利润分配方案已于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日实施完毕。</w:t>
      </w:r>
    </w:p>
    <w:p>
      <w:pPr>
        <w:spacing w:line="240" w:lineRule="auto" w:before="0"/>
        <w:rPr>
          <w:rFonts w:ascii="宋体" w:hAnsi="宋体" w:cs="宋体" w:eastAsia="宋体" w:hint="default"/>
          <w:sz w:val="18"/>
          <w:szCs w:val="18"/>
        </w:rPr>
      </w:pPr>
    </w:p>
    <w:p>
      <w:pPr>
        <w:spacing w:line="302" w:lineRule="auto" w:before="128"/>
        <w:ind w:left="153" w:right="154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年年度权益分派方案为：以公司现有总股本</w:t>
      </w:r>
      <w:r>
        <w:rPr>
          <w:rFonts w:ascii="Times New Roman" w:hAnsi="Times New Roman" w:cs="Times New Roman" w:eastAsia="Times New Roman" w:hint="default"/>
          <w:spacing w:val="-2"/>
          <w:sz w:val="18"/>
          <w:szCs w:val="18"/>
        </w:rPr>
        <w:t>607,014,388</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股送红股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股，派</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元</w:t>
      </w:r>
      <w:r>
        <w:rPr>
          <w:rFonts w:ascii="宋体" w:hAnsi="宋体" w:cs="宋体" w:eastAsia="宋体" w:hint="default"/>
          <w:spacing w:val="34"/>
          <w:sz w:val="18"/>
          <w:szCs w:val="18"/>
        </w:rPr>
        <w:t> </w:t>
      </w:r>
      <w:r>
        <w:rPr>
          <w:rFonts w:ascii="宋体" w:hAnsi="宋体" w:cs="宋体" w:eastAsia="宋体" w:hint="default"/>
          <w:spacing w:val="-3"/>
          <w:sz w:val="18"/>
          <w:szCs w:val="18"/>
        </w:rPr>
        <w:t>人民币现金（含税；扣税后，通过深股通持有股份的香港市场投资者、</w:t>
      </w:r>
      <w:r>
        <w:rPr>
          <w:rFonts w:ascii="Times New Roman" w:hAnsi="Times New Roman" w:cs="Times New Roman" w:eastAsia="Times New Roman" w:hint="default"/>
          <w:spacing w:val="-3"/>
          <w:sz w:val="18"/>
          <w:szCs w:val="18"/>
        </w:rPr>
        <w:t>QFII</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RQFII</w:t>
      </w:r>
      <w:r>
        <w:rPr>
          <w:rFonts w:ascii="宋体" w:hAnsi="宋体" w:cs="宋体" w:eastAsia="宋体" w:hint="default"/>
          <w:spacing w:val="-3"/>
          <w:sz w:val="18"/>
          <w:szCs w:val="18"/>
        </w:rPr>
        <w:t>以及持有首发前限售股的个人和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证券投资基金每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w:t>
      </w:r>
      <w:r>
        <w:rPr>
          <w:rFonts w:ascii="Times New Roman" w:hAnsi="Times New Roman" w:cs="Times New Roman" w:eastAsia="Times New Roman" w:hint="default"/>
          <w:spacing w:val="-3"/>
          <w:sz w:val="18"/>
          <w:szCs w:val="18"/>
        </w:rPr>
        <w:t>0.25</w:t>
      </w:r>
      <w:r>
        <w:rPr>
          <w:rFonts w:ascii="宋体" w:hAnsi="宋体" w:cs="宋体" w:eastAsia="宋体" w:hint="default"/>
          <w:spacing w:val="-3"/>
          <w:sz w:val="18"/>
          <w:szCs w:val="18"/>
        </w:rPr>
        <w:t>元；持有首发后限售股、股权激励限售股及无限售流通股的个人股息红利税实行差别化税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率征收，公司暂不扣缴个人所得税，待个人转让股票时，根据其持股期限计算应纳税额；持有首发后限售股、股权激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励限售股及无限售流通股的证券投资基金所涉红利税，对香港投资者持有基金份额部分按</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征收，对内地投资者持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有基金份额部分实行差别化税率征收），同时，以资本公积金向全体股东每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股转增</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股。该利润分配方案已于</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日实施完毕。</w:t>
      </w:r>
    </w:p>
    <w:p>
      <w:pPr>
        <w:spacing w:before="5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2"/>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46,643,643.20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226,707,159.85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46,643,643.20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20.57%</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42,470,162.55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194,695,651.63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8"/>
                <w:szCs w:val="18"/>
              </w:rPr>
            </w:pPr>
            <w:r>
              <w:rPr>
                <w:rFonts w:ascii="Times New Roman"/>
                <w:spacing w:val="-1"/>
                <w:sz w:val="18"/>
              </w:rPr>
              <w:t>42,470,162.55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Times New Roman" w:hAnsi="Times New Roman" w:cs="Times New Roman" w:eastAsia="Times New Roman" w:hint="default"/>
                <w:sz w:val="18"/>
                <w:szCs w:val="18"/>
              </w:rPr>
            </w:pPr>
            <w:r>
              <w:rPr>
                <w:rFonts w:ascii="Times New Roman"/>
                <w:spacing w:val="-1"/>
                <w:sz w:val="18"/>
              </w:rPr>
              <w:t>21.81%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30,350,719.40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172,272,603.75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30,350,719.40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17.62%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4"/>
        <w:gridCol w:w="5783"/>
      </w:tblGrid>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58" w:hRule="exact"/>
        </w:trPr>
        <w:tc>
          <w:tcPr>
            <w:tcW w:w="3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3"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848,066,240</w:t>
            </w:r>
          </w:p>
        </w:tc>
      </w:tr>
      <w:tr>
        <w:trPr>
          <w:trHeight w:val="394" w:hRule="exact"/>
        </w:trPr>
        <w:tc>
          <w:tcPr>
            <w:tcW w:w="3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83" w:type="dxa"/>
            <w:vMerge/>
            <w:tcBorders>
              <w:left w:val="single" w:sz="13" w:space="0" w:color="D2D2D2"/>
              <w:right w:val="single" w:sz="4" w:space="0" w:color="000000"/>
            </w:tcBorders>
          </w:tcPr>
          <w:p>
            <w:pPr/>
          </w:p>
        </w:tc>
      </w:tr>
      <w:tr>
        <w:trPr>
          <w:trHeight w:val="158" w:hRule="exact"/>
        </w:trPr>
        <w:tc>
          <w:tcPr>
            <w:tcW w:w="3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3" w:type="dxa"/>
            <w:vMerge/>
            <w:tcBorders>
              <w:left w:val="single" w:sz="13" w:space="0" w:color="D2D2D2"/>
              <w:bottom w:val="single" w:sz="4" w:space="0" w:color="000000"/>
              <w:right w:val="single" w:sz="4" w:space="0" w:color="000000"/>
            </w:tcBorders>
          </w:tcPr>
          <w:p>
            <w:pP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46,643,643.20</w:t>
            </w:r>
          </w:p>
        </w:tc>
      </w:tr>
      <w:tr>
        <w:trPr>
          <w:trHeight w:val="404" w:hRule="exact"/>
        </w:trPr>
        <w:tc>
          <w:tcPr>
            <w:tcW w:w="377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4"/>
              <w:ind w:left="11" w:right="-4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158" w:hRule="exact"/>
        </w:trPr>
        <w:tc>
          <w:tcPr>
            <w:tcW w:w="3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46,643,643.20</w:t>
            </w:r>
          </w:p>
        </w:tc>
      </w:tr>
      <w:tr>
        <w:trPr>
          <w:trHeight w:val="394" w:hRule="exact"/>
        </w:trPr>
        <w:tc>
          <w:tcPr>
            <w:tcW w:w="3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vMerge/>
            <w:tcBorders>
              <w:left w:val="single" w:sz="10" w:space="0" w:color="D2D2D2"/>
              <w:right w:val="single" w:sz="4" w:space="0" w:color="000000"/>
            </w:tcBorders>
          </w:tcPr>
          <w:p>
            <w:pPr/>
          </w:p>
        </w:tc>
      </w:tr>
      <w:tr>
        <w:trPr>
          <w:trHeight w:val="163" w:hRule="exact"/>
        </w:trPr>
        <w:tc>
          <w:tcPr>
            <w:tcW w:w="3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3" w:type="dxa"/>
            <w:vMerge/>
            <w:tcBorders>
              <w:left w:val="single" w:sz="10" w:space="0" w:color="D2D2D2"/>
              <w:bottom w:val="single" w:sz="4" w:space="0" w:color="000000"/>
              <w:right w:val="single" w:sz="4" w:space="0" w:color="000000"/>
            </w:tcBorders>
          </w:tcPr>
          <w:p>
            <w:pP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1,194,942,840.86</w:t>
            </w:r>
          </w:p>
        </w:tc>
      </w:tr>
      <w:tr>
        <w:trPr>
          <w:trHeight w:val="716"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21.57%</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99"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669"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年度母公司实现的净利润 </w:t>
            </w:r>
            <w:r>
              <w:rPr>
                <w:rFonts w:ascii="Times New Roman" w:hAnsi="Times New Roman" w:cs="Times New Roman" w:eastAsia="Times New Roman" w:hint="default"/>
                <w:sz w:val="18"/>
                <w:szCs w:val="18"/>
              </w:rPr>
              <w:t>166,046,665.38 </w:t>
            </w:r>
            <w:r>
              <w:rPr>
                <w:rFonts w:ascii="宋体" w:hAnsi="宋体" w:cs="宋体" w:eastAsia="宋体" w:hint="default"/>
                <w:spacing w:val="-10"/>
                <w:sz w:val="18"/>
                <w:szCs w:val="18"/>
              </w:rPr>
              <w:t>元，根据《公司法》以及《公司章程》的规定，按净利润的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计提法定盈余公积 </w:t>
            </w:r>
            <w:r>
              <w:rPr>
                <w:rFonts w:ascii="Times New Roman" w:hAnsi="Times New Roman" w:cs="Times New Roman" w:eastAsia="Times New Roman" w:hint="default"/>
                <w:sz w:val="18"/>
                <w:szCs w:val="18"/>
              </w:rPr>
              <w:t>16,604,666.54 </w:t>
            </w:r>
            <w:r>
              <w:rPr>
                <w:rFonts w:ascii="宋体" w:hAnsi="宋体" w:cs="宋体" w:eastAsia="宋体" w:hint="default"/>
                <w:spacing w:val="-3"/>
                <w:sz w:val="18"/>
                <w:szCs w:val="18"/>
              </w:rPr>
              <w:t>元，本年度实现可供股东分配的利润为 </w:t>
            </w:r>
            <w:r>
              <w:rPr>
                <w:rFonts w:ascii="Times New Roman" w:hAnsi="Times New Roman" w:cs="Times New Roman" w:eastAsia="Times New Roman" w:hint="default"/>
                <w:sz w:val="18"/>
                <w:szCs w:val="18"/>
              </w:rPr>
              <w:t>149,441,998.84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元；加上以前年度未分配利润</w:t>
            </w:r>
          </w:p>
          <w:p>
            <w:pPr>
              <w:pStyle w:val="TableParagraph"/>
              <w:spacing w:line="240" w:lineRule="auto" w:before="6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1,045,500,842.02 </w:t>
            </w:r>
            <w:r>
              <w:rPr>
                <w:rFonts w:ascii="宋体" w:hAnsi="宋体" w:cs="宋体" w:eastAsia="宋体" w:hint="default"/>
                <w:spacing w:val="-3"/>
                <w:sz w:val="18"/>
                <w:szCs w:val="18"/>
              </w:rPr>
              <w:t>元，本年度可供股东分配的未分配利润为 </w:t>
            </w:r>
            <w:r>
              <w:rPr>
                <w:rFonts w:ascii="Times New Roman" w:hAnsi="Times New Roman" w:cs="Times New Roman" w:eastAsia="Times New Roman" w:hint="default"/>
                <w:sz w:val="18"/>
                <w:szCs w:val="18"/>
              </w:rPr>
              <w:t>1,194,942,840.86</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96"/>
              <w:ind w:left="554"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年度合并报表实现归属上市公司股东的净利润 </w:t>
            </w:r>
            <w:r>
              <w:rPr>
                <w:rFonts w:ascii="Times New Roman" w:hAnsi="Times New Roman" w:cs="Times New Roman" w:eastAsia="Times New Roman" w:hint="default"/>
                <w:sz w:val="18"/>
                <w:szCs w:val="18"/>
              </w:rPr>
              <w:t>226,707,159.85</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元，根据《公司法》以及《公司章程》的规</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定，计提法定盈余公积 </w:t>
            </w:r>
            <w:r>
              <w:rPr>
                <w:rFonts w:ascii="Times New Roman" w:hAnsi="Times New Roman" w:cs="Times New Roman" w:eastAsia="Times New Roman" w:hint="default"/>
                <w:sz w:val="18"/>
                <w:szCs w:val="18"/>
              </w:rPr>
              <w:t>16,604,666.54 </w:t>
            </w:r>
            <w:r>
              <w:rPr>
                <w:rFonts w:ascii="宋体" w:hAnsi="宋体" w:cs="宋体" w:eastAsia="宋体" w:hint="default"/>
                <w:spacing w:val="-3"/>
                <w:sz w:val="18"/>
                <w:szCs w:val="18"/>
              </w:rPr>
              <w:t>元，本年度实现可供股东分配的利润为 </w:t>
            </w:r>
            <w:r>
              <w:rPr>
                <w:rFonts w:ascii="Times New Roman" w:hAnsi="Times New Roman" w:cs="Times New Roman" w:eastAsia="Times New Roman" w:hint="default"/>
                <w:sz w:val="18"/>
                <w:szCs w:val="18"/>
              </w:rPr>
              <w:t>210,102,493.31</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元；加上以前年度未分配利润</w:t>
            </w:r>
          </w:p>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1,014,181,008.80 </w:t>
            </w:r>
            <w:r>
              <w:rPr>
                <w:rFonts w:ascii="宋体" w:hAnsi="宋体" w:cs="宋体" w:eastAsia="宋体" w:hint="default"/>
                <w:spacing w:val="-3"/>
                <w:sz w:val="18"/>
                <w:szCs w:val="18"/>
              </w:rPr>
              <w:t>元，本年度可供股东分配的未分配利润为 </w:t>
            </w:r>
            <w:r>
              <w:rPr>
                <w:rFonts w:ascii="Times New Roman" w:hAnsi="Times New Roman" w:cs="Times New Roman" w:eastAsia="Times New Roman" w:hint="default"/>
                <w:sz w:val="18"/>
                <w:szCs w:val="18"/>
              </w:rPr>
              <w:t>1,224,283,502.11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240" w:lineRule="auto" w:before="101"/>
              <w:ind w:left="554" w:right="0"/>
              <w:jc w:val="left"/>
              <w:rPr>
                <w:rFonts w:ascii="宋体" w:hAnsi="宋体" w:cs="宋体" w:eastAsia="宋体" w:hint="default"/>
                <w:sz w:val="18"/>
                <w:szCs w:val="18"/>
              </w:rPr>
            </w:pPr>
            <w:r>
              <w:rPr>
                <w:rFonts w:ascii="宋体" w:hAnsi="宋体" w:cs="宋体" w:eastAsia="宋体" w:hint="default"/>
                <w:spacing w:val="-3"/>
                <w:sz w:val="18"/>
                <w:szCs w:val="18"/>
              </w:rPr>
              <w:t>根据合并报表、母公司报表中可供分配利润孰低原则，本年度可供股东分配的未分配利润为 </w:t>
            </w:r>
            <w:r>
              <w:rPr>
                <w:rFonts w:ascii="Times New Roman" w:hAnsi="Times New Roman" w:cs="Times New Roman" w:eastAsia="Times New Roman" w:hint="default"/>
                <w:sz w:val="18"/>
                <w:szCs w:val="18"/>
              </w:rPr>
              <w:t>1,194,942,840.86 </w:t>
            </w:r>
            <w:r>
              <w:rPr>
                <w:rFonts w:ascii="Times New Roman" w:hAnsi="Times New Roman" w:cs="Times New Roman" w:eastAsia="Times New Roman" w:hint="default"/>
                <w:spacing w:val="30"/>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554" w:right="0"/>
              <w:jc w:val="left"/>
              <w:rPr>
                <w:rFonts w:ascii="宋体" w:hAnsi="宋体" w:cs="宋体" w:eastAsia="宋体" w:hint="default"/>
                <w:sz w:val="18"/>
                <w:szCs w:val="18"/>
              </w:rPr>
            </w:pPr>
            <w:r>
              <w:rPr>
                <w:rFonts w:ascii="宋体" w:hAnsi="宋体" w:cs="宋体" w:eastAsia="宋体" w:hint="default"/>
                <w:spacing w:val="-3"/>
                <w:sz w:val="18"/>
                <w:szCs w:val="18"/>
              </w:rPr>
              <w:t>在综合考虑公司业务前景、资产状况以及市场环境的前提下，以未来实施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年度权益分配方案时股权登记日的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9"/>
          <w:szCs w:val="29"/>
        </w:rPr>
      </w:pPr>
    </w:p>
    <w:p>
      <w:pPr>
        <w:spacing w:line="1296" w:lineRule="exact"/>
        <w:ind w:left="153"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5pt;height:64.8500pt;mso-position-horizontal-relative:char;mso-position-vertical-relative:line" type="#_x0000_t202" filled="false" stroked="true" strokeweight=".48004pt" strokecolor="#000000">
            <w10:anchorlock/>
            <v:textbox inset="0,0,0,0">
              <w:txbxContent>
                <w:p>
                  <w:pPr>
                    <w:spacing w:before="10"/>
                    <w:ind w:left="23" w:right="0" w:firstLine="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总</w:t>
                  </w:r>
                  <w:r>
                    <w:rPr>
                      <w:rFonts w:ascii="宋体" w:hAnsi="宋体" w:cs="宋体" w:eastAsia="宋体" w:hint="default"/>
                      <w:spacing w:val="-5"/>
                      <w:w w:val="101"/>
                      <w:sz w:val="18"/>
                      <w:szCs w:val="18"/>
                    </w:rPr>
                    <w:t>股</w:t>
                  </w:r>
                  <w:r>
                    <w:rPr>
                      <w:rFonts w:ascii="宋体" w:hAnsi="宋体" w:cs="宋体" w:eastAsia="宋体" w:hint="default"/>
                      <w:w w:val="101"/>
                      <w:sz w:val="18"/>
                      <w:szCs w:val="18"/>
                    </w:rPr>
                    <w:t>本</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向</w:t>
                  </w: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红</w:t>
                  </w:r>
                  <w:r>
                    <w:rPr>
                      <w:rFonts w:ascii="宋体" w:hAnsi="宋体" w:cs="宋体" w:eastAsia="宋体" w:hint="default"/>
                      <w:w w:val="101"/>
                      <w:sz w:val="18"/>
                      <w:szCs w:val="18"/>
                    </w:rPr>
                    <w:t>利</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送红股</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向</w:t>
                  </w:r>
                  <w:r>
                    <w:rPr>
                      <w:rFonts w:ascii="宋体" w:hAnsi="宋体" w:cs="宋体" w:eastAsia="宋体" w:hint="default"/>
                      <w:spacing w:val="-5"/>
                      <w:w w:val="101"/>
                      <w:sz w:val="18"/>
                      <w:szCs w:val="18"/>
                    </w:rPr>
                    <w:t>全</w:t>
                  </w:r>
                  <w:r>
                    <w:rPr>
                      <w:rFonts w:ascii="宋体" w:hAnsi="宋体" w:cs="宋体" w:eastAsia="宋体" w:hint="default"/>
                      <w:w w:val="101"/>
                      <w:sz w:val="18"/>
                      <w:szCs w:val="18"/>
                    </w:rPr>
                    <w:t>体</w:t>
                  </w:r>
                  <w:r>
                    <w:rPr>
                      <w:rFonts w:ascii="宋体" w:hAnsi="宋体" w:cs="宋体" w:eastAsia="宋体" w:hint="default"/>
                      <w:spacing w:val="-5"/>
                      <w:w w:val="101"/>
                      <w:sz w:val="18"/>
                      <w:szCs w:val="18"/>
                    </w:rPr>
                    <w:t>股</w:t>
                  </w:r>
                  <w:r>
                    <w:rPr>
                      <w:rFonts w:ascii="宋体" w:hAnsi="宋体" w:cs="宋体" w:eastAsia="宋体" w:hint="default"/>
                      <w:w w:val="101"/>
                      <w:sz w:val="18"/>
                      <w:szCs w:val="18"/>
                    </w:rPr>
                    <w:t>东每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z w:val="18"/>
                      <w:szCs w:val="18"/>
                    </w:rPr>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股转增</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股。以目前公司总股本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848,066,240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股为基数，预计派发现金红利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46,643,643.20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元，送红股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169,613,248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股，转</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增  </w:t>
                  </w:r>
                  <w:r>
                    <w:rPr>
                      <w:rFonts w:ascii="Times New Roman" w:hAnsi="Times New Roman" w:cs="Times New Roman" w:eastAsia="Times New Roman" w:hint="default"/>
                      <w:sz w:val="18"/>
                      <w:szCs w:val="18"/>
                    </w:rPr>
                    <w:t>84,806,624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股，转增金额没有超过报告期末“资本公积——股本溢价”的余额。本次利润分配方案完成后，剩余未分</w:t>
                  </w:r>
                </w:p>
                <w:p>
                  <w:pPr>
                    <w:spacing w:before="68"/>
                    <w:ind w:left="23" w:right="0" w:firstLine="0"/>
                    <w:jc w:val="left"/>
                    <w:rPr>
                      <w:rFonts w:ascii="宋体" w:hAnsi="宋体" w:cs="宋体" w:eastAsia="宋体" w:hint="default"/>
                      <w:sz w:val="18"/>
                      <w:szCs w:val="18"/>
                    </w:rPr>
                  </w:pPr>
                  <w:r>
                    <w:rPr>
                      <w:rFonts w:ascii="宋体" w:hAnsi="宋体" w:cs="宋体" w:eastAsia="宋体" w:hint="default"/>
                      <w:sz w:val="18"/>
                      <w:szCs w:val="18"/>
                    </w:rPr>
                    <w:t>配利润为 </w:t>
                  </w:r>
                  <w:r>
                    <w:rPr>
                      <w:rFonts w:ascii="Times New Roman" w:hAnsi="Times New Roman" w:cs="Times New Roman" w:eastAsia="Times New Roman" w:hint="default"/>
                      <w:sz w:val="18"/>
                      <w:szCs w:val="18"/>
                    </w:rPr>
                    <w:t>978,685,949.66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元，结转至以后年度。利润分配方案符合公司章程和相关法律法规的规定。</w:t>
                  </w:r>
                </w:p>
              </w:txbxContent>
            </v:textbox>
          </v:shape>
        </w:pict>
      </w:r>
      <w:r>
        <w:rPr>
          <w:rFonts w:ascii="宋体" w:hAnsi="宋体" w:cs="宋体" w:eastAsia="宋体" w:hint="default"/>
          <w:position w:val="-25"/>
          <w:sz w:val="20"/>
          <w:szCs w:val="20"/>
        </w:rPr>
      </w:r>
    </w:p>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5"/>
          <w:szCs w:val="25"/>
        </w:rPr>
      </w:pPr>
    </w:p>
    <w:p>
      <w:pPr>
        <w:spacing w:line="254" w:lineRule="auto" w:before="0"/>
        <w:ind w:left="153" w:right="0" w:firstLine="0"/>
        <w:jc w:val="left"/>
        <w:rPr>
          <w:rFonts w:ascii="宋体" w:hAnsi="宋体" w:cs="宋体" w:eastAsia="宋体" w:hint="default"/>
          <w:sz w:val="21"/>
          <w:szCs w:val="21"/>
        </w:rPr>
      </w:pPr>
      <w:bookmarkStart w:name="1、公司实际控制人、股东、关联方、收购人以及公司等承诺相关方在报告期内履行完毕及" w:id="67"/>
      <w:bookmarkEnd w:id="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pict>
          <v:shape style="position:absolute;margin-left:361.820007pt;margin-top:57.551723pt;width:61.75pt;height:101.35pt;mso-position-horizontal-relative:page;mso-position-vertical-relative:paragraph;z-index:-1385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031"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21" w:lineRule="auto"/>
              <w:ind w:left="16" w:right="12"/>
              <w:jc w:val="left"/>
              <w:rPr>
                <w:rFonts w:ascii="宋体" w:hAnsi="宋体" w:cs="宋体" w:eastAsia="宋体" w:hint="default"/>
                <w:sz w:val="18"/>
                <w:szCs w:val="18"/>
              </w:rPr>
            </w:pPr>
            <w:r>
              <w:rPr>
                <w:rFonts w:ascii="宋体" w:hAnsi="宋体" w:cs="宋体" w:eastAsia="宋体" w:hint="default"/>
                <w:spacing w:val="-4"/>
                <w:sz w:val="18"/>
                <w:szCs w:val="18"/>
              </w:rPr>
              <w:t>国网电商、陈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利浩、黄笑华</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关于保持上</w:t>
            </w:r>
            <w:r>
              <w:rPr>
                <w:rFonts w:ascii="宋体" w:hAnsi="宋体" w:cs="宋体" w:eastAsia="宋体" w:hint="default"/>
                <w:w w:val="101"/>
                <w:sz w:val="18"/>
                <w:szCs w:val="18"/>
              </w:rPr>
              <w:t> </w:t>
            </w:r>
            <w:r>
              <w:rPr>
                <w:rFonts w:ascii="宋体" w:hAnsi="宋体" w:cs="宋体" w:eastAsia="宋体" w:hint="default"/>
                <w:sz w:val="18"/>
                <w:szCs w:val="18"/>
              </w:rPr>
              <w:t>市公司独立</w:t>
            </w:r>
            <w:r>
              <w:rPr>
                <w:rFonts w:ascii="宋体" w:hAnsi="宋体" w:cs="宋体" w:eastAsia="宋体" w:hint="default"/>
                <w:w w:val="101"/>
                <w:sz w:val="18"/>
                <w:szCs w:val="18"/>
              </w:rPr>
              <w:t> </w:t>
            </w:r>
            <w:r>
              <w:rPr>
                <w:rFonts w:ascii="宋体" w:hAnsi="宋体" w:cs="宋体" w:eastAsia="宋体" w:hint="default"/>
                <w:spacing w:val="-4"/>
                <w:sz w:val="18"/>
                <w:szCs w:val="18"/>
              </w:rPr>
              <w:t>性、关于避免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同业竞争、关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于规范关联</w:t>
            </w:r>
            <w:r>
              <w:rPr>
                <w:rFonts w:ascii="宋体" w:hAnsi="宋体" w:cs="宋体" w:eastAsia="宋体" w:hint="default"/>
                <w:w w:val="101"/>
                <w:sz w:val="18"/>
                <w:szCs w:val="18"/>
              </w:rPr>
              <w:t> </w:t>
            </w:r>
            <w:r>
              <w:rPr>
                <w:rFonts w:ascii="宋体" w:hAnsi="宋体" w:cs="宋体" w:eastAsia="宋体" w:hint="default"/>
                <w:sz w:val="18"/>
                <w:szCs w:val="18"/>
              </w:rPr>
              <w:t>交易的承诺</w:t>
            </w:r>
          </w:p>
        </w:tc>
        <w:tc>
          <w:tcPr>
            <w:tcW w:w="1124" w:type="dxa"/>
            <w:vMerge w:val="restart"/>
            <w:tcBorders>
              <w:top w:val="single" w:sz="4" w:space="0" w:color="000000"/>
              <w:left w:val="single" w:sz="4" w:space="0" w:color="000000"/>
              <w:right w:val="single" w:sz="4" w:space="0" w:color="000000"/>
            </w:tcBorders>
          </w:tcPr>
          <w:p>
            <w:pPr>
              <w:pStyle w:val="TableParagraph"/>
              <w:spacing w:line="314" w:lineRule="auto" w:before="54"/>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公司资产、人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员、财务、机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构、业务独</w:t>
            </w:r>
            <w:r>
              <w:rPr>
                <w:rFonts w:ascii="宋体" w:hAnsi="宋体" w:cs="宋体" w:eastAsia="宋体" w:hint="default"/>
                <w:w w:val="101"/>
                <w:sz w:val="18"/>
                <w:szCs w:val="18"/>
              </w:rPr>
              <w:t> </w:t>
            </w:r>
            <w:r>
              <w:rPr>
                <w:rFonts w:ascii="宋体" w:hAnsi="宋体" w:cs="宋体" w:eastAsia="宋体" w:hint="default"/>
                <w:sz w:val="18"/>
                <w:szCs w:val="18"/>
              </w:rPr>
              <w:t>立；</w:t>
            </w:r>
            <w:r>
              <w:rPr>
                <w:rFonts w:ascii="Times New Roman" w:hAnsi="Times New Roman" w:cs="Times New Roman" w:eastAsia="Times New Roman" w:hint="default"/>
                <w:sz w:val="18"/>
                <w:szCs w:val="18"/>
              </w:rPr>
              <w:t>2</w:t>
            </w:r>
            <w:r>
              <w:rPr>
                <w:rFonts w:ascii="宋体" w:hAnsi="宋体" w:cs="宋体" w:eastAsia="宋体" w:hint="default"/>
                <w:sz w:val="18"/>
                <w:szCs w:val="18"/>
              </w:rPr>
              <w:t>、避免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同业竞争；</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规范与上市</w:t>
            </w:r>
            <w:r>
              <w:rPr>
                <w:rFonts w:ascii="宋体" w:hAnsi="宋体" w:cs="宋体" w:eastAsia="宋体" w:hint="default"/>
                <w:w w:val="101"/>
                <w:sz w:val="18"/>
                <w:szCs w:val="18"/>
              </w:rPr>
              <w:t> </w:t>
            </w:r>
            <w:r>
              <w:rPr>
                <w:rFonts w:ascii="宋体" w:hAnsi="宋体" w:cs="宋体" w:eastAsia="宋体" w:hint="default"/>
                <w:sz w:val="18"/>
                <w:szCs w:val="18"/>
              </w:rPr>
              <w:t>公司之间的</w:t>
            </w:r>
            <w:r>
              <w:rPr>
                <w:rFonts w:ascii="宋体" w:hAnsi="宋体" w:cs="宋体" w:eastAsia="宋体" w:hint="default"/>
                <w:w w:val="101"/>
                <w:sz w:val="18"/>
                <w:szCs w:val="18"/>
              </w:rPr>
              <w:t> </w:t>
            </w:r>
            <w:r>
              <w:rPr>
                <w:rFonts w:ascii="宋体" w:hAnsi="宋体" w:cs="宋体" w:eastAsia="宋体" w:hint="default"/>
                <w:spacing w:val="-4"/>
                <w:sz w:val="18"/>
                <w:szCs w:val="18"/>
              </w:rPr>
              <w:t>关联交易，自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觉维护上市</w:t>
            </w:r>
            <w:r>
              <w:rPr>
                <w:rFonts w:ascii="宋体" w:hAnsi="宋体" w:cs="宋体" w:eastAsia="宋体" w:hint="default"/>
                <w:w w:val="101"/>
                <w:sz w:val="18"/>
                <w:szCs w:val="18"/>
              </w:rPr>
              <w:t> </w:t>
            </w:r>
            <w:r>
              <w:rPr>
                <w:rFonts w:ascii="宋体" w:hAnsi="宋体" w:cs="宋体" w:eastAsia="宋体" w:hint="default"/>
                <w:sz w:val="18"/>
                <w:szCs w:val="18"/>
              </w:rPr>
              <w:t>公司及全体</w:t>
            </w:r>
            <w:r>
              <w:rPr>
                <w:rFonts w:ascii="宋体" w:hAnsi="宋体" w:cs="宋体" w:eastAsia="宋体" w:hint="default"/>
                <w:w w:val="101"/>
                <w:sz w:val="18"/>
                <w:szCs w:val="18"/>
              </w:rPr>
              <w:t> </w:t>
            </w:r>
            <w:r>
              <w:rPr>
                <w:rFonts w:ascii="宋体" w:hAnsi="宋体" w:cs="宋体" w:eastAsia="宋体" w:hint="default"/>
                <w:spacing w:val="-2"/>
                <w:sz w:val="18"/>
                <w:szCs w:val="18"/>
              </w:rPr>
              <w:t>股东的利益，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不利用关联</w:t>
            </w:r>
            <w:r>
              <w:rPr>
                <w:rFonts w:ascii="宋体" w:hAnsi="宋体" w:cs="宋体" w:eastAsia="宋体" w:hint="default"/>
                <w:w w:val="101"/>
                <w:sz w:val="18"/>
                <w:szCs w:val="18"/>
              </w:rPr>
              <w:t> </w:t>
            </w:r>
            <w:r>
              <w:rPr>
                <w:rFonts w:ascii="宋体" w:hAnsi="宋体" w:cs="宋体" w:eastAsia="宋体" w:hint="default"/>
                <w:sz w:val="18"/>
                <w:szCs w:val="18"/>
              </w:rPr>
              <w:t>交易谋取不</w:t>
            </w:r>
            <w:r>
              <w:rPr>
                <w:rFonts w:ascii="宋体" w:hAnsi="宋体" w:cs="宋体" w:eastAsia="宋体" w:hint="default"/>
                <w:w w:val="101"/>
                <w:sz w:val="18"/>
                <w:szCs w:val="18"/>
              </w:rPr>
              <w:t> </w:t>
            </w:r>
            <w:r>
              <w:rPr>
                <w:rFonts w:ascii="宋体" w:hAnsi="宋体" w:cs="宋体" w:eastAsia="宋体" w:hint="default"/>
                <w:sz w:val="18"/>
                <w:szCs w:val="18"/>
              </w:rPr>
              <w:t>正当利益。</w:t>
            </w:r>
          </w:p>
        </w:tc>
        <w:tc>
          <w:tcPr>
            <w:tcW w:w="1129" w:type="dxa"/>
            <w:vMerge w:val="restart"/>
            <w:tcBorders>
              <w:top w:val="single" w:sz="4" w:space="0" w:color="000000"/>
              <w:left w:val="single" w:sz="4" w:space="0" w:color="000000"/>
              <w:right w:val="single" w:sz="4" w:space="0" w:color="000000"/>
            </w:tcBorders>
          </w:tcPr>
          <w:p>
            <w:pPr>
              <w:pStyle w:val="TableParagraph"/>
              <w:spacing w:line="2026" w:lineRule="exact"/>
              <w:ind w:left="4" w:right="-51"/>
              <w:jc w:val="left"/>
              <w:rPr>
                <w:rFonts w:ascii="宋体" w:hAnsi="宋体" w:cs="宋体" w:eastAsia="宋体" w:hint="default"/>
                <w:sz w:val="20"/>
                <w:szCs w:val="20"/>
              </w:rPr>
            </w:pPr>
            <w:r>
              <w:rPr>
                <w:rFonts w:ascii="宋体" w:hAnsi="宋体" w:cs="宋体" w:eastAsia="宋体" w:hint="default"/>
                <w:position w:val="-40"/>
                <w:sz w:val="20"/>
                <w:szCs w:val="20"/>
              </w:rPr>
              <w:pict>
                <v:group style="width:55.75pt;height:101.35pt;mso-position-horizontal-relative:char;mso-position-vertical-relative:line" coordorigin="0,0" coordsize="1115,2027">
                  <v:group style="position:absolute;left:0;top:0;width:1115;height:2027" coordorigin="0,0" coordsize="1115,2027">
                    <v:shape style="position:absolute;left:0;top:0;width:1115;height:2027" coordorigin="0,0" coordsize="1115,2027" path="m0,2027l1114,2027,1114,0,0,0,0,2027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诺人严格履</w:t>
            </w:r>
            <w:r>
              <w:rPr>
                <w:rFonts w:ascii="宋体" w:hAnsi="宋体" w:cs="宋体" w:eastAsia="宋体" w:hint="default"/>
                <w:w w:val="101"/>
                <w:sz w:val="18"/>
                <w:szCs w:val="18"/>
              </w:rPr>
              <w:t> </w:t>
            </w:r>
            <w:r>
              <w:rPr>
                <w:rFonts w:ascii="宋体" w:hAnsi="宋体" w:cs="宋体" w:eastAsia="宋体" w:hint="default"/>
                <w:sz w:val="18"/>
                <w:szCs w:val="18"/>
              </w:rPr>
              <w:t>行了承诺。</w:t>
            </w:r>
          </w:p>
        </w:tc>
      </w:tr>
      <w:tr>
        <w:trPr>
          <w:trHeight w:val="706"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2031"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4"/>
                <w:sz w:val="18"/>
                <w:szCs w:val="18"/>
              </w:rPr>
              <w:t>陈利浩、林芝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地区荣光科</w:t>
            </w:r>
            <w:r>
              <w:rPr>
                <w:rFonts w:ascii="宋体" w:hAnsi="宋体" w:cs="宋体" w:eastAsia="宋体" w:hint="default"/>
                <w:w w:val="101"/>
                <w:sz w:val="18"/>
                <w:szCs w:val="18"/>
              </w:rPr>
              <w:t> </w:t>
            </w:r>
            <w:r>
              <w:rPr>
                <w:rFonts w:ascii="宋体" w:hAnsi="宋体" w:cs="宋体" w:eastAsia="宋体" w:hint="default"/>
                <w:sz w:val="18"/>
                <w:szCs w:val="18"/>
              </w:rPr>
              <w:t>技有限公司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24" w:right="185"/>
              <w:jc w:val="left"/>
              <w:rPr>
                <w:rFonts w:ascii="宋体" w:hAnsi="宋体" w:cs="宋体" w:eastAsia="宋体"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争</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诺人严格履</w:t>
            </w:r>
            <w:r>
              <w:rPr>
                <w:rFonts w:ascii="宋体" w:hAnsi="宋体" w:cs="宋体" w:eastAsia="宋体" w:hint="default"/>
                <w:w w:val="101"/>
                <w:sz w:val="18"/>
                <w:szCs w:val="18"/>
              </w:rPr>
              <w:t> </w:t>
            </w:r>
            <w:r>
              <w:rPr>
                <w:rFonts w:ascii="宋体" w:hAnsi="宋体" w:cs="宋体" w:eastAsia="宋体" w:hint="default"/>
                <w:spacing w:val="-2"/>
                <w:sz w:val="18"/>
                <w:szCs w:val="18"/>
              </w:rPr>
              <w:t>行了该承诺。</w:t>
            </w:r>
          </w:p>
        </w:tc>
      </w:tr>
      <w:tr>
        <w:trPr>
          <w:trHeight w:val="562"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6" w:right="12"/>
              <w:jc w:val="left"/>
              <w:rPr>
                <w:rFonts w:ascii="宋体" w:hAnsi="宋体" w:cs="宋体" w:eastAsia="宋体" w:hint="default"/>
                <w:sz w:val="18"/>
                <w:szCs w:val="18"/>
              </w:rPr>
            </w:pPr>
            <w:r>
              <w:rPr>
                <w:rFonts w:ascii="宋体" w:hAnsi="宋体" w:cs="宋体" w:eastAsia="宋体" w:hint="default"/>
                <w:sz w:val="18"/>
                <w:szCs w:val="18"/>
              </w:rPr>
              <w:t>深圳市宏利</w:t>
            </w:r>
            <w:r>
              <w:rPr>
                <w:rFonts w:ascii="宋体" w:hAnsi="宋体" w:cs="宋体" w:eastAsia="宋体" w:hint="default"/>
                <w:w w:val="101"/>
                <w:sz w:val="18"/>
                <w:szCs w:val="18"/>
              </w:rPr>
              <w:t> </w:t>
            </w:r>
            <w:r>
              <w:rPr>
                <w:rFonts w:ascii="宋体" w:hAnsi="宋体" w:cs="宋体" w:eastAsia="宋体" w:hint="default"/>
                <w:sz w:val="18"/>
                <w:szCs w:val="18"/>
              </w:rPr>
              <w:t>创新投资合</w:t>
            </w:r>
            <w:r>
              <w:rPr>
                <w:rFonts w:ascii="宋体" w:hAnsi="宋体" w:cs="宋体" w:eastAsia="宋体" w:hint="default"/>
                <w:w w:val="101"/>
                <w:sz w:val="18"/>
                <w:szCs w:val="18"/>
              </w:rPr>
              <w:t> </w:t>
            </w:r>
            <w:r>
              <w:rPr>
                <w:rFonts w:ascii="宋体" w:hAnsi="宋体" w:cs="宋体" w:eastAsia="宋体" w:hint="default"/>
                <w:spacing w:val="-4"/>
                <w:sz w:val="18"/>
                <w:szCs w:val="18"/>
              </w:rPr>
              <w:t>伙企业（有限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合伙）</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vMerge w:val="restart"/>
            <w:tcBorders>
              <w:top w:val="single" w:sz="4" w:space="0" w:color="000000"/>
              <w:left w:val="single" w:sz="4" w:space="0" w:color="000000"/>
              <w:right w:val="single" w:sz="4" w:space="0" w:color="000000"/>
            </w:tcBorders>
          </w:tcPr>
          <w:p>
            <w:pPr>
              <w:pStyle w:val="TableParagraph"/>
              <w:spacing w:line="314"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本企业本次</w:t>
            </w:r>
            <w:r>
              <w:rPr>
                <w:rFonts w:ascii="宋体" w:hAnsi="宋体" w:cs="宋体" w:eastAsia="宋体" w:hint="default"/>
                <w:w w:val="101"/>
                <w:sz w:val="18"/>
                <w:szCs w:val="18"/>
              </w:rPr>
              <w:t> </w:t>
            </w:r>
            <w:r>
              <w:rPr>
                <w:rFonts w:ascii="宋体" w:hAnsi="宋体" w:cs="宋体" w:eastAsia="宋体" w:hint="default"/>
                <w:sz w:val="18"/>
                <w:szCs w:val="18"/>
              </w:rPr>
              <w:t>认购取得的</w:t>
            </w:r>
            <w:r>
              <w:rPr>
                <w:rFonts w:ascii="宋体" w:hAnsi="宋体" w:cs="宋体" w:eastAsia="宋体" w:hint="default"/>
                <w:w w:val="101"/>
                <w:sz w:val="18"/>
                <w:szCs w:val="18"/>
              </w:rPr>
              <w:t> </w:t>
            </w:r>
            <w:r>
              <w:rPr>
                <w:rFonts w:ascii="宋体" w:hAnsi="宋体" w:cs="宋体" w:eastAsia="宋体" w:hint="default"/>
                <w:sz w:val="18"/>
                <w:szCs w:val="18"/>
              </w:rPr>
              <w:t>远光软件非</w:t>
            </w:r>
            <w:r>
              <w:rPr>
                <w:rFonts w:ascii="宋体" w:hAnsi="宋体" w:cs="宋体" w:eastAsia="宋体" w:hint="default"/>
                <w:w w:val="101"/>
                <w:sz w:val="18"/>
                <w:szCs w:val="18"/>
              </w:rPr>
              <w:t> </w:t>
            </w:r>
            <w:r>
              <w:rPr>
                <w:rFonts w:ascii="宋体" w:hAnsi="宋体" w:cs="宋体" w:eastAsia="宋体" w:hint="default"/>
                <w:sz w:val="18"/>
                <w:szCs w:val="18"/>
              </w:rPr>
              <w:t>公开发行股</w:t>
            </w:r>
            <w:r>
              <w:rPr>
                <w:rFonts w:ascii="宋体" w:hAnsi="宋体" w:cs="宋体" w:eastAsia="宋体" w:hint="default"/>
                <w:w w:val="101"/>
                <w:sz w:val="18"/>
                <w:szCs w:val="18"/>
              </w:rPr>
              <w:t> </w:t>
            </w:r>
            <w:r>
              <w:rPr>
                <w:rFonts w:ascii="宋体" w:hAnsi="宋体" w:cs="宋体" w:eastAsia="宋体" w:hint="default"/>
                <w:sz w:val="18"/>
                <w:szCs w:val="18"/>
              </w:rPr>
              <w:t>份自上市之</w:t>
            </w:r>
            <w:r>
              <w:rPr>
                <w:rFonts w:ascii="宋体" w:hAnsi="宋体" w:cs="宋体" w:eastAsia="宋体" w:hint="default"/>
                <w:w w:val="101"/>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w:t>
            </w:r>
            <w:r>
              <w:rPr>
                <w:rFonts w:ascii="宋体" w:hAnsi="宋体" w:cs="宋体" w:eastAsia="宋体" w:hint="default"/>
                <w:spacing w:val="-84"/>
                <w:sz w:val="18"/>
                <w:szCs w:val="18"/>
              </w:rPr>
              <w:t> </w:t>
            </w:r>
            <w:r>
              <w:rPr>
                <w:rFonts w:ascii="宋体" w:hAnsi="宋体" w:cs="宋体" w:eastAsia="宋体" w:hint="default"/>
                <w:sz w:val="18"/>
                <w:szCs w:val="18"/>
              </w:rPr>
              <w:t>内将不以任</w:t>
            </w:r>
            <w:r>
              <w:rPr>
                <w:rFonts w:ascii="宋体" w:hAnsi="宋体" w:cs="宋体" w:eastAsia="宋体" w:hint="default"/>
                <w:w w:val="101"/>
                <w:sz w:val="18"/>
                <w:szCs w:val="18"/>
              </w:rPr>
              <w:t> </w:t>
            </w:r>
            <w:r>
              <w:rPr>
                <w:rFonts w:ascii="宋体" w:hAnsi="宋体" w:cs="宋体" w:eastAsia="宋体" w:hint="default"/>
                <w:spacing w:val="-2"/>
                <w:sz w:val="18"/>
                <w:szCs w:val="18"/>
              </w:rPr>
              <w:t>何方式转让，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包括但不限</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诺人严格履</w:t>
            </w:r>
            <w:r>
              <w:rPr>
                <w:rFonts w:ascii="宋体" w:hAnsi="宋体" w:cs="宋体" w:eastAsia="宋体" w:hint="default"/>
                <w:w w:val="101"/>
                <w:sz w:val="18"/>
                <w:szCs w:val="18"/>
              </w:rPr>
              <w:t> </w:t>
            </w:r>
            <w:r>
              <w:rPr>
                <w:rFonts w:ascii="宋体" w:hAnsi="宋体" w:cs="宋体" w:eastAsia="宋体" w:hint="default"/>
                <w:spacing w:val="-2"/>
                <w:sz w:val="18"/>
                <w:szCs w:val="18"/>
              </w:rPr>
              <w:t>行了该承诺。</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1901"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48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于通过证券</w:t>
            </w:r>
            <w:r>
              <w:rPr>
                <w:rFonts w:ascii="宋体" w:hAnsi="宋体" w:cs="宋体" w:eastAsia="宋体" w:hint="default"/>
                <w:w w:val="101"/>
                <w:sz w:val="18"/>
                <w:szCs w:val="18"/>
              </w:rPr>
              <w:t> </w:t>
            </w:r>
            <w:r>
              <w:rPr>
                <w:rFonts w:ascii="宋体" w:hAnsi="宋体" w:cs="宋体" w:eastAsia="宋体" w:hint="default"/>
                <w:sz w:val="18"/>
                <w:szCs w:val="18"/>
              </w:rPr>
              <w:t>市场公开转</w:t>
            </w:r>
            <w:r>
              <w:rPr>
                <w:rFonts w:ascii="宋体" w:hAnsi="宋体" w:cs="宋体" w:eastAsia="宋体" w:hint="default"/>
                <w:w w:val="101"/>
                <w:sz w:val="18"/>
                <w:szCs w:val="18"/>
              </w:rPr>
              <w:t> </w:t>
            </w:r>
            <w:r>
              <w:rPr>
                <w:rFonts w:ascii="宋体" w:hAnsi="宋体" w:cs="宋体" w:eastAsia="宋体" w:hint="default"/>
                <w:sz w:val="18"/>
                <w:szCs w:val="18"/>
              </w:rPr>
              <w:t>让或通过协</w:t>
            </w:r>
            <w:r>
              <w:rPr>
                <w:rFonts w:ascii="宋体" w:hAnsi="宋体" w:cs="宋体" w:eastAsia="宋体" w:hint="default"/>
                <w:w w:val="101"/>
                <w:sz w:val="18"/>
                <w:szCs w:val="18"/>
              </w:rPr>
              <w:t> </w:t>
            </w:r>
            <w:r>
              <w:rPr>
                <w:rFonts w:ascii="宋体" w:hAnsi="宋体" w:cs="宋体" w:eastAsia="宋体" w:hint="default"/>
                <w:spacing w:val="-2"/>
                <w:sz w:val="18"/>
                <w:szCs w:val="18"/>
              </w:rPr>
              <w:t>议方式转让。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本企业在锁</w:t>
            </w:r>
            <w:r>
              <w:rPr>
                <w:rFonts w:ascii="宋体" w:hAnsi="宋体" w:cs="宋体" w:eastAsia="宋体" w:hint="default"/>
                <w:w w:val="101"/>
                <w:sz w:val="18"/>
                <w:szCs w:val="18"/>
              </w:rPr>
              <w:t> </w:t>
            </w:r>
            <w:r>
              <w:rPr>
                <w:rFonts w:ascii="宋体" w:hAnsi="宋体" w:cs="宋体" w:eastAsia="宋体" w:hint="default"/>
                <w:spacing w:val="-4"/>
                <w:sz w:val="18"/>
                <w:szCs w:val="18"/>
              </w:rPr>
              <w:t>定期内，本企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业委托人、合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伙人不得转</w:t>
            </w:r>
            <w:r>
              <w:rPr>
                <w:rFonts w:ascii="宋体" w:hAnsi="宋体" w:cs="宋体" w:eastAsia="宋体" w:hint="default"/>
                <w:w w:val="101"/>
                <w:sz w:val="18"/>
                <w:szCs w:val="18"/>
              </w:rPr>
              <w:t> </w:t>
            </w:r>
            <w:r>
              <w:rPr>
                <w:rFonts w:ascii="宋体" w:hAnsi="宋体" w:cs="宋体" w:eastAsia="宋体" w:hint="default"/>
                <w:sz w:val="18"/>
                <w:szCs w:val="18"/>
              </w:rPr>
              <w:t>让其持有的</w:t>
            </w:r>
            <w:r>
              <w:rPr>
                <w:rFonts w:ascii="宋体" w:hAnsi="宋体" w:cs="宋体" w:eastAsia="宋体" w:hint="default"/>
                <w:w w:val="101"/>
                <w:sz w:val="18"/>
                <w:szCs w:val="18"/>
              </w:rPr>
              <w:t> </w:t>
            </w:r>
            <w:r>
              <w:rPr>
                <w:rFonts w:ascii="宋体" w:hAnsi="宋体" w:cs="宋体" w:eastAsia="宋体" w:hint="default"/>
                <w:sz w:val="18"/>
                <w:szCs w:val="18"/>
              </w:rPr>
              <w:t>产品份额或</w:t>
            </w:r>
            <w:r>
              <w:rPr>
                <w:rFonts w:ascii="宋体" w:hAnsi="宋体" w:cs="宋体" w:eastAsia="宋体" w:hint="default"/>
                <w:w w:val="101"/>
                <w:sz w:val="18"/>
                <w:szCs w:val="18"/>
              </w:rPr>
              <w:t> </w:t>
            </w:r>
            <w:r>
              <w:rPr>
                <w:rFonts w:ascii="宋体" w:hAnsi="宋体" w:cs="宋体" w:eastAsia="宋体" w:hint="default"/>
                <w:sz w:val="18"/>
                <w:szCs w:val="18"/>
              </w:rPr>
              <w:t>退出合伙。</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040"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8"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pacing w:val="-4"/>
                <w:sz w:val="18"/>
                <w:szCs w:val="18"/>
              </w:rPr>
              <w:t>封仕勇、杭州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飞涅投资管</w:t>
            </w:r>
            <w:r>
              <w:rPr>
                <w:rFonts w:ascii="宋体" w:hAnsi="宋体" w:cs="宋体" w:eastAsia="宋体" w:hint="default"/>
                <w:w w:val="101"/>
                <w:sz w:val="18"/>
                <w:szCs w:val="18"/>
              </w:rPr>
              <w:t> </w:t>
            </w:r>
            <w:r>
              <w:rPr>
                <w:rFonts w:ascii="宋体" w:hAnsi="宋体" w:cs="宋体" w:eastAsia="宋体" w:hint="default"/>
                <w:sz w:val="18"/>
                <w:szCs w:val="18"/>
              </w:rPr>
              <w:t>理合伙企业</w:t>
            </w:r>
          </w:p>
          <w:p>
            <w:pPr>
              <w:pStyle w:val="TableParagraph"/>
              <w:spacing w:line="319"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伙）、李红祥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梁志君、刘润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标、马三光、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齐志刚、邵</w:t>
            </w:r>
            <w:r>
              <w:rPr>
                <w:rFonts w:ascii="宋体" w:hAnsi="宋体" w:cs="宋体" w:eastAsia="宋体" w:hint="default"/>
                <w:w w:val="101"/>
                <w:sz w:val="18"/>
                <w:szCs w:val="18"/>
              </w:rPr>
              <w:t> </w:t>
            </w:r>
            <w:r>
              <w:rPr>
                <w:rFonts w:ascii="宋体" w:hAnsi="宋体" w:cs="宋体" w:eastAsia="宋体" w:hint="default"/>
                <w:sz w:val="18"/>
                <w:szCs w:val="18"/>
              </w:rPr>
              <w:t>燕、王建军、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徐飞鹏、杨玉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山、赵向新</w:t>
            </w:r>
          </w:p>
        </w:tc>
        <w:tc>
          <w:tcPr>
            <w:tcW w:w="1128" w:type="dxa"/>
            <w:tcBorders>
              <w:top w:val="single" w:sz="4" w:space="0" w:color="000000"/>
              <w:left w:val="single" w:sz="8"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197" w:lineRule="exact"/>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9" w:right="0"/>
              <w:jc w:val="left"/>
              <w:rPr>
                <w:rFonts w:ascii="宋体" w:hAnsi="宋体" w:cs="宋体" w:eastAsia="宋体" w:hint="default"/>
                <w:sz w:val="18"/>
                <w:szCs w:val="18"/>
              </w:rPr>
            </w:pPr>
            <w:r>
              <w:rPr>
                <w:rFonts w:ascii="宋体" w:hAnsi="宋体" w:cs="宋体" w:eastAsia="宋体" w:hint="default"/>
                <w:sz w:val="18"/>
                <w:szCs w:val="18"/>
              </w:rPr>
              <w:t>业绩承诺及</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补偿安排</w:t>
            </w:r>
          </w:p>
          <w:p>
            <w:pPr>
              <w:pStyle w:val="TableParagraph"/>
              <w:spacing w:line="50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55.75pt;height:250.65pt;mso-position-horizontal-relative:char;mso-position-vertical-relative:line" coordorigin="0,0" coordsize="1115,5013">
                  <v:group style="position:absolute;left:0;top:0;width:1115;height:4663" coordorigin="0,0" coordsize="1115,4663">
                    <v:shape style="position:absolute;left:0;top:0;width:1115;height:4663" coordorigin="0,0" coordsize="1115,4663" path="m0,4662l1114,4662,1114,0,0,0,0,4662xe" filled="true" fillcolor="#ffffff" stroked="false">
                      <v:path arrowok="t"/>
                      <v:fill type="solid"/>
                    </v:shape>
                  </v:group>
                  <v:group style="position:absolute;left:19;top:4662;width:1071;height:351" coordorigin="19,4662" coordsize="1071,351">
                    <v:shape style="position:absolute;left:19;top:4662;width:1071;height:351" coordorigin="19,4662" coordsize="1071,351" path="m19,5013l1090,5013,1090,4662,19,4662,19,5013xe" filled="true" fillcolor="#ffffff" stroked="false">
                      <v:path arrowok="t"/>
                      <v:fill type="solid"/>
                    </v:shape>
                  </v:group>
                </v:group>
              </w:pict>
            </w:r>
            <w:r>
              <w:rPr>
                <w:rFonts w:ascii="Times New Roman" w:hAnsi="Times New Roman" w:cs="Times New Roman" w:eastAsia="Times New Roman" w:hint="default"/>
                <w:position w:val="-9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
              <w:jc w:val="left"/>
              <w:rPr>
                <w:rFonts w:ascii="宋体" w:hAnsi="宋体" w:cs="宋体" w:eastAsia="宋体" w:hint="default"/>
                <w:sz w:val="18"/>
                <w:szCs w:val="18"/>
              </w:rPr>
            </w:pPr>
            <w:r>
              <w:rPr>
                <w:rFonts w:ascii="宋体" w:hAnsi="宋体" w:cs="宋体" w:eastAsia="宋体" w:hint="default"/>
                <w:spacing w:val="-2"/>
                <w:sz w:val="18"/>
                <w:szCs w:val="18"/>
              </w:rPr>
              <w:t>一、王建军、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齐志刚、赵向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新的业绩承</w:t>
            </w:r>
            <w:r>
              <w:rPr>
                <w:rFonts w:ascii="宋体" w:hAnsi="宋体" w:cs="宋体" w:eastAsia="宋体" w:hint="default"/>
                <w:w w:val="101"/>
                <w:sz w:val="18"/>
                <w:szCs w:val="18"/>
              </w:rPr>
              <w:t> </w:t>
            </w:r>
            <w:r>
              <w:rPr>
                <w:rFonts w:ascii="宋体" w:hAnsi="宋体" w:cs="宋体" w:eastAsia="宋体" w:hint="default"/>
                <w:sz w:val="18"/>
                <w:szCs w:val="18"/>
              </w:rPr>
              <w:t>诺及补偿安</w:t>
            </w:r>
          </w:p>
          <w:p>
            <w:pPr>
              <w:pStyle w:val="TableParagraph"/>
              <w:spacing w:line="300" w:lineRule="auto" w:before="17"/>
              <w:ind w:left="24" w:right="12"/>
              <w:jc w:val="left"/>
              <w:rPr>
                <w:rFonts w:ascii="宋体" w:hAnsi="宋体" w:cs="宋体" w:eastAsia="宋体" w:hint="default"/>
                <w:sz w:val="18"/>
                <w:szCs w:val="18"/>
              </w:rPr>
            </w:pPr>
            <w:r>
              <w:rPr>
                <w:rFonts w:ascii="宋体" w:hAnsi="宋体" w:cs="宋体" w:eastAsia="宋体" w:hint="default"/>
                <w:sz w:val="18"/>
                <w:szCs w:val="18"/>
              </w:rPr>
              <w:t>排</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、昊美科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316" w:lineRule="auto" w:before="13"/>
              <w:ind w:left="24" w:right="12"/>
              <w:jc w:val="left"/>
              <w:rPr>
                <w:rFonts w:ascii="宋体" w:hAnsi="宋体" w:cs="宋体" w:eastAsia="宋体" w:hint="default"/>
                <w:sz w:val="18"/>
                <w:szCs w:val="18"/>
              </w:rPr>
            </w:pPr>
            <w:r>
              <w:rPr>
                <w:rFonts w:ascii="宋体" w:hAnsi="宋体" w:cs="宋体" w:eastAsia="宋体" w:hint="default"/>
                <w:sz w:val="18"/>
                <w:szCs w:val="18"/>
              </w:rPr>
              <w:t>经审计的的</w:t>
            </w:r>
            <w:r>
              <w:rPr>
                <w:rFonts w:ascii="宋体" w:hAnsi="宋体" w:cs="宋体" w:eastAsia="宋体" w:hint="default"/>
                <w:w w:val="101"/>
                <w:sz w:val="18"/>
                <w:szCs w:val="18"/>
              </w:rPr>
              <w:t> </w:t>
            </w:r>
            <w:r>
              <w:rPr>
                <w:rFonts w:ascii="宋体" w:hAnsi="宋体" w:cs="宋体" w:eastAsia="宋体" w:hint="default"/>
                <w:spacing w:val="-4"/>
                <w:sz w:val="18"/>
                <w:szCs w:val="18"/>
              </w:rPr>
              <w:t>净利润（扣除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非经常性损</w:t>
            </w:r>
            <w:r>
              <w:rPr>
                <w:rFonts w:ascii="宋体" w:hAnsi="宋体" w:cs="宋体" w:eastAsia="宋体" w:hint="default"/>
                <w:w w:val="101"/>
                <w:sz w:val="18"/>
                <w:szCs w:val="18"/>
              </w:rPr>
              <w:t> </w:t>
            </w:r>
            <w:r>
              <w:rPr>
                <w:rFonts w:ascii="宋体" w:hAnsi="宋体" w:cs="宋体" w:eastAsia="宋体" w:hint="default"/>
                <w:spacing w:val="-4"/>
                <w:sz w:val="18"/>
                <w:szCs w:val="18"/>
              </w:rPr>
              <w:t>益）分别不低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于人民币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312" w:lineRule="auto" w:before="63"/>
              <w:ind w:left="24"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9"/>
                <w:sz w:val="18"/>
                <w:szCs w:val="18"/>
              </w:rPr>
              <w:t> </w:t>
            </w:r>
            <w:r>
              <w:rPr>
                <w:rFonts w:ascii="宋体" w:hAnsi="宋体" w:cs="宋体" w:eastAsia="宋体" w:hint="default"/>
                <w:spacing w:val="-16"/>
                <w:sz w:val="18"/>
                <w:szCs w:val="18"/>
              </w:rPr>
              <w:t>万元。如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昊美科技经</w:t>
            </w:r>
            <w:r>
              <w:rPr>
                <w:rFonts w:ascii="宋体" w:hAnsi="宋体" w:cs="宋体" w:eastAsia="宋体" w:hint="default"/>
                <w:w w:val="101"/>
                <w:sz w:val="18"/>
                <w:szCs w:val="18"/>
              </w:rPr>
              <w:t> </w:t>
            </w:r>
            <w:r>
              <w:rPr>
                <w:rFonts w:ascii="宋体" w:hAnsi="宋体" w:cs="宋体" w:eastAsia="宋体" w:hint="default"/>
                <w:sz w:val="18"/>
                <w:szCs w:val="18"/>
              </w:rPr>
              <w:t>营业务在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p>
            <w:pPr>
              <w:pStyle w:val="TableParagraph"/>
              <w:spacing w:line="314" w:lineRule="auto" w:before="3"/>
              <w:ind w:left="24" w:right="-1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 </w:t>
            </w:r>
            <w:r>
              <w:rPr>
                <w:rFonts w:ascii="宋体" w:hAnsi="宋体" w:cs="宋体" w:eastAsia="宋体" w:hint="default"/>
                <w:sz w:val="18"/>
                <w:szCs w:val="18"/>
              </w:rPr>
              <w:t>年的</w:t>
            </w:r>
            <w:r>
              <w:rPr>
                <w:rFonts w:ascii="宋体" w:hAnsi="宋体" w:cs="宋体" w:eastAsia="宋体" w:hint="default"/>
                <w:spacing w:val="-71"/>
                <w:sz w:val="18"/>
                <w:szCs w:val="18"/>
              </w:rPr>
              <w:t> </w:t>
            </w:r>
            <w:r>
              <w:rPr>
                <w:rFonts w:ascii="宋体" w:hAnsi="宋体" w:cs="宋体" w:eastAsia="宋体" w:hint="default"/>
                <w:sz w:val="18"/>
                <w:szCs w:val="18"/>
              </w:rPr>
              <w:t>业绩承诺期</w:t>
            </w:r>
            <w:r>
              <w:rPr>
                <w:rFonts w:ascii="宋体" w:hAnsi="宋体" w:cs="宋体" w:eastAsia="宋体" w:hint="default"/>
                <w:w w:val="101"/>
                <w:sz w:val="18"/>
                <w:szCs w:val="18"/>
              </w:rPr>
              <w:t> </w:t>
            </w:r>
            <w:r>
              <w:rPr>
                <w:rFonts w:ascii="宋体" w:hAnsi="宋体" w:cs="宋体" w:eastAsia="宋体" w:hint="default"/>
                <w:sz w:val="18"/>
                <w:szCs w:val="18"/>
              </w:rPr>
              <w:t>当年实现的</w:t>
            </w:r>
            <w:r>
              <w:rPr>
                <w:rFonts w:ascii="宋体" w:hAnsi="宋体" w:cs="宋体" w:eastAsia="宋体" w:hint="default"/>
                <w:w w:val="101"/>
                <w:sz w:val="18"/>
                <w:szCs w:val="18"/>
              </w:rPr>
              <w:t> </w:t>
            </w:r>
            <w:r>
              <w:rPr>
                <w:rFonts w:ascii="宋体" w:hAnsi="宋体" w:cs="宋体" w:eastAsia="宋体" w:hint="default"/>
                <w:sz w:val="18"/>
                <w:szCs w:val="18"/>
              </w:rPr>
              <w:t>净利润达到</w:t>
            </w:r>
            <w:r>
              <w:rPr>
                <w:rFonts w:ascii="宋体" w:hAnsi="宋体" w:cs="宋体" w:eastAsia="宋体" w:hint="default"/>
                <w:w w:val="101"/>
                <w:sz w:val="18"/>
                <w:szCs w:val="18"/>
              </w:rPr>
              <w:t> </w:t>
            </w:r>
            <w:r>
              <w:rPr>
                <w:rFonts w:ascii="宋体" w:hAnsi="宋体" w:cs="宋体" w:eastAsia="宋体" w:hint="default"/>
                <w:sz w:val="18"/>
                <w:szCs w:val="18"/>
              </w:rPr>
              <w:t>或高于承诺</w:t>
            </w:r>
            <w:r>
              <w:rPr>
                <w:rFonts w:ascii="宋体" w:hAnsi="宋体" w:cs="宋体" w:eastAsia="宋体" w:hint="default"/>
                <w:w w:val="101"/>
                <w:sz w:val="18"/>
                <w:szCs w:val="18"/>
              </w:rPr>
              <w:t> </w:t>
            </w:r>
            <w:r>
              <w:rPr>
                <w:rFonts w:ascii="宋体" w:hAnsi="宋体" w:cs="宋体" w:eastAsia="宋体" w:hint="default"/>
                <w:spacing w:val="-4"/>
                <w:sz w:val="18"/>
                <w:szCs w:val="18"/>
              </w:rPr>
              <w:t>的净利润，则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购买的远光</w:t>
            </w:r>
            <w:r>
              <w:rPr>
                <w:rFonts w:ascii="宋体" w:hAnsi="宋体" w:cs="宋体" w:eastAsia="宋体" w:hint="default"/>
                <w:w w:val="101"/>
                <w:sz w:val="18"/>
                <w:szCs w:val="18"/>
              </w:rPr>
              <w:t> </w:t>
            </w:r>
            <w:r>
              <w:rPr>
                <w:rFonts w:ascii="宋体" w:hAnsi="宋体" w:cs="宋体" w:eastAsia="宋体" w:hint="default"/>
                <w:sz w:val="18"/>
                <w:szCs w:val="18"/>
              </w:rPr>
              <w:t>软件的股票</w:t>
            </w:r>
            <w:r>
              <w:rPr>
                <w:rFonts w:ascii="宋体" w:hAnsi="宋体" w:cs="宋体" w:eastAsia="宋体" w:hint="default"/>
                <w:w w:val="101"/>
                <w:sz w:val="18"/>
                <w:szCs w:val="18"/>
              </w:rPr>
              <w:t> </w:t>
            </w:r>
            <w:r>
              <w:rPr>
                <w:rFonts w:ascii="宋体" w:hAnsi="宋体" w:cs="宋体" w:eastAsia="宋体" w:hint="default"/>
                <w:sz w:val="18"/>
                <w:szCs w:val="18"/>
              </w:rPr>
              <w:t>分别按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p>
            <w:pPr>
              <w:pStyle w:val="TableParagraph"/>
              <w:spacing w:line="312" w:lineRule="auto" w:before="1"/>
              <w:ind w:left="24" w:right="94"/>
              <w:jc w:val="left"/>
              <w:rPr>
                <w:rFonts w:ascii="宋体" w:hAnsi="宋体" w:cs="宋体" w:eastAsia="宋体" w:hint="default"/>
                <w:sz w:val="18"/>
                <w:szCs w:val="18"/>
              </w:rPr>
            </w:pPr>
            <w:r>
              <w:rPr>
                <w:rFonts w:ascii="宋体" w:hAnsi="宋体" w:cs="宋体" w:eastAsia="宋体" w:hint="default"/>
                <w:sz w:val="18"/>
                <w:szCs w:val="18"/>
              </w:rPr>
              <w:t>比例逐年解</w:t>
            </w:r>
            <w:r>
              <w:rPr>
                <w:rFonts w:ascii="宋体" w:hAnsi="宋体" w:cs="宋体" w:eastAsia="宋体" w:hint="default"/>
                <w:w w:val="101"/>
                <w:sz w:val="18"/>
                <w:szCs w:val="18"/>
              </w:rPr>
              <w:t> </w:t>
            </w:r>
            <w:r>
              <w:rPr>
                <w:rFonts w:ascii="宋体" w:hAnsi="宋体" w:cs="宋体" w:eastAsia="宋体" w:hint="default"/>
                <w:spacing w:val="-2"/>
                <w:sz w:val="18"/>
                <w:szCs w:val="18"/>
              </w:rPr>
              <w:t>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、昊美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科技的业绩</w:t>
            </w:r>
            <w:r>
              <w:rPr>
                <w:rFonts w:ascii="宋体" w:hAnsi="宋体" w:cs="宋体" w:eastAsia="宋体" w:hint="default"/>
                <w:w w:val="101"/>
                <w:sz w:val="18"/>
                <w:szCs w:val="18"/>
              </w:rPr>
              <w:t> </w:t>
            </w:r>
            <w:r>
              <w:rPr>
                <w:rFonts w:ascii="宋体" w:hAnsi="宋体" w:cs="宋体" w:eastAsia="宋体" w:hint="default"/>
                <w:sz w:val="18"/>
                <w:szCs w:val="18"/>
              </w:rPr>
              <w:t>承诺期当年</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诺人严格履</w:t>
            </w:r>
            <w:r>
              <w:rPr>
                <w:rFonts w:ascii="宋体" w:hAnsi="宋体" w:cs="宋体" w:eastAsia="宋体" w:hint="default"/>
                <w:w w:val="101"/>
                <w:sz w:val="18"/>
                <w:szCs w:val="18"/>
              </w:rPr>
              <w:t> </w:t>
            </w:r>
            <w:r>
              <w:rPr>
                <w:rFonts w:ascii="宋体" w:hAnsi="宋体" w:cs="宋体" w:eastAsia="宋体" w:hint="default"/>
                <w:spacing w:val="-2"/>
                <w:sz w:val="18"/>
                <w:szCs w:val="18"/>
              </w:rPr>
              <w:t>行了该承诺。</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实现的净利</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润未达到承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诺的净利润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时，需以现金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进行业绩补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偿，补偿后方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可解锁对应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比例股票；业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绩承诺期届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满时，如期末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减值额高于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已补偿金额，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承诺人须补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偿期末减值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额与已补偿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金额的差额，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补偿完毕后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方可解锁最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后年度的对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应比例股票。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如承诺人未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能以现金补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偿，远光软件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有权要求其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以补偿年度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拥有标的公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司股权按补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偿当年净资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产作价补偿。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二、马三光、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邵燕、李红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祥、杨玉山、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徐飞鹏、刘润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标、梁志君、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封仕勇、杭州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飞涅投资管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理合伙企业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（有限合伙）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的业绩承诺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及补偿安排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、昊美科技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审计的净利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润（扣除非经</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常性损益）分</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别不低于人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元。昊美科技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经营业务在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2018</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年的业绩承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诺期当年实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达到或高于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承诺的净利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润，则购买的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远光软件股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票分别按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比例逐年解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锁该部分股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票；</w:t>
            </w:r>
            <w:r>
              <w:rPr>
                <w:rFonts w:ascii="Times New Roman" w:hAnsi="Times New Roman" w:cs="Times New Roman" w:eastAsia="Times New Roman" w:hint="default"/>
                <w:sz w:val="18"/>
                <w:szCs w:val="18"/>
              </w:rPr>
              <w:t>2</w:t>
            </w:r>
            <w:r>
              <w:rPr>
                <w:rFonts w:ascii="宋体" w:hAnsi="宋体" w:cs="宋体" w:eastAsia="宋体" w:hint="default"/>
                <w:sz w:val="18"/>
                <w:szCs w:val="18"/>
              </w:rPr>
              <w:t>、昊美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科技的业绩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承诺期当年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实现的净利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润未达到承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诺的净利润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时，需以现金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进行业绩补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偿，补偿后方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可解锁对应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比例股票；业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绩承诺期届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满时，如期末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减值额高于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已补偿金额，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承诺人须补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偿期末减值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额与已补偿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金额的差额，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补偿完毕后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方可解锁最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后年度的对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应比例股票。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如承诺人未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能以现金补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偿，远光软件</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92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有权要求其</w:t>
            </w:r>
            <w:r>
              <w:rPr>
                <w:rFonts w:ascii="宋体" w:hAnsi="宋体" w:cs="宋体" w:eastAsia="宋体" w:hint="default"/>
                <w:w w:val="101"/>
                <w:sz w:val="18"/>
                <w:szCs w:val="18"/>
              </w:rPr>
              <w:t> </w:t>
            </w:r>
            <w:r>
              <w:rPr>
                <w:rFonts w:ascii="宋体" w:hAnsi="宋体" w:cs="宋体" w:eastAsia="宋体" w:hint="default"/>
                <w:sz w:val="18"/>
                <w:szCs w:val="18"/>
              </w:rPr>
              <w:t>以补偿年度</w:t>
            </w:r>
            <w:r>
              <w:rPr>
                <w:rFonts w:ascii="宋体" w:hAnsi="宋体" w:cs="宋体" w:eastAsia="宋体" w:hint="default"/>
                <w:w w:val="101"/>
                <w:sz w:val="18"/>
                <w:szCs w:val="18"/>
              </w:rPr>
              <w:t> </w:t>
            </w:r>
            <w:r>
              <w:rPr>
                <w:rFonts w:ascii="宋体" w:hAnsi="宋体" w:cs="宋体" w:eastAsia="宋体" w:hint="default"/>
                <w:sz w:val="18"/>
                <w:szCs w:val="18"/>
              </w:rPr>
              <w:t>拥有标的公</w:t>
            </w:r>
            <w:r>
              <w:rPr>
                <w:rFonts w:ascii="宋体" w:hAnsi="宋体" w:cs="宋体" w:eastAsia="宋体" w:hint="default"/>
                <w:w w:val="101"/>
                <w:sz w:val="18"/>
                <w:szCs w:val="18"/>
              </w:rPr>
              <w:t> </w:t>
            </w:r>
            <w:r>
              <w:rPr>
                <w:rFonts w:ascii="宋体" w:hAnsi="宋体" w:cs="宋体" w:eastAsia="宋体" w:hint="default"/>
                <w:sz w:val="18"/>
                <w:szCs w:val="18"/>
              </w:rPr>
              <w:t>司股权按补</w:t>
            </w:r>
            <w:r>
              <w:rPr>
                <w:rFonts w:ascii="宋体" w:hAnsi="宋体" w:cs="宋体" w:eastAsia="宋体" w:hint="default"/>
                <w:w w:val="101"/>
                <w:sz w:val="18"/>
                <w:szCs w:val="18"/>
              </w:rPr>
              <w:t> </w:t>
            </w:r>
            <w:r>
              <w:rPr>
                <w:rFonts w:ascii="宋体" w:hAnsi="宋体" w:cs="宋体" w:eastAsia="宋体" w:hint="default"/>
                <w:sz w:val="18"/>
                <w:szCs w:val="18"/>
              </w:rPr>
              <w:t>偿当年净资</w:t>
            </w:r>
            <w:r>
              <w:rPr>
                <w:rFonts w:ascii="宋体" w:hAnsi="宋体" w:cs="宋体" w:eastAsia="宋体" w:hint="default"/>
                <w:w w:val="101"/>
                <w:sz w:val="18"/>
                <w:szCs w:val="18"/>
              </w:rPr>
              <w:t> </w:t>
            </w:r>
            <w:r>
              <w:rPr>
                <w:rFonts w:ascii="宋体" w:hAnsi="宋体" w:cs="宋体" w:eastAsia="宋体" w:hint="default"/>
                <w:spacing w:val="-2"/>
                <w:sz w:val="18"/>
                <w:szCs w:val="18"/>
              </w:rPr>
              <w:t>产作价补偿。</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spacing w:line="256" w:lineRule="auto" w:before="36"/>
        <w:ind w:left="153"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8"/>
      <w:bookmarkEnd w:id="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3" w:right="4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99" w:right="3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94" w:right="41"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85"/>
              <w:jc w:val="left"/>
              <w:rPr>
                <w:rFonts w:ascii="宋体" w:hAnsi="宋体" w:cs="宋体" w:eastAsia="宋体" w:hint="default"/>
                <w:sz w:val="18"/>
                <w:szCs w:val="18"/>
              </w:rPr>
            </w:pPr>
            <w:r>
              <w:rPr>
                <w:rFonts w:ascii="宋体" w:hAnsi="宋体" w:cs="宋体" w:eastAsia="宋体" w:hint="default"/>
                <w:spacing w:val="-2"/>
                <w:sz w:val="18"/>
                <w:szCs w:val="18"/>
              </w:rPr>
              <w:t>杭州昊美科技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1,600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1,702.86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宋体" w:hAnsi="宋体" w:cs="宋体" w:eastAsia="宋体" w:hint="default"/>
                <w:sz w:val="18"/>
                <w:szCs w:val="18"/>
              </w:rPr>
              <w:t>《关</w:t>
            </w:r>
          </w:p>
          <w:p>
            <w:pPr>
              <w:pStyle w:val="TableParagraph"/>
              <w:spacing w:line="321" w:lineRule="auto" w:before="63"/>
              <w:ind w:left="24" w:right="60"/>
              <w:jc w:val="left"/>
              <w:rPr>
                <w:rFonts w:ascii="宋体" w:hAnsi="宋体" w:cs="宋体" w:eastAsia="宋体" w:hint="default"/>
                <w:sz w:val="18"/>
                <w:szCs w:val="18"/>
              </w:rPr>
            </w:pPr>
            <w:r>
              <w:rPr>
                <w:rFonts w:ascii="宋体" w:hAnsi="宋体" w:cs="宋体" w:eastAsia="宋体" w:hint="default"/>
                <w:spacing w:val="-2"/>
                <w:sz w:val="18"/>
                <w:szCs w:val="18"/>
              </w:rPr>
              <w:t>于对外投资的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公告》</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公司股东、交易对手方在报告年度经营业绩做出的承诺情况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0" w:lineRule="auto" w:before="101"/>
        <w:ind w:left="153" w:right="1119" w:firstLine="422"/>
        <w:jc w:val="both"/>
        <w:rPr>
          <w:rFonts w:ascii="宋体" w:hAnsi="宋体" w:cs="宋体" w:eastAsia="宋体" w:hint="default"/>
          <w:sz w:val="18"/>
          <w:szCs w:val="18"/>
        </w:rPr>
      </w:pPr>
      <w:r>
        <w:rPr>
          <w:rFonts w:ascii="宋体" w:hAnsi="宋体" w:cs="宋体" w:eastAsia="宋体" w:hint="default"/>
          <w:spacing w:val="-6"/>
          <w:sz w:val="18"/>
          <w:szCs w:val="18"/>
        </w:rPr>
        <w:t>公司于</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22</w:t>
      </w:r>
      <w:r>
        <w:rPr>
          <w:rFonts w:ascii="宋体" w:hAnsi="宋体" w:cs="宋体" w:eastAsia="宋体" w:hint="default"/>
          <w:spacing w:val="-6"/>
          <w:sz w:val="18"/>
          <w:szCs w:val="18"/>
        </w:rPr>
        <w:t>日召开第六届董事会第四次会议，审议通过了《关于对外投资的议案》，同意公司收购昊美科技</w:t>
      </w:r>
      <w:r>
        <w:rPr>
          <w:rFonts w:ascii="Times New Roman" w:hAnsi="Times New Roman" w:cs="Times New Roman" w:eastAsia="Times New Roman" w:hint="default"/>
          <w:spacing w:val="-6"/>
          <w:sz w:val="18"/>
          <w:szCs w:val="18"/>
        </w:rPr>
        <w:t>67%</w:t>
      </w:r>
      <w:r>
        <w:rPr>
          <w:rFonts w:ascii="Times New Roman" w:hAnsi="Times New Roman" w:cs="Times New Roman" w:eastAsia="Times New Roman" w:hint="default"/>
          <w:w w:val="101"/>
          <w:sz w:val="18"/>
          <w:szCs w:val="18"/>
        </w:rPr>
        <w:t> </w:t>
      </w:r>
      <w:r>
        <w:rPr>
          <w:rFonts w:ascii="宋体" w:hAnsi="宋体" w:cs="宋体" w:eastAsia="宋体" w:hint="default"/>
          <w:spacing w:val="-1"/>
          <w:sz w:val="18"/>
          <w:szCs w:val="18"/>
        </w:rPr>
        <w:t>的股权，并向昊美科技增资，收购及增资后，公司持有昊美科技</w:t>
      </w:r>
      <w:r>
        <w:rPr>
          <w:rFonts w:ascii="Times New Roman" w:hAnsi="Times New Roman" w:cs="Times New Roman" w:eastAsia="Times New Roman" w:hint="default"/>
          <w:spacing w:val="-1"/>
          <w:sz w:val="18"/>
          <w:szCs w:val="18"/>
        </w:rPr>
        <w:t>70.71%</w:t>
      </w:r>
      <w:r>
        <w:rPr>
          <w:rFonts w:ascii="宋体" w:hAnsi="宋体" w:cs="宋体" w:eastAsia="宋体" w:hint="default"/>
          <w:spacing w:val="-1"/>
          <w:sz w:val="18"/>
          <w:szCs w:val="18"/>
        </w:rPr>
        <w:t>的股权。根据交易各方签署的《股权收购及增资协</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议》及补充协议，昊美科技股东承诺，收到首期股权转让款之日起</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个工作日内，用股权转让款总金额</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的资金在二级市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场购买远光软件股票，并自愿将相应股票进行锁定。昊美科技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年度扣除非经常性损益的净利润为</w:t>
      </w:r>
      <w:r>
        <w:rPr>
          <w:rFonts w:ascii="Times New Roman" w:hAnsi="Times New Roman" w:cs="Times New Roman" w:eastAsia="Times New Roman" w:hint="default"/>
          <w:spacing w:val="-3"/>
          <w:sz w:val="18"/>
          <w:szCs w:val="18"/>
        </w:rPr>
        <w:t>1,702.86</w:t>
      </w:r>
      <w:r>
        <w:rPr>
          <w:rFonts w:ascii="宋体" w:hAnsi="宋体" w:cs="宋体" w:eastAsia="宋体" w:hint="default"/>
          <w:spacing w:val="-3"/>
          <w:sz w:val="18"/>
          <w:szCs w:val="18"/>
        </w:rPr>
        <w:t>万元，较承诺</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1600</w:t>
      </w:r>
      <w:r>
        <w:rPr>
          <w:rFonts w:ascii="宋体" w:hAnsi="宋体" w:cs="宋体" w:eastAsia="宋体" w:hint="default"/>
          <w:spacing w:val="-1"/>
          <w:sz w:val="18"/>
          <w:szCs w:val="18"/>
        </w:rPr>
        <w:t>万元超出</w:t>
      </w:r>
      <w:r>
        <w:rPr>
          <w:rFonts w:ascii="Times New Roman" w:hAnsi="Times New Roman" w:cs="Times New Roman" w:eastAsia="Times New Roman" w:hint="default"/>
          <w:spacing w:val="-1"/>
          <w:sz w:val="18"/>
          <w:szCs w:val="18"/>
        </w:rPr>
        <w:t>102.86</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年扣除非经常性损益后累计净利润为</w:t>
      </w:r>
      <w:r>
        <w:rPr>
          <w:rFonts w:ascii="Times New Roman" w:hAnsi="Times New Roman" w:cs="Times New Roman" w:eastAsia="Times New Roman" w:hint="default"/>
          <w:spacing w:val="-1"/>
          <w:sz w:val="18"/>
          <w:szCs w:val="18"/>
        </w:rPr>
        <w:t>4,307.39</w:t>
      </w:r>
      <w:r>
        <w:rPr>
          <w:rFonts w:ascii="宋体" w:hAnsi="宋体" w:cs="宋体" w:eastAsia="宋体" w:hint="default"/>
          <w:spacing w:val="-1"/>
          <w:sz w:val="18"/>
          <w:szCs w:val="18"/>
        </w:rPr>
        <w:t>万元，较累计预测的业绩</w:t>
      </w:r>
      <w:r>
        <w:rPr>
          <w:rFonts w:ascii="Times New Roman" w:hAnsi="Times New Roman" w:cs="Times New Roman" w:eastAsia="Times New Roman" w:hint="default"/>
          <w:spacing w:val="-1"/>
          <w:sz w:val="18"/>
          <w:szCs w:val="18"/>
        </w:rPr>
        <w:t>4,100</w:t>
      </w:r>
      <w:r>
        <w:rPr>
          <w:rFonts w:ascii="宋体" w:hAnsi="宋体" w:cs="宋体" w:eastAsia="宋体" w:hint="default"/>
          <w:spacing w:val="-1"/>
          <w:sz w:val="18"/>
          <w:szCs w:val="18"/>
        </w:rPr>
        <w:t>万元</w:t>
      </w:r>
      <w:r>
        <w:rPr>
          <w:rFonts w:ascii="宋体" w:hAnsi="宋体" w:cs="宋体" w:eastAsia="宋体" w:hint="default"/>
          <w:spacing w:val="38"/>
          <w:sz w:val="18"/>
          <w:szCs w:val="18"/>
        </w:rPr>
        <w:t> </w:t>
      </w:r>
      <w:r>
        <w:rPr>
          <w:rFonts w:ascii="宋体" w:hAnsi="宋体" w:cs="宋体" w:eastAsia="宋体" w:hint="default"/>
          <w:spacing w:val="-3"/>
          <w:sz w:val="18"/>
          <w:szCs w:val="18"/>
        </w:rPr>
        <w:t>超出</w:t>
      </w:r>
      <w:r>
        <w:rPr>
          <w:rFonts w:ascii="Times New Roman" w:hAnsi="Times New Roman" w:cs="Times New Roman" w:eastAsia="Times New Roman" w:hint="default"/>
          <w:spacing w:val="-3"/>
          <w:sz w:val="18"/>
          <w:szCs w:val="18"/>
        </w:rPr>
        <w:t>207.39</w:t>
      </w:r>
      <w:r>
        <w:rPr>
          <w:rFonts w:ascii="宋体" w:hAnsi="宋体" w:cs="宋体" w:eastAsia="宋体" w:hint="default"/>
          <w:spacing w:val="-3"/>
          <w:sz w:val="18"/>
          <w:szCs w:val="18"/>
        </w:rPr>
        <w:t>万元。交易对方所持限售股份对应的</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年度的数量全部达到解锁条件。</w:t>
      </w:r>
    </w:p>
    <w:p>
      <w:pPr>
        <w:spacing w:line="352" w:lineRule="auto" w:before="56"/>
        <w:ind w:left="518" w:right="6642" w:hanging="365"/>
        <w:jc w:val="left"/>
        <w:rPr>
          <w:rFonts w:ascii="宋体" w:hAnsi="宋体" w:cs="宋体" w:eastAsia="宋体" w:hint="default"/>
          <w:sz w:val="18"/>
          <w:szCs w:val="18"/>
        </w:rPr>
      </w:pPr>
      <w:r>
        <w:rPr>
          <w:rFonts w:ascii="宋体" w:hAnsi="宋体" w:cs="宋体" w:eastAsia="宋体" w:hint="default"/>
          <w:spacing w:val="-3"/>
          <w:sz w:val="18"/>
          <w:szCs w:val="18"/>
        </w:rPr>
        <w:t>业绩承诺的完成情况及其对商誉减值测试的影响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昊美科技业绩承诺完成，对商誉无影响。</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46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3"/>
          <w:szCs w:val="13"/>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①新金融工具准则</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045" w:firstLine="360"/>
        <w:jc w:val="both"/>
        <w:rPr>
          <w:rFonts w:ascii="宋体" w:hAnsi="宋体" w:cs="宋体" w:eastAsia="宋体" w:hint="default"/>
          <w:sz w:val="18"/>
          <w:szCs w:val="18"/>
        </w:rPr>
      </w:pPr>
      <w:r>
        <w:rPr>
          <w:rFonts w:ascii="宋体" w:hAnsi="宋体" w:cs="宋体" w:eastAsia="宋体" w:hint="default"/>
          <w:spacing w:val="-4"/>
          <w:sz w:val="18"/>
          <w:szCs w:val="18"/>
        </w:rPr>
        <w:t>财政部于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年颁布了《企业会计准则第</w:t>
      </w:r>
      <w:r>
        <w:rPr>
          <w:rFonts w:ascii="Times New Roman" w:hAnsi="Times New Roman" w:cs="Times New Roman" w:eastAsia="Times New Roman" w:hint="default"/>
          <w:spacing w:val="-4"/>
          <w:sz w:val="18"/>
          <w:szCs w:val="18"/>
        </w:rPr>
        <w:t>22</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金融工具确认和计量（修订）》、《企业会计准则第</w:t>
      </w:r>
      <w:r>
        <w:rPr>
          <w:rFonts w:ascii="Times New Roman" w:hAnsi="Times New Roman" w:cs="Times New Roman" w:eastAsia="Times New Roman" w:hint="default"/>
          <w:spacing w:val="-4"/>
          <w:sz w:val="18"/>
          <w:szCs w:val="18"/>
        </w:rPr>
        <w:t>23</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金融资</w:t>
      </w:r>
      <w:r>
        <w:rPr>
          <w:rFonts w:ascii="宋体" w:hAnsi="宋体" w:cs="宋体" w:eastAsia="宋体" w:hint="default"/>
          <w:w w:val="101"/>
          <w:sz w:val="18"/>
          <w:szCs w:val="18"/>
        </w:rPr>
        <w:t> </w:t>
      </w:r>
      <w:r>
        <w:rPr>
          <w:rFonts w:ascii="宋体" w:hAnsi="宋体" w:cs="宋体" w:eastAsia="宋体" w:hint="default"/>
          <w:spacing w:val="-3"/>
          <w:sz w:val="18"/>
          <w:szCs w:val="18"/>
        </w:rPr>
        <w:t>产转移（修订）》、《企业会计准则第</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套期会计（修订）》及《企业会计准则第</w:t>
      </w:r>
      <w:r>
        <w:rPr>
          <w:rFonts w:ascii="Times New Roman" w:hAnsi="Times New Roman" w:cs="Times New Roman" w:eastAsia="Times New Roman" w:hint="default"/>
          <w:spacing w:val="-3"/>
          <w:sz w:val="18"/>
          <w:szCs w:val="18"/>
        </w:rPr>
        <w:t>37</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金融工具列报（修订）》</w:t>
      </w:r>
    </w:p>
    <w:p>
      <w:pPr>
        <w:spacing w:line="300" w:lineRule="auto" w:before="13"/>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日起执行新金融工具准则，对会计政策相关内容进行了调整。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新金融工具准则要求根据管理金融资产的业务模式和金融资产的合同现金流量特征，将金融资产划分为以下三类：（</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p>
    <w:p>
      <w:pPr>
        <w:spacing w:line="309" w:lineRule="auto" w:before="13"/>
        <w:ind w:left="153" w:right="1122" w:firstLine="0"/>
        <w:jc w:val="both"/>
        <w:rPr>
          <w:rFonts w:ascii="宋体" w:hAnsi="宋体" w:cs="宋体" w:eastAsia="宋体" w:hint="default"/>
          <w:sz w:val="18"/>
          <w:szCs w:val="18"/>
        </w:rPr>
      </w:pPr>
      <w:r>
        <w:rPr>
          <w:rFonts w:ascii="宋体" w:hAnsi="宋体" w:cs="宋体" w:eastAsia="宋体" w:hint="default"/>
          <w:spacing w:val="-4"/>
          <w:sz w:val="18"/>
          <w:szCs w:val="18"/>
        </w:rPr>
        <w:t>以摊余成本计量的金融资产；（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）以公允价值计量且其变动计入其他综合收益的金融资产；（</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）以公允价值计量且其变动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计入当期损益的金融资产。混合合同包含的主合同属于金融资产的，不应从该混合合同中分拆嵌入衍生工具，而应当将该混</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合合同作为一个整体适用金融资产分类的相关规定。</w:t>
      </w:r>
    </w:p>
    <w:p>
      <w:pPr>
        <w:spacing w:line="300" w:lineRule="auto" w:before="24"/>
        <w:ind w:left="153"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4"/>
          <w:w w:val="101"/>
          <w:sz w:val="18"/>
          <w:szCs w:val="18"/>
        </w:rPr>
        <w:t>2019</w:t>
      </w:r>
      <w:r>
        <w:rPr>
          <w:rFonts w:ascii="宋体" w:hAnsi="宋体" w:cs="宋体" w:eastAsia="宋体" w:hint="default"/>
          <w:spacing w:val="-4"/>
          <w:w w:val="101"/>
          <w:sz w:val="18"/>
          <w:szCs w:val="18"/>
        </w:rPr>
        <w:t>年</w:t>
      </w:r>
      <w:r>
        <w:rPr>
          <w:rFonts w:ascii="Times New Roman" w:hAnsi="Times New Roman" w:cs="Times New Roman" w:eastAsia="Times New Roman" w:hint="default"/>
          <w:spacing w:val="-4"/>
          <w:w w:val="101"/>
          <w:sz w:val="18"/>
          <w:szCs w:val="18"/>
        </w:rPr>
        <w:t>1</w:t>
      </w:r>
      <w:r>
        <w:rPr>
          <w:rFonts w:ascii="宋体" w:hAnsi="宋体" w:cs="宋体" w:eastAsia="宋体" w:hint="default"/>
          <w:spacing w:val="-4"/>
          <w:w w:val="101"/>
          <w:sz w:val="18"/>
          <w:szCs w:val="18"/>
        </w:rPr>
        <w:t>月</w:t>
      </w:r>
      <w:r>
        <w:rPr>
          <w:rFonts w:ascii="Times New Roman" w:hAnsi="Times New Roman" w:cs="Times New Roman" w:eastAsia="Times New Roman" w:hint="default"/>
          <w:spacing w:val="-4"/>
          <w:w w:val="101"/>
          <w:sz w:val="18"/>
          <w:szCs w:val="18"/>
        </w:rPr>
        <w:t>1</w:t>
      </w:r>
      <w:r>
        <w:rPr>
          <w:rFonts w:ascii="宋体" w:hAnsi="宋体" w:cs="宋体" w:eastAsia="宋体" w:hint="default"/>
          <w:spacing w:val="-4"/>
          <w:w w:val="101"/>
          <w:sz w:val="18"/>
          <w:szCs w:val="18"/>
        </w:rPr>
        <w:t>日，本公司没有将任何金融资产或金融负债指定为以公允价值计量且其变动计入当期损益的金融资产或金融</w:t>
      </w:r>
      <w:r>
        <w:rPr>
          <w:rFonts w:ascii="宋体" w:hAnsi="宋体" w:cs="宋体" w:eastAsia="宋体" w:hint="default"/>
          <w:w w:val="101"/>
          <w:sz w:val="18"/>
          <w:szCs w:val="18"/>
        </w:rPr>
        <w:t> </w:t>
      </w:r>
      <w:r>
        <w:rPr>
          <w:rFonts w:ascii="宋体" w:hAnsi="宋体" w:cs="宋体" w:eastAsia="宋体" w:hint="default"/>
          <w:spacing w:val="-3"/>
          <w:sz w:val="18"/>
          <w:szCs w:val="18"/>
        </w:rPr>
        <w:t>负债，也没有撤销之前的指定。</w:t>
      </w:r>
    </w:p>
    <w:p>
      <w:pPr>
        <w:spacing w:line="300" w:lineRule="auto" w:before="32"/>
        <w:ind w:left="153" w:right="1127" w:firstLine="360"/>
        <w:jc w:val="both"/>
        <w:rPr>
          <w:rFonts w:ascii="宋体" w:hAnsi="宋体" w:cs="宋体" w:eastAsia="宋体" w:hint="default"/>
          <w:sz w:val="18"/>
          <w:szCs w:val="18"/>
        </w:rPr>
      </w:pPr>
      <w:r>
        <w:rPr>
          <w:rFonts w:ascii="宋体" w:hAnsi="宋体" w:cs="宋体" w:eastAsia="宋体" w:hint="default"/>
          <w:spacing w:val="-5"/>
          <w:w w:val="101"/>
          <w:sz w:val="18"/>
          <w:szCs w:val="18"/>
        </w:rPr>
        <w:t>新金融工具准则以</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预期信用损失法</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替代了原金融工具准则规定的、根据实际已发生减值损失确认减值准备的方法。</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 </w:t>
      </w:r>
      <w:r>
        <w:rPr>
          <w:rFonts w:ascii="宋体" w:hAnsi="宋体" w:cs="宋体" w:eastAsia="宋体" w:hint="default"/>
          <w:spacing w:val="-3"/>
          <w:sz w:val="18"/>
          <w:szCs w:val="18"/>
        </w:rPr>
        <w:t>期信用损失法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模型要求持续评估金融资产的信用风险，因此在新金融工具准则下，本公司信用损失的确认时点早于原金融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工具准则。</w:t>
      </w:r>
    </w:p>
    <w:p>
      <w:pPr>
        <w:spacing w:before="31"/>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本公司以预期信用损失为基础，对下列项目进行减值会计处理并确认损失准备：</w:t>
      </w:r>
    </w:p>
    <w:p>
      <w:pPr>
        <w:spacing w:before="76"/>
        <w:ind w:left="15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9"/>
          <w:sz w:val="18"/>
          <w:szCs w:val="18"/>
        </w:rPr>
        <w:t> </w:t>
      </w:r>
      <w:r>
        <w:rPr>
          <w:rFonts w:ascii="宋体" w:hAnsi="宋体" w:cs="宋体" w:eastAsia="宋体" w:hint="default"/>
          <w:spacing w:val="-3"/>
          <w:sz w:val="18"/>
          <w:szCs w:val="18"/>
        </w:rPr>
        <w:t>以摊余成本计量的金融资产；</w:t>
      </w:r>
    </w:p>
    <w:p>
      <w:pPr>
        <w:spacing w:before="77"/>
        <w:ind w:left="15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87"/>
          <w:sz w:val="18"/>
          <w:szCs w:val="18"/>
        </w:rPr>
        <w:t> </w:t>
      </w:r>
      <w:r>
        <w:rPr>
          <w:rFonts w:ascii="宋体" w:hAnsi="宋体" w:cs="宋体" w:eastAsia="宋体" w:hint="default"/>
          <w:spacing w:val="-3"/>
          <w:sz w:val="18"/>
          <w:szCs w:val="18"/>
        </w:rPr>
        <w:t>以公允价值计量且其变动计入其他综合收益的应收款项和债权投资；</w:t>
      </w:r>
    </w:p>
    <w:p>
      <w:pPr>
        <w:spacing w:before="76"/>
        <w:ind w:left="15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租赁应收款；</w:t>
      </w:r>
    </w:p>
    <w:p>
      <w:pPr>
        <w:spacing w:line="240" w:lineRule="auto" w:before="0"/>
        <w:rPr>
          <w:rFonts w:ascii="宋体" w:hAnsi="宋体" w:cs="宋体" w:eastAsia="宋体" w:hint="default"/>
          <w:sz w:val="15"/>
          <w:szCs w:val="15"/>
        </w:rPr>
      </w:pPr>
    </w:p>
    <w:p>
      <w:pPr>
        <w:spacing w:line="309" w:lineRule="auto" w:before="0"/>
        <w:ind w:left="153" w:right="1124" w:firstLine="360"/>
        <w:jc w:val="both"/>
        <w:rPr>
          <w:rFonts w:ascii="宋体" w:hAnsi="宋体" w:cs="宋体" w:eastAsia="宋体" w:hint="default"/>
          <w:sz w:val="18"/>
          <w:szCs w:val="18"/>
        </w:rPr>
      </w:pPr>
      <w:r>
        <w:rPr>
          <w:rFonts w:ascii="宋体" w:hAnsi="宋体" w:cs="宋体" w:eastAsia="宋体" w:hint="default"/>
          <w:spacing w:val="-5"/>
          <w:sz w:val="18"/>
          <w:szCs w:val="18"/>
        </w:rPr>
        <w:t>本公司按照新金融工具准则的规定，除某些特定情形外，对金融工具的分类和计量（含减值）进行追溯调整，将金融工</w:t>
      </w:r>
      <w:r>
        <w:rPr>
          <w:rFonts w:ascii="宋体" w:hAnsi="宋体" w:cs="宋体" w:eastAsia="宋体" w:hint="default"/>
          <w:w w:val="101"/>
          <w:sz w:val="18"/>
          <w:szCs w:val="18"/>
        </w:rPr>
        <w:t> </w:t>
      </w:r>
      <w:r>
        <w:rPr>
          <w:rFonts w:ascii="宋体" w:hAnsi="宋体" w:cs="宋体" w:eastAsia="宋体" w:hint="default"/>
          <w:spacing w:val="-4"/>
          <w:sz w:val="18"/>
          <w:szCs w:val="18"/>
        </w:rPr>
        <w:t>具原账面价值和在新金融工具准则施行日（即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日）的新账面价值之间的差额计入</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年年初留存收益或其他综合</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收益。同时，本公司未对比较财务报表数据进行调整。</w:t>
      </w:r>
    </w:p>
    <w:tbl>
      <w:tblPr>
        <w:tblW w:w="0" w:type="auto"/>
        <w:jc w:val="left"/>
        <w:tblInd w:w="153" w:type="dxa"/>
        <w:tblLayout w:type="fixed"/>
        <w:tblCellMar>
          <w:top w:w="0" w:type="dxa"/>
          <w:left w:w="0" w:type="dxa"/>
          <w:bottom w:w="0" w:type="dxa"/>
          <w:right w:w="0" w:type="dxa"/>
        </w:tblCellMar>
        <w:tblLook w:val="01E0"/>
      </w:tblPr>
      <w:tblGrid>
        <w:gridCol w:w="1268"/>
        <w:gridCol w:w="1421"/>
        <w:gridCol w:w="1844"/>
        <w:gridCol w:w="1133"/>
        <w:gridCol w:w="2127"/>
        <w:gridCol w:w="1272"/>
      </w:tblGrid>
      <w:tr>
        <w:trPr>
          <w:trHeight w:val="346" w:hRule="exact"/>
        </w:trPr>
        <w:tc>
          <w:tcPr>
            <w:tcW w:w="4533"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4533"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50" w:hRule="exact"/>
        </w:trPr>
        <w:tc>
          <w:tcPr>
            <w:tcW w:w="12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7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58" w:hRule="exact"/>
        </w:trPr>
        <w:tc>
          <w:tcPr>
            <w:tcW w:w="1268" w:type="dxa"/>
            <w:vMerge w:val="restart"/>
            <w:tcBorders>
              <w:top w:val="single" w:sz="10" w:space="0" w:color="000000"/>
              <w:left w:val="single" w:sz="6" w:space="0" w:color="000000"/>
              <w:right w:val="single" w:sz="6" w:space="0" w:color="000000"/>
            </w:tcBorders>
          </w:tcPr>
          <w:p>
            <w:pPr>
              <w:pStyle w:val="TableParagraph"/>
              <w:spacing w:line="319" w:lineRule="auto" w:before="15"/>
              <w:ind w:left="4" w:right="-9"/>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允</w:t>
            </w:r>
            <w:r>
              <w:rPr>
                <w:rFonts w:ascii="宋体" w:hAnsi="宋体" w:cs="宋体" w:eastAsia="宋体" w:hint="default"/>
                <w:spacing w:val="-60"/>
                <w:sz w:val="18"/>
                <w:szCs w:val="18"/>
              </w:rPr>
              <w:t> </w:t>
            </w:r>
            <w:r>
              <w:rPr>
                <w:rFonts w:ascii="宋体" w:hAnsi="宋体" w:cs="宋体" w:eastAsia="宋体" w:hint="default"/>
                <w:sz w:val="18"/>
                <w:szCs w:val="18"/>
              </w:rPr>
              <w:t>价</w:t>
            </w:r>
            <w:r>
              <w:rPr>
                <w:rFonts w:ascii="宋体" w:hAnsi="宋体" w:cs="宋体" w:eastAsia="宋体" w:hint="default"/>
                <w:spacing w:val="-55"/>
                <w:sz w:val="18"/>
                <w:szCs w:val="18"/>
              </w:rPr>
              <w:t> </w:t>
            </w:r>
            <w:r>
              <w:rPr>
                <w:rFonts w:ascii="宋体" w:hAnsi="宋体" w:cs="宋体" w:eastAsia="宋体" w:hint="default"/>
                <w:sz w:val="18"/>
                <w:szCs w:val="18"/>
              </w:rPr>
              <w:t>值</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w w:val="101"/>
                <w:sz w:val="18"/>
                <w:szCs w:val="18"/>
              </w:rPr>
              <w:t> </w:t>
            </w:r>
            <w:r>
              <w:rPr>
                <w:rFonts w:ascii="宋体" w:hAnsi="宋体" w:cs="宋体" w:eastAsia="宋体" w:hint="default"/>
                <w:sz w:val="18"/>
                <w:szCs w:val="18"/>
              </w:rPr>
              <w:t>量</w:t>
            </w:r>
            <w:r>
              <w:rPr>
                <w:rFonts w:ascii="宋体" w:hAnsi="宋体" w:cs="宋体" w:eastAsia="宋体" w:hint="default"/>
                <w:spacing w:val="-55"/>
                <w:sz w:val="18"/>
                <w:szCs w:val="18"/>
              </w:rPr>
              <w:t> </w:t>
            </w:r>
            <w:r>
              <w:rPr>
                <w:rFonts w:ascii="宋体" w:hAnsi="宋体" w:cs="宋体" w:eastAsia="宋体" w:hint="default"/>
                <w:sz w:val="18"/>
                <w:szCs w:val="18"/>
              </w:rPr>
              <w:t>且</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变</w:t>
            </w:r>
            <w:r>
              <w:rPr>
                <w:rFonts w:ascii="宋体" w:hAnsi="宋体" w:cs="宋体" w:eastAsia="宋体" w:hint="default"/>
                <w:spacing w:val="-55"/>
                <w:sz w:val="18"/>
                <w:szCs w:val="18"/>
              </w:rPr>
              <w:t> </w:t>
            </w:r>
            <w:r>
              <w:rPr>
                <w:rFonts w:ascii="宋体" w:hAnsi="宋体" w:cs="宋体" w:eastAsia="宋体" w:hint="default"/>
                <w:sz w:val="18"/>
                <w:szCs w:val="18"/>
              </w:rPr>
              <w:t>动</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w w:val="101"/>
                <w:sz w:val="18"/>
                <w:szCs w:val="18"/>
              </w:rPr>
              <w:t> </w:t>
            </w:r>
            <w:r>
              <w:rPr>
                <w:rFonts w:ascii="宋体" w:hAnsi="宋体" w:cs="宋体" w:eastAsia="宋体" w:hint="default"/>
                <w:sz w:val="18"/>
                <w:szCs w:val="18"/>
              </w:rPr>
              <w:t>入</w:t>
            </w:r>
            <w:r>
              <w:rPr>
                <w:rFonts w:ascii="宋体" w:hAnsi="宋体" w:cs="宋体" w:eastAsia="宋体" w:hint="default"/>
                <w:spacing w:val="-55"/>
                <w:sz w:val="18"/>
                <w:szCs w:val="18"/>
              </w:rPr>
              <w:t> </w:t>
            </w:r>
            <w:r>
              <w:rPr>
                <w:rFonts w:ascii="宋体" w:hAnsi="宋体" w:cs="宋体" w:eastAsia="宋体" w:hint="default"/>
                <w:sz w:val="18"/>
                <w:szCs w:val="18"/>
              </w:rPr>
              <w:t>当</w:t>
            </w:r>
            <w:r>
              <w:rPr>
                <w:rFonts w:ascii="宋体" w:hAnsi="宋体" w:cs="宋体" w:eastAsia="宋体" w:hint="default"/>
                <w:spacing w:val="-55"/>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损</w:t>
            </w:r>
            <w:r>
              <w:rPr>
                <w:rFonts w:ascii="宋体" w:hAnsi="宋体" w:cs="宋体" w:eastAsia="宋体" w:hint="default"/>
                <w:spacing w:val="-55"/>
                <w:sz w:val="18"/>
                <w:szCs w:val="18"/>
              </w:rPr>
              <w:t> </w:t>
            </w:r>
            <w:r>
              <w:rPr>
                <w:rFonts w:ascii="宋体" w:hAnsi="宋体" w:cs="宋体" w:eastAsia="宋体" w:hint="default"/>
                <w:sz w:val="18"/>
                <w:szCs w:val="18"/>
              </w:rPr>
              <w:t>益</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金融资产</w:t>
            </w:r>
          </w:p>
        </w:tc>
        <w:tc>
          <w:tcPr>
            <w:tcW w:w="1421"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4"/>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9"/>
                <w:sz w:val="18"/>
                <w:szCs w:val="18"/>
              </w:rPr>
              <w:t> </w:t>
            </w:r>
            <w:r>
              <w:rPr>
                <w:rFonts w:ascii="宋体" w:hAnsi="宋体" w:cs="宋体" w:eastAsia="宋体" w:hint="default"/>
                <w:spacing w:val="12"/>
                <w:sz w:val="18"/>
                <w:szCs w:val="18"/>
              </w:rPr>
              <w:t>公允价值</w:t>
            </w:r>
            <w:r>
              <w:rPr>
                <w:rFonts w:ascii="宋体" w:hAnsi="宋体" w:cs="宋体" w:eastAsia="宋体" w:hint="default"/>
                <w:spacing w:val="-59"/>
                <w:sz w:val="18"/>
                <w:szCs w:val="18"/>
              </w:rPr>
              <w:t> </w:t>
            </w:r>
            <w:r>
              <w:rPr>
                <w:rFonts w:ascii="宋体" w:hAnsi="宋体" w:cs="宋体" w:eastAsia="宋体" w:hint="default"/>
                <w:spacing w:val="8"/>
                <w:sz w:val="18"/>
                <w:szCs w:val="18"/>
              </w:rPr>
              <w:t>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且</w:t>
            </w:r>
            <w:r>
              <w:rPr>
                <w:rFonts w:ascii="宋体" w:hAnsi="宋体" w:cs="宋体" w:eastAsia="宋体" w:hint="default"/>
                <w:spacing w:val="-59"/>
                <w:sz w:val="18"/>
                <w:szCs w:val="18"/>
              </w:rPr>
              <w:t> </w:t>
            </w:r>
            <w:r>
              <w:rPr>
                <w:rFonts w:ascii="宋体" w:hAnsi="宋体" w:cs="宋体" w:eastAsia="宋体" w:hint="default"/>
                <w:spacing w:val="12"/>
                <w:sz w:val="18"/>
                <w:szCs w:val="18"/>
              </w:rPr>
              <w:t>其变动计</w:t>
            </w:r>
            <w:r>
              <w:rPr>
                <w:rFonts w:ascii="宋体" w:hAnsi="宋体" w:cs="宋体" w:eastAsia="宋体" w:hint="default"/>
                <w:spacing w:val="-59"/>
                <w:sz w:val="18"/>
                <w:szCs w:val="18"/>
              </w:rPr>
              <w:t> </w:t>
            </w:r>
            <w:r>
              <w:rPr>
                <w:rFonts w:ascii="宋体" w:hAnsi="宋体" w:cs="宋体" w:eastAsia="宋体" w:hint="default"/>
                <w:spacing w:val="8"/>
                <w:sz w:val="18"/>
                <w:szCs w:val="18"/>
              </w:rPr>
              <w:t>入当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期损益</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1,551,334.00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3"/>
                <w:sz w:val="18"/>
                <w:szCs w:val="18"/>
              </w:rPr>
              <w:t>交易性金融资</w:t>
            </w:r>
            <w:r>
              <w:rPr>
                <w:rFonts w:ascii="宋体" w:hAnsi="宋体" w:cs="宋体" w:eastAsia="宋体" w:hint="default"/>
                <w:spacing w:val="-70"/>
                <w:sz w:val="18"/>
                <w:szCs w:val="18"/>
              </w:rPr>
              <w:t> </w:t>
            </w:r>
            <w:r>
              <w:rPr>
                <w:rFonts w:ascii="宋体" w:hAnsi="宋体" w:cs="宋体" w:eastAsia="宋体" w:hint="default"/>
                <w:sz w:val="18"/>
                <w:szCs w:val="18"/>
              </w:rPr>
              <w:t>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1,551,334.00</w:t>
            </w:r>
          </w:p>
        </w:tc>
      </w:tr>
      <w:tr>
        <w:trPr>
          <w:trHeight w:val="658" w:hRule="exact"/>
        </w:trPr>
        <w:tc>
          <w:tcPr>
            <w:tcW w:w="1268"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58" w:hRule="exact"/>
        </w:trPr>
        <w:tc>
          <w:tcPr>
            <w:tcW w:w="1268"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9"/>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55"/>
                <w:sz w:val="18"/>
                <w:szCs w:val="18"/>
              </w:rPr>
              <w:t> </w:t>
            </w:r>
            <w:r>
              <w:rPr>
                <w:rFonts w:ascii="宋体" w:hAnsi="宋体" w:cs="宋体" w:eastAsia="宋体" w:hint="default"/>
                <w:sz w:val="18"/>
                <w:szCs w:val="18"/>
              </w:rPr>
              <w:t>供</w:t>
            </w:r>
            <w:r>
              <w:rPr>
                <w:rFonts w:ascii="宋体" w:hAnsi="宋体" w:cs="宋体" w:eastAsia="宋体" w:hint="default"/>
                <w:spacing w:val="-55"/>
                <w:sz w:val="18"/>
                <w:szCs w:val="18"/>
              </w:rPr>
              <w:t> </w:t>
            </w:r>
            <w:r>
              <w:rPr>
                <w:rFonts w:ascii="宋体" w:hAnsi="宋体" w:cs="宋体" w:eastAsia="宋体" w:hint="default"/>
                <w:sz w:val="18"/>
                <w:szCs w:val="18"/>
              </w:rPr>
              <w:t>出</w:t>
            </w:r>
            <w:r>
              <w:rPr>
                <w:rFonts w:ascii="宋体" w:hAnsi="宋体" w:cs="宋体" w:eastAsia="宋体" w:hint="default"/>
                <w:spacing w:val="-60"/>
                <w:sz w:val="18"/>
                <w:szCs w:val="18"/>
              </w:rPr>
              <w:t> </w:t>
            </w:r>
            <w:r>
              <w:rPr>
                <w:rFonts w:ascii="宋体" w:hAnsi="宋体" w:cs="宋体" w:eastAsia="宋体" w:hint="default"/>
                <w:sz w:val="18"/>
                <w:szCs w:val="18"/>
              </w:rPr>
              <w:t>售</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融</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1421"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5"/>
              <w:jc w:val="left"/>
              <w:rPr>
                <w:rFonts w:ascii="宋体" w:hAnsi="宋体" w:cs="宋体" w:eastAsia="宋体" w:hint="default"/>
                <w:sz w:val="18"/>
                <w:szCs w:val="18"/>
              </w:rPr>
            </w:pPr>
            <w:r>
              <w:rPr>
                <w:rFonts w:ascii="宋体" w:hAnsi="宋体" w:cs="宋体" w:eastAsia="宋体" w:hint="default"/>
                <w:spacing w:val="-8"/>
                <w:sz w:val="18"/>
                <w:szCs w:val="18"/>
              </w:rPr>
              <w:t>以成本计量（权益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工具）</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176,628,248.72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3"/>
                <w:sz w:val="18"/>
                <w:szCs w:val="18"/>
              </w:rPr>
              <w:t>其他非流动金</w:t>
            </w:r>
            <w:r>
              <w:rPr>
                <w:rFonts w:ascii="宋体" w:hAnsi="宋体" w:cs="宋体" w:eastAsia="宋体" w:hint="default"/>
                <w:spacing w:val="-70"/>
                <w:sz w:val="18"/>
                <w:szCs w:val="18"/>
              </w:rPr>
              <w:t> </w:t>
            </w:r>
            <w:r>
              <w:rPr>
                <w:rFonts w:ascii="宋体" w:hAnsi="宋体" w:cs="宋体" w:eastAsia="宋体" w:hint="default"/>
                <w:sz w:val="18"/>
                <w:szCs w:val="18"/>
              </w:rPr>
              <w:t>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62" w:hRule="exact"/>
        </w:trPr>
        <w:tc>
          <w:tcPr>
            <w:tcW w:w="1268"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10"/>
              <w:jc w:val="left"/>
              <w:rPr>
                <w:rFonts w:ascii="宋体" w:hAnsi="宋体" w:cs="宋体" w:eastAsia="宋体" w:hint="default"/>
                <w:sz w:val="18"/>
                <w:szCs w:val="18"/>
              </w:rPr>
            </w:pPr>
            <w:r>
              <w:rPr>
                <w:rFonts w:ascii="宋体" w:hAnsi="宋体" w:cs="宋体" w:eastAsia="宋体" w:hint="default"/>
                <w:spacing w:val="3"/>
                <w:sz w:val="18"/>
                <w:szCs w:val="18"/>
              </w:rPr>
              <w:t>其他权益工具</w:t>
            </w:r>
            <w:r>
              <w:rPr>
                <w:rFonts w:ascii="宋体" w:hAnsi="宋体" w:cs="宋体" w:eastAsia="宋体" w:hint="default"/>
                <w:spacing w:val="-70"/>
                <w:sz w:val="18"/>
                <w:szCs w:val="18"/>
              </w:rPr>
              <w:t> </w:t>
            </w:r>
            <w:r>
              <w:rPr>
                <w:rFonts w:ascii="宋体" w:hAnsi="宋体" w:cs="宋体" w:eastAsia="宋体" w:hint="default"/>
                <w:sz w:val="18"/>
                <w:szCs w:val="18"/>
              </w:rPr>
              <w:t>投资</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计入其他综合收益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left"/>
              <w:rPr>
                <w:rFonts w:ascii="Times New Roman" w:hAnsi="Times New Roman" w:cs="Times New Roman" w:eastAsia="Times New Roman" w:hint="default"/>
                <w:sz w:val="18"/>
                <w:szCs w:val="18"/>
              </w:rPr>
            </w:pPr>
            <w:r>
              <w:rPr>
                <w:rFonts w:ascii="Times New Roman"/>
                <w:sz w:val="18"/>
              </w:rPr>
              <w:t>170,408,594.84</w:t>
            </w:r>
          </w:p>
        </w:tc>
      </w:tr>
    </w:tbl>
    <w:p>
      <w:pPr>
        <w:spacing w:line="240" w:lineRule="auto" w:before="7"/>
        <w:rPr>
          <w:rFonts w:ascii="宋体" w:hAnsi="宋体" w:cs="宋体" w:eastAsia="宋体" w:hint="default"/>
          <w:sz w:val="7"/>
          <w:szCs w:val="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日，执行新金融工具准则时金融工具分类和账面价值调节表如下：</w:t>
      </w:r>
    </w:p>
    <w:p>
      <w:pPr>
        <w:spacing w:line="240" w:lineRule="auto" w:before="7"/>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1556"/>
        <w:gridCol w:w="2027"/>
        <w:gridCol w:w="2026"/>
        <w:gridCol w:w="1710"/>
        <w:gridCol w:w="1752"/>
      </w:tblGrid>
      <w:tr>
        <w:trPr>
          <w:trHeight w:val="346" w:hRule="exact"/>
        </w:trPr>
        <w:tc>
          <w:tcPr>
            <w:tcW w:w="1556"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2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tc>
        <w:tc>
          <w:tcPr>
            <w:tcW w:w="2026"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1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7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tc>
      </w:tr>
      <w:tr>
        <w:trPr>
          <w:trHeight w:val="346" w:hRule="exact"/>
        </w:trPr>
        <w:tc>
          <w:tcPr>
            <w:tcW w:w="1556" w:type="dxa"/>
            <w:vMerge/>
            <w:tcBorders>
              <w:left w:val="single" w:sz="6" w:space="0" w:color="000000"/>
              <w:bottom w:val="single" w:sz="6" w:space="0" w:color="000000"/>
              <w:right w:val="single" w:sz="6" w:space="0" w:color="000000"/>
            </w:tcBorders>
            <w:shd w:val="clear" w:color="auto" w:fill="D0CECE"/>
          </w:tcPr>
          <w:p>
            <w:pPr/>
          </w:p>
        </w:tc>
        <w:tc>
          <w:tcPr>
            <w:tcW w:w="202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026" w:type="dxa"/>
            <w:vMerge/>
            <w:tcBorders>
              <w:left w:val="single" w:sz="6" w:space="0" w:color="000000"/>
              <w:bottom w:val="single" w:sz="6" w:space="0" w:color="000000"/>
              <w:right w:val="single" w:sz="6" w:space="0" w:color="000000"/>
            </w:tcBorders>
            <w:shd w:val="clear" w:color="auto" w:fill="D0CECE"/>
          </w:tcPr>
          <w:p>
            <w:pPr/>
          </w:p>
        </w:tc>
        <w:tc>
          <w:tcPr>
            <w:tcW w:w="1710" w:type="dxa"/>
            <w:vMerge/>
            <w:tcBorders>
              <w:left w:val="single" w:sz="6" w:space="0" w:color="000000"/>
              <w:bottom w:val="single" w:sz="6" w:space="0" w:color="000000"/>
              <w:right w:val="single" w:sz="6" w:space="0" w:color="000000"/>
            </w:tcBorders>
            <w:shd w:val="clear" w:color="auto" w:fill="D0CECE"/>
          </w:tcPr>
          <w:p>
            <w:pPr/>
          </w:p>
        </w:tc>
        <w:tc>
          <w:tcPr>
            <w:tcW w:w="17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4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027" w:type="dxa"/>
            <w:tcBorders>
              <w:top w:val="single" w:sz="6" w:space="0" w:color="000000"/>
              <w:left w:val="single" w:sz="6" w:space="0" w:color="000000"/>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pacing w:val="8"/>
                <w:sz w:val="18"/>
                <w:szCs w:val="18"/>
              </w:rPr>
              <w:t>以公允价值计量且</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8"/>
                <w:sz w:val="18"/>
                <w:szCs w:val="18"/>
              </w:rPr>
              <w:t>其变动计入当期损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益的金融资产</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1,551,334.00</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-1,551,334.00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1,551,334.00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35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176,628,248.72</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-176,628,248.72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176,628,248.72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-6,219,653.88</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170,408,594.84</w:t>
            </w: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20,135,805.82</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621,965.39</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20,757,771.21</w:t>
            </w:r>
          </w:p>
        </w:tc>
      </w:tr>
      <w:tr>
        <w:trPr>
          <w:trHeight w:val="35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027" w:type="dxa"/>
            <w:tcBorders>
              <w:top w:val="single" w:sz="6" w:space="0" w:color="000000"/>
              <w:left w:val="single" w:sz="6" w:space="0" w:color="000000"/>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56"/>
        <w:gridCol w:w="2027"/>
        <w:gridCol w:w="2026"/>
        <w:gridCol w:w="1710"/>
        <w:gridCol w:w="1752"/>
      </w:tblGrid>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20" w:right="-4"/>
              <w:jc w:val="left"/>
              <w:rPr>
                <w:rFonts w:ascii="Times New Roman" w:hAnsi="Times New Roman" w:cs="Times New Roman" w:eastAsia="Times New Roman" w:hint="default"/>
                <w:sz w:val="18"/>
                <w:szCs w:val="18"/>
              </w:rPr>
            </w:pPr>
            <w:r>
              <w:rPr>
                <w:rFonts w:ascii="Times New Roman"/>
                <w:sz w:val="18"/>
              </w:rPr>
              <w:t>-3,849.18</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96" w:right="-9"/>
              <w:jc w:val="left"/>
              <w:rPr>
                <w:rFonts w:ascii="Times New Roman" w:hAnsi="Times New Roman" w:cs="Times New Roman" w:eastAsia="Times New Roman" w:hint="default"/>
                <w:sz w:val="18"/>
                <w:szCs w:val="18"/>
              </w:rPr>
            </w:pPr>
            <w:r>
              <w:rPr>
                <w:rFonts w:ascii="Times New Roman"/>
                <w:spacing w:val="-1"/>
                <w:sz w:val="18"/>
              </w:rPr>
              <w:t>-5,597,688.49</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4" w:right="-4"/>
              <w:jc w:val="left"/>
              <w:rPr>
                <w:rFonts w:ascii="Times New Roman" w:hAnsi="Times New Roman" w:cs="Times New Roman" w:eastAsia="Times New Roman" w:hint="default"/>
                <w:sz w:val="18"/>
                <w:szCs w:val="18"/>
              </w:rPr>
            </w:pPr>
            <w:r>
              <w:rPr>
                <w:rFonts w:ascii="Times New Roman"/>
                <w:spacing w:val="-1"/>
                <w:sz w:val="18"/>
              </w:rPr>
              <w:t>-5,601,537.67</w:t>
            </w:r>
          </w:p>
        </w:tc>
      </w:tr>
    </w:tbl>
    <w:p>
      <w:pPr>
        <w:spacing w:line="240" w:lineRule="auto" w:before="6"/>
        <w:rPr>
          <w:rFonts w:ascii="宋体" w:hAnsi="宋体" w:cs="宋体" w:eastAsia="宋体" w:hint="default"/>
          <w:sz w:val="6"/>
          <w:szCs w:val="6"/>
        </w:rPr>
      </w:pPr>
    </w:p>
    <w:p>
      <w:pPr>
        <w:spacing w:line="300" w:lineRule="auto" w:before="46"/>
        <w:ind w:left="153" w:right="993" w:firstLine="360"/>
        <w:jc w:val="left"/>
        <w:rPr>
          <w:rFonts w:ascii="宋体" w:hAnsi="宋体" w:cs="宋体" w:eastAsia="宋体" w:hint="default"/>
          <w:sz w:val="18"/>
          <w:szCs w:val="18"/>
        </w:rPr>
      </w:pPr>
      <w:r>
        <w:rPr>
          <w:rFonts w:ascii="宋体" w:hAnsi="宋体" w:cs="宋体" w:eastAsia="宋体" w:hint="default"/>
          <w:spacing w:val="-3"/>
          <w:sz w:val="18"/>
          <w:szCs w:val="18"/>
        </w:rPr>
        <w:t>本公司将根据原金融工具准则计量的</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年年末损失准备与根据新金融工具准则确定的</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年年初损失准备之间的调</w:t>
      </w:r>
      <w:r>
        <w:rPr>
          <w:rFonts w:ascii="宋体" w:hAnsi="宋体" w:cs="宋体" w:eastAsia="宋体" w:hint="default"/>
          <w:w w:val="101"/>
          <w:sz w:val="18"/>
          <w:szCs w:val="18"/>
        </w:rPr>
        <w:t> </w:t>
      </w:r>
      <w:r>
        <w:rPr>
          <w:rFonts w:ascii="宋体" w:hAnsi="宋体" w:cs="宋体" w:eastAsia="宋体" w:hint="default"/>
          <w:spacing w:val="-3"/>
          <w:sz w:val="18"/>
          <w:szCs w:val="18"/>
        </w:rPr>
        <w:t>节表列示如下：</w:t>
      </w:r>
    </w:p>
    <w:p>
      <w:pPr>
        <w:spacing w:line="240" w:lineRule="auto" w:before="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07"/>
        <w:gridCol w:w="1887"/>
        <w:gridCol w:w="1417"/>
        <w:gridCol w:w="1277"/>
        <w:gridCol w:w="1983"/>
      </w:tblGrid>
      <w:tr>
        <w:trPr>
          <w:trHeight w:val="655" w:hRule="exact"/>
        </w:trPr>
        <w:tc>
          <w:tcPr>
            <w:tcW w:w="250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88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2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r>
      <w:tr>
        <w:trPr>
          <w:trHeight w:val="658" w:hRule="exact"/>
        </w:trPr>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102,758,096.64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102,758,096.64</w:t>
            </w:r>
          </w:p>
        </w:tc>
      </w:tr>
      <w:tr>
        <w:trPr>
          <w:trHeight w:val="350" w:hRule="exact"/>
        </w:trPr>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9,921,208.50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9,921,208.50</w:t>
            </w:r>
          </w:p>
        </w:tc>
      </w:tr>
    </w:tbl>
    <w:p>
      <w:pPr>
        <w:spacing w:line="240" w:lineRule="auto" w:before="6"/>
        <w:rPr>
          <w:rFonts w:ascii="宋体" w:hAnsi="宋体" w:cs="宋体" w:eastAsia="宋体" w:hint="default"/>
          <w:sz w:val="6"/>
          <w:szCs w:val="6"/>
        </w:rPr>
      </w:pPr>
    </w:p>
    <w:p>
      <w:pPr>
        <w:spacing w:before="46"/>
        <w:ind w:left="513" w:right="0" w:firstLine="0"/>
        <w:jc w:val="left"/>
        <w:rPr>
          <w:rFonts w:ascii="宋体" w:hAnsi="宋体" w:cs="宋体" w:eastAsia="宋体" w:hint="default"/>
          <w:sz w:val="18"/>
          <w:szCs w:val="18"/>
        </w:rPr>
      </w:pPr>
      <w:r>
        <w:rPr>
          <w:rFonts w:ascii="宋体" w:hAnsi="宋体" w:cs="宋体" w:eastAsia="宋体" w:hint="default"/>
          <w:sz w:val="18"/>
          <w:szCs w:val="18"/>
        </w:rPr>
        <w:t>②新债务重组准则</w:t>
      </w:r>
    </w:p>
    <w:p>
      <w:pPr>
        <w:spacing w:line="240" w:lineRule="auto" w:before="0"/>
        <w:rPr>
          <w:rFonts w:ascii="宋体" w:hAnsi="宋体" w:cs="宋体" w:eastAsia="宋体" w:hint="default"/>
          <w:sz w:val="15"/>
          <w:szCs w:val="15"/>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spacing w:val="-3"/>
          <w:sz w:val="18"/>
          <w:szCs w:val="18"/>
        </w:rPr>
        <w:t>财政部于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日发布了《企业会计准则第</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债务重组》（以下简称</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新债务重组准则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，修改了债务重</w:t>
      </w:r>
      <w:r>
        <w:rPr>
          <w:rFonts w:ascii="宋体" w:hAnsi="宋体" w:cs="宋体" w:eastAsia="宋体" w:hint="default"/>
          <w:w w:val="101"/>
          <w:sz w:val="18"/>
          <w:szCs w:val="18"/>
        </w:rPr>
        <w:t> </w:t>
      </w:r>
      <w:r>
        <w:rPr>
          <w:rFonts w:ascii="宋体" w:hAnsi="宋体" w:cs="宋体" w:eastAsia="宋体" w:hint="default"/>
          <w:spacing w:val="-4"/>
          <w:sz w:val="18"/>
          <w:szCs w:val="18"/>
        </w:rPr>
        <w:t>组的定义，明确了债务重组中涉及金融工具的适用《企业会计准则第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金融工具确认和计量》等准则，明确了债权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人受让金融资产以外的资产初始按成本计量，明确债务人以资产清偿债务时不再区分资产处置损益与债务重组损益。</w:t>
      </w:r>
    </w:p>
    <w:p>
      <w:pPr>
        <w:spacing w:line="300" w:lineRule="auto" w:before="151"/>
        <w:ind w:left="153" w:right="993" w:firstLine="360"/>
        <w:jc w:val="left"/>
        <w:rPr>
          <w:rFonts w:ascii="宋体" w:hAnsi="宋体" w:cs="宋体" w:eastAsia="宋体" w:hint="default"/>
          <w:sz w:val="18"/>
          <w:szCs w:val="18"/>
        </w:rPr>
      </w:pPr>
      <w:r>
        <w:rPr>
          <w:rFonts w:ascii="宋体" w:hAnsi="宋体" w:cs="宋体" w:eastAsia="宋体" w:hint="default"/>
          <w:spacing w:val="-4"/>
          <w:sz w:val="18"/>
          <w:szCs w:val="18"/>
        </w:rPr>
        <w:t>根据财会</w:t>
      </w:r>
      <w:r>
        <w:rPr>
          <w:rFonts w:ascii="Times New Roman" w:hAnsi="Times New Roman" w:cs="Times New Roman" w:eastAsia="Times New Roman" w:hint="default"/>
          <w:spacing w:val="-4"/>
          <w:sz w:val="18"/>
          <w:szCs w:val="18"/>
        </w:rPr>
        <w:t>[2019]6</w:t>
      </w:r>
      <w:r>
        <w:rPr>
          <w:rFonts w:ascii="宋体" w:hAnsi="宋体" w:cs="宋体" w:eastAsia="宋体" w:hint="default"/>
          <w:spacing w:val="-4"/>
          <w:sz w:val="18"/>
          <w:szCs w:val="18"/>
        </w:rPr>
        <w:t>号文件的规定，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营业外收入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营业外支出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项目不再包含债务重组中因处置非流动资产产生的利得或</w:t>
      </w:r>
      <w:r>
        <w:rPr>
          <w:rFonts w:ascii="宋体" w:hAnsi="宋体" w:cs="宋体" w:eastAsia="宋体" w:hint="default"/>
          <w:w w:val="101"/>
          <w:sz w:val="18"/>
          <w:szCs w:val="18"/>
        </w:rPr>
        <w:t> </w:t>
      </w:r>
      <w:r>
        <w:rPr>
          <w:rFonts w:ascii="宋体" w:hAnsi="宋体" w:cs="宋体" w:eastAsia="宋体" w:hint="default"/>
          <w:sz w:val="18"/>
          <w:szCs w:val="18"/>
        </w:rPr>
        <w:t>损失。</w:t>
      </w:r>
    </w:p>
    <w:p>
      <w:pPr>
        <w:spacing w:before="151"/>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本公司对</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日新发生的债务重组采用未来适用法处理，对</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日以前发生的债务重组不进行追溯调整。</w:t>
      </w:r>
    </w:p>
    <w:p>
      <w:pPr>
        <w:spacing w:line="432" w:lineRule="exact" w:before="48"/>
        <w:ind w:left="513" w:right="0" w:firstLine="0"/>
        <w:jc w:val="left"/>
        <w:rPr>
          <w:rFonts w:ascii="宋体" w:hAnsi="宋体" w:cs="宋体" w:eastAsia="宋体" w:hint="default"/>
          <w:sz w:val="18"/>
          <w:szCs w:val="18"/>
        </w:rPr>
      </w:pPr>
      <w:r>
        <w:rPr>
          <w:rFonts w:ascii="宋体" w:hAnsi="宋体" w:cs="宋体" w:eastAsia="宋体" w:hint="default"/>
          <w:sz w:val="18"/>
          <w:szCs w:val="18"/>
        </w:rPr>
        <w:t>③新非货币性交换准则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财政部于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日发布了《企业会计准则第</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新非货币性交换准则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），明</w:t>
      </w:r>
      <w:r>
        <w:rPr>
          <w:rFonts w:ascii="宋体" w:hAnsi="宋体" w:cs="宋体" w:eastAsia="宋体" w:hint="default"/>
          <w:sz w:val="18"/>
          <w:szCs w:val="18"/>
        </w:rPr>
      </w:r>
    </w:p>
    <w:p>
      <w:pPr>
        <w:spacing w:line="309" w:lineRule="auto" w:before="15"/>
        <w:ind w:left="153" w:right="1124" w:firstLine="0"/>
        <w:jc w:val="both"/>
        <w:rPr>
          <w:rFonts w:ascii="宋体" w:hAnsi="宋体" w:cs="宋体" w:eastAsia="宋体" w:hint="default"/>
          <w:sz w:val="18"/>
          <w:szCs w:val="18"/>
        </w:rPr>
      </w:pPr>
      <w:r>
        <w:rPr>
          <w:rFonts w:ascii="宋体" w:hAnsi="宋体" w:cs="宋体" w:eastAsia="宋体" w:hint="default"/>
          <w:spacing w:val="-4"/>
          <w:sz w:val="18"/>
          <w:szCs w:val="18"/>
        </w:rPr>
        <w:t>确了货币性资产和非货币性资产的概念和准则的适用范围，明确了非货币性资产交换的确认时点，明确了不同条件下非货币</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w w:val="101"/>
          <w:sz w:val="18"/>
          <w:szCs w:val="18"/>
        </w:rPr>
        <w:t>交换的价值计量基础和核算方法及同时完善了相关信息披露要求。本公司对</w:t>
      </w:r>
      <w:r>
        <w:rPr>
          <w:rFonts w:ascii="Times New Roman" w:hAnsi="Times New Roman" w:cs="Times New Roman" w:eastAsia="Times New Roman" w:hint="default"/>
          <w:spacing w:val="-4"/>
          <w:w w:val="101"/>
          <w:sz w:val="18"/>
          <w:szCs w:val="18"/>
        </w:rPr>
        <w:t>2019</w:t>
      </w:r>
      <w:r>
        <w:rPr>
          <w:rFonts w:ascii="宋体" w:hAnsi="宋体" w:cs="宋体" w:eastAsia="宋体" w:hint="default"/>
          <w:spacing w:val="-4"/>
          <w:w w:val="101"/>
          <w:sz w:val="18"/>
          <w:szCs w:val="18"/>
        </w:rPr>
        <w:t>年</w:t>
      </w:r>
      <w:r>
        <w:rPr>
          <w:rFonts w:ascii="Times New Roman" w:hAnsi="Times New Roman" w:cs="Times New Roman" w:eastAsia="Times New Roman" w:hint="default"/>
          <w:spacing w:val="-4"/>
          <w:w w:val="101"/>
          <w:sz w:val="18"/>
          <w:szCs w:val="18"/>
        </w:rPr>
        <w:t>1</w:t>
      </w:r>
      <w:r>
        <w:rPr>
          <w:rFonts w:ascii="宋体" w:hAnsi="宋体" w:cs="宋体" w:eastAsia="宋体" w:hint="default"/>
          <w:spacing w:val="-4"/>
          <w:w w:val="101"/>
          <w:sz w:val="18"/>
          <w:szCs w:val="18"/>
        </w:rPr>
        <w:t>月</w:t>
      </w:r>
      <w:r>
        <w:rPr>
          <w:rFonts w:ascii="Times New Roman" w:hAnsi="Times New Roman" w:cs="Times New Roman" w:eastAsia="Times New Roman" w:hint="default"/>
          <w:spacing w:val="-4"/>
          <w:w w:val="101"/>
          <w:sz w:val="18"/>
          <w:szCs w:val="18"/>
        </w:rPr>
        <w:t>1</w:t>
      </w:r>
      <w:r>
        <w:rPr>
          <w:rFonts w:ascii="宋体" w:hAnsi="宋体" w:cs="宋体" w:eastAsia="宋体" w:hint="default"/>
          <w:spacing w:val="-4"/>
          <w:w w:val="101"/>
          <w:sz w:val="18"/>
          <w:szCs w:val="18"/>
        </w:rPr>
        <w:t>日以后新发生的非货币性资产交换交</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易采用未来适用法处理，对</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日以前发生的非货币性资产交换交易不进行追溯调整。</w:t>
      </w:r>
    </w:p>
    <w:p>
      <w:pPr>
        <w:spacing w:before="125"/>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④财务报表格式</w:t>
      </w:r>
    </w:p>
    <w:p>
      <w:pPr>
        <w:spacing w:line="240" w:lineRule="auto" w:before="0"/>
        <w:rPr>
          <w:rFonts w:ascii="宋体" w:hAnsi="宋体" w:cs="宋体" w:eastAsia="宋体" w:hint="default"/>
          <w:sz w:val="15"/>
          <w:szCs w:val="15"/>
        </w:rPr>
      </w:pPr>
    </w:p>
    <w:p>
      <w:pPr>
        <w:spacing w:line="300" w:lineRule="auto" w:before="0"/>
        <w:ind w:left="153" w:right="1122" w:firstLine="360"/>
        <w:jc w:val="both"/>
        <w:rPr>
          <w:rFonts w:ascii="宋体" w:hAnsi="宋体" w:cs="宋体" w:eastAsia="宋体" w:hint="default"/>
          <w:sz w:val="18"/>
          <w:szCs w:val="18"/>
        </w:rPr>
      </w:pPr>
      <w:r>
        <w:rPr>
          <w:rFonts w:ascii="宋体" w:hAnsi="宋体" w:cs="宋体" w:eastAsia="宋体" w:hint="default"/>
          <w:spacing w:val="-3"/>
          <w:sz w:val="18"/>
          <w:szCs w:val="18"/>
        </w:rPr>
        <w:t>财政部于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月发布了《财政部关于修订印发</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年度一般企业财务报表格式的通知》（财会</w:t>
      </w:r>
      <w:r>
        <w:rPr>
          <w:rFonts w:ascii="Times New Roman" w:hAnsi="Times New Roman" w:cs="Times New Roman" w:eastAsia="Times New Roman" w:hint="default"/>
          <w:spacing w:val="-3"/>
          <w:sz w:val="18"/>
          <w:szCs w:val="18"/>
        </w:rPr>
        <w:t>[2019]6</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月发布的《财政部关于修订印发</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年度一般企业财务报表格式的通知》（财会</w:t>
      </w:r>
      <w:r>
        <w:rPr>
          <w:rFonts w:ascii="Times New Roman" w:hAnsi="Times New Roman" w:cs="Times New Roman" w:eastAsia="Times New Roman" w:hint="default"/>
          <w:spacing w:val="-3"/>
          <w:sz w:val="18"/>
          <w:szCs w:val="18"/>
        </w:rPr>
        <w:t>[2018]15</w:t>
      </w:r>
      <w:r>
        <w:rPr>
          <w:rFonts w:ascii="宋体" w:hAnsi="宋体" w:cs="宋体" w:eastAsia="宋体" w:hint="default"/>
          <w:spacing w:val="-3"/>
          <w:sz w:val="18"/>
          <w:szCs w:val="18"/>
        </w:rPr>
        <w:t>号）同时废止；财政部于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月发布了《财政部关于修订印发合并财务报表格式（</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版）的通知》（财会</w:t>
      </w:r>
      <w:r>
        <w:rPr>
          <w:rFonts w:ascii="Times New Roman" w:hAnsi="Times New Roman" w:cs="Times New Roman" w:eastAsia="Times New Roman" w:hint="default"/>
          <w:spacing w:val="-3"/>
          <w:sz w:val="18"/>
          <w:szCs w:val="18"/>
        </w:rPr>
        <w:t>[2019]16</w:t>
      </w:r>
      <w:r>
        <w:rPr>
          <w:rFonts w:ascii="宋体" w:hAnsi="宋体" w:cs="宋体" w:eastAsia="宋体" w:hint="default"/>
          <w:spacing w:val="-3"/>
          <w:sz w:val="18"/>
          <w:szCs w:val="18"/>
        </w:rPr>
        <w:t>号），《财政部关于修订印发</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69"/>
          <w:sz w:val="18"/>
          <w:szCs w:val="18"/>
        </w:rPr>
        <w:t> </w:t>
      </w:r>
      <w:r>
        <w:rPr>
          <w:rFonts w:ascii="宋体" w:hAnsi="宋体" w:cs="宋体" w:eastAsia="宋体" w:hint="default"/>
          <w:spacing w:val="-4"/>
          <w:sz w:val="18"/>
          <w:szCs w:val="18"/>
        </w:rPr>
        <w:t>度合并财务报表格式的通知》（财会</w:t>
      </w:r>
      <w:r>
        <w:rPr>
          <w:rFonts w:ascii="Times New Roman" w:hAnsi="Times New Roman" w:cs="Times New Roman" w:eastAsia="Times New Roman" w:hint="default"/>
          <w:spacing w:val="-4"/>
          <w:sz w:val="18"/>
          <w:szCs w:val="18"/>
        </w:rPr>
        <w:t>[2019]1</w:t>
      </w:r>
      <w:r>
        <w:rPr>
          <w:rFonts w:ascii="宋体" w:hAnsi="宋体" w:cs="宋体" w:eastAsia="宋体" w:hint="default"/>
          <w:spacing w:val="-4"/>
          <w:sz w:val="18"/>
          <w:szCs w:val="18"/>
        </w:rPr>
        <w:t>号）同时废止。根据财会</w:t>
      </w:r>
      <w:r>
        <w:rPr>
          <w:rFonts w:ascii="Times New Roman" w:hAnsi="Times New Roman" w:cs="Times New Roman" w:eastAsia="Times New Roman" w:hint="default"/>
          <w:spacing w:val="-4"/>
          <w:sz w:val="18"/>
          <w:szCs w:val="18"/>
        </w:rPr>
        <w:t>[2019]6</w:t>
      </w:r>
      <w:r>
        <w:rPr>
          <w:rFonts w:ascii="宋体" w:hAnsi="宋体" w:cs="宋体" w:eastAsia="宋体" w:hint="default"/>
          <w:spacing w:val="-4"/>
          <w:sz w:val="18"/>
          <w:szCs w:val="18"/>
        </w:rPr>
        <w:t>号和财会</w:t>
      </w:r>
      <w:r>
        <w:rPr>
          <w:rFonts w:ascii="Times New Roman" w:hAnsi="Times New Roman" w:cs="Times New Roman" w:eastAsia="Times New Roman" w:hint="default"/>
          <w:spacing w:val="-4"/>
          <w:sz w:val="18"/>
          <w:szCs w:val="18"/>
        </w:rPr>
        <w:t>[2019]16</w:t>
      </w:r>
      <w:r>
        <w:rPr>
          <w:rFonts w:ascii="宋体" w:hAnsi="宋体" w:cs="宋体" w:eastAsia="宋体" w:hint="default"/>
          <w:spacing w:val="-4"/>
          <w:sz w:val="18"/>
          <w:szCs w:val="18"/>
        </w:rPr>
        <w:t>号，本公司对财务报表格式进</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行了以下修订：</w:t>
      </w:r>
    </w:p>
    <w:p>
      <w:pPr>
        <w:spacing w:before="151"/>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行项目拆分为</w:t>
      </w:r>
    </w:p>
    <w:p>
      <w:pPr>
        <w:spacing w:line="415" w:lineRule="auto" w:before="63"/>
        <w:ind w:left="513" w:right="461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pacing w:val="-3"/>
          <w:sz w:val="18"/>
          <w:szCs w:val="18"/>
        </w:rPr>
        <w:t>本公司对可比期间的比较数据按照财会</w:t>
      </w:r>
      <w:r>
        <w:rPr>
          <w:rFonts w:ascii="Times New Roman" w:hAnsi="Times New Roman" w:cs="Times New Roman" w:eastAsia="Times New Roman" w:hint="default"/>
          <w:spacing w:val="-3"/>
          <w:sz w:val="18"/>
          <w:szCs w:val="18"/>
        </w:rPr>
        <w:t>[2019]6</w:t>
      </w:r>
      <w:r>
        <w:rPr>
          <w:rFonts w:ascii="宋体" w:hAnsi="宋体" w:cs="宋体" w:eastAsia="宋体" w:hint="default"/>
          <w:spacing w:val="-3"/>
          <w:sz w:val="18"/>
          <w:szCs w:val="18"/>
        </w:rPr>
        <w:t>号文进行调整。</w:t>
      </w:r>
    </w:p>
    <w:p>
      <w:pPr>
        <w:spacing w:before="37"/>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财务报表格式的修订对本公司的资产总额、负债总额、净利润、其他综合收益等无影响。</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spacing w:line="338"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2838"/>
        <w:gridCol w:w="2550"/>
        <w:gridCol w:w="4053"/>
      </w:tblGrid>
      <w:tr>
        <w:trPr>
          <w:trHeight w:val="329" w:hRule="exact"/>
        </w:trPr>
        <w:tc>
          <w:tcPr>
            <w:tcW w:w="28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left="9"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405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
              <w:ind w:right="838"/>
              <w:jc w:val="righ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珠海远光晴天能源科技有限公司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81"/>
              <w:jc w:val="righ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对报告期整体生产经营和业绩的影响甚微</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佛山市晴方太阳能科技有限公司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1"/>
              <w:jc w:val="righ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对报告期整体生产经营和业绩的影响甚微</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北京神航星云科技有限公司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1"/>
              <w:jc w:val="right"/>
              <w:rPr>
                <w:rFonts w:ascii="宋体" w:hAnsi="宋体" w:cs="宋体" w:eastAsia="宋体" w:hint="default"/>
                <w:sz w:val="18"/>
                <w:szCs w:val="18"/>
              </w:rPr>
            </w:pPr>
            <w:r>
              <w:rPr>
                <w:rFonts w:ascii="宋体" w:hAnsi="宋体" w:cs="宋体" w:eastAsia="宋体" w:hint="default"/>
                <w:spacing w:val="-3"/>
                <w:sz w:val="18"/>
                <w:szCs w:val="18"/>
              </w:rPr>
              <w:t>对报告期整体生产经营和业绩的影响甚微</w:t>
            </w:r>
          </w:p>
        </w:tc>
      </w:tr>
      <w:tr>
        <w:trPr>
          <w:trHeight w:val="663"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13"/>
              <w:jc w:val="left"/>
              <w:rPr>
                <w:rFonts w:ascii="宋体" w:hAnsi="宋体" w:cs="宋体" w:eastAsia="宋体" w:hint="default"/>
                <w:sz w:val="18"/>
                <w:szCs w:val="18"/>
              </w:rPr>
            </w:pPr>
            <w:r>
              <w:rPr>
                <w:rFonts w:ascii="宋体" w:hAnsi="宋体" w:cs="宋体" w:eastAsia="宋体" w:hint="default"/>
                <w:spacing w:val="-3"/>
                <w:sz w:val="18"/>
                <w:szCs w:val="18"/>
              </w:rPr>
              <w:t>远光共创智能科技股份有限公司及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其子公司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61"/>
              <w:jc w:val="left"/>
              <w:rPr>
                <w:rFonts w:ascii="宋体" w:hAnsi="宋体" w:cs="宋体" w:eastAsia="宋体" w:hint="default"/>
                <w:sz w:val="18"/>
                <w:szCs w:val="18"/>
              </w:rPr>
            </w:pPr>
            <w:r>
              <w:rPr>
                <w:rFonts w:ascii="宋体" w:hAnsi="宋体" w:cs="宋体" w:eastAsia="宋体" w:hint="default"/>
                <w:spacing w:val="-3"/>
                <w:sz w:val="18"/>
                <w:szCs w:val="18"/>
              </w:rPr>
              <w:t>有利于公司优化资源配置，提高经营管理效率，不</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会对公司整体业务发展和生产经营产生重大影响。</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致同会计师事务所（特殊普通合伙）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李恩成、余红</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38" w:lineRule="auto" w:before="119"/>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是否在审计期间改聘会计师事务所</w:t>
      </w:r>
    </w:p>
    <w:p>
      <w:pPr>
        <w:spacing w:line="343" w:lineRule="auto" w:before="41"/>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更换会计师事务所是否履行审批程序</w:t>
      </w:r>
    </w:p>
    <w:p>
      <w:pPr>
        <w:spacing w:line="338" w:lineRule="auto" w:before="37"/>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对改聘、变更会计师事务所情况的详细说明</w:t>
      </w:r>
    </w:p>
    <w:p>
      <w:pPr>
        <w:spacing w:before="41"/>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公司基于经营发展和审计业务的需要，经股东大会批准，改聘具备证券、期货相关业务资格的致同会计师事务所为公司 </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年度财务审计机构。</w:t>
      </w:r>
    </w:p>
    <w:p>
      <w:pPr>
        <w:spacing w:before="7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、公司已提前与原财务审计机构瑞华会计师事务所进行了沟通，征得了其理解和支持。</w:t>
      </w:r>
    </w:p>
    <w:p>
      <w:pPr>
        <w:spacing w:line="300" w:lineRule="auto"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、公司董事会审计委员会对致同会计师事务所进行了充分了解和审查，认为致同会计师事务所具备为公司提供审计服务的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资质要求和专业能力，因此向公司董事会提议聘请致同会计师事务所为公司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年度财务审计机构。</w:t>
      </w:r>
    </w:p>
    <w:p>
      <w:pPr>
        <w:spacing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日召开的第六届董事会第三十二次会议和第六届监事会第二十四次会议分别审议通过了《关于</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变更会计师事务所的议案》，同意聘请致同会计师事务所为公司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年度审计机构，聘期一年，并提请股东大会授权公司</w:t>
      </w:r>
    </w:p>
    <w:p>
      <w:pPr>
        <w:spacing w:line="300" w:lineRule="auto" w:before="63"/>
        <w:ind w:left="153" w:right="993" w:firstLine="0"/>
        <w:jc w:val="left"/>
        <w:rPr>
          <w:rFonts w:ascii="宋体" w:hAnsi="宋体" w:cs="宋体" w:eastAsia="宋体" w:hint="default"/>
          <w:sz w:val="18"/>
          <w:szCs w:val="18"/>
        </w:rPr>
      </w:pPr>
      <w:r>
        <w:rPr>
          <w:rFonts w:ascii="宋体" w:hAnsi="宋体" w:cs="宋体" w:eastAsia="宋体" w:hint="default"/>
          <w:sz w:val="18"/>
          <w:szCs w:val="18"/>
        </w:rPr>
        <w:t>管理层根据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年公司实际业务情况和市场情况等与审计机构协商确定审计费用。独立董事对该事项发表了事前认可意见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和独立意见。</w:t>
      </w:r>
    </w:p>
    <w:p>
      <w:pPr>
        <w:spacing w:line="343" w:lineRule="auto" w:before="3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、本次变更会计师事务所事项已经公司股东大会审议，并自公司股东大会审议通过之日起生效。</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聘请内部控制审计会计师事务所、财务顾问或保荐人情况</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本报告期公司无重大诉讼、仲裁事项。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7"/>
          <w:szCs w:val="27"/>
        </w:rPr>
      </w:pPr>
    </w:p>
    <w:p>
      <w:pPr>
        <w:spacing w:line="343"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96"/>
        <w:ind w:left="633"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年限制性股票激励计划实施情况</w:t>
      </w:r>
    </w:p>
    <w:p>
      <w:pPr>
        <w:spacing w:before="63"/>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）回购注销</w:t>
      </w:r>
    </w:p>
    <w:p>
      <w:pPr>
        <w:spacing w:before="63"/>
        <w:ind w:left="71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日第六届董事会第二十八次会议，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日第六届董事会第三十一次会议，以及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p>
      <w:pPr>
        <w:spacing w:line="307" w:lineRule="auto"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年第一次临时股东大会、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年第三次临时股东大会分别审议通过《关于回购注销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年限制性股票激 励计划部分限制性股票的议案》，同意对部分因离职、绩效未完全达标的激励对象获授的尚未解除限售的限制性股票进行回</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购注销，具体情况详见</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17</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28</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日在《证券时报》、《中国证券报》</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以及巨潮资讯网（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p>
      <w:pPr>
        <w:spacing w:line="321" w:lineRule="auto" w:before="7"/>
        <w:ind w:left="153" w:right="0" w:firstLine="48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）首次授予股票第三个解除限售期（预留授予股票第二个解除限售期）解锁</w:t>
      </w:r>
      <w:r>
        <w:rPr>
          <w:rFonts w:ascii="宋体" w:hAnsi="宋体" w:cs="宋体" w:eastAsia="宋体" w:hint="default"/>
          <w:w w:val="101"/>
          <w:sz w:val="18"/>
          <w:szCs w:val="18"/>
        </w:rPr>
        <w:t> </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日第六届董事会第三十一次会议，审议通过了《关于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年限制性股票激励计划首次授予股票第三个解除限售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期（预留授予股票第二个解除限售期）可解除限售的议案》，</w:t>
      </w:r>
      <w:r>
        <w:rPr>
          <w:rFonts w:ascii="Times New Roman" w:hAnsi="Times New Roman" w:cs="Times New Roman" w:eastAsia="Times New Roman" w:hint="default"/>
          <w:spacing w:val="-7"/>
          <w:sz w:val="18"/>
          <w:szCs w:val="18"/>
        </w:rPr>
        <w:t>2016</w:t>
      </w:r>
      <w:r>
        <w:rPr>
          <w:rFonts w:ascii="宋体" w:hAnsi="宋体" w:cs="宋体" w:eastAsia="宋体" w:hint="default"/>
          <w:spacing w:val="-7"/>
          <w:sz w:val="18"/>
          <w:szCs w:val="18"/>
        </w:rPr>
        <w:t>年限制性股票激励计划首期授予股票第三个解除限售期（预</w:t>
      </w:r>
    </w:p>
    <w:p>
      <w:pPr>
        <w:spacing w:line="304"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留授予股票第二个解除限售期）股份解锁，具体情况详见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日在《证券时报》、《中国证券报》</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以及巨潮资讯网（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p>
      <w:pPr>
        <w:spacing w:line="333" w:lineRule="auto" w:before="47"/>
        <w:ind w:left="446" w:right="0" w:hanging="293"/>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1"/>
          <w:sz w:val="18"/>
          <w:szCs w:val="18"/>
        </w:rPr>
        <w:t>报告期公司实施股权激励计提的费用为</w:t>
      </w:r>
      <w:r>
        <w:rPr>
          <w:rFonts w:ascii="Times New Roman" w:hAnsi="Times New Roman" w:cs="Times New Roman" w:eastAsia="Times New Roman" w:hint="default"/>
          <w:spacing w:val="-1"/>
          <w:sz w:val="18"/>
          <w:szCs w:val="18"/>
        </w:rPr>
        <w:t>893,100</w:t>
      </w:r>
      <w:r>
        <w:rPr>
          <w:rFonts w:ascii="宋体" w:hAnsi="宋体" w:cs="宋体" w:eastAsia="宋体" w:hint="default"/>
          <w:spacing w:val="-1"/>
          <w:sz w:val="18"/>
          <w:szCs w:val="18"/>
        </w:rPr>
        <w:t>元，减少公司净利润</w:t>
      </w:r>
      <w:r>
        <w:rPr>
          <w:rFonts w:ascii="Times New Roman" w:hAnsi="Times New Roman" w:cs="Times New Roman" w:eastAsia="Times New Roman" w:hint="default"/>
          <w:spacing w:val="-1"/>
          <w:sz w:val="18"/>
          <w:szCs w:val="18"/>
        </w:rPr>
        <w:t>802,170</w:t>
      </w:r>
      <w:r>
        <w:rPr>
          <w:rFonts w:ascii="宋体" w:hAnsi="宋体" w:cs="宋体" w:eastAsia="宋体" w:hint="default"/>
          <w:spacing w:val="-1"/>
          <w:sz w:val="18"/>
          <w:szCs w:val="18"/>
        </w:rPr>
        <w:t>元。核心技术人员的股权激励费用占公司当</w:t>
      </w:r>
    </w:p>
    <w:p>
      <w:pPr>
        <w:spacing w:line="23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期股权激励费用的比重为</w:t>
      </w:r>
      <w:r>
        <w:rPr>
          <w:rFonts w:ascii="Times New Roman" w:hAnsi="Times New Roman" w:cs="Times New Roman" w:eastAsia="Times New Roman" w:hint="default"/>
          <w:sz w:val="18"/>
          <w:szCs w:val="18"/>
        </w:rPr>
        <w:t>32.76%</w:t>
      </w:r>
      <w:r>
        <w:rPr>
          <w:rFonts w:ascii="宋体" w:hAnsi="宋体" w:cs="宋体" w:eastAsia="宋体" w:hint="default"/>
          <w:sz w:val="18"/>
          <w:szCs w:val="18"/>
        </w:rPr>
        <w:t>。</w:t>
      </w:r>
    </w:p>
    <w:p>
      <w:pPr>
        <w:spacing w:after="0" w:line="234" w:lineRule="exact"/>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与日常经营相关的关联交易" w:id="82"/>
      <w:bookmarkEnd w:id="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2"/>
        <w:gridCol w:w="677"/>
        <w:gridCol w:w="672"/>
        <w:gridCol w:w="672"/>
        <w:gridCol w:w="643"/>
      </w:tblGrid>
      <w:tr>
        <w:trPr>
          <w:trHeight w:val="134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32"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4"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76" w:right="74"/>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56"/>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324" w:lineRule="auto" w:before="22"/>
              <w:ind w:left="153" w:right="142"/>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60"/>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r>
              <w:rPr>
                <w:rFonts w:ascii="宋体" w:hAnsi="宋体" w:cs="宋体" w:eastAsia="宋体" w:hint="default"/>
                <w:w w:val="101"/>
                <w:sz w:val="18"/>
                <w:szCs w:val="18"/>
              </w:rPr>
              <w:t> </w:t>
            </w:r>
            <w:r>
              <w:rPr>
                <w:rFonts w:ascii="宋体" w:hAnsi="宋体" w:cs="宋体" w:eastAsia="宋体" w:hint="default"/>
                <w:spacing w:val="-2"/>
                <w:sz w:val="18"/>
                <w:szCs w:val="18"/>
              </w:rPr>
              <w:t>额的比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55"/>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额度</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0" w:right="55"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25" w:right="41" w:hanging="178"/>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097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国电电力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09" w:lineRule="auto"/>
              <w:ind w:left="23" w:right="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供服务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22,938,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728.98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2,293.8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22,938,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728.98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日以及</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日《证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w:t>
            </w:r>
            <w:r>
              <w:rPr>
                <w:rFonts w:ascii="宋体" w:hAnsi="宋体" w:cs="宋体" w:eastAsia="宋体" w:hint="default"/>
                <w:spacing w:val="-86"/>
                <w:sz w:val="18"/>
                <w:szCs w:val="18"/>
              </w:rPr>
              <w:t> </w:t>
            </w:r>
            <w:r>
              <w:rPr>
                <w:rFonts w:ascii="宋体" w:hAnsi="宋体" w:cs="宋体" w:eastAsia="宋体" w:hint="default"/>
                <w:spacing w:val="-31"/>
                <w:w w:val="101"/>
                <w:sz w:val="18"/>
                <w:szCs w:val="18"/>
              </w:rPr>
              <w:t>报》、</w:t>
            </w:r>
            <w:r>
              <w:rPr>
                <w:rFonts w:ascii="宋体" w:hAnsi="宋体" w:cs="宋体" w:eastAsia="宋体" w:hint="default"/>
                <w:spacing w:val="-31"/>
                <w:sz w:val="18"/>
                <w:szCs w:val="18"/>
              </w:rPr>
            </w:r>
          </w:p>
          <w:p>
            <w:pPr>
              <w:pStyle w:val="TableParagraph"/>
              <w:spacing w:line="316"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报》以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披露的</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316" w:lineRule="auto" w:before="63"/>
              <w:ind w:left="23" w:right="60"/>
              <w:jc w:val="both"/>
              <w:rPr>
                <w:rFonts w:ascii="宋体" w:hAnsi="宋体" w:cs="宋体" w:eastAsia="宋体" w:hint="default"/>
                <w:sz w:val="18"/>
                <w:szCs w:val="18"/>
              </w:rPr>
            </w:pPr>
            <w:r>
              <w:rPr>
                <w:rFonts w:ascii="宋体" w:hAnsi="宋体" w:cs="宋体" w:eastAsia="宋体" w:hint="default"/>
                <w:sz w:val="18"/>
                <w:szCs w:val="18"/>
              </w:rPr>
              <w:t>年度日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40"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w:t>
            </w:r>
          </w:p>
          <w:p>
            <w:pPr>
              <w:pStyle w:val="TableParagraph"/>
              <w:spacing w:line="22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34</w:t>
            </w:r>
            <w:r>
              <w:rPr>
                <w:rFonts w:ascii="宋体" w:hAnsi="宋体" w:cs="宋体" w:eastAsia="宋体" w:hint="default"/>
                <w:spacing w:val="-135"/>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于确认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度日常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易及对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2"/>
        <w:gridCol w:w="677"/>
        <w:gridCol w:w="672"/>
        <w:gridCol w:w="672"/>
        <w:gridCol w:w="643"/>
      </w:tblGrid>
      <w:tr>
        <w:trPr>
          <w:trHeight w:val="1297" w:hRule="exact"/>
        </w:trPr>
        <w:tc>
          <w:tcPr>
            <w:tcW w:w="80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2020-0</w:t>
            </w:r>
          </w:p>
          <w:p>
            <w:pPr>
              <w:pStyle w:val="TableParagraph"/>
              <w:spacing w:line="236"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tc>
      </w:tr>
      <w:tr>
        <w:trPr>
          <w:trHeight w:val="1226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4" w:right="41"/>
              <w:jc w:val="both"/>
              <w:rPr>
                <w:rFonts w:ascii="宋体" w:hAnsi="宋体" w:cs="宋体" w:eastAsia="宋体" w:hint="default"/>
                <w:sz w:val="18"/>
                <w:szCs w:val="18"/>
              </w:rPr>
            </w:pPr>
            <w:r>
              <w:rPr>
                <w:rFonts w:ascii="宋体" w:hAnsi="宋体" w:cs="宋体" w:eastAsia="宋体" w:hint="default"/>
                <w:sz w:val="18"/>
                <w:szCs w:val="18"/>
              </w:rPr>
              <w:t>国家电网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销售商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供服务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387,775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,189.20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38,777.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24.77%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387,775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,189.20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日以及</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日《证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w:t>
            </w:r>
            <w:r>
              <w:rPr>
                <w:rFonts w:ascii="宋体" w:hAnsi="宋体" w:cs="宋体" w:eastAsia="宋体" w:hint="default"/>
                <w:spacing w:val="-86"/>
                <w:sz w:val="18"/>
                <w:szCs w:val="18"/>
              </w:rPr>
              <w:t> </w:t>
            </w:r>
            <w:r>
              <w:rPr>
                <w:rFonts w:ascii="宋体" w:hAnsi="宋体" w:cs="宋体" w:eastAsia="宋体" w:hint="default"/>
                <w:spacing w:val="-31"/>
                <w:w w:val="101"/>
                <w:sz w:val="18"/>
                <w:szCs w:val="18"/>
              </w:rPr>
              <w:t>报》、</w:t>
            </w:r>
            <w:r>
              <w:rPr>
                <w:rFonts w:ascii="宋体" w:hAnsi="宋体" w:cs="宋体" w:eastAsia="宋体" w:hint="default"/>
                <w:spacing w:val="-31"/>
                <w:sz w:val="18"/>
                <w:szCs w:val="18"/>
              </w:rPr>
            </w:r>
          </w:p>
          <w:p>
            <w:pPr>
              <w:pStyle w:val="TableParagraph"/>
              <w:spacing w:line="319"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报》以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披露的</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316" w:lineRule="auto" w:before="63"/>
              <w:ind w:left="23" w:right="60"/>
              <w:jc w:val="both"/>
              <w:rPr>
                <w:rFonts w:ascii="宋体" w:hAnsi="宋体" w:cs="宋体" w:eastAsia="宋体" w:hint="default"/>
                <w:sz w:val="18"/>
                <w:szCs w:val="18"/>
              </w:rPr>
            </w:pPr>
            <w:r>
              <w:rPr>
                <w:rFonts w:ascii="宋体" w:hAnsi="宋体" w:cs="宋体" w:eastAsia="宋体" w:hint="default"/>
                <w:sz w:val="18"/>
                <w:szCs w:val="18"/>
              </w:rPr>
              <w:t>年度日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34</w:t>
            </w:r>
            <w:r>
              <w:rPr>
                <w:rFonts w:ascii="宋体" w:hAnsi="宋体" w:cs="宋体" w:eastAsia="宋体" w:hint="default"/>
                <w:spacing w:val="-135"/>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于确认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度日常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易及对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40" w:lineRule="auto" w:before="17"/>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2020-0</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tc>
      </w:tr>
    </w:tbl>
    <w:p>
      <w:pPr>
        <w:spacing w:after="0" w:line="233" w:lineRule="exact"/>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0"/>
        <w:ind w:left="0" w:right="1127" w:firstLine="0"/>
        <w:jc w:val="right"/>
        <w:rPr>
          <w:rFonts w:ascii="宋体" w:hAnsi="宋体" w:cs="宋体" w:eastAsia="宋体" w:hint="default"/>
          <w:sz w:val="18"/>
          <w:szCs w:val="18"/>
        </w:rPr>
      </w:pPr>
      <w:r>
        <w:rPr/>
        <w:pict>
          <v:shape style="position:absolute;margin-left:56.424pt;margin-top:-440.328278pt;width:479.5pt;height:540.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2"/>
                    <w:gridCol w:w="677"/>
                    <w:gridCol w:w="672"/>
                    <w:gridCol w:w="672"/>
                    <w:gridCol w:w="643"/>
                  </w:tblGrid>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深圳市深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远数据技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公司联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9"/>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7"/>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1,223,8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90.56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1,223,8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90.56</w:t>
                        </w: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深圳市链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z w:val="18"/>
                            <w:szCs w:val="18"/>
                          </w:rPr>
                          <w:t>公司联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5,188,6</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79.25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518.87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0.33%</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5,188,6</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79.25</w:t>
                        </w: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北京融和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晟源售电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公司联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87</w:t>
                        </w: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合肥启迪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远光区块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链技术合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伙企业</w:t>
                        </w:r>
                      </w:p>
                      <w:p>
                        <w:pPr>
                          <w:pStyle w:val="TableParagraph"/>
                          <w:spacing w:line="321" w:lineRule="auto" w:before="17"/>
                          <w:ind w:left="24" w:right="41"/>
                          <w:jc w:val="both"/>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3" w:right="98"/>
                          <w:jc w:val="left"/>
                          <w:rPr>
                            <w:rFonts w:ascii="宋体" w:hAnsi="宋体" w:cs="宋体" w:eastAsia="宋体" w:hint="default"/>
                            <w:sz w:val="18"/>
                            <w:szCs w:val="18"/>
                          </w:rPr>
                        </w:pPr>
                        <w:r>
                          <w:rPr>
                            <w:rFonts w:ascii="宋体" w:hAnsi="宋体" w:cs="宋体" w:eastAsia="宋体" w:hint="default"/>
                            <w:sz w:val="18"/>
                            <w:szCs w:val="18"/>
                          </w:rPr>
                          <w:t>公司联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3" w:right="127"/>
                          <w:jc w:val="left"/>
                          <w:rPr>
                            <w:rFonts w:ascii="宋体" w:hAnsi="宋体" w:cs="宋体" w:eastAsia="宋体" w:hint="default"/>
                            <w:sz w:val="18"/>
                            <w:szCs w:val="18"/>
                          </w:rPr>
                        </w:pPr>
                        <w:r>
                          <w:rPr>
                            <w:rFonts w:ascii="宋体" w:hAnsi="宋体" w:cs="宋体" w:eastAsia="宋体" w:hint="default"/>
                            <w:sz w:val="18"/>
                            <w:szCs w:val="18"/>
                          </w:rPr>
                          <w:t>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524,271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.85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524,271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.85</w:t>
                        </w: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国家电网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采购材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料及服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采购材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料及服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独立核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6,013,5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51.10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601.36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9"/>
                          <w:jc w:val="left"/>
                          <w:rPr>
                            <w:rFonts w:ascii="宋体" w:hAnsi="宋体" w:cs="宋体" w:eastAsia="宋体" w:hint="default"/>
                            <w:sz w:val="18"/>
                            <w:szCs w:val="18"/>
                          </w:rPr>
                        </w:pPr>
                        <w:r>
                          <w:rPr>
                            <w:rFonts w:ascii="宋体" w:hAnsi="宋体" w:cs="宋体" w:eastAsia="宋体" w:hint="default"/>
                            <w:sz w:val="18"/>
                            <w:szCs w:val="18"/>
                          </w:rPr>
                          <w:t>货币资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6,013,5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51.10</w:t>
                        </w: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8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vMerge w:val="restart"/>
                        <w:tcBorders>
                          <w:top w:val="single" w:sz="4" w:space="0" w:color="000000"/>
                          <w:left w:val="single" w:sz="13"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42,372.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28,500</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28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tcBorders>
                          <w:left w:val="single" w:sz="13" w:space="0" w:color="D2D2D2"/>
                          <w:right w:val="single" w:sz="4" w:space="0" w:color="000000"/>
                        </w:tcBorders>
                      </w:tcPr>
                      <w:p>
                        <w:pPr/>
                      </w:p>
                    </w:tc>
                    <w:tc>
                      <w:tcPr>
                        <w:tcW w:w="677"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158" w:hRule="exact"/>
                    </w:trPr>
                    <w:tc>
                      <w:tcPr>
                        <w:tcW w:w="28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vMerge/>
                        <w:tcBorders>
                          <w:left w:val="single" w:sz="13" w:space="0" w:color="D2D2D2"/>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29" w:hRule="exact"/>
                    </w:trPr>
                    <w:tc>
                      <w:tcPr>
                        <w:tcW w:w="28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3"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sz w:val="18"/>
                            <w:szCs w:val="18"/>
                          </w:rPr>
                          <w:t>公司预计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年度与关联方国网电商、福建电力、吉林电力、国电电力的日常关联</w:t>
                        </w:r>
                      </w:p>
                      <w:p>
                        <w:pPr>
                          <w:pStyle w:val="TableParagraph"/>
                          <w:spacing w:line="304" w:lineRule="auto" w:before="63"/>
                          <w:ind w:left="16" w:right="13"/>
                          <w:jc w:val="left"/>
                          <w:rPr>
                            <w:rFonts w:ascii="宋体" w:hAnsi="宋体" w:cs="宋体" w:eastAsia="宋体" w:hint="default"/>
                            <w:sz w:val="18"/>
                            <w:szCs w:val="18"/>
                          </w:rPr>
                        </w:pPr>
                        <w:r>
                          <w:rPr>
                            <w:rFonts w:ascii="宋体" w:hAnsi="宋体" w:cs="宋体" w:eastAsia="宋体" w:hint="default"/>
                            <w:sz w:val="18"/>
                            <w:szCs w:val="18"/>
                          </w:rPr>
                          <w:t>交易总金额为 </w:t>
                        </w:r>
                        <w:r>
                          <w:rPr>
                            <w:rFonts w:ascii="Times New Roman" w:hAnsi="Times New Roman" w:cs="Times New Roman" w:eastAsia="Times New Roman" w:hint="default"/>
                            <w:sz w:val="18"/>
                            <w:szCs w:val="18"/>
                          </w:rPr>
                          <w:t>28,500 </w:t>
                        </w:r>
                        <w:r>
                          <w:rPr>
                            <w:rFonts w:ascii="宋体" w:hAnsi="宋体" w:cs="宋体" w:eastAsia="宋体" w:hint="default"/>
                            <w:spacing w:val="-5"/>
                            <w:sz w:val="18"/>
                            <w:szCs w:val="18"/>
                          </w:rPr>
                          <w:t>万元。报告期由于公司发生权益变动，权益变动发生之前，公司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与国家电网下属单位中的国网电商、国网福建、国网吉林为关联方。权益变动发生之</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7"/>
                            <w:sz w:val="18"/>
                            <w:szCs w:val="18"/>
                          </w:rPr>
                          <w:t>后，根据有关规定自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月起，公司与国家电网及其下属所有单位均为关联方</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5"/>
                            <w:sz w:val="18"/>
                            <w:szCs w:val="18"/>
                          </w:rPr>
                          <w:t>因此导致公司关联交易的核算范围发生了变动。</w:t>
                        </w:r>
                        <w:r>
                          <w:rPr>
                            <w:rFonts w:ascii="Times New Roman" w:hAnsi="Times New Roman" w:cs="Times New Roman" w:eastAsia="Times New Roman" w:hint="default"/>
                            <w:spacing w:val="-5"/>
                            <w:sz w:val="18"/>
                            <w:szCs w:val="18"/>
                          </w:rPr>
                          <w:t>2019 </w:t>
                        </w:r>
                        <w:r>
                          <w:rPr>
                            <w:rFonts w:ascii="宋体" w:hAnsi="宋体" w:cs="宋体" w:eastAsia="宋体" w:hint="default"/>
                            <w:spacing w:val="-3"/>
                            <w:sz w:val="18"/>
                            <w:szCs w:val="18"/>
                          </w:rPr>
                          <w:t>年度实际与上述单位发生的关联</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交易金额为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41,672.75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万元，两者差异</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13,172.75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年度经审计净资产的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5.32%</w:t>
                        </w:r>
                        <w:r>
                          <w:rPr>
                            <w:rFonts w:ascii="宋体" w:hAnsi="宋体" w:cs="宋体" w:eastAsia="宋体" w:hint="default"/>
                            <w:sz w:val="18"/>
                            <w:szCs w:val="18"/>
                          </w:rPr>
                          <w:t>。</w:t>
                        </w:r>
                      </w:p>
                    </w:tc>
                  </w:tr>
                  <w:tr>
                    <w:trPr>
                      <w:trHeight w:val="1018" w:hRule="exact"/>
                    </w:trPr>
                    <w:tc>
                      <w:tcPr>
                        <w:tcW w:w="28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w w:val="101"/>
                            <w:sz w:val="18"/>
                            <w:szCs w:val="18"/>
                          </w:rPr>
                          <w:t>易进行总金额预计的，在报告期内的</w:t>
                        </w:r>
                        <w:r>
                          <w:rPr>
                            <w:rFonts w:ascii="宋体" w:hAnsi="宋体" w:cs="宋体" w:eastAsia="宋体" w:hint="default"/>
                            <w:w w:val="101"/>
                            <w:sz w:val="18"/>
                            <w:szCs w:val="18"/>
                          </w:rPr>
                          <w:t> </w:t>
                        </w:r>
                        <w:r>
                          <w:rPr>
                            <w:rFonts w:ascii="宋体" w:hAnsi="宋体" w:cs="宋体" w:eastAsia="宋体" w:hint="default"/>
                            <w:sz w:val="18"/>
                            <w:szCs w:val="18"/>
                          </w:rPr>
                          <w:t>实际履行情况（如有）</w:t>
                        </w:r>
                      </w:p>
                    </w:tc>
                    <w:tc>
                      <w:tcPr>
                        <w:tcW w:w="6713" w:type="dxa"/>
                        <w:gridSpan w:val="10"/>
                        <w:vMerge/>
                        <w:tcBorders>
                          <w:left w:val="single" w:sz="10" w:space="0" w:color="D2D2D2"/>
                          <w:right w:val="single" w:sz="4" w:space="0" w:color="000000"/>
                        </w:tcBorders>
                      </w:tcPr>
                      <w:p>
                        <w:pPr/>
                      </w:p>
                    </w:tc>
                  </w:tr>
                  <w:tr>
                    <w:trPr>
                      <w:trHeight w:val="629" w:hRule="exact"/>
                    </w:trPr>
                    <w:tc>
                      <w:tcPr>
                        <w:tcW w:w="28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3"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6"/>
        <w:ind w:left="153" w:right="0" w:firstLine="0"/>
        <w:jc w:val="left"/>
        <w:rPr>
          <w:rFonts w:ascii="宋体" w:hAnsi="宋体" w:cs="宋体" w:eastAsia="宋体" w:hint="default"/>
          <w:sz w:val="21"/>
          <w:szCs w:val="21"/>
        </w:rPr>
      </w:pPr>
      <w:bookmarkStart w:name="2、资产或股权收购、出售发生的关联交易" w:id="83"/>
      <w:bookmarkEnd w:id="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6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共同对外投资的关联交易" w:id="84"/>
      <w:bookmarkEnd w:id="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关联债权债务往来" w:id="85"/>
      <w:bookmarkEnd w:id="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是否存在非经营性关联债权债务往来</w:t>
      </w:r>
    </w:p>
    <w:p>
      <w:pPr>
        <w:spacing w:line="343" w:lineRule="auto" w:before="41"/>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公司报告期不存在非经营性关联债权债务往来。</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5、其他重大关联交易" w:id="86"/>
      <w:bookmarkEnd w:id="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托管、承包、租赁事项情况" w:id="88"/>
      <w:bookmarkEnd w:id="8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承包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8"/>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租赁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租赁情况说明</w:t>
      </w:r>
    </w:p>
    <w:p>
      <w:pPr>
        <w:spacing w:line="300" w:lineRule="auto" w:before="3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报告期内，公司北京朗琴部分房产出租，出租面积</w:t>
      </w:r>
      <w:r>
        <w:rPr>
          <w:rFonts w:ascii="Times New Roman" w:hAnsi="Times New Roman" w:cs="Times New Roman" w:eastAsia="Times New Roman" w:hint="default"/>
          <w:spacing w:val="-2"/>
          <w:sz w:val="18"/>
          <w:szCs w:val="18"/>
        </w:rPr>
        <w:t>744.47</w:t>
      </w:r>
      <w:r>
        <w:rPr>
          <w:rFonts w:ascii="宋体" w:hAnsi="宋体" w:cs="宋体" w:eastAsia="宋体" w:hint="default"/>
          <w:spacing w:val="-2"/>
          <w:sz w:val="18"/>
          <w:szCs w:val="18"/>
        </w:rPr>
        <w:t>平方米、租期五年、租金</w:t>
      </w:r>
      <w:r>
        <w:rPr>
          <w:rFonts w:ascii="Times New Roman" w:hAnsi="Times New Roman" w:cs="Times New Roman" w:eastAsia="Times New Roman" w:hint="default"/>
          <w:spacing w:val="-2"/>
          <w:sz w:val="18"/>
          <w:szCs w:val="18"/>
        </w:rPr>
        <w:t>169,832.22</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月（含税），报告期租金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收入</w:t>
      </w:r>
      <w:r>
        <w:rPr>
          <w:rFonts w:ascii="Times New Roman" w:hAnsi="Times New Roman" w:cs="Times New Roman" w:eastAsia="Times New Roman" w:hint="default"/>
          <w:sz w:val="18"/>
          <w:szCs w:val="18"/>
        </w:rPr>
        <w:t>1,293,959.77</w:t>
      </w:r>
      <w:r>
        <w:rPr>
          <w:rFonts w:ascii="宋体" w:hAnsi="宋体" w:cs="宋体" w:eastAsia="宋体" w:hint="default"/>
          <w:sz w:val="18"/>
          <w:szCs w:val="18"/>
        </w:rPr>
        <w:t>元。</w:t>
      </w:r>
    </w:p>
    <w:p>
      <w:pPr>
        <w:spacing w:line="321" w:lineRule="auto"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报告期内，公司北京风荷曲苑部分房产出租，出租面积</w:t>
      </w:r>
      <w:r>
        <w:rPr>
          <w:rFonts w:ascii="Times New Roman" w:hAnsi="Times New Roman" w:cs="Times New Roman" w:eastAsia="Times New Roman" w:hint="default"/>
          <w:spacing w:val="-4"/>
          <w:sz w:val="18"/>
          <w:szCs w:val="18"/>
        </w:rPr>
        <w:t>122.67</w:t>
      </w:r>
      <w:r>
        <w:rPr>
          <w:rFonts w:ascii="宋体" w:hAnsi="宋体" w:cs="宋体" w:eastAsia="宋体" w:hint="default"/>
          <w:spacing w:val="-4"/>
          <w:sz w:val="18"/>
          <w:szCs w:val="18"/>
        </w:rPr>
        <w:t>平方米、租期一年、租金</w:t>
      </w:r>
      <w:r>
        <w:rPr>
          <w:rFonts w:ascii="Times New Roman" w:hAnsi="Times New Roman" w:cs="Times New Roman" w:eastAsia="Times New Roman" w:hint="default"/>
          <w:spacing w:val="-4"/>
          <w:sz w:val="18"/>
          <w:szCs w:val="18"/>
        </w:rPr>
        <w:t>144,000</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年（含税），报告期租金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收入</w:t>
      </w:r>
      <w:r>
        <w:rPr>
          <w:rFonts w:ascii="Times New Roman" w:hAnsi="Times New Roman" w:cs="Times New Roman" w:eastAsia="Times New Roman" w:hint="default"/>
          <w:sz w:val="18"/>
          <w:szCs w:val="18"/>
        </w:rPr>
        <w:t>57,142.86</w:t>
      </w:r>
      <w:r>
        <w:rPr>
          <w:rFonts w:ascii="宋体" w:hAnsi="宋体" w:cs="宋体" w:eastAsia="宋体" w:hint="default"/>
          <w:sz w:val="18"/>
          <w:szCs w:val="18"/>
        </w:rPr>
        <w:t>元。</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报告期内，公司海南华凯江海庭部分房产出租，出租面积</w:t>
      </w:r>
      <w:r>
        <w:rPr>
          <w:rFonts w:ascii="Times New Roman" w:hAnsi="Times New Roman" w:cs="Times New Roman" w:eastAsia="Times New Roman" w:hint="default"/>
          <w:spacing w:val="-3"/>
          <w:sz w:val="18"/>
          <w:szCs w:val="18"/>
        </w:rPr>
        <w:t>1303.23</w:t>
      </w:r>
      <w:r>
        <w:rPr>
          <w:rFonts w:ascii="宋体" w:hAnsi="宋体" w:cs="宋体" w:eastAsia="宋体" w:hint="default"/>
          <w:spacing w:val="-3"/>
          <w:sz w:val="18"/>
          <w:szCs w:val="18"/>
        </w:rPr>
        <w:t>平方米、租期一至三年、租金</w:t>
      </w:r>
      <w:r>
        <w:rPr>
          <w:rFonts w:ascii="Times New Roman" w:hAnsi="Times New Roman" w:cs="Times New Roman" w:eastAsia="Times New Roman" w:hint="default"/>
          <w:spacing w:val="-3"/>
          <w:sz w:val="18"/>
          <w:szCs w:val="18"/>
        </w:rPr>
        <w:t>697,288.20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年（含税），</w:t>
      </w:r>
    </w:p>
    <w:p>
      <w:pPr>
        <w:spacing w:line="343" w:lineRule="auto" w:before="0"/>
        <w:ind w:left="153" w:right="6055" w:firstLine="0"/>
        <w:jc w:val="left"/>
        <w:rPr>
          <w:rFonts w:ascii="宋体" w:hAnsi="宋体" w:cs="宋体" w:eastAsia="宋体" w:hint="default"/>
          <w:sz w:val="18"/>
          <w:szCs w:val="18"/>
        </w:rPr>
      </w:pPr>
      <w:r>
        <w:rPr>
          <w:rFonts w:ascii="宋体" w:hAnsi="宋体" w:cs="宋体" w:eastAsia="宋体" w:hint="default"/>
          <w:sz w:val="18"/>
          <w:szCs w:val="18"/>
        </w:rPr>
        <w:t>报告期租金收入</w:t>
      </w:r>
      <w:r>
        <w:rPr>
          <w:rFonts w:ascii="Times New Roman" w:hAnsi="Times New Roman" w:cs="Times New Roman" w:eastAsia="Times New Roman" w:hint="default"/>
          <w:sz w:val="18"/>
          <w:szCs w:val="18"/>
        </w:rPr>
        <w:t>653,512.55</w:t>
      </w:r>
      <w:r>
        <w:rPr>
          <w:rFonts w:ascii="宋体" w:hAnsi="宋体" w:cs="宋体" w:eastAsia="宋体" w:hint="default"/>
          <w:sz w:val="18"/>
          <w:szCs w:val="18"/>
        </w:rPr>
        <w:t>元。</w:t>
      </w:r>
      <w:r>
        <w:rPr>
          <w:rFonts w:ascii="宋体" w:hAnsi="宋体" w:cs="宋体" w:eastAsia="宋体" w:hint="default"/>
          <w:spacing w:val="-5"/>
          <w:w w:val="101"/>
          <w:sz w:val="18"/>
          <w:szCs w:val="18"/>
        </w:rPr>
        <w:t> </w:t>
      </w: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重大担保" w:id="92"/>
      <w:bookmarkEnd w:id="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1）担保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26"/>
        <w:gridCol w:w="1305"/>
        <w:gridCol w:w="1056"/>
        <w:gridCol w:w="1040"/>
        <w:gridCol w:w="1052"/>
        <w:gridCol w:w="787"/>
        <w:gridCol w:w="786"/>
      </w:tblGrid>
      <w:tr>
        <w:trPr>
          <w:trHeight w:val="404" w:hRule="exact"/>
        </w:trPr>
        <w:tc>
          <w:tcPr>
            <w:tcW w:w="95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80"/>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7"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0"/>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3"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1"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9"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0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5"/>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3"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1"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远光共创智能科技股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2,592.28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0" w:right="95"/>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杭州昊美科技有限公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0" w:right="95"/>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6"/>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495.44</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6"/>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94" w:hRule="exact"/>
        </w:trPr>
        <w:tc>
          <w:tcPr>
            <w:tcW w:w="95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3"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1" w:right="90"/>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428"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199"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7"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45"/>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87"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8"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1"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24" w:right="76"/>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495.44</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6"/>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0.40%</w:t>
            </w:r>
          </w:p>
        </w:tc>
      </w:tr>
      <w:tr>
        <w:trPr>
          <w:trHeight w:val="394" w:hRule="exact"/>
        </w:trPr>
        <w:tc>
          <w:tcPr>
            <w:tcW w:w="95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21" w:type="dxa"/>
            <w:gridSpan w:val="5"/>
            <w:tcBorders>
              <w:top w:val="single" w:sz="4" w:space="0" w:color="000000"/>
              <w:left w:val="single" w:sz="10" w:space="0" w:color="D2D2D2"/>
              <w:bottom w:val="single" w:sz="4" w:space="0" w:color="000000"/>
              <w:right w:val="single" w:sz="4" w:space="0" w:color="000000"/>
            </w:tcBorders>
          </w:tcPr>
          <w:p>
            <w:pPr>
              <w:pStyle w:val="TableParagraph"/>
              <w:spacing w:line="316" w:lineRule="auto" w:before="73"/>
              <w:ind w:left="17" w:right="13"/>
              <w:jc w:val="left"/>
              <w:rPr>
                <w:rFonts w:ascii="宋体" w:hAnsi="宋体" w:cs="宋体" w:eastAsia="宋体" w:hint="default"/>
                <w:sz w:val="18"/>
                <w:szCs w:val="18"/>
              </w:rPr>
            </w:pPr>
            <w:r>
              <w:rPr>
                <w:rFonts w:ascii="宋体" w:hAnsi="宋体" w:cs="宋体" w:eastAsia="宋体" w:hint="default"/>
                <w:spacing w:val="-3"/>
                <w:sz w:val="18"/>
                <w:szCs w:val="18"/>
              </w:rPr>
              <w:t>报告期内，公司根据《最高额保证合同》的有关约定履行担</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保责任，已代共创智能向南粤珠海分行偿还到期贷款及相应</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855"/>
        <w:gridCol w:w="4725"/>
      </w:tblGrid>
      <w:tr>
        <w:trPr>
          <w:trHeight w:val="98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8" w:right="13"/>
              <w:jc w:val="both"/>
              <w:rPr>
                <w:rFonts w:ascii="宋体" w:hAnsi="宋体" w:cs="宋体" w:eastAsia="宋体" w:hint="default"/>
                <w:sz w:val="18"/>
                <w:szCs w:val="18"/>
              </w:rPr>
            </w:pPr>
            <w:r>
              <w:rPr>
                <w:rFonts w:ascii="宋体" w:hAnsi="宋体" w:cs="宋体" w:eastAsia="宋体" w:hint="default"/>
                <w:sz w:val="18"/>
                <w:szCs w:val="18"/>
              </w:rPr>
              <w:t>利息共计人民币</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2,323.70</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万元，并将按照法律规定向共创智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能进行追偿。该事项已在公司《关于为子公司银行贷款履行</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6"/>
                <w:w w:val="101"/>
                <w:sz w:val="18"/>
                <w:szCs w:val="18"/>
              </w:rPr>
              <w:t>担保责任的进展公告》（</w:t>
            </w:r>
            <w:r>
              <w:rPr>
                <w:rFonts w:ascii="Times New Roman" w:hAnsi="Times New Roman" w:cs="Times New Roman" w:eastAsia="Times New Roman" w:hint="default"/>
                <w:spacing w:val="-6"/>
                <w:w w:val="101"/>
                <w:sz w:val="18"/>
                <w:szCs w:val="18"/>
              </w:rPr>
              <w:t>2019-073</w:t>
            </w:r>
            <w:r>
              <w:rPr>
                <w:rFonts w:ascii="宋体" w:hAnsi="宋体" w:cs="宋体" w:eastAsia="宋体" w:hint="default"/>
                <w:spacing w:val="-6"/>
                <w:w w:val="101"/>
                <w:sz w:val="18"/>
                <w:szCs w:val="18"/>
              </w:rPr>
              <w:t>）中披露。</w:t>
            </w:r>
            <w:r>
              <w:rPr>
                <w:rFonts w:ascii="宋体" w:hAnsi="宋体" w:cs="宋体" w:eastAsia="宋体" w:hint="default"/>
                <w:spacing w:val="-6"/>
                <w:sz w:val="18"/>
                <w:szCs w:val="18"/>
              </w:rPr>
            </w:r>
          </w:p>
        </w:tc>
      </w:tr>
      <w:tr>
        <w:trPr>
          <w:trHeight w:val="40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违规对外担保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委托他人进行现金资产管理情况" w:id="95"/>
      <w:bookmarkEnd w:id="9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43"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785"/>
            <w:col w:w="218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40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单项金额重大或安全性较低、流动性较差、不保本的高风险委托理财具体情况</w:t>
      </w:r>
    </w:p>
    <w:p>
      <w:pPr>
        <w:spacing w:line="338" w:lineRule="auto" w:before="120"/>
        <w:ind w:left="153" w:right="46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委托理财出现预期无法收回本金或存在其他可能导致减值的情形</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委托贷款情况" w:id="97"/>
      <w:bookmarkEnd w:id="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其他重大合同" w:id="98"/>
      <w:bookmarkEnd w:id="9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履行社会责任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履行社会责任情况详见公司于</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日在巨潮资讯网披露的《</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年度社会责任报告》。</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1"/>
        <w:ind w:left="153" w:right="0" w:firstLine="0"/>
        <w:jc w:val="left"/>
        <w:rPr>
          <w:rFonts w:ascii="宋体" w:hAnsi="宋体" w:cs="宋体" w:eastAsia="宋体" w:hint="default"/>
          <w:sz w:val="21"/>
          <w:szCs w:val="21"/>
        </w:rPr>
      </w:pPr>
      <w:bookmarkStart w:name="2、履行精准扶贫社会责任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公司报告年度暂未开展精准扶贫工作，也暂无后续精准扶贫计划。</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环境保护相关的情况" w:id="102"/>
      <w:bookmarkEnd w:id="1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5697"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line="316" w:lineRule="auto" w:before="22"/>
        <w:ind w:left="153" w:right="1122" w:firstLine="422"/>
        <w:jc w:val="both"/>
        <w:rPr>
          <w:rFonts w:ascii="宋体" w:hAnsi="宋体" w:cs="宋体" w:eastAsia="宋体" w:hint="default"/>
          <w:sz w:val="18"/>
          <w:szCs w:val="18"/>
        </w:rPr>
      </w:pPr>
      <w:r>
        <w:rPr>
          <w:rFonts w:ascii="宋体" w:hAnsi="宋体" w:cs="宋体" w:eastAsia="宋体" w:hint="default"/>
          <w:spacing w:val="-2"/>
          <w:sz w:val="18"/>
          <w:szCs w:val="18"/>
        </w:rPr>
        <w:t>公司是国内主流的企业管理、能源互联和社会服务的信息技术、产品和服务提供商，不属于环境保护部门公布的重点</w:t>
      </w:r>
      <w:r>
        <w:rPr>
          <w:rFonts w:ascii="宋体" w:hAnsi="宋体" w:cs="宋体" w:eastAsia="宋体" w:hint="default"/>
          <w:w w:val="101"/>
          <w:sz w:val="18"/>
          <w:szCs w:val="18"/>
        </w:rPr>
        <w:t> </w:t>
      </w:r>
      <w:r>
        <w:rPr>
          <w:rFonts w:ascii="宋体" w:hAnsi="宋体" w:cs="宋体" w:eastAsia="宋体" w:hint="default"/>
          <w:spacing w:val="-4"/>
          <w:sz w:val="18"/>
          <w:szCs w:val="18"/>
        </w:rPr>
        <w:t>排污单位，在日常生产经营过程中不存在产生、排放污染物等不利环境保护的情形。公司董事长陈利浩编写并印制两版《低</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碳</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》，成为员工日常低碳行为准则，取得良好成效。</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spacing w:line="343" w:lineRule="auto" w:before="0"/>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spacing w:line="333" w:lineRule="auto" w:before="0"/>
        <w:ind w:left="446" w:right="993"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因远光共创智能科技股份有限公司（以下简称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共创智能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）无法偿还到期的银行贷款，远光软件根据与南粤珠海分行签</w:t>
      </w:r>
    </w:p>
    <w:p>
      <w:pPr>
        <w:spacing w:line="234" w:lineRule="exact" w:before="0"/>
        <w:ind w:left="153" w:right="0" w:firstLine="0"/>
        <w:jc w:val="both"/>
        <w:rPr>
          <w:rFonts w:ascii="宋体" w:hAnsi="宋体" w:cs="宋体" w:eastAsia="宋体" w:hint="default"/>
          <w:sz w:val="18"/>
          <w:szCs w:val="18"/>
        </w:rPr>
      </w:pPr>
      <w:r>
        <w:rPr>
          <w:rFonts w:ascii="宋体" w:hAnsi="宋体" w:cs="宋体" w:eastAsia="宋体" w:hint="default"/>
          <w:w w:val="101"/>
          <w:sz w:val="18"/>
          <w:szCs w:val="18"/>
        </w:rPr>
        <w:t>署</w:t>
      </w:r>
      <w:r>
        <w:rPr>
          <w:rFonts w:ascii="宋体" w:hAnsi="宋体" w:cs="宋体" w:eastAsia="宋体" w:hint="default"/>
          <w:spacing w:val="-48"/>
          <w:w w:val="101"/>
          <w:sz w:val="18"/>
          <w:szCs w:val="18"/>
        </w:rPr>
        <w:t>的</w:t>
      </w:r>
      <w:r>
        <w:rPr>
          <w:rFonts w:ascii="宋体" w:hAnsi="宋体" w:cs="宋体" w:eastAsia="宋体" w:hint="default"/>
          <w:w w:val="101"/>
          <w:sz w:val="18"/>
          <w:szCs w:val="18"/>
        </w:rPr>
        <w:t>《</w:t>
      </w:r>
      <w:r>
        <w:rPr>
          <w:rFonts w:ascii="宋体" w:hAnsi="宋体" w:cs="宋体" w:eastAsia="宋体" w:hint="default"/>
          <w:spacing w:val="-5"/>
          <w:w w:val="101"/>
          <w:sz w:val="18"/>
          <w:szCs w:val="18"/>
        </w:rPr>
        <w:t>最</w:t>
      </w:r>
      <w:r>
        <w:rPr>
          <w:rFonts w:ascii="宋体" w:hAnsi="宋体" w:cs="宋体" w:eastAsia="宋体" w:hint="default"/>
          <w:w w:val="101"/>
          <w:sz w:val="18"/>
          <w:szCs w:val="18"/>
        </w:rPr>
        <w:t>高</w:t>
      </w:r>
      <w:r>
        <w:rPr>
          <w:rFonts w:ascii="宋体" w:hAnsi="宋体" w:cs="宋体" w:eastAsia="宋体" w:hint="default"/>
          <w:spacing w:val="-5"/>
          <w:w w:val="101"/>
          <w:sz w:val="18"/>
          <w:szCs w:val="18"/>
        </w:rPr>
        <w:t>额</w:t>
      </w:r>
      <w:r>
        <w:rPr>
          <w:rFonts w:ascii="宋体" w:hAnsi="宋体" w:cs="宋体" w:eastAsia="宋体" w:hint="default"/>
          <w:w w:val="101"/>
          <w:sz w:val="18"/>
          <w:szCs w:val="18"/>
        </w:rPr>
        <w:t>保</w:t>
      </w:r>
      <w:r>
        <w:rPr>
          <w:rFonts w:ascii="宋体" w:hAnsi="宋体" w:cs="宋体" w:eastAsia="宋体" w:hint="default"/>
          <w:spacing w:val="-5"/>
          <w:w w:val="101"/>
          <w:sz w:val="18"/>
          <w:szCs w:val="18"/>
        </w:rPr>
        <w:t>证</w:t>
      </w:r>
      <w:r>
        <w:rPr>
          <w:rFonts w:ascii="宋体" w:hAnsi="宋体" w:cs="宋体" w:eastAsia="宋体" w:hint="default"/>
          <w:w w:val="101"/>
          <w:sz w:val="18"/>
          <w:szCs w:val="18"/>
        </w:rPr>
        <w:t>合</w:t>
      </w:r>
      <w:r>
        <w:rPr>
          <w:rFonts w:ascii="宋体" w:hAnsi="宋体" w:cs="宋体" w:eastAsia="宋体" w:hint="default"/>
          <w:spacing w:val="-5"/>
          <w:w w:val="101"/>
          <w:sz w:val="18"/>
          <w:szCs w:val="18"/>
        </w:rPr>
        <w:t>同</w:t>
      </w:r>
      <w:r>
        <w:rPr>
          <w:rFonts w:ascii="宋体" w:hAnsi="宋体" w:cs="宋体" w:eastAsia="宋体" w:hint="default"/>
          <w:spacing w:val="-44"/>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规</w:t>
      </w:r>
      <w:r>
        <w:rPr>
          <w:rFonts w:ascii="宋体" w:hAnsi="宋体" w:cs="宋体" w:eastAsia="宋体" w:hint="default"/>
          <w:spacing w:val="-5"/>
          <w:w w:val="101"/>
          <w:sz w:val="18"/>
          <w:szCs w:val="18"/>
        </w:rPr>
        <w:t>定</w:t>
      </w:r>
      <w:r>
        <w:rPr>
          <w:rFonts w:ascii="宋体" w:hAnsi="宋体" w:cs="宋体" w:eastAsia="宋体" w:hint="default"/>
          <w:w w:val="101"/>
          <w:sz w:val="18"/>
          <w:szCs w:val="18"/>
        </w:rPr>
        <w:t>承</w:t>
      </w:r>
      <w:r>
        <w:rPr>
          <w:rFonts w:ascii="宋体" w:hAnsi="宋体" w:cs="宋体" w:eastAsia="宋体" w:hint="default"/>
          <w:spacing w:val="-5"/>
          <w:w w:val="101"/>
          <w:sz w:val="18"/>
          <w:szCs w:val="18"/>
        </w:rPr>
        <w:t>担</w:t>
      </w:r>
      <w:r>
        <w:rPr>
          <w:rFonts w:ascii="宋体" w:hAnsi="宋体" w:cs="宋体" w:eastAsia="宋体" w:hint="default"/>
          <w:w w:val="101"/>
          <w:sz w:val="18"/>
          <w:szCs w:val="18"/>
        </w:rPr>
        <w:t>相</w:t>
      </w:r>
      <w:r>
        <w:rPr>
          <w:rFonts w:ascii="宋体" w:hAnsi="宋体" w:cs="宋体" w:eastAsia="宋体" w:hint="default"/>
          <w:spacing w:val="-5"/>
          <w:w w:val="101"/>
          <w:sz w:val="18"/>
          <w:szCs w:val="18"/>
        </w:rPr>
        <w:t>应</w:t>
      </w:r>
      <w:r>
        <w:rPr>
          <w:rFonts w:ascii="宋体" w:hAnsi="宋体" w:cs="宋体" w:eastAsia="宋体" w:hint="default"/>
          <w:w w:val="101"/>
          <w:sz w:val="18"/>
          <w:szCs w:val="18"/>
        </w:rPr>
        <w:t>连</w:t>
      </w:r>
      <w:r>
        <w:rPr>
          <w:rFonts w:ascii="宋体" w:hAnsi="宋体" w:cs="宋体" w:eastAsia="宋体" w:hint="default"/>
          <w:spacing w:val="-5"/>
          <w:w w:val="101"/>
          <w:sz w:val="18"/>
          <w:szCs w:val="18"/>
        </w:rPr>
        <w:t>带担</w:t>
      </w:r>
      <w:r>
        <w:rPr>
          <w:rFonts w:ascii="宋体" w:hAnsi="宋体" w:cs="宋体" w:eastAsia="宋体" w:hint="default"/>
          <w:w w:val="101"/>
          <w:sz w:val="18"/>
          <w:szCs w:val="18"/>
        </w:rPr>
        <w:t>保</w:t>
      </w:r>
      <w:r>
        <w:rPr>
          <w:rFonts w:ascii="宋体" w:hAnsi="宋体" w:cs="宋体" w:eastAsia="宋体" w:hint="default"/>
          <w:spacing w:val="-5"/>
          <w:w w:val="101"/>
          <w:sz w:val="18"/>
          <w:szCs w:val="18"/>
        </w:rPr>
        <w:t>责</w:t>
      </w:r>
      <w:r>
        <w:rPr>
          <w:rFonts w:ascii="宋体" w:hAnsi="宋体" w:cs="宋体" w:eastAsia="宋体" w:hint="default"/>
          <w:w w:val="101"/>
          <w:sz w:val="18"/>
          <w:szCs w:val="18"/>
        </w:rPr>
        <w:t>任</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详见</w:t>
      </w:r>
      <w:r>
        <w:rPr>
          <w:rFonts w:ascii="宋体" w:hAnsi="宋体" w:cs="宋体" w:eastAsia="宋体" w:hint="default"/>
          <w:w w:val="101"/>
          <w:sz w:val="18"/>
          <w:szCs w:val="18"/>
        </w:rPr>
        <w:t>公</w:t>
      </w:r>
      <w:r>
        <w:rPr>
          <w:rFonts w:ascii="宋体" w:hAnsi="宋体" w:cs="宋体" w:eastAsia="宋体" w:hint="default"/>
          <w:spacing w:val="1"/>
          <w:w w:val="101"/>
          <w:sz w:val="18"/>
          <w:szCs w:val="18"/>
        </w:rPr>
        <w:t>司</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w w:val="101"/>
          <w:sz w:val="18"/>
          <w:szCs w:val="18"/>
        </w:rPr>
        <w:t>年</w:t>
      </w:r>
      <w:r>
        <w:rPr>
          <w:rFonts w:ascii="宋体" w:hAnsi="宋体" w:cs="宋体" w:eastAsia="宋体" w:hint="default"/>
          <w:spacing w:val="-23"/>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w w:val="101"/>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spacing w:val="-48"/>
          <w:w w:val="101"/>
          <w:sz w:val="18"/>
          <w:szCs w:val="18"/>
        </w:rPr>
        <w:t>在</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44"/>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spacing w:line="300" w:lineRule="auto" w:before="63"/>
        <w:ind w:left="153" w:right="1122" w:firstLine="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10">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）披露的《关于为控股子公司银行贷款履行担保责任的公告》）。鉴于共创智能无法</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继续正常经营的情况，共创智能于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月底召开股东大会，审议通过了《关于公司解散并成立清算组的议案》，并向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w w:val="101"/>
          <w:sz w:val="18"/>
          <w:szCs w:val="18"/>
        </w:rPr>
        <w:t>珠海市市场监督管理局申请了清算组备案，收到了珠海市市场监督管理局出具的《备案登记通知书》。（详见公司</w:t>
      </w:r>
      <w:r>
        <w:rPr>
          <w:rFonts w:ascii="Times New Roman" w:hAnsi="Times New Roman" w:cs="Times New Roman" w:eastAsia="Times New Roman" w:hint="default"/>
          <w:spacing w:val="-7"/>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15"/>
          <w:w w:val="101"/>
          <w:sz w:val="18"/>
          <w:szCs w:val="18"/>
        </w:rPr>
        <w:t> </w:t>
      </w:r>
      <w:r>
        <w:rPr>
          <w:rFonts w:ascii="Times New Roman" w:hAnsi="Times New Roman" w:cs="Times New Roman" w:eastAsia="Times New Roman" w:hint="default"/>
          <w:w w:val="101"/>
          <w:sz w:val="18"/>
          <w:szCs w:val="18"/>
        </w:rPr>
        <w:t>11</w:t>
      </w:r>
      <w:r>
        <w:rPr>
          <w:rFonts w:ascii="Times New Roman" w:hAnsi="Times New Roman" w:cs="Times New Roman" w:eastAsia="Times New Roman" w:hint="default"/>
          <w:sz w:val="18"/>
          <w:szCs w:val="18"/>
        </w:rPr>
      </w:r>
    </w:p>
    <w:p>
      <w:pPr>
        <w:spacing w:line="307" w:lineRule="auto" w:before="13"/>
        <w:ind w:left="153" w:right="1128" w:firstLine="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日公司在《证券时报》《中国证券报》、巨潮资讯网（</w:t>
      </w:r>
      <w:hyperlink r:id="rId10">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）披露的《关于子公司拟进行清算的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公告》）。共创智能接到南粤珠海分行的《提前到期通知书》，南粤珠海分行决定提前收回共创智能尚未到期的所有银行贷</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款本金</w:t>
      </w:r>
      <w:r>
        <w:rPr>
          <w:rFonts w:ascii="Times New Roman" w:hAnsi="Times New Roman" w:cs="Times New Roman" w:eastAsia="Times New Roman" w:hint="default"/>
          <w:spacing w:val="-3"/>
          <w:sz w:val="18"/>
          <w:szCs w:val="18"/>
        </w:rPr>
        <w:t>1,831.44</w:t>
      </w:r>
      <w:r>
        <w:rPr>
          <w:rFonts w:ascii="宋体" w:hAnsi="宋体" w:cs="宋体" w:eastAsia="宋体" w:hint="default"/>
          <w:spacing w:val="-3"/>
          <w:sz w:val="18"/>
          <w:szCs w:val="18"/>
        </w:rPr>
        <w:t>万元及相应利息，远光软件根据《最高额保证合同》的约定履行担保义务，已代共创智能偿还了剩余的银行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贷款本金</w:t>
      </w:r>
      <w:r>
        <w:rPr>
          <w:rFonts w:ascii="Times New Roman" w:hAnsi="Times New Roman" w:cs="Times New Roman" w:eastAsia="Times New Roman" w:hint="default"/>
          <w:sz w:val="18"/>
          <w:szCs w:val="18"/>
        </w:rPr>
        <w:t>1,831.44</w:t>
      </w:r>
      <w:r>
        <w:rPr>
          <w:rFonts w:ascii="宋体" w:hAnsi="宋体" w:cs="宋体" w:eastAsia="宋体" w:hint="default"/>
          <w:sz w:val="18"/>
          <w:szCs w:val="18"/>
        </w:rPr>
        <w:t>万元及相应利息。（详见公司</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11</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22</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日在《证券时报》《中国证券报》、巨潮资讯网</w:t>
      </w:r>
    </w:p>
    <w:p>
      <w:pPr>
        <w:spacing w:before="7"/>
        <w:ind w:left="153" w:right="0" w:firstLine="0"/>
        <w:jc w:val="both"/>
        <w:rPr>
          <w:rFonts w:ascii="宋体" w:hAnsi="宋体" w:cs="宋体" w:eastAsia="宋体" w:hint="default"/>
          <w:sz w:val="18"/>
          <w:szCs w:val="18"/>
        </w:rPr>
      </w:pPr>
      <w:r>
        <w:rPr>
          <w:rFonts w:ascii="宋体" w:hAnsi="宋体" w:cs="宋体" w:eastAsia="宋体" w:hint="default"/>
          <w:spacing w:val="-2"/>
          <w:sz w:val="18"/>
          <w:szCs w:val="18"/>
        </w:rPr>
        <w:t>（</w:t>
      </w:r>
      <w:hyperlink r:id="rId10">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）披露的《关于为子公司银行贷款履行担保责任的进展公告》）</w:t>
      </w:r>
    </w:p>
    <w:p>
      <w:pPr>
        <w:spacing w:after="0"/>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六节股份变动及股东情况" w:id="105"/>
      <w:bookmarkEnd w:id="105"/>
      <w:r>
        <w:rPr>
          <w:b w:val="0"/>
          <w:bCs w:val="0"/>
        </w:rPr>
      </w:r>
      <w:bookmarkStart w:name="_bookmark5" w:id="106"/>
      <w:bookmarkEnd w:id="10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股份变动情况" w:id="108"/>
      <w:bookmarkEnd w:id="1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94,344,36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pacing w:val="-4"/>
                <w:sz w:val="18"/>
              </w:rPr>
              <w:t>11.11%</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-12,993,8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-12,993,8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81,350,50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9.59%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94,081,44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pacing w:val="-3"/>
                <w:sz w:val="18"/>
              </w:rPr>
              <w:t>11.08%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-12,993,8</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63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-12,993,8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81,087,58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9.56%</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6,359,755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0.75%</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-6,359,75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-6,359,75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4"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87,721,69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10.33%</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-6,634,10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-6,634,10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81,087,58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9.56%</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262,920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262,920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262,920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262,920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0.03%</w:t>
            </w:r>
          </w:p>
        </w:tc>
      </w:tr>
      <w:tr>
        <w:trPr>
          <w:trHeight w:val="164"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755,058,8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88.89%</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12,049,33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767,108,2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90.41%</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755,058,8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88.89%</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12,049,33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767,108,2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90.41%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849,403,2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51</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-944,533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-944,533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848,458,7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9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16  </w:t>
      </w:r>
      <w:r>
        <w:rPr>
          <w:rFonts w:ascii="宋体" w:hAnsi="宋体" w:cs="宋体" w:eastAsia="宋体" w:hint="default"/>
          <w:spacing w:val="-3"/>
          <w:sz w:val="18"/>
          <w:szCs w:val="18"/>
        </w:rPr>
        <w:t>日，公司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年第一次临时股东大会审议通过了《关于回购注销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年限制性股票激励计划部分限制性股</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票的议案》，同意对</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名因离职、绩效未完全达标的激励对象获授但尚未解锁的限制性股票</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944,533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股进行回购注销。本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次回购注销办理完毕后，公司股本总额由</w:t>
      </w:r>
      <w:r>
        <w:rPr>
          <w:rFonts w:ascii="Times New Roman" w:hAnsi="Times New Roman" w:cs="Times New Roman" w:eastAsia="Times New Roman" w:hint="default"/>
          <w:spacing w:val="-3"/>
          <w:sz w:val="18"/>
          <w:szCs w:val="18"/>
        </w:rPr>
        <w:t>849,403,251</w:t>
      </w:r>
      <w:r>
        <w:rPr>
          <w:rFonts w:ascii="宋体" w:hAnsi="宋体" w:cs="宋体" w:eastAsia="宋体" w:hint="default"/>
          <w:spacing w:val="-3"/>
          <w:sz w:val="18"/>
          <w:szCs w:val="18"/>
        </w:rPr>
        <w:t>股变更为</w:t>
      </w:r>
      <w:r>
        <w:rPr>
          <w:rFonts w:ascii="Times New Roman" w:hAnsi="Times New Roman" w:cs="Times New Roman" w:eastAsia="Times New Roman" w:hint="default"/>
          <w:spacing w:val="-3"/>
          <w:sz w:val="18"/>
          <w:szCs w:val="18"/>
        </w:rPr>
        <w:t>848,458,718</w:t>
      </w:r>
      <w:r>
        <w:rPr>
          <w:rFonts w:ascii="宋体" w:hAnsi="宋体" w:cs="宋体" w:eastAsia="宋体" w:hint="default"/>
          <w:spacing w:val="-3"/>
          <w:sz w:val="18"/>
          <w:szCs w:val="18"/>
        </w:rPr>
        <w:t>股。</w:t>
      </w:r>
      <w:r>
        <w:rPr>
          <w:rFonts w:ascii="宋体" w:hAnsi="宋体" w:cs="宋体" w:eastAsia="宋体" w:hint="default"/>
          <w:sz w:val="18"/>
          <w:szCs w:val="18"/>
        </w:rPr>
      </w:r>
    </w:p>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9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16  </w:t>
      </w:r>
      <w:r>
        <w:rPr>
          <w:rFonts w:ascii="宋体" w:hAnsi="宋体" w:cs="宋体" w:eastAsia="宋体" w:hint="default"/>
          <w:spacing w:val="-3"/>
          <w:sz w:val="18"/>
          <w:szCs w:val="18"/>
        </w:rPr>
        <w:t>日，公司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年第一次临时股东大会审议通过了《关于回购注销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年限制性股票激励计划部分限制性股</w:t>
      </w:r>
    </w:p>
    <w:p>
      <w:pPr>
        <w:spacing w:line="343" w:lineRule="auto"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票的议案》，同意对</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名因离职、绩效未完全达标的激励对象获授但尚未解锁的限制性股票</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944,533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股进行回购注销。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股份变动的过户情况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137" w:firstLine="148"/>
        <w:jc w:val="left"/>
        <w:rPr>
          <w:rFonts w:ascii="宋体" w:hAnsi="宋体" w:cs="宋体" w:eastAsia="宋体" w:hint="default"/>
          <w:sz w:val="18"/>
          <w:szCs w:val="18"/>
        </w:rPr>
      </w:pPr>
      <w:r>
        <w:rPr>
          <w:rFonts w:ascii="宋体" w:hAnsi="宋体" w:cs="宋体" w:eastAsia="宋体" w:hint="default"/>
          <w:spacing w:val="-4"/>
          <w:sz w:val="18"/>
          <w:szCs w:val="18"/>
        </w:rPr>
        <w:t>经中国证券登记结算有限责任公司深圳分公司确认，</w:t>
      </w:r>
      <w:r>
        <w:rPr>
          <w:rFonts w:ascii="Times New Roman" w:hAnsi="Times New Roman" w:cs="Times New Roman" w:eastAsia="Times New Roman" w:hint="default"/>
          <w:spacing w:val="-4"/>
          <w:sz w:val="18"/>
          <w:szCs w:val="18"/>
        </w:rPr>
        <w:t>78</w:t>
      </w:r>
      <w:r>
        <w:rPr>
          <w:rFonts w:ascii="宋体" w:hAnsi="宋体" w:cs="宋体" w:eastAsia="宋体" w:hint="default"/>
          <w:spacing w:val="-4"/>
          <w:sz w:val="18"/>
          <w:szCs w:val="18"/>
        </w:rPr>
        <w:t>名因离职、绩效未完全达标的激励对象获授但尚未解锁的限制性股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票 </w:t>
      </w:r>
      <w:r>
        <w:rPr>
          <w:rFonts w:ascii="Times New Roman" w:hAnsi="Times New Roman" w:cs="Times New Roman" w:eastAsia="Times New Roman" w:hint="default"/>
          <w:sz w:val="18"/>
          <w:szCs w:val="18"/>
        </w:rPr>
        <w:t>944,533 </w:t>
      </w:r>
      <w:r>
        <w:rPr>
          <w:rFonts w:ascii="宋体" w:hAnsi="宋体" w:cs="宋体" w:eastAsia="宋体" w:hint="default"/>
          <w:spacing w:val="-3"/>
          <w:sz w:val="18"/>
          <w:szCs w:val="18"/>
        </w:rPr>
        <w:t>股的回购注销已于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日办理完成。本次限制性股票回购注销完成后，公司股本总额由</w:t>
      </w:r>
      <w:r>
        <w:rPr>
          <w:rFonts w:ascii="Times New Roman" w:hAnsi="Times New Roman" w:cs="Times New Roman" w:eastAsia="Times New Roman" w:hint="default"/>
          <w:spacing w:val="-3"/>
          <w:sz w:val="18"/>
          <w:szCs w:val="18"/>
        </w:rPr>
        <w:t>849,403,251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848,458,718</w:t>
      </w:r>
      <w:r>
        <w:rPr>
          <w:rFonts w:ascii="宋体" w:hAnsi="宋体" w:cs="宋体" w:eastAsia="宋体" w:hint="default"/>
          <w:sz w:val="18"/>
          <w:szCs w:val="18"/>
        </w:rPr>
        <w:t>股。</w:t>
      </w:r>
    </w:p>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股份回购的实施进展情况</w:t>
      </w:r>
    </w:p>
    <w:p>
      <w:pPr>
        <w:spacing w:line="338" w:lineRule="auto" w:before="119"/>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43" w:lineRule="auto" w:before="41"/>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26" w:lineRule="auto" w:before="38"/>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报告期内，限制性股票回购注销对每股收益、每股净资产影响甚微，限制性股票达标解锁对每股收益无影响、影响每股净资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产增加</w:t>
      </w:r>
      <w:r>
        <w:rPr>
          <w:rFonts w:ascii="Times New Roman" w:hAnsi="Times New Roman" w:cs="Times New Roman" w:eastAsia="Times New Roman" w:hint="default"/>
          <w:sz w:val="18"/>
          <w:szCs w:val="18"/>
        </w:rPr>
        <w:t>0.0408</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公司认为必要或证券监管机构要求披露的其他内容</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限售股份变动情况"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1"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76,106,783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76,106,783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p>
        </w:tc>
      </w:tr>
      <w:tr>
        <w:trPr>
          <w:trHeight w:val="44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1,265,276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1,265,275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9" w:lineRule="auto" w:before="19"/>
              <w:ind w:left="23" w:right="69"/>
              <w:jc w:val="both"/>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万股，在本</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984"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0"/>
              <w:jc w:val="both"/>
              <w:rPr>
                <w:rFonts w:ascii="宋体" w:hAnsi="宋体" w:cs="宋体" w:eastAsia="宋体" w:hint="default"/>
                <w:sz w:val="18"/>
                <w:szCs w:val="18"/>
              </w:rPr>
            </w:pPr>
            <w:r>
              <w:rPr>
                <w:rFonts w:ascii="宋体" w:hAnsi="宋体" w:cs="宋体" w:eastAsia="宋体" w:hint="default"/>
                <w:spacing w:val="-3"/>
                <w:sz w:val="18"/>
                <w:szCs w:val="18"/>
              </w:rPr>
              <w:t>年度可转让额度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378,224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pacing w:val="-1"/>
                <w:sz w:val="18"/>
              </w:rPr>
              <w:t>378,223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9"/>
              <w:ind w:left="23" w:right="69"/>
              <w:jc w:val="both"/>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10.5 </w:t>
            </w:r>
            <w:r>
              <w:rPr>
                <w:rFonts w:ascii="宋体" w:hAnsi="宋体" w:cs="宋体" w:eastAsia="宋体" w:hint="default"/>
                <w:sz w:val="18"/>
                <w:szCs w:val="18"/>
              </w:rPr>
              <w:t>万股，在本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年度可转让额度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376,436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376,436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9"/>
              <w:ind w:left="23" w:right="69"/>
              <w:jc w:val="both"/>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10.5 </w:t>
            </w:r>
            <w:r>
              <w:rPr>
                <w:rFonts w:ascii="宋体" w:hAnsi="宋体" w:cs="宋体" w:eastAsia="宋体" w:hint="default"/>
                <w:sz w:val="18"/>
                <w:szCs w:val="18"/>
              </w:rPr>
              <w:t>万股，在本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年度可转让额度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92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346,468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481"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z w:val="18"/>
                <w:szCs w:val="18"/>
              </w:rPr>
            </w:r>
          </w:p>
          <w:p>
            <w:pPr>
              <w:pStyle w:val="TableParagraph"/>
              <w:spacing w:line="319" w:lineRule="auto" w:before="6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7"/>
              <w:ind w:left="23" w:right="17"/>
              <w:jc w:val="left"/>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万股，在本年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度可转让额度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323,201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pacing w:val="-1"/>
                <w:sz w:val="18"/>
              </w:rPr>
              <w:t>323,201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万股，在本年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度可转让额度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04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7"/>
              <w:jc w:val="right"/>
              <w:rPr>
                <w:rFonts w:ascii="Times New Roman" w:hAnsi="Times New Roman" w:cs="Times New Roman" w:eastAsia="Times New Roman" w:hint="default"/>
                <w:sz w:val="18"/>
                <w:szCs w:val="18"/>
              </w:rPr>
            </w:pPr>
            <w:r>
              <w:rPr>
                <w:rFonts w:ascii="Times New Roman"/>
                <w:spacing w:val="-1"/>
                <w:sz w:val="18"/>
              </w:rPr>
              <w:t>284,101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2"/>
              <w:jc w:val="right"/>
              <w:rPr>
                <w:rFonts w:ascii="Times New Roman" w:hAnsi="Times New Roman" w:cs="Times New Roman" w:eastAsia="Times New Roman" w:hint="default"/>
                <w:sz w:val="18"/>
                <w:szCs w:val="18"/>
              </w:rPr>
            </w:pPr>
            <w:r>
              <w:rPr>
                <w:rFonts w:ascii="Times New Roman"/>
                <w:spacing w:val="-1"/>
                <w:sz w:val="18"/>
              </w:rPr>
              <w:t>284,101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万股，在本年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度可转让额度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内，实际上市流</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281,505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pacing w:val="-1"/>
                <w:sz w:val="18"/>
              </w:rPr>
              <w:t>281,505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万股，在本年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度可转让额度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539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278,250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pacing w:val="-1"/>
                <w:sz w:val="18"/>
              </w:rPr>
              <w:t>278,250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日，</w:t>
            </w:r>
            <w:r>
              <w:rPr>
                <w:rFonts w:ascii="Times New Roman" w:hAnsi="Times New Roman" w:cs="Times New Roman" w:eastAsia="Times New Roman" w:hint="default"/>
                <w:spacing w:val="-15"/>
                <w:w w:val="101"/>
                <w:sz w:val="18"/>
                <w:szCs w:val="18"/>
              </w:rPr>
              <w:t>2016</w:t>
            </w:r>
            <w:r>
              <w:rPr>
                <w:rFonts w:ascii="Times New Roman" w:hAnsi="Times New Roman" w:cs="Times New Roman" w:eastAsia="Times New Roman" w:hint="default"/>
                <w:spacing w:val="-15"/>
                <w:sz w:val="18"/>
                <w:szCs w:val="18"/>
              </w:rPr>
            </w:r>
          </w:p>
          <w:p>
            <w:pPr>
              <w:pStyle w:val="TableParagraph"/>
              <w:spacing w:line="316" w:lineRule="auto" w:before="3"/>
              <w:ind w:left="23" w:right="70"/>
              <w:jc w:val="left"/>
              <w:rPr>
                <w:rFonts w:ascii="宋体" w:hAnsi="宋体" w:cs="宋体" w:eastAsia="宋体" w:hint="default"/>
                <w:sz w:val="18"/>
                <w:szCs w:val="18"/>
              </w:rPr>
            </w:pPr>
            <w:r>
              <w:rPr>
                <w:rFonts w:ascii="宋体" w:hAnsi="宋体" w:cs="宋体" w:eastAsia="宋体" w:hint="default"/>
                <w:spacing w:val="-3"/>
                <w:sz w:val="18"/>
                <w:szCs w:val="18"/>
              </w:rPr>
              <w:t>年限制性股票第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三个解除限售期</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pacing w:val="-3"/>
                <w:sz w:val="18"/>
                <w:szCs w:val="18"/>
              </w:rPr>
              <w:t>（预留授予股票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第二个解除限售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万股，在本年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度可转让额度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内，实际上市流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2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92,750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278,250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离任高管离任满</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个</w:t>
            </w:r>
            <w:r>
              <w:rPr>
                <w:rFonts w:ascii="宋体" w:hAnsi="宋体" w:cs="宋体" w:eastAsia="宋体" w:hint="default"/>
                <w:spacing w:val="-5"/>
                <w:w w:val="101"/>
                <w:sz w:val="18"/>
                <w:szCs w:val="18"/>
              </w:rPr>
              <w:t>月</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解</w:t>
            </w:r>
            <w:r>
              <w:rPr>
                <w:rFonts w:ascii="宋体" w:hAnsi="宋体" w:cs="宋体" w:eastAsia="宋体" w:hint="default"/>
                <w:w w:val="101"/>
                <w:sz w:val="18"/>
                <w:szCs w:val="18"/>
              </w:rPr>
              <w:t>锁</w:t>
            </w:r>
            <w:r>
              <w:rPr>
                <w:rFonts w:ascii="宋体" w:hAnsi="宋体" w:cs="宋体" w:eastAsia="宋体" w:hint="default"/>
                <w:spacing w:val="-5"/>
                <w:w w:val="101"/>
                <w:sz w:val="18"/>
                <w:szCs w:val="18"/>
              </w:rPr>
              <w:t>所</w:t>
            </w:r>
            <w:r>
              <w:rPr>
                <w:rFonts w:ascii="宋体" w:hAnsi="宋体" w:cs="宋体" w:eastAsia="宋体" w:hint="default"/>
                <w:w w:val="101"/>
                <w:sz w:val="18"/>
                <w:szCs w:val="18"/>
              </w:rPr>
              <w:t>持</w:t>
            </w:r>
            <w:r>
              <w:rPr>
                <w:rFonts w:ascii="宋体" w:hAnsi="宋体" w:cs="宋体" w:eastAsia="宋体" w:hint="default"/>
                <w:sz w:val="18"/>
                <w:szCs w:val="18"/>
              </w:rPr>
            </w:r>
          </w:p>
          <w:p>
            <w:pPr>
              <w:pStyle w:val="TableParagraph"/>
              <w:spacing w:line="240" w:lineRule="auto" w:before="6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每年按照上年最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记在其名下的股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份为基数，按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定额度</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14,333,125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12,267,172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1,432,014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高管锁定股以及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每年按照上年最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169"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回购未注销部分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0"/>
              <w:jc w:val="both"/>
              <w:rPr>
                <w:rFonts w:ascii="宋体" w:hAnsi="宋体" w:cs="宋体" w:eastAsia="宋体" w:hint="default"/>
                <w:sz w:val="18"/>
                <w:szCs w:val="18"/>
              </w:rPr>
            </w:pPr>
            <w:r>
              <w:rPr>
                <w:rFonts w:ascii="宋体" w:hAnsi="宋体" w:cs="宋体" w:eastAsia="宋体" w:hint="default"/>
                <w:spacing w:val="-3"/>
                <w:sz w:val="18"/>
                <w:szCs w:val="18"/>
              </w:rPr>
              <w:t>后一个交易日登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记在高管名下的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股份为基数，按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度可转让股份法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定额度；本期除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解除限售外，限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售股份因回购注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销限制性股票减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944,533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513" w:right="0"/>
              <w:jc w:val="left"/>
              <w:rPr>
                <w:rFonts w:ascii="Times New Roman" w:hAnsi="Times New Roman" w:cs="Times New Roman" w:eastAsia="Times New Roman" w:hint="default"/>
                <w:sz w:val="18"/>
                <w:szCs w:val="18"/>
              </w:rPr>
            </w:pPr>
            <w:r>
              <w:rPr>
                <w:rFonts w:ascii="Times New Roman"/>
                <w:sz w:val="18"/>
              </w:rPr>
              <w:t>94,344,369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9" w:right="0"/>
              <w:jc w:val="left"/>
              <w:rPr>
                <w:rFonts w:ascii="Times New Roman" w:hAnsi="Times New Roman" w:cs="Times New Roman" w:eastAsia="Times New Roman" w:hint="default"/>
                <w:sz w:val="18"/>
                <w:szCs w:val="18"/>
              </w:rPr>
            </w:pPr>
            <w:r>
              <w:rPr>
                <w:rFonts w:ascii="Times New Roman"/>
                <w:sz w:val="18"/>
              </w:rPr>
              <w:t>310,594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12,359,924</w:t>
            </w:r>
          </w:p>
        </w:tc>
        <w:tc>
          <w:tcPr>
            <w:tcW w:w="13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81,350,506</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报告期内证券发行（不含优先股）情况" w:id="111"/>
      <w:bookmarkEnd w:id="1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w:id="112"/>
      <w:bookmarkEnd w:id="1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9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）公司股份总数变动情况的说明</w:t>
      </w:r>
    </w:p>
    <w:p>
      <w:pPr>
        <w:spacing w:before="63"/>
        <w:ind w:left="3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16  </w:t>
      </w:r>
      <w:r>
        <w:rPr>
          <w:rFonts w:ascii="宋体" w:hAnsi="宋体" w:cs="宋体" w:eastAsia="宋体" w:hint="default"/>
          <w:spacing w:val="-7"/>
          <w:sz w:val="18"/>
          <w:szCs w:val="18"/>
        </w:rPr>
        <w:t>日，公司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年第一次临时股东大会审议通过了《关于回购注销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年限制性股票激励计划部分限制性</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股票的议案》，同意对</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78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名因离职、绩效未完全达标的激励对象获授但尚未解锁的限制性股票</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944,533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股进行回购注销。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本次回购注销办理完毕后，公司股本总额由</w:t>
      </w:r>
      <w:r>
        <w:rPr>
          <w:rFonts w:ascii="Times New Roman" w:hAnsi="Times New Roman" w:cs="Times New Roman" w:eastAsia="Times New Roman" w:hint="default"/>
          <w:sz w:val="18"/>
          <w:szCs w:val="18"/>
        </w:rPr>
        <w:t>849,403,251</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848,458,718</w:t>
      </w:r>
      <w:r>
        <w:rPr>
          <w:rFonts w:ascii="宋体" w:hAnsi="宋体" w:cs="宋体" w:eastAsia="宋体" w:hint="default"/>
          <w:sz w:val="18"/>
          <w:szCs w:val="18"/>
        </w:rPr>
        <w:t>股。</w:t>
      </w:r>
    </w:p>
    <w:p>
      <w:pPr>
        <w:spacing w:line="278"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）公司资产和负债结构变动情况说明</w:t>
      </w:r>
    </w:p>
    <w:p>
      <w:pPr>
        <w:spacing w:line="343" w:lineRule="auto" w:before="46"/>
        <w:ind w:left="374" w:right="0" w:firstLine="0"/>
        <w:jc w:val="left"/>
        <w:rPr>
          <w:rFonts w:ascii="宋体" w:hAnsi="宋体" w:cs="宋体" w:eastAsia="宋体" w:hint="default"/>
          <w:sz w:val="18"/>
          <w:szCs w:val="18"/>
        </w:rPr>
      </w:pPr>
      <w:r>
        <w:rPr>
          <w:rFonts w:ascii="宋体" w:hAnsi="宋体" w:cs="宋体" w:eastAsia="宋体" w:hint="default"/>
          <w:spacing w:val="-4"/>
          <w:sz w:val="18"/>
          <w:szCs w:val="18"/>
        </w:rPr>
        <w:t>报告期内限制性股票回购注销，影响货币资金减少</w:t>
      </w:r>
      <w:r>
        <w:rPr>
          <w:rFonts w:ascii="Times New Roman" w:hAnsi="Times New Roman" w:cs="Times New Roman" w:eastAsia="Times New Roman" w:hint="default"/>
          <w:spacing w:val="-4"/>
          <w:sz w:val="18"/>
          <w:szCs w:val="18"/>
        </w:rPr>
        <w:t>3,556,700.16</w:t>
      </w:r>
      <w:r>
        <w:rPr>
          <w:rFonts w:ascii="宋体" w:hAnsi="宋体" w:cs="宋体" w:eastAsia="宋体" w:hint="default"/>
          <w:spacing w:val="-4"/>
          <w:sz w:val="18"/>
          <w:szCs w:val="18"/>
        </w:rPr>
        <w:t>元、负债减少</w:t>
      </w:r>
      <w:r>
        <w:rPr>
          <w:rFonts w:ascii="Times New Roman" w:hAnsi="Times New Roman" w:cs="Times New Roman" w:eastAsia="Times New Roman" w:hint="default"/>
          <w:spacing w:val="-4"/>
          <w:sz w:val="18"/>
          <w:szCs w:val="18"/>
        </w:rPr>
        <w:t>3,556,700.16</w:t>
      </w:r>
      <w:r>
        <w:rPr>
          <w:rFonts w:ascii="宋体" w:hAnsi="宋体" w:cs="宋体" w:eastAsia="宋体" w:hint="default"/>
          <w:spacing w:val="-4"/>
          <w:sz w:val="18"/>
          <w:szCs w:val="18"/>
        </w:rPr>
        <w:t>元，不影响所有者权益合计金额。</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报告期内限制性股票激励达标解锁，影响负债减少</w:t>
      </w:r>
      <w:r>
        <w:rPr>
          <w:rFonts w:ascii="Times New Roman" w:hAnsi="Times New Roman" w:cs="Times New Roman" w:eastAsia="Times New Roman" w:hint="default"/>
          <w:sz w:val="18"/>
          <w:szCs w:val="18"/>
        </w:rPr>
        <w:t>30,877,029.04</w:t>
      </w:r>
      <w:r>
        <w:rPr>
          <w:rFonts w:ascii="宋体" w:hAnsi="宋体" w:cs="宋体" w:eastAsia="宋体" w:hint="default"/>
          <w:sz w:val="18"/>
          <w:szCs w:val="18"/>
        </w:rPr>
        <w:t>元、净资产增加</w:t>
      </w:r>
      <w:r>
        <w:rPr>
          <w:rFonts w:ascii="Times New Roman" w:hAnsi="Times New Roman" w:cs="Times New Roman" w:eastAsia="Times New Roman" w:hint="default"/>
          <w:sz w:val="18"/>
          <w:szCs w:val="18"/>
        </w:rPr>
        <w:t>30,877,029.04</w:t>
      </w:r>
      <w:r>
        <w:rPr>
          <w:rFonts w:ascii="宋体" w:hAnsi="宋体" w:cs="宋体" w:eastAsia="宋体" w:hint="default"/>
          <w:sz w:val="18"/>
          <w:szCs w:val="18"/>
        </w:rPr>
        <w:t>元。</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现存的内部职工股情况" w:id="113"/>
      <w:bookmarkEnd w:id="1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公司股东数量及持股情况" w:id="115"/>
      <w:bookmarkEnd w:id="11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3"/>
        <w:gridCol w:w="1198"/>
        <w:gridCol w:w="1196"/>
        <w:gridCol w:w="1196"/>
        <w:gridCol w:w="1195"/>
      </w:tblGrid>
      <w:tr>
        <w:trPr>
          <w:trHeight w:val="165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59,305</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80"/>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55,322</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75"/>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19"/>
              <w:ind w:left="26" w:right="17"/>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4" w:right="1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20"/>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2"/>
        <w:gridCol w:w="490"/>
        <w:gridCol w:w="749"/>
        <w:gridCol w:w="826"/>
        <w:gridCol w:w="329"/>
        <w:gridCol w:w="463"/>
        <w:gridCol w:w="759"/>
        <w:gridCol w:w="864"/>
        <w:gridCol w:w="320"/>
        <w:gridCol w:w="1034"/>
        <w:gridCol w:w="140"/>
        <w:gridCol w:w="1205"/>
      </w:tblGrid>
      <w:tr>
        <w:trPr>
          <w:trHeight w:val="36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gridSpan w:val="2"/>
            <w:tcBorders>
              <w:top w:val="single" w:sz="4" w:space="0" w:color="000000"/>
              <w:left w:val="single" w:sz="4" w:space="0" w:color="000000"/>
              <w:bottom w:val="single" w:sz="4" w:space="0" w:color="000000"/>
              <w:right w:val="single" w:sz="4" w:space="0" w:color="000000"/>
            </w:tcBorders>
          </w:tcPr>
          <w:p>
            <w:pPr/>
          </w:p>
        </w:tc>
        <w:tc>
          <w:tcPr>
            <w:tcW w:w="123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5" w:type="dxa"/>
            <w:gridSpan w:val="2"/>
            <w:tcBorders>
              <w:top w:val="single" w:sz="4" w:space="0" w:color="000000"/>
              <w:left w:val="single" w:sz="4" w:space="0" w:color="000000"/>
              <w:bottom w:val="single" w:sz="4" w:space="0" w:color="000000"/>
              <w:right w:val="single" w:sz="4" w:space="0" w:color="000000"/>
            </w:tcBorders>
          </w:tcPr>
          <w:p>
            <w:pP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84" w:type="dxa"/>
            <w:gridSpan w:val="2"/>
            <w:tcBorders>
              <w:top w:val="single" w:sz="4" w:space="0" w:color="000000"/>
              <w:left w:val="single" w:sz="4" w:space="0" w:color="000000"/>
              <w:bottom w:val="single" w:sz="4" w:space="0" w:color="000000"/>
              <w:right w:val="single" w:sz="13" w:space="0" w:color="D2D2D2"/>
            </w:tcBorders>
          </w:tcPr>
          <w:p>
            <w:pP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tcBorders>
              <w:top w:val="single" w:sz="4" w:space="0" w:color="000000"/>
              <w:left w:val="single" w:sz="12" w:space="0" w:color="D2D2D2"/>
              <w:bottom w:val="single" w:sz="4" w:space="0" w:color="000000"/>
              <w:right w:val="single" w:sz="4" w:space="0" w:color="000000"/>
            </w:tcBorders>
          </w:tcPr>
          <w:p>
            <w:pPr/>
          </w:p>
        </w:tc>
      </w:tr>
      <w:tr>
        <w:trPr>
          <w:trHeight w:val="394"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28" w:right="27"/>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28" w:right="-5"/>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1" w:right="45"/>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20"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67" w:right="2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tcBorders>
              <w:left w:val="single" w:sz="4" w:space="0" w:color="000000"/>
              <w:right w:val="single" w:sz="4" w:space="0" w:color="000000"/>
            </w:tcBorders>
            <w:shd w:val="clear" w:color="auto" w:fill="D2D2D2"/>
          </w:tcPr>
          <w:p>
            <w:pPr/>
          </w:p>
        </w:tc>
        <w:tc>
          <w:tcPr>
            <w:tcW w:w="759"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9"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9"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9"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1354" w:type="dxa"/>
            <w:gridSpan w:val="2"/>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r>
      <w:tr>
        <w:trPr>
          <w:trHeight w:val="16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国网电子商务有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90,275,03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90,275,03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90,275,03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54" w:type="dxa"/>
            <w:gridSpan w:val="2"/>
            <w:tcBorders>
              <w:top w:val="single" w:sz="48" w:space="0" w:color="D2D2D2"/>
              <w:left w:val="single" w:sz="4" w:space="0" w:color="000000"/>
              <w:bottom w:val="single" w:sz="4" w:space="0" w:color="000000"/>
              <w:right w:val="single" w:sz="4" w:space="0" w:color="000000"/>
            </w:tcBorders>
          </w:tcPr>
          <w:p>
            <w:pPr/>
          </w:p>
        </w:tc>
        <w:tc>
          <w:tcPr>
            <w:tcW w:w="1344" w:type="dxa"/>
            <w:gridSpan w:val="2"/>
            <w:tcBorders>
              <w:top w:val="single" w:sz="48" w:space="0" w:color="D2D2D2"/>
              <w:left w:val="single" w:sz="4" w:space="0" w:color="000000"/>
              <w:bottom w:val="single" w:sz="4" w:space="0" w:color="000000"/>
              <w:right w:val="single" w:sz="4" w:space="0" w:color="000000"/>
            </w:tcBorders>
          </w:tcPr>
          <w:p>
            <w:pPr/>
          </w:p>
        </w:tc>
      </w:tr>
      <w:tr>
        <w:trPr>
          <w:trHeight w:val="71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84,487,71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-16,988,0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76,106,78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8,380,928</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国电电力发展股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52,642,27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52,642,27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5,791,574</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香港中央结算有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23,216,34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23,216,34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中国证券金融股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18,555,48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18,555,48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中央汇金资产管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10,695,02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10,695,02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赖汉宣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5,828,560</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-1,450,00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5,828,560</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黄建元</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5,737,479</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-2,122,76</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5,737,479</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新华人寿保险股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份有限公司－传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统－普通保险产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品</w:t>
            </w: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0.55%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4,678,668</w:t>
            </w:r>
          </w:p>
        </w:tc>
        <w:tc>
          <w:tcPr>
            <w:tcW w:w="792" w:type="dxa"/>
            <w:gridSpan w:val="2"/>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4,678,668</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许福林</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0.50%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4,261,199</w:t>
            </w:r>
          </w:p>
        </w:tc>
        <w:tc>
          <w:tcPr>
            <w:tcW w:w="792" w:type="dxa"/>
            <w:gridSpan w:val="2"/>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4,261,199</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10"/>
            <w:tcBorders>
              <w:top w:val="single" w:sz="4" w:space="0" w:color="000000"/>
              <w:left w:val="single" w:sz="12" w:space="0" w:color="D2D2D2"/>
              <w:bottom w:val="single" w:sz="4" w:space="0" w:color="000000"/>
              <w:right w:val="single" w:sz="4" w:space="0" w:color="000000"/>
            </w:tcBorders>
          </w:tcPr>
          <w:p>
            <w:pPr>
              <w:pStyle w:val="TableParagraph"/>
              <w:spacing w:line="321" w:lineRule="auto" w:before="54"/>
              <w:ind w:left="14" w:right="18"/>
              <w:jc w:val="left"/>
              <w:rPr>
                <w:rFonts w:ascii="宋体" w:hAnsi="宋体" w:cs="宋体" w:eastAsia="宋体" w:hint="default"/>
                <w:sz w:val="18"/>
                <w:szCs w:val="18"/>
              </w:rPr>
            </w:pPr>
            <w:r>
              <w:rPr>
                <w:rFonts w:ascii="宋体" w:hAnsi="宋体" w:cs="宋体" w:eastAsia="宋体" w:hint="default"/>
                <w:spacing w:val="-4"/>
                <w:sz w:val="18"/>
                <w:szCs w:val="18"/>
              </w:rPr>
              <w:t>上述股东中，国网电子商务有限公司与陈利浩是一致行动人。未知其他股东之间是否</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具有关联关系，也未知是否属于一致行动人。</w:t>
            </w:r>
          </w:p>
        </w:tc>
      </w:tr>
      <w:tr>
        <w:trPr>
          <w:trHeight w:val="398"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1"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0" w:type="dxa"/>
            <w:gridSpan w:val="6"/>
            <w:vMerge/>
            <w:tcBorders>
              <w:left w:val="single" w:sz="4" w:space="0" w:color="000000"/>
              <w:bottom w:val="nil" w:sz="6" w:space="0" w:color="auto"/>
              <w:right w:val="single" w:sz="4" w:space="0" w:color="000000"/>
            </w:tcBorders>
            <w:shd w:val="clear" w:color="auto" w:fill="D2D2D2"/>
          </w:tcPr>
          <w:p>
            <w:pP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90,275,039</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52,642,275</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23,216,345</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中国证券金融股份有限公司</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18,555,482</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中央汇金资产管理有限责任公司</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10,695,020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9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8,380,928</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0"/>
        <w:gridCol w:w="1354"/>
        <w:gridCol w:w="1344"/>
      </w:tblGrid>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赖汉宣</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5,828,560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黄建元</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5,737,479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新华人寿保险股份有限公司－传统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2"/>
                <w:sz w:val="18"/>
                <w:szCs w:val="18"/>
              </w:rPr>
              <w:t>－普通保险产品</w:t>
            </w:r>
            <w:r>
              <w:rPr>
                <w:rFonts w:ascii="Times New Roman" w:hAnsi="Times New Roman" w:cs="Times New Roman" w:eastAsia="Times New Roman" w:hint="default"/>
                <w:spacing w:val="-2"/>
                <w:sz w:val="18"/>
                <w:szCs w:val="18"/>
              </w:rPr>
              <w:t>-018L-CT001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4,678,668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许福林</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4,261,199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58"/>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8"/>
              <w:jc w:val="left"/>
              <w:rPr>
                <w:rFonts w:ascii="宋体" w:hAnsi="宋体" w:cs="宋体" w:eastAsia="宋体" w:hint="default"/>
                <w:sz w:val="18"/>
                <w:szCs w:val="18"/>
              </w:rPr>
            </w:pPr>
            <w:r>
              <w:rPr>
                <w:rFonts w:ascii="宋体" w:hAnsi="宋体" w:cs="宋体" w:eastAsia="宋体" w:hint="default"/>
                <w:spacing w:val="-4"/>
                <w:sz w:val="18"/>
                <w:szCs w:val="18"/>
              </w:rPr>
              <w:t>上述股东中，国网电子商务有限公司与陈利浩是一致行动人。未知其他股东之间是否</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具有关联关系，也未知是否属于一致行动人。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w w:val="101"/>
                <w:sz w:val="18"/>
                <w:szCs w:val="18"/>
              </w:rPr>
              <w:t>务情况说明（如有）（参见注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股东黄建元通过普通账户持股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4,737,479</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股，通过信用账户持股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股；股东许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福林通过普通账户持股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4,001,260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股，通过信用账户持股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259,939 </w:t>
            </w:r>
            <w:r>
              <w:rPr>
                <w:rFonts w:ascii="宋体" w:hAnsi="宋体" w:cs="宋体" w:eastAsia="宋体" w:hint="default"/>
                <w:sz w:val="18"/>
                <w:szCs w:val="18"/>
              </w:rPr>
              <w:t>股</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16"/>
      <w:bookmarkEnd w:id="1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7919"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控股股东性质：中央国有控股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46"/>
        <w:ind w:left="0" w:right="1127" w:firstLine="0"/>
        <w:jc w:val="right"/>
        <w:rPr>
          <w:rFonts w:ascii="宋体" w:hAnsi="宋体" w:cs="宋体" w:eastAsia="宋体" w:hint="default"/>
          <w:sz w:val="18"/>
          <w:szCs w:val="18"/>
        </w:rPr>
      </w:pPr>
      <w:r>
        <w:rPr/>
        <w:pict>
          <v:shape style="position:absolute;margin-left:56.424pt;margin-top:-83.208298pt;width:479.25pt;height:350.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30"/>
                    <w:gridCol w:w="1892"/>
                    <w:gridCol w:w="1940"/>
                    <w:gridCol w:w="1911"/>
                  </w:tblGrid>
                  <w:tr>
                    <w:trPr>
                      <w:trHeight w:val="710"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21" w:right="70" w:hanging="74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29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杨东伟</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Times New Roman"/>
                            <w:spacing w:val="-2"/>
                            <w:sz w:val="18"/>
                          </w:rPr>
                          <w:t>91110000MA0033TY4D</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销售汽车、日用品、五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金交电、化工产品、电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子产品、机械设备、计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算机、软件及辅助设备</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电子支付；互联网信息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服务；保险代理；制作</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代理、发布广告；技术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开发、技术转让、技术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推广；合同能源管理；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计算机系统服务；数据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处理（数据处理中的银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卡中心、</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值在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以上的云计算数据中心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除外）；接受金融机构委</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托从事金融信息技术外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包服务；接受金融机构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委托从事金融业务流程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外包服务；接受金融机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构委托从事金融知识流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程外包服务；票务代理</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830"/>
        <w:gridCol w:w="1892"/>
        <w:gridCol w:w="1940"/>
        <w:gridCol w:w="1911"/>
      </w:tblGrid>
      <w:tr>
        <w:trPr>
          <w:trHeight w:val="1921"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70"/>
              <w:jc w:val="both"/>
              <w:rPr>
                <w:rFonts w:ascii="宋体" w:hAnsi="宋体" w:cs="宋体" w:eastAsia="宋体" w:hint="default"/>
                <w:sz w:val="18"/>
                <w:szCs w:val="18"/>
              </w:rPr>
            </w:pPr>
            <w:r>
              <w:rPr>
                <w:rFonts w:ascii="宋体" w:hAnsi="宋体" w:cs="宋体" w:eastAsia="宋体" w:hint="default"/>
                <w:spacing w:val="-2"/>
                <w:sz w:val="18"/>
                <w:szCs w:val="18"/>
              </w:rPr>
              <w:t>（互联网信息服务、保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险代理业务、保险经纪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业务及依法须经批准的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项目，经相关部门批准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后依批准的内容开展经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0"/>
                <w:w w:val="101"/>
                <w:sz w:val="18"/>
                <w:szCs w:val="18"/>
              </w:rPr>
              <w:t>营活动。）</w:t>
            </w:r>
            <w:r>
              <w:rPr>
                <w:rFonts w:ascii="宋体" w:hAnsi="宋体" w:cs="宋体" w:eastAsia="宋体" w:hint="default"/>
                <w:spacing w:val="-20"/>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新控股股东名称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67"/>
              <w:jc w:val="both"/>
              <w:rPr>
                <w:rFonts w:ascii="Times New Roman" w:hAnsi="Times New Roman" w:cs="Times New Roman" w:eastAsia="Times New Roman" w:hint="default"/>
                <w:sz w:val="18"/>
                <w:szCs w:val="18"/>
              </w:rPr>
            </w:pPr>
            <w:hyperlink r:id="rId14">
              <w:r>
                <w:rPr>
                  <w:rFonts w:ascii="Times New Roman"/>
                  <w:spacing w:val="-2"/>
                  <w:sz w:val="18"/>
                </w:rPr>
                <w:t>http://www.cninfo.com.cn/new/disclosure/detail?plate=szse&amp;org</w:t>
              </w:r>
            </w:hyperlink>
            <w:r>
              <w:rPr>
                <w:rFonts w:ascii="Times New Roman"/>
                <w:spacing w:val="29"/>
                <w:sz w:val="18"/>
              </w:rPr>
              <w:t> </w:t>
            </w:r>
            <w:r>
              <w:rPr>
                <w:rFonts w:ascii="Times New Roman"/>
                <w:spacing w:val="29"/>
                <w:sz w:val="18"/>
              </w:rPr>
            </w:r>
            <w:r>
              <w:rPr>
                <w:rFonts w:ascii="Times New Roman"/>
                <w:spacing w:val="-2"/>
                <w:sz w:val="18"/>
              </w:rPr>
              <w:t>Id=9900000382&amp;stockCode=002063&amp;announcementId=120708</w:t>
            </w:r>
            <w:r>
              <w:rPr>
                <w:rFonts w:ascii="Times New Roman"/>
                <w:spacing w:val="9"/>
                <w:sz w:val="18"/>
              </w:rPr>
              <w:t> </w:t>
            </w:r>
            <w:r>
              <w:rPr>
                <w:rFonts w:ascii="Times New Roman"/>
                <w:spacing w:val="9"/>
                <w:sz w:val="18"/>
              </w:rPr>
            </w:r>
            <w:r>
              <w:rPr>
                <w:rFonts w:ascii="Times New Roman"/>
                <w:sz w:val="18"/>
              </w:rPr>
              <w:t>7856&amp;announcementTime=2019-11-14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公司实际控制人及其一致行动人" w:id="117"/>
      <w:bookmarkEnd w:id="1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6642"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实际控制人性质：中央国资管理机构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实际控制人类型：法人</w:t>
      </w:r>
    </w:p>
    <w:tbl>
      <w:tblPr>
        <w:tblW w:w="0" w:type="auto"/>
        <w:jc w:val="left"/>
        <w:tblInd w:w="148" w:type="dxa"/>
        <w:tblLayout w:type="fixed"/>
        <w:tblCellMar>
          <w:top w:w="0" w:type="dxa"/>
          <w:left w:w="0" w:type="dxa"/>
          <w:bottom w:w="0" w:type="dxa"/>
          <w:right w:w="0" w:type="dxa"/>
        </w:tblCellMar>
        <w:tblLook w:val="01E0"/>
      </w:tblPr>
      <w:tblGrid>
        <w:gridCol w:w="1997"/>
        <w:gridCol w:w="1835"/>
        <w:gridCol w:w="1892"/>
        <w:gridCol w:w="1935"/>
        <w:gridCol w:w="1911"/>
      </w:tblGrid>
      <w:tr>
        <w:trPr>
          <w:trHeight w:val="710"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21" w:right="70"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国务院国有资产监督管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理委员会</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实际控制人报告期内控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制的其他境内外上市公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司的股权情况</w:t>
            </w:r>
          </w:p>
        </w:tc>
        <w:tc>
          <w:tcPr>
            <w:tcW w:w="757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7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国务院国有资产监督管理委员会</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67"/>
              <w:jc w:val="both"/>
              <w:rPr>
                <w:rFonts w:ascii="Times New Roman" w:hAnsi="Times New Roman" w:cs="Times New Roman" w:eastAsia="Times New Roman" w:hint="default"/>
                <w:sz w:val="18"/>
                <w:szCs w:val="18"/>
              </w:rPr>
            </w:pPr>
            <w:hyperlink r:id="rId14">
              <w:r>
                <w:rPr>
                  <w:rFonts w:ascii="Times New Roman"/>
                  <w:spacing w:val="-2"/>
                  <w:sz w:val="18"/>
                </w:rPr>
                <w:t>http://www.cninfo.com.cn/new/disclosure/detail?plate=szse&amp;org</w:t>
              </w:r>
            </w:hyperlink>
            <w:r>
              <w:rPr>
                <w:rFonts w:ascii="Times New Roman"/>
                <w:spacing w:val="29"/>
                <w:sz w:val="18"/>
              </w:rPr>
              <w:t> </w:t>
            </w:r>
            <w:r>
              <w:rPr>
                <w:rFonts w:ascii="Times New Roman"/>
                <w:spacing w:val="29"/>
                <w:sz w:val="18"/>
              </w:rPr>
            </w:r>
            <w:r>
              <w:rPr>
                <w:rFonts w:ascii="Times New Roman"/>
                <w:spacing w:val="-2"/>
                <w:sz w:val="18"/>
              </w:rPr>
              <w:t>Id=9900000382&amp;stockCode=002063&amp;announcementId=120708</w:t>
            </w:r>
            <w:r>
              <w:rPr>
                <w:rFonts w:ascii="Times New Roman"/>
                <w:spacing w:val="9"/>
                <w:sz w:val="18"/>
              </w:rPr>
              <w:t> </w:t>
            </w:r>
            <w:r>
              <w:rPr>
                <w:rFonts w:ascii="Times New Roman"/>
                <w:spacing w:val="9"/>
                <w:sz w:val="18"/>
              </w:rPr>
            </w:r>
            <w:r>
              <w:rPr>
                <w:rFonts w:ascii="Times New Roman"/>
                <w:sz w:val="18"/>
              </w:rPr>
              <w:t>7856&amp;announcementTime=2019-11-14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公司与实际控制人之间的产权及控制关系的方框图</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44" w:lineRule="exact"/>
        <w:ind w:left="2078"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676042" cy="21869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5" cstate="print"/>
                    <a:stretch>
                      <a:fillRect/>
                    </a:stretch>
                  </pic:blipFill>
                  <pic:spPr>
                    <a:xfrm>
                      <a:off x="0" y="0"/>
                      <a:ext cx="3676042" cy="2186940"/>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9"/>
        <w:rPr>
          <w:rFonts w:ascii="宋体" w:hAnsi="宋体" w:cs="宋体" w:eastAsia="宋体" w:hint="default"/>
          <w:sz w:val="24"/>
          <w:szCs w:val="24"/>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实际控制人通过信托或其他资产管理方式控制公司</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其他持股在10%以上的法人股东" w:id="118"/>
      <w:bookmarkEnd w:id="11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控股股东、实际控制人、重组方及其他承诺主体股份限制减持情况" w:id="119"/>
      <w:bookmarkEnd w:id="11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20"/>
      <w:bookmarkEnd w:id="120"/>
      <w:r>
        <w:rPr>
          <w:b w:val="0"/>
          <w:bCs w:val="0"/>
        </w:rPr>
      </w:r>
      <w:bookmarkStart w:name="_bookmark6" w:id="121"/>
      <w:bookmarkEnd w:id="121"/>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2"/>
      <w:bookmarkEnd w:id="122"/>
      <w:r>
        <w:rPr>
          <w:b w:val="0"/>
          <w:bCs w:val="0"/>
        </w:rPr>
      </w:r>
      <w:bookmarkStart w:name="_bookmark7" w:id="123"/>
      <w:bookmarkEnd w:id="123"/>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101,475,7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84,487,71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江昊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1,687,034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1,287,034</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504,298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504,298</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王意涵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36"/>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430,935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430,935</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501,915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501,915</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461,957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461,957</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378,801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378,801</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姚国全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毕伟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147,867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147,867</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371,000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371,000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22,120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陈婷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114,100</w:t>
            </w:r>
          </w:p>
        </w:tc>
      </w:tr>
      <w:tr>
        <w:trPr>
          <w:trHeight w:val="67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350,560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350,560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袁绣华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57,544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57,544</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375,340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375,340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11,300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221,300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107,201,1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11,300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89,754,48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43"/>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姚国全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60"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袁绣华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董事、高级副总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因股份无偿划转辞职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因股份无偿划转辞职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董事会秘书、副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8"/>
      <w:bookmarkEnd w:id="128"/>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spacing w:line="357" w:lineRule="auto" w:before="0"/>
        <w:ind w:left="633" w:right="0" w:hanging="48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b/>
          <w:bCs/>
          <w:spacing w:val="-3"/>
          <w:sz w:val="18"/>
          <w:szCs w:val="18"/>
        </w:rPr>
        <w:t>陈利浩先生</w:t>
      </w:r>
      <w:r>
        <w:rPr>
          <w:rFonts w:ascii="宋体" w:hAnsi="宋体" w:cs="宋体" w:eastAsia="宋体" w:hint="default"/>
          <w:spacing w:val="-3"/>
          <w:sz w:val="18"/>
          <w:szCs w:val="18"/>
        </w:rPr>
        <w:t>，董事长，中国国籍，</w:t>
      </w:r>
      <w:r>
        <w:rPr>
          <w:rFonts w:ascii="Times New Roman" w:hAnsi="Times New Roman" w:cs="Times New Roman" w:eastAsia="Times New Roman" w:hint="default"/>
          <w:spacing w:val="-3"/>
          <w:sz w:val="18"/>
          <w:szCs w:val="18"/>
        </w:rPr>
        <w:t>1955</w:t>
      </w:r>
      <w:r>
        <w:rPr>
          <w:rFonts w:ascii="宋体" w:hAnsi="宋体" w:cs="宋体" w:eastAsia="宋体" w:hint="default"/>
          <w:spacing w:val="-3"/>
          <w:sz w:val="18"/>
          <w:szCs w:val="18"/>
        </w:rPr>
        <w:t>年生，毕业于上海电力学院。自</w:t>
      </w: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年以来，陈利浩先生一直在公司任职。目</w:t>
      </w:r>
    </w:p>
    <w:p>
      <w:pPr>
        <w:spacing w:line="201" w:lineRule="exact" w:before="0"/>
        <w:ind w:left="153" w:right="0" w:firstLine="0"/>
        <w:jc w:val="both"/>
        <w:rPr>
          <w:rFonts w:ascii="宋体" w:hAnsi="宋体" w:cs="宋体" w:eastAsia="宋体" w:hint="default"/>
          <w:sz w:val="18"/>
          <w:szCs w:val="18"/>
        </w:rPr>
      </w:pPr>
      <w:r>
        <w:rPr>
          <w:rFonts w:ascii="宋体" w:hAnsi="宋体" w:cs="宋体" w:eastAsia="宋体" w:hint="default"/>
          <w:spacing w:val="-4"/>
          <w:sz w:val="18"/>
          <w:szCs w:val="18"/>
        </w:rPr>
        <w:t>前还担任中国会计信息化委员会委员、九三学社中央资源环境专门委员会副主任、九三学社中央促进技术创新工作委员会副</w:t>
      </w:r>
    </w:p>
    <w:p>
      <w:pPr>
        <w:spacing w:line="316" w:lineRule="auto" w:before="76"/>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主任、广东省政协研究咨询委员会委员、广东省政协提案工作研究会副会长、广东省新的社会阶层人士联合会监事长、珠海</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市浙江商会会长、珠海市新的社会阶层人士联合会荣誉会长、远光能源互联网产业发展（横琴）有限公司董事长、珠海高远</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电能科技有限公司董事长、杭州昊美科技有限公司董事长、远光资本管理（横琴）有限公司董事长、远光软件（北京）有限</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4"/>
          <w:sz w:val="18"/>
          <w:szCs w:val="18"/>
        </w:rPr>
        <w:t>公司执行董事、珠海远光软件产业有限公司监事、珠海市载舟企业管理有限公司执行董事兼总经理、珠海市浩天投资有限公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司执行董事兼总经理、珠海远光晴天能源科技有限公司董事长、林芝地区荣光科技有限公司执行董事兼总经理、广东省依依</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关爱儿童基金会创始人等。</w:t>
      </w:r>
    </w:p>
    <w:p>
      <w:pPr>
        <w:spacing w:line="240" w:lineRule="auto" w:before="4"/>
        <w:rPr>
          <w:rFonts w:ascii="宋体" w:hAnsi="宋体" w:cs="宋体" w:eastAsia="宋体" w:hint="default"/>
          <w:sz w:val="25"/>
          <w:szCs w:val="25"/>
        </w:rPr>
      </w:pPr>
    </w:p>
    <w:p>
      <w:pPr>
        <w:spacing w:line="309" w:lineRule="auto" w:before="0"/>
        <w:ind w:left="153" w:right="0" w:firstLine="480"/>
        <w:jc w:val="left"/>
        <w:rPr>
          <w:rFonts w:ascii="宋体" w:hAnsi="宋体" w:cs="宋体" w:eastAsia="宋体" w:hint="default"/>
          <w:sz w:val="18"/>
          <w:szCs w:val="18"/>
        </w:rPr>
      </w:pPr>
      <w:r>
        <w:rPr>
          <w:rFonts w:ascii="宋体" w:hAnsi="宋体" w:cs="宋体" w:eastAsia="宋体" w:hint="default"/>
          <w:b/>
          <w:bCs/>
          <w:spacing w:val="-5"/>
          <w:sz w:val="18"/>
          <w:szCs w:val="18"/>
        </w:rPr>
        <w:t>江昊先生</w:t>
      </w:r>
      <w:r>
        <w:rPr>
          <w:rFonts w:ascii="宋体" w:hAnsi="宋体" w:cs="宋体" w:eastAsia="宋体" w:hint="default"/>
          <w:spacing w:val="-5"/>
          <w:sz w:val="18"/>
          <w:szCs w:val="18"/>
        </w:rPr>
        <w:t>，副董事长，中国国籍，</w:t>
      </w:r>
      <w:r>
        <w:rPr>
          <w:rFonts w:ascii="Times New Roman" w:hAnsi="Times New Roman" w:cs="Times New Roman" w:eastAsia="Times New Roman" w:hint="default"/>
          <w:spacing w:val="-5"/>
          <w:sz w:val="18"/>
          <w:szCs w:val="18"/>
        </w:rPr>
        <w:t>1973</w:t>
      </w:r>
      <w:r>
        <w:rPr>
          <w:rFonts w:ascii="宋体" w:hAnsi="宋体" w:cs="宋体" w:eastAsia="宋体" w:hint="default"/>
          <w:spacing w:val="-5"/>
          <w:sz w:val="18"/>
          <w:szCs w:val="18"/>
        </w:rPr>
        <w:t>年生，本科学历，会计师，现任公司控股股东国网电子商务有限公司总会计师、</w:t>
      </w:r>
      <w:r>
        <w:rPr>
          <w:rFonts w:ascii="宋体" w:hAnsi="宋体" w:cs="宋体" w:eastAsia="宋体" w:hint="default"/>
          <w:w w:val="101"/>
          <w:sz w:val="18"/>
          <w:szCs w:val="18"/>
        </w:rPr>
        <w:t> </w:t>
      </w:r>
      <w:r>
        <w:rPr>
          <w:rFonts w:ascii="宋体" w:hAnsi="宋体" w:cs="宋体" w:eastAsia="宋体" w:hint="default"/>
          <w:spacing w:val="-4"/>
          <w:sz w:val="18"/>
          <w:szCs w:val="18"/>
        </w:rPr>
        <w:t>国网雄安金融科技集团有限公司总会计师。江昊先生历任福建省电力科学研究院财务部职员、福建省电力公司财务部经营组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组长、国家电网公司财务资产部预算处职员、国家电网公司产业发展部财务资产处副处长、处长。</w:t>
      </w:r>
    </w:p>
    <w:p>
      <w:pPr>
        <w:spacing w:line="240" w:lineRule="auto" w:before="9"/>
        <w:rPr>
          <w:rFonts w:ascii="宋体" w:hAnsi="宋体" w:cs="宋体" w:eastAsia="宋体" w:hint="default"/>
          <w:sz w:val="25"/>
          <w:szCs w:val="25"/>
        </w:rPr>
      </w:pPr>
    </w:p>
    <w:p>
      <w:pPr>
        <w:spacing w:line="314" w:lineRule="auto" w:before="0"/>
        <w:ind w:left="153" w:right="1124" w:firstLine="480"/>
        <w:jc w:val="both"/>
        <w:rPr>
          <w:rFonts w:ascii="宋体" w:hAnsi="宋体" w:cs="宋体" w:eastAsia="宋体" w:hint="default"/>
          <w:sz w:val="18"/>
          <w:szCs w:val="18"/>
        </w:rPr>
      </w:pPr>
      <w:r>
        <w:rPr>
          <w:rFonts w:ascii="宋体" w:hAnsi="宋体" w:cs="宋体" w:eastAsia="宋体" w:hint="default"/>
          <w:b/>
          <w:bCs/>
          <w:spacing w:val="-4"/>
          <w:sz w:val="18"/>
          <w:szCs w:val="18"/>
        </w:rPr>
        <w:t>刘全先生</w:t>
      </w:r>
      <w:r>
        <w:rPr>
          <w:rFonts w:ascii="宋体" w:hAnsi="宋体" w:cs="宋体" w:eastAsia="宋体" w:hint="default"/>
          <w:spacing w:val="-4"/>
          <w:sz w:val="18"/>
          <w:szCs w:val="18"/>
        </w:rPr>
        <w:t>，副董事长，中国国籍，</w:t>
      </w:r>
      <w:r>
        <w:rPr>
          <w:rFonts w:ascii="Times New Roman" w:hAnsi="Times New Roman" w:cs="Times New Roman" w:eastAsia="Times New Roman" w:hint="default"/>
          <w:spacing w:val="-4"/>
          <w:sz w:val="18"/>
          <w:szCs w:val="18"/>
        </w:rPr>
        <w:t>1972</w:t>
      </w:r>
      <w:r>
        <w:rPr>
          <w:rFonts w:ascii="宋体" w:hAnsi="宋体" w:cs="宋体" w:eastAsia="宋体" w:hint="default"/>
          <w:spacing w:val="-4"/>
          <w:sz w:val="18"/>
          <w:szCs w:val="18"/>
        </w:rPr>
        <w:t>年生，中共党员，研究生学历，工程师，现任持有公司股份</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以上股东国电电</w:t>
      </w:r>
      <w:r>
        <w:rPr>
          <w:rFonts w:ascii="宋体" w:hAnsi="宋体" w:cs="宋体" w:eastAsia="宋体" w:hint="default"/>
          <w:w w:val="101"/>
          <w:sz w:val="18"/>
          <w:szCs w:val="18"/>
        </w:rPr>
        <w:t> </w:t>
      </w:r>
      <w:r>
        <w:rPr>
          <w:rFonts w:ascii="宋体" w:hAnsi="宋体" w:cs="宋体" w:eastAsia="宋体" w:hint="default"/>
          <w:spacing w:val="-4"/>
          <w:sz w:val="18"/>
          <w:szCs w:val="18"/>
        </w:rPr>
        <w:t>力发展股份有限公司总法律顾问、国电电力发展股份有限公司法律事务与信息管理部主任，刘全先生还担任北京太阳宫燃气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热电有限公司董事、国电内蒙古上海庙热电有限公司副董事长。刘全先生历任北京第二热电厂厂办秘书、厂办副主任、计划</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科副科长，山西漳电国电王坪发电有限公司董事，国电电力发展股份有限公司总经理工作部业务经理、总经理工作部主任助</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理、总经理工作部副主任、总经理工作部主任。</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line="314" w:lineRule="auto" w:before="0"/>
        <w:ind w:left="153" w:right="1123" w:firstLine="480"/>
        <w:jc w:val="both"/>
        <w:rPr>
          <w:rFonts w:ascii="宋体" w:hAnsi="宋体" w:cs="宋体" w:eastAsia="宋体" w:hint="default"/>
          <w:sz w:val="18"/>
          <w:szCs w:val="18"/>
        </w:rPr>
      </w:pPr>
      <w:r>
        <w:rPr>
          <w:rFonts w:ascii="宋体" w:hAnsi="宋体" w:cs="宋体" w:eastAsia="宋体" w:hint="default"/>
          <w:b/>
          <w:bCs/>
          <w:spacing w:val="-3"/>
          <w:sz w:val="18"/>
          <w:szCs w:val="18"/>
        </w:rPr>
        <w:t>朱辉先生</w:t>
      </w:r>
      <w:r>
        <w:rPr>
          <w:rFonts w:ascii="宋体" w:hAnsi="宋体" w:cs="宋体" w:eastAsia="宋体" w:hint="default"/>
          <w:spacing w:val="-3"/>
          <w:sz w:val="18"/>
          <w:szCs w:val="18"/>
        </w:rPr>
        <w:t>，董事，中国国籍，</w:t>
      </w:r>
      <w:r>
        <w:rPr>
          <w:rFonts w:ascii="Times New Roman" w:hAnsi="Times New Roman" w:cs="Times New Roman" w:eastAsia="Times New Roman" w:hint="default"/>
          <w:spacing w:val="-3"/>
          <w:sz w:val="18"/>
          <w:szCs w:val="18"/>
        </w:rPr>
        <w:t>1983</w:t>
      </w:r>
      <w:r>
        <w:rPr>
          <w:rFonts w:ascii="宋体" w:hAnsi="宋体" w:cs="宋体" w:eastAsia="宋体" w:hint="default"/>
          <w:spacing w:val="-3"/>
          <w:sz w:val="18"/>
          <w:szCs w:val="18"/>
        </w:rPr>
        <w:t>年生，硕士研究生学历，高级工程师，现任国网汇通金财（北京）信息科技有限公</w:t>
      </w:r>
      <w:r>
        <w:rPr>
          <w:rFonts w:ascii="宋体" w:hAnsi="宋体" w:cs="宋体" w:eastAsia="宋体" w:hint="default"/>
          <w:w w:val="101"/>
          <w:sz w:val="18"/>
          <w:szCs w:val="18"/>
        </w:rPr>
        <w:t> </w:t>
      </w:r>
      <w:r>
        <w:rPr>
          <w:rFonts w:ascii="宋体" w:hAnsi="宋体" w:cs="宋体" w:eastAsia="宋体" w:hint="default"/>
          <w:spacing w:val="-4"/>
          <w:sz w:val="18"/>
          <w:szCs w:val="18"/>
        </w:rPr>
        <w:t>司总经理兼任公司控股股东国网电子商务有限公司、国网雄安金融科技集团有限公司金融运管中心负责人。朱辉先生历任国</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网汇通金财（北京）信息科技有限公司发展策划部副主任（主持工作）、支付业务事业部主任、综合办公室主任、副总工程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师兼天津分公司总经理、公司副总经理（主持工作）、党总支副书记、国网电子商务有限公司、国网雄安金融科技集团有限</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公司互联网金融事业部副总经理、金融运管中心副主任。</w:t>
      </w:r>
    </w:p>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7" w:lineRule="auto" w:before="46"/>
        <w:ind w:left="153" w:right="0" w:firstLine="480"/>
        <w:jc w:val="left"/>
        <w:rPr>
          <w:rFonts w:ascii="宋体" w:hAnsi="宋体" w:cs="宋体" w:eastAsia="宋体" w:hint="default"/>
          <w:sz w:val="18"/>
          <w:szCs w:val="18"/>
        </w:rPr>
      </w:pPr>
      <w:r>
        <w:rPr>
          <w:rFonts w:ascii="宋体" w:hAnsi="宋体" w:cs="宋体" w:eastAsia="宋体" w:hint="default"/>
          <w:b/>
          <w:bCs/>
          <w:spacing w:val="-6"/>
          <w:sz w:val="18"/>
          <w:szCs w:val="18"/>
        </w:rPr>
        <w:t>黄笑华先生</w:t>
      </w:r>
      <w:r>
        <w:rPr>
          <w:rFonts w:ascii="宋体" w:hAnsi="宋体" w:cs="宋体" w:eastAsia="宋体" w:hint="default"/>
          <w:spacing w:val="-6"/>
          <w:sz w:val="18"/>
          <w:szCs w:val="18"/>
        </w:rPr>
        <w:t>，董事、总裁，中国国籍，</w:t>
      </w:r>
      <w:r>
        <w:rPr>
          <w:rFonts w:ascii="Times New Roman" w:hAnsi="Times New Roman" w:cs="Times New Roman" w:eastAsia="Times New Roman" w:hint="default"/>
          <w:spacing w:val="-6"/>
          <w:sz w:val="18"/>
          <w:szCs w:val="18"/>
        </w:rPr>
        <w:t>1971</w:t>
      </w:r>
      <w:r>
        <w:rPr>
          <w:rFonts w:ascii="宋体" w:hAnsi="宋体" w:cs="宋体" w:eastAsia="宋体" w:hint="default"/>
          <w:spacing w:val="-6"/>
          <w:sz w:val="18"/>
          <w:szCs w:val="18"/>
        </w:rPr>
        <w:t>年生。</w:t>
      </w:r>
      <w:r>
        <w:rPr>
          <w:rFonts w:ascii="Times New Roman" w:hAnsi="Times New Roman" w:cs="Times New Roman" w:eastAsia="Times New Roman" w:hint="default"/>
          <w:spacing w:val="-6"/>
          <w:sz w:val="18"/>
          <w:szCs w:val="18"/>
        </w:rPr>
        <w:t>1993</w:t>
      </w:r>
      <w:r>
        <w:rPr>
          <w:rFonts w:ascii="宋体" w:hAnsi="宋体" w:cs="宋体" w:eastAsia="宋体" w:hint="default"/>
          <w:spacing w:val="-6"/>
          <w:sz w:val="18"/>
          <w:szCs w:val="18"/>
        </w:rPr>
        <w:t>年毕业于西安交通大学，获学士学位；</w:t>
      </w:r>
      <w:r>
        <w:rPr>
          <w:rFonts w:ascii="Times New Roman" w:hAnsi="Times New Roman" w:cs="Times New Roman" w:eastAsia="Times New Roman" w:hint="default"/>
          <w:spacing w:val="-6"/>
          <w:sz w:val="18"/>
          <w:szCs w:val="18"/>
        </w:rPr>
        <w:t>2007</w:t>
      </w:r>
      <w:r>
        <w:rPr>
          <w:rFonts w:ascii="宋体" w:hAnsi="宋体" w:cs="宋体" w:eastAsia="宋体" w:hint="default"/>
          <w:spacing w:val="-6"/>
          <w:sz w:val="18"/>
          <w:szCs w:val="18"/>
        </w:rPr>
        <w:t>年获清华大学</w:t>
      </w:r>
      <w:r>
        <w:rPr>
          <w:rFonts w:ascii="Times New Roman" w:hAnsi="Times New Roman" w:cs="Times New Roman" w:eastAsia="Times New Roman" w:hint="default"/>
          <w:spacing w:val="-6"/>
          <w:sz w:val="18"/>
          <w:szCs w:val="18"/>
        </w:rPr>
        <w:t>EMBA</w:t>
      </w:r>
      <w:r>
        <w:rPr>
          <w:rFonts w:ascii="Times New Roman" w:hAnsi="Times New Roman" w:cs="Times New Roman" w:eastAsia="Times New Roman" w:hint="default"/>
          <w:w w:val="101"/>
          <w:sz w:val="18"/>
          <w:szCs w:val="18"/>
        </w:rPr>
        <w:t> </w:t>
      </w:r>
      <w:r>
        <w:rPr>
          <w:rFonts w:ascii="宋体" w:hAnsi="宋体" w:cs="宋体" w:eastAsia="宋体" w:hint="default"/>
          <w:spacing w:val="-4"/>
          <w:sz w:val="18"/>
          <w:szCs w:val="18"/>
        </w:rPr>
        <w:t>学位。自</w:t>
      </w:r>
      <w:r>
        <w:rPr>
          <w:rFonts w:ascii="Times New Roman" w:hAnsi="Times New Roman" w:cs="Times New Roman" w:eastAsia="Times New Roman" w:hint="default"/>
          <w:spacing w:val="-4"/>
          <w:sz w:val="18"/>
          <w:szCs w:val="18"/>
        </w:rPr>
        <w:t>1998</w:t>
      </w:r>
      <w:r>
        <w:rPr>
          <w:rFonts w:ascii="宋体" w:hAnsi="宋体" w:cs="宋体" w:eastAsia="宋体" w:hint="default"/>
          <w:spacing w:val="-4"/>
          <w:sz w:val="18"/>
          <w:szCs w:val="18"/>
        </w:rPr>
        <w:t>年以来，黄笑华先生一直在公司任职。报告期还担任远光资本管理（横琴）有限公司董事、珠海高远电能科技</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有限公司董事、珠海市锐创股权投资咨询中心（有限合伙）执行事务合伙人、珠海远光软件产业有限公司董事长兼总经理、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北京融和晟源售电有限公司董事、远光软件（北京）有限公司总经理、广东省依依关爱儿童基金会理事。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00" w:lineRule="auto" w:before="0"/>
        <w:ind w:left="153" w:right="1122" w:firstLine="480"/>
        <w:jc w:val="both"/>
        <w:rPr>
          <w:rFonts w:ascii="宋体" w:hAnsi="宋体" w:cs="宋体" w:eastAsia="宋体" w:hint="default"/>
          <w:sz w:val="18"/>
          <w:szCs w:val="18"/>
        </w:rPr>
      </w:pPr>
      <w:r>
        <w:rPr>
          <w:rFonts w:ascii="宋体" w:hAnsi="宋体" w:cs="宋体" w:eastAsia="宋体" w:hint="default"/>
          <w:b/>
          <w:bCs/>
          <w:spacing w:val="-3"/>
          <w:sz w:val="18"/>
          <w:szCs w:val="18"/>
        </w:rPr>
        <w:t>向万红先生</w:t>
      </w:r>
      <w:r>
        <w:rPr>
          <w:rFonts w:ascii="宋体" w:hAnsi="宋体" w:cs="宋体" w:eastAsia="宋体" w:hint="default"/>
          <w:spacing w:val="-3"/>
          <w:sz w:val="18"/>
          <w:szCs w:val="18"/>
        </w:rPr>
        <w:t>，董事、副总裁，中国国籍，</w:t>
      </w:r>
      <w:r>
        <w:rPr>
          <w:rFonts w:ascii="Times New Roman" w:hAnsi="Times New Roman" w:cs="Times New Roman" w:eastAsia="Times New Roman" w:hint="default"/>
          <w:spacing w:val="-3"/>
          <w:sz w:val="18"/>
          <w:szCs w:val="18"/>
        </w:rPr>
        <w:t>1978</w:t>
      </w:r>
      <w:r>
        <w:rPr>
          <w:rFonts w:ascii="宋体" w:hAnsi="宋体" w:cs="宋体" w:eastAsia="宋体" w:hint="default"/>
          <w:spacing w:val="-3"/>
          <w:sz w:val="18"/>
          <w:szCs w:val="18"/>
        </w:rPr>
        <w:t>年生。向万红先生自</w:t>
      </w: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年在公司任职，历任项目组经理、</w:t>
      </w:r>
      <w:r>
        <w:rPr>
          <w:rFonts w:ascii="Times New Roman" w:hAnsi="Times New Roman" w:cs="Times New Roman" w:eastAsia="Times New Roman" w:hint="default"/>
          <w:spacing w:val="-3"/>
          <w:sz w:val="18"/>
          <w:szCs w:val="18"/>
        </w:rPr>
        <w:t>ERP</w:t>
      </w:r>
      <w:r>
        <w:rPr>
          <w:rFonts w:ascii="宋体" w:hAnsi="宋体" w:cs="宋体" w:eastAsia="宋体" w:hint="default"/>
          <w:spacing w:val="-3"/>
          <w:sz w:val="18"/>
          <w:szCs w:val="18"/>
        </w:rPr>
        <w:t>软件部</w:t>
      </w:r>
      <w:r>
        <w:rPr>
          <w:rFonts w:ascii="宋体" w:hAnsi="宋体" w:cs="宋体" w:eastAsia="宋体" w:hint="default"/>
          <w:w w:val="101"/>
          <w:sz w:val="18"/>
          <w:szCs w:val="18"/>
        </w:rPr>
        <w:t> </w:t>
      </w:r>
      <w:r>
        <w:rPr>
          <w:rFonts w:ascii="宋体" w:hAnsi="宋体" w:cs="宋体" w:eastAsia="宋体" w:hint="default"/>
          <w:spacing w:val="-4"/>
          <w:sz w:val="18"/>
          <w:szCs w:val="18"/>
        </w:rPr>
        <w:t>经理、总裁助理，并于</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月期间担任公司职工代表监事，目前还担任公司工会主席，子公司珠海远光移动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互联科技有限公司执行董事、经理，珠海市青年联合会委员。向万红先生自</w:t>
      </w:r>
      <w:r>
        <w:rPr>
          <w:rFonts w:ascii="Times New Roman" w:hAnsi="Times New Roman" w:cs="Times New Roman" w:eastAsia="Times New Roman" w:hint="default"/>
          <w:spacing w:val="-4"/>
          <w:sz w:val="18"/>
          <w:szCs w:val="18"/>
        </w:rPr>
        <w:t>1999</w:t>
      </w:r>
      <w:r>
        <w:rPr>
          <w:rFonts w:ascii="宋体" w:hAnsi="宋体" w:cs="宋体" w:eastAsia="宋体" w:hint="default"/>
          <w:spacing w:val="-4"/>
          <w:sz w:val="18"/>
          <w:szCs w:val="18"/>
        </w:rPr>
        <w:t>年开始从事企业管理软件的研发工作，曾在</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长春市吉联软件公司、珠海市创我科技公司任职。</w:t>
      </w:r>
    </w:p>
    <w:p>
      <w:pPr>
        <w:spacing w:line="240" w:lineRule="auto" w:before="3"/>
        <w:rPr>
          <w:rFonts w:ascii="宋体" w:hAnsi="宋体" w:cs="宋体" w:eastAsia="宋体" w:hint="default"/>
          <w:sz w:val="26"/>
          <w:szCs w:val="26"/>
        </w:rPr>
      </w:pPr>
    </w:p>
    <w:p>
      <w:pPr>
        <w:spacing w:line="312" w:lineRule="auto" w:before="0"/>
        <w:ind w:left="153" w:right="1122" w:firstLine="480"/>
        <w:jc w:val="both"/>
        <w:rPr>
          <w:rFonts w:ascii="宋体" w:hAnsi="宋体" w:cs="宋体" w:eastAsia="宋体" w:hint="default"/>
          <w:sz w:val="18"/>
          <w:szCs w:val="18"/>
        </w:rPr>
      </w:pPr>
      <w:r>
        <w:rPr>
          <w:rFonts w:ascii="宋体" w:hAnsi="宋体" w:cs="宋体" w:eastAsia="宋体" w:hint="default"/>
          <w:b/>
          <w:bCs/>
          <w:spacing w:val="-3"/>
          <w:sz w:val="18"/>
          <w:szCs w:val="18"/>
        </w:rPr>
        <w:t>钱强先生，</w:t>
      </w:r>
      <w:r>
        <w:rPr>
          <w:rFonts w:ascii="宋体" w:hAnsi="宋体" w:cs="宋体" w:eastAsia="宋体" w:hint="default"/>
          <w:spacing w:val="-3"/>
          <w:sz w:val="18"/>
          <w:szCs w:val="18"/>
        </w:rPr>
        <w:t>独立董事，中国国籍，</w:t>
      </w:r>
      <w:r>
        <w:rPr>
          <w:rFonts w:ascii="Times New Roman" w:hAnsi="Times New Roman" w:cs="Times New Roman" w:eastAsia="Times New Roman" w:hint="default"/>
          <w:spacing w:val="-3"/>
          <w:sz w:val="18"/>
          <w:szCs w:val="18"/>
        </w:rPr>
        <w:t>1971</w:t>
      </w:r>
      <w:r>
        <w:rPr>
          <w:rFonts w:ascii="宋体" w:hAnsi="宋体" w:cs="宋体" w:eastAsia="宋体" w:hint="default"/>
          <w:spacing w:val="-3"/>
          <w:sz w:val="18"/>
          <w:szCs w:val="18"/>
        </w:rPr>
        <w:t>年生，计算机专业硕士研究生。现任深圳市合创资本管理有限公司董事、管理</w:t>
      </w:r>
      <w:r>
        <w:rPr>
          <w:rFonts w:ascii="宋体" w:hAnsi="宋体" w:cs="宋体" w:eastAsia="宋体" w:hint="default"/>
          <w:w w:val="101"/>
          <w:sz w:val="18"/>
          <w:szCs w:val="18"/>
        </w:rPr>
        <w:t> </w:t>
      </w:r>
      <w:r>
        <w:rPr>
          <w:rFonts w:ascii="宋体" w:hAnsi="宋体" w:cs="宋体" w:eastAsia="宋体" w:hint="default"/>
          <w:spacing w:val="-4"/>
          <w:sz w:val="18"/>
          <w:szCs w:val="18"/>
        </w:rPr>
        <w:t>合伙人，南京亚派科技股份有限公司董事，南京绛门信息科技股份有限公司董事，上海兴容信息技术有限公司董事，成都准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星云学科技有限公司董事，湖北双剑鼓风机股份有限公司董事，百应科技（北京）有限公司董事。曾任中兴合创（天津）投</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资管理有限公司董事总经理、监事、合伙人等职务，中兴通讯股份有限公司海外区域总裁、产品经营部副总经理等职务。</w:t>
      </w:r>
    </w:p>
    <w:p>
      <w:pPr>
        <w:spacing w:line="240" w:lineRule="auto" w:before="8"/>
        <w:rPr>
          <w:rFonts w:ascii="宋体" w:hAnsi="宋体" w:cs="宋体" w:eastAsia="宋体" w:hint="default"/>
          <w:sz w:val="25"/>
          <w:szCs w:val="25"/>
        </w:rPr>
      </w:pPr>
    </w:p>
    <w:p>
      <w:pPr>
        <w:spacing w:line="312" w:lineRule="auto" w:before="0"/>
        <w:ind w:left="153" w:right="993" w:firstLine="480"/>
        <w:jc w:val="left"/>
        <w:rPr>
          <w:rFonts w:ascii="宋体" w:hAnsi="宋体" w:cs="宋体" w:eastAsia="宋体" w:hint="default"/>
          <w:sz w:val="18"/>
          <w:szCs w:val="18"/>
        </w:rPr>
      </w:pPr>
      <w:r>
        <w:rPr>
          <w:rFonts w:ascii="宋体" w:hAnsi="宋体" w:cs="宋体" w:eastAsia="宋体" w:hint="default"/>
          <w:b/>
          <w:bCs/>
          <w:spacing w:val="-3"/>
          <w:sz w:val="18"/>
          <w:szCs w:val="18"/>
        </w:rPr>
        <w:t>陈宋生先生，</w:t>
      </w:r>
      <w:r>
        <w:rPr>
          <w:rFonts w:ascii="宋体" w:hAnsi="宋体" w:cs="宋体" w:eastAsia="宋体" w:hint="default"/>
          <w:spacing w:val="-3"/>
          <w:sz w:val="18"/>
          <w:szCs w:val="18"/>
        </w:rPr>
        <w:t>独立董事，中国国籍，</w:t>
      </w:r>
      <w:r>
        <w:rPr>
          <w:rFonts w:ascii="Times New Roman" w:hAnsi="Times New Roman" w:cs="Times New Roman" w:eastAsia="Times New Roman" w:hint="default"/>
          <w:spacing w:val="-3"/>
          <w:sz w:val="18"/>
          <w:szCs w:val="18"/>
        </w:rPr>
        <w:t>1966</w:t>
      </w:r>
      <w:r>
        <w:rPr>
          <w:rFonts w:ascii="宋体" w:hAnsi="宋体" w:cs="宋体" w:eastAsia="宋体" w:hint="default"/>
          <w:spacing w:val="-3"/>
          <w:sz w:val="18"/>
          <w:szCs w:val="18"/>
        </w:rPr>
        <w:t>年生，江西财经大学会计系学士、硕士，中国人民大学会计学博士，北京大</w:t>
      </w:r>
      <w:r>
        <w:rPr>
          <w:rFonts w:ascii="宋体" w:hAnsi="宋体" w:cs="宋体" w:eastAsia="宋体" w:hint="default"/>
          <w:w w:val="101"/>
          <w:sz w:val="18"/>
          <w:szCs w:val="18"/>
        </w:rPr>
        <w:t> </w:t>
      </w:r>
      <w:r>
        <w:rPr>
          <w:rFonts w:ascii="宋体" w:hAnsi="宋体" w:cs="宋体" w:eastAsia="宋体" w:hint="default"/>
          <w:spacing w:val="-3"/>
          <w:sz w:val="18"/>
          <w:szCs w:val="18"/>
        </w:rPr>
        <w:t>学光华管理学院管理学博士后，美国南卡罗莱那大学、德国卡尔斯鲁尔大学高级访问学者。现任北京理工大学会计系主任、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教授，博士生导师，中国注册会计师、高级审计师；兼任中国科技出版传媒股份有限公司、重庆秦安机电股份有限公司独立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董事。</w:t>
      </w:r>
    </w:p>
    <w:p>
      <w:pPr>
        <w:spacing w:line="240" w:lineRule="auto" w:before="8"/>
        <w:rPr>
          <w:rFonts w:ascii="宋体" w:hAnsi="宋体" w:cs="宋体" w:eastAsia="宋体" w:hint="default"/>
          <w:sz w:val="25"/>
          <w:szCs w:val="25"/>
        </w:rPr>
      </w:pPr>
    </w:p>
    <w:p>
      <w:pPr>
        <w:spacing w:line="312" w:lineRule="auto" w:before="0"/>
        <w:ind w:left="153" w:right="0" w:firstLine="480"/>
        <w:jc w:val="left"/>
        <w:rPr>
          <w:rFonts w:ascii="宋体" w:hAnsi="宋体" w:cs="宋体" w:eastAsia="宋体" w:hint="default"/>
          <w:sz w:val="18"/>
          <w:szCs w:val="18"/>
        </w:rPr>
      </w:pPr>
      <w:r>
        <w:rPr>
          <w:rFonts w:ascii="宋体" w:hAnsi="宋体" w:cs="宋体" w:eastAsia="宋体" w:hint="default"/>
          <w:b/>
          <w:bCs/>
          <w:spacing w:val="-3"/>
          <w:sz w:val="18"/>
          <w:szCs w:val="18"/>
        </w:rPr>
        <w:t>梁华权先生，</w:t>
      </w:r>
      <w:r>
        <w:rPr>
          <w:rFonts w:ascii="宋体" w:hAnsi="宋体" w:cs="宋体" w:eastAsia="宋体" w:hint="default"/>
          <w:spacing w:val="-3"/>
          <w:sz w:val="18"/>
          <w:szCs w:val="18"/>
        </w:rPr>
        <w:t>独立董事，中国国籍，无境外永久居留权。</w:t>
      </w:r>
      <w:r>
        <w:rPr>
          <w:rFonts w:ascii="Times New Roman" w:hAnsi="Times New Roman" w:cs="Times New Roman" w:eastAsia="Times New Roman" w:hint="default"/>
          <w:spacing w:val="-3"/>
          <w:sz w:val="18"/>
          <w:szCs w:val="18"/>
        </w:rPr>
        <w:t>1981</w:t>
      </w:r>
      <w:r>
        <w:rPr>
          <w:rFonts w:ascii="宋体" w:hAnsi="宋体" w:cs="宋体" w:eastAsia="宋体" w:hint="default"/>
          <w:spacing w:val="-3"/>
          <w:sz w:val="18"/>
          <w:szCs w:val="18"/>
        </w:rPr>
        <w:t>年生，企业管理硕士学历。现任深圳信公企业管理咨询</w:t>
      </w:r>
      <w:r>
        <w:rPr>
          <w:rFonts w:ascii="宋体" w:hAnsi="宋体" w:cs="宋体" w:eastAsia="宋体" w:hint="default"/>
          <w:w w:val="101"/>
          <w:sz w:val="18"/>
          <w:szCs w:val="18"/>
        </w:rPr>
        <w:t> </w:t>
      </w:r>
      <w:r>
        <w:rPr>
          <w:rFonts w:ascii="宋体" w:hAnsi="宋体" w:cs="宋体" w:eastAsia="宋体" w:hint="default"/>
          <w:spacing w:val="-4"/>
          <w:sz w:val="18"/>
          <w:szCs w:val="18"/>
        </w:rPr>
        <w:t>有限公司总经理、上海信公企业管理咨询有限公司董事、兼任深圳市麦达数字股份有限公司独立董事、佛山市国星光电股份</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有限公司独立董事、珠海恒基达鑫国际化工仓储股份有限公司独立董事、常州中英科技股份有限公司（非上市）独立董事。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曾任深圳市宇阳科技发展有限公司企管专员、中国航空技术深圳有限公司高级财务专员、深圳证券交易所监管员。</w:t>
      </w:r>
    </w:p>
    <w:p>
      <w:pPr>
        <w:spacing w:line="240" w:lineRule="auto" w:before="8"/>
        <w:rPr>
          <w:rFonts w:ascii="宋体" w:hAnsi="宋体" w:cs="宋体" w:eastAsia="宋体" w:hint="default"/>
          <w:sz w:val="25"/>
          <w:szCs w:val="25"/>
        </w:rPr>
      </w:pPr>
    </w:p>
    <w:p>
      <w:pPr>
        <w:spacing w:line="309" w:lineRule="auto" w:before="0"/>
        <w:ind w:left="153" w:right="1122" w:firstLine="480"/>
        <w:jc w:val="both"/>
        <w:rPr>
          <w:rFonts w:ascii="宋体" w:hAnsi="宋体" w:cs="宋体" w:eastAsia="宋体" w:hint="default"/>
          <w:sz w:val="18"/>
          <w:szCs w:val="18"/>
        </w:rPr>
      </w:pPr>
      <w:r>
        <w:rPr>
          <w:rFonts w:ascii="宋体" w:hAnsi="宋体" w:cs="宋体" w:eastAsia="宋体" w:hint="default"/>
          <w:b/>
          <w:bCs/>
          <w:spacing w:val="-4"/>
          <w:sz w:val="18"/>
          <w:szCs w:val="18"/>
        </w:rPr>
        <w:t>孙德生先生</w:t>
      </w:r>
      <w:r>
        <w:rPr>
          <w:rFonts w:ascii="宋体" w:hAnsi="宋体" w:cs="宋体" w:eastAsia="宋体" w:hint="default"/>
          <w:spacing w:val="-4"/>
          <w:sz w:val="18"/>
          <w:szCs w:val="18"/>
        </w:rPr>
        <w:t>，监事会主席，中国国籍，</w:t>
      </w:r>
      <w:r>
        <w:rPr>
          <w:rFonts w:ascii="Times New Roman" w:hAnsi="Times New Roman" w:cs="Times New Roman" w:eastAsia="Times New Roman" w:hint="default"/>
          <w:spacing w:val="-4"/>
          <w:sz w:val="18"/>
          <w:szCs w:val="18"/>
        </w:rPr>
        <w:t>1970</w:t>
      </w:r>
      <w:r>
        <w:rPr>
          <w:rFonts w:ascii="宋体" w:hAnsi="宋体" w:cs="宋体" w:eastAsia="宋体" w:hint="default"/>
          <w:spacing w:val="-4"/>
          <w:sz w:val="18"/>
          <w:szCs w:val="18"/>
        </w:rPr>
        <w:t>年生，中共党员，硕士学位，高级会计师。现任公司</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以上股东国电电力</w:t>
      </w:r>
      <w:r>
        <w:rPr>
          <w:rFonts w:ascii="宋体" w:hAnsi="宋体" w:cs="宋体" w:eastAsia="宋体" w:hint="default"/>
          <w:w w:val="101"/>
          <w:sz w:val="18"/>
          <w:szCs w:val="18"/>
        </w:rPr>
        <w:t> </w:t>
      </w:r>
      <w:r>
        <w:rPr>
          <w:rFonts w:ascii="宋体" w:hAnsi="宋体" w:cs="宋体" w:eastAsia="宋体" w:hint="default"/>
          <w:spacing w:val="-4"/>
          <w:sz w:val="18"/>
          <w:szCs w:val="18"/>
        </w:rPr>
        <w:t>发展股份有限公司财务产权部主任，孙德生先生还担任河北银行股份有限公司董事、国电内蒙古上海庙热电有限公司监事会</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主席。孙德生先生</w:t>
      </w:r>
      <w:r>
        <w:rPr>
          <w:rFonts w:ascii="Times New Roman" w:hAnsi="Times New Roman" w:cs="Times New Roman" w:eastAsia="Times New Roman" w:hint="default"/>
          <w:spacing w:val="-3"/>
          <w:sz w:val="18"/>
          <w:szCs w:val="18"/>
        </w:rPr>
        <w:t>1991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月参加工作，历任朝阳发电厂财务部副主任，东电茂霖水能发电有限公司财务部经理，国电东北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分公司营销财务部财务主管、营销财务部财务高级主管、财务产权部副主任、财务产权部主任，国电电力发展股份有限公司</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财务产权部副主任、财务部主任兼财务共享中心筹备组组长。</w:t>
      </w:r>
    </w:p>
    <w:p>
      <w:pPr>
        <w:spacing w:line="240" w:lineRule="auto" w:before="10"/>
        <w:rPr>
          <w:rFonts w:ascii="宋体" w:hAnsi="宋体" w:cs="宋体" w:eastAsia="宋体" w:hint="default"/>
          <w:sz w:val="25"/>
          <w:szCs w:val="25"/>
        </w:rPr>
      </w:pPr>
    </w:p>
    <w:p>
      <w:pPr>
        <w:spacing w:line="314" w:lineRule="auto" w:before="0"/>
        <w:ind w:left="153" w:right="1122" w:firstLine="480"/>
        <w:jc w:val="both"/>
        <w:rPr>
          <w:rFonts w:ascii="宋体" w:hAnsi="宋体" w:cs="宋体" w:eastAsia="宋体" w:hint="default"/>
          <w:sz w:val="18"/>
          <w:szCs w:val="18"/>
        </w:rPr>
      </w:pPr>
      <w:r>
        <w:rPr>
          <w:rFonts w:ascii="宋体" w:hAnsi="宋体" w:cs="宋体" w:eastAsia="宋体" w:hint="default"/>
          <w:b/>
          <w:bCs/>
          <w:spacing w:val="-7"/>
          <w:sz w:val="18"/>
          <w:szCs w:val="18"/>
        </w:rPr>
        <w:t>傅强先生</w:t>
      </w:r>
      <w:r>
        <w:rPr>
          <w:rFonts w:ascii="宋体" w:hAnsi="宋体" w:cs="宋体" w:eastAsia="宋体" w:hint="default"/>
          <w:spacing w:val="-7"/>
          <w:sz w:val="18"/>
          <w:szCs w:val="18"/>
        </w:rPr>
        <w:t>，监事，中国国籍，</w:t>
      </w:r>
      <w:r>
        <w:rPr>
          <w:rFonts w:ascii="Times New Roman" w:hAnsi="Times New Roman" w:cs="Times New Roman" w:eastAsia="Times New Roman" w:hint="default"/>
          <w:spacing w:val="-7"/>
          <w:sz w:val="18"/>
          <w:szCs w:val="18"/>
        </w:rPr>
        <w:t>1971</w:t>
      </w:r>
      <w:r>
        <w:rPr>
          <w:rFonts w:ascii="宋体" w:hAnsi="宋体" w:cs="宋体" w:eastAsia="宋体" w:hint="default"/>
          <w:spacing w:val="-7"/>
          <w:sz w:val="18"/>
          <w:szCs w:val="18"/>
        </w:rPr>
        <w:t>年生，硕士研究生学历，高级经济师，现任公司控股股东国网电子商务有限公司（国</w:t>
      </w:r>
      <w:r>
        <w:rPr>
          <w:rFonts w:ascii="宋体" w:hAnsi="宋体" w:cs="宋体" w:eastAsia="宋体" w:hint="default"/>
          <w:w w:val="101"/>
          <w:sz w:val="18"/>
          <w:szCs w:val="18"/>
        </w:rPr>
        <w:t> </w:t>
      </w:r>
      <w:r>
        <w:rPr>
          <w:rFonts w:ascii="宋体" w:hAnsi="宋体" w:cs="宋体" w:eastAsia="宋体" w:hint="default"/>
          <w:spacing w:val="-4"/>
          <w:sz w:val="18"/>
          <w:szCs w:val="18"/>
        </w:rPr>
        <w:t>网雄安金融科技集团有限公司）办公室（人力资源部）主任。傅强先生历任江西省火电建设公司技术员、团总支书记、人事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专职，江西省电力公司干部处职员、领导班子建设处后备干部科科长、人事董事部主管，南昌供电公司党委副书记、纪委书</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记、副总经理，江西省电力公司新闻中心副主任、思想政治工作部（直属党委办公室）副主任、文明办公室副主任、团委书</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记，赣西供电公司党委书记、副总经理，国网电子商务有限公司（国网雄安金融科技集团有限公司）综合管理部（党委办公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室）主任。</w:t>
      </w:r>
    </w:p>
    <w:p>
      <w:pPr>
        <w:spacing w:line="240" w:lineRule="auto" w:before="6"/>
        <w:rPr>
          <w:rFonts w:ascii="宋体" w:hAnsi="宋体" w:cs="宋体" w:eastAsia="宋体" w:hint="default"/>
          <w:sz w:val="25"/>
          <w:szCs w:val="25"/>
        </w:rPr>
      </w:pPr>
    </w:p>
    <w:p>
      <w:pPr>
        <w:spacing w:line="314" w:lineRule="auto" w:before="0"/>
        <w:ind w:left="153" w:right="0" w:firstLine="480"/>
        <w:jc w:val="left"/>
        <w:rPr>
          <w:rFonts w:ascii="宋体" w:hAnsi="宋体" w:cs="宋体" w:eastAsia="宋体" w:hint="default"/>
          <w:sz w:val="18"/>
          <w:szCs w:val="18"/>
        </w:rPr>
      </w:pPr>
      <w:r>
        <w:rPr>
          <w:rFonts w:ascii="宋体" w:hAnsi="宋体" w:cs="宋体" w:eastAsia="宋体" w:hint="default"/>
          <w:b/>
          <w:bCs/>
          <w:spacing w:val="-3"/>
          <w:sz w:val="18"/>
          <w:szCs w:val="18"/>
        </w:rPr>
        <w:t>王新勇先生</w:t>
      </w:r>
      <w:r>
        <w:rPr>
          <w:rFonts w:ascii="宋体" w:hAnsi="宋体" w:cs="宋体" w:eastAsia="宋体" w:hint="default"/>
          <w:spacing w:val="-3"/>
          <w:sz w:val="18"/>
          <w:szCs w:val="18"/>
        </w:rPr>
        <w:t>，监事，中国国籍，</w:t>
      </w:r>
      <w:r>
        <w:rPr>
          <w:rFonts w:ascii="Times New Roman" w:hAnsi="Times New Roman" w:cs="Times New Roman" w:eastAsia="Times New Roman" w:hint="default"/>
          <w:spacing w:val="-3"/>
          <w:sz w:val="18"/>
          <w:szCs w:val="18"/>
        </w:rPr>
        <w:t>1976</w:t>
      </w:r>
      <w:r>
        <w:rPr>
          <w:rFonts w:ascii="宋体" w:hAnsi="宋体" w:cs="宋体" w:eastAsia="宋体" w:hint="default"/>
          <w:spacing w:val="-3"/>
          <w:sz w:val="18"/>
          <w:szCs w:val="18"/>
        </w:rPr>
        <w:t>年生，本科学历，高级经济师，现任公司控股股东国网电子商务有限公司（国网</w:t>
      </w:r>
      <w:r>
        <w:rPr>
          <w:rFonts w:ascii="宋体" w:hAnsi="宋体" w:cs="宋体" w:eastAsia="宋体" w:hint="default"/>
          <w:w w:val="101"/>
          <w:sz w:val="18"/>
          <w:szCs w:val="18"/>
        </w:rPr>
        <w:t> </w:t>
      </w:r>
      <w:r>
        <w:rPr>
          <w:rFonts w:ascii="宋体" w:hAnsi="宋体" w:cs="宋体" w:eastAsia="宋体" w:hint="default"/>
          <w:spacing w:val="-4"/>
          <w:sz w:val="18"/>
          <w:szCs w:val="18"/>
        </w:rPr>
        <w:t>雄安金融科技集团有限公司）财务共享中心主任，国网征信有限公司法人代表、执行董事。王新勇先生历任山东送变电工程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公司天广直流项目部实习会计、山东鲁能物资集团有限公司财务部会计、经理助理，山东鲁能集团有限公司财务部副主管、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主管，国家电网公司财务资产部资产处五级职员，国网信息通信产业集团有限公司财务资产部牵头人、财务资产部副主任、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监察审计部（党群工作部）副主任，国网电子商务有限公司互联网金融事业部副总经理。</w:t>
      </w:r>
    </w:p>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0" w:firstLine="480"/>
        <w:jc w:val="left"/>
        <w:rPr>
          <w:rFonts w:ascii="宋体" w:hAnsi="宋体" w:cs="宋体" w:eastAsia="宋体" w:hint="default"/>
          <w:sz w:val="18"/>
          <w:szCs w:val="18"/>
        </w:rPr>
      </w:pPr>
      <w:r>
        <w:rPr>
          <w:rFonts w:ascii="宋体" w:hAnsi="宋体" w:cs="宋体" w:eastAsia="宋体" w:hint="default"/>
          <w:b/>
          <w:bCs/>
          <w:spacing w:val="-3"/>
          <w:sz w:val="18"/>
          <w:szCs w:val="18"/>
        </w:rPr>
        <w:t>薛婷女士</w:t>
      </w:r>
      <w:r>
        <w:rPr>
          <w:rFonts w:ascii="宋体" w:hAnsi="宋体" w:cs="宋体" w:eastAsia="宋体" w:hint="default"/>
          <w:spacing w:val="-3"/>
          <w:sz w:val="18"/>
          <w:szCs w:val="18"/>
        </w:rPr>
        <w:t>，职工代表监事，中国国籍，</w:t>
      </w:r>
      <w:r>
        <w:rPr>
          <w:rFonts w:ascii="Times New Roman" w:hAnsi="Times New Roman" w:cs="Times New Roman" w:eastAsia="Times New Roman" w:hint="default"/>
          <w:spacing w:val="-3"/>
          <w:sz w:val="18"/>
          <w:szCs w:val="18"/>
        </w:rPr>
        <w:t>1989</w:t>
      </w:r>
      <w:r>
        <w:rPr>
          <w:rFonts w:ascii="宋体" w:hAnsi="宋体" w:cs="宋体" w:eastAsia="宋体" w:hint="default"/>
          <w:spacing w:val="-3"/>
          <w:sz w:val="18"/>
          <w:szCs w:val="18"/>
        </w:rPr>
        <w:t>年生，毕业于对外经济贸易大学，大学本科学历，自</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年大学毕业以来</w:t>
      </w:r>
      <w:r>
        <w:rPr>
          <w:rFonts w:ascii="宋体" w:hAnsi="宋体" w:cs="宋体" w:eastAsia="宋体" w:hint="default"/>
          <w:w w:val="101"/>
          <w:sz w:val="18"/>
          <w:szCs w:val="18"/>
        </w:rPr>
        <w:t> </w:t>
      </w:r>
      <w:r>
        <w:rPr>
          <w:rFonts w:ascii="宋体" w:hAnsi="宋体" w:cs="宋体" w:eastAsia="宋体" w:hint="default"/>
          <w:spacing w:val="-3"/>
          <w:sz w:val="18"/>
          <w:szCs w:val="18"/>
        </w:rPr>
        <w:t>薛婷女士一直在公司任职，现任公司人力资源业务伙伴。</w:t>
      </w:r>
    </w:p>
    <w:p>
      <w:pPr>
        <w:spacing w:line="668" w:lineRule="exact" w:before="20"/>
        <w:ind w:left="633" w:right="0" w:firstLine="0"/>
        <w:jc w:val="left"/>
        <w:rPr>
          <w:rFonts w:ascii="宋体" w:hAnsi="宋体" w:cs="宋体" w:eastAsia="宋体" w:hint="default"/>
          <w:sz w:val="18"/>
          <w:szCs w:val="18"/>
        </w:rPr>
      </w:pPr>
      <w:r>
        <w:rPr>
          <w:rFonts w:ascii="宋体" w:hAnsi="宋体" w:cs="宋体" w:eastAsia="宋体" w:hint="default"/>
          <w:b/>
          <w:bCs/>
          <w:spacing w:val="-4"/>
          <w:sz w:val="18"/>
          <w:szCs w:val="18"/>
        </w:rPr>
        <w:t>王意涵女士</w:t>
      </w:r>
      <w:r>
        <w:rPr>
          <w:rFonts w:ascii="宋体" w:hAnsi="宋体" w:cs="宋体" w:eastAsia="宋体" w:hint="default"/>
          <w:spacing w:val="-4"/>
          <w:sz w:val="18"/>
          <w:szCs w:val="18"/>
        </w:rPr>
        <w:t>，职工代表监事，中国国籍，</w:t>
      </w:r>
      <w:r>
        <w:rPr>
          <w:rFonts w:ascii="Times New Roman" w:hAnsi="Times New Roman" w:cs="Times New Roman" w:eastAsia="Times New Roman" w:hint="default"/>
          <w:spacing w:val="-4"/>
          <w:sz w:val="18"/>
          <w:szCs w:val="18"/>
        </w:rPr>
        <w:t>1993 </w:t>
      </w:r>
      <w:r>
        <w:rPr>
          <w:rFonts w:ascii="宋体" w:hAnsi="宋体" w:cs="宋体" w:eastAsia="宋体" w:hint="default"/>
          <w:spacing w:val="-5"/>
          <w:sz w:val="18"/>
          <w:szCs w:val="18"/>
        </w:rPr>
        <w:t>年生，中共党员，本科学历，</w:t>
      </w:r>
      <w:r>
        <w:rPr>
          <w:rFonts w:ascii="Times New Roman" w:hAnsi="Times New Roman" w:cs="Times New Roman" w:eastAsia="Times New Roman" w:hint="default"/>
          <w:spacing w:val="-5"/>
          <w:sz w:val="18"/>
          <w:szCs w:val="18"/>
        </w:rPr>
        <w:t>2016 </w:t>
      </w:r>
      <w:r>
        <w:rPr>
          <w:rFonts w:ascii="宋体" w:hAnsi="宋体" w:cs="宋体" w:eastAsia="宋体" w:hint="default"/>
          <w:spacing w:val="-4"/>
          <w:sz w:val="18"/>
          <w:szCs w:val="18"/>
        </w:rPr>
        <w:t>年进入公司，现任行政管理部职员。</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b/>
          <w:bCs/>
          <w:spacing w:val="-3"/>
          <w:sz w:val="18"/>
          <w:szCs w:val="18"/>
        </w:rPr>
        <w:t>秦秀芬女士</w:t>
      </w:r>
      <w:r>
        <w:rPr>
          <w:rFonts w:ascii="宋体" w:hAnsi="宋体" w:cs="宋体" w:eastAsia="宋体" w:hint="default"/>
          <w:spacing w:val="-3"/>
          <w:sz w:val="18"/>
          <w:szCs w:val="18"/>
        </w:rPr>
        <w:t>，高级副总裁，中国国籍，</w:t>
      </w:r>
      <w:r>
        <w:rPr>
          <w:rFonts w:ascii="Times New Roman" w:hAnsi="Times New Roman" w:cs="Times New Roman" w:eastAsia="Times New Roman" w:hint="default"/>
          <w:spacing w:val="-3"/>
          <w:sz w:val="18"/>
          <w:szCs w:val="18"/>
        </w:rPr>
        <w:t>1979</w:t>
      </w:r>
      <w:r>
        <w:rPr>
          <w:rFonts w:ascii="宋体" w:hAnsi="宋体" w:cs="宋体" w:eastAsia="宋体" w:hint="default"/>
          <w:spacing w:val="-3"/>
          <w:sz w:val="18"/>
          <w:szCs w:val="18"/>
        </w:rPr>
        <w:t>年生，研究生学历。自</w:t>
      </w: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年以来，秦秀芬女士一直在公司任职，历任项</w:t>
      </w:r>
    </w:p>
    <w:p>
      <w:pPr>
        <w:spacing w:line="204" w:lineRule="exact"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目经理、实施中心副总经理、南方区域总经理、营销管理部总经理、营销总监、副总裁。</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line="309" w:lineRule="auto" w:before="0"/>
        <w:ind w:left="153" w:right="1124" w:firstLine="480"/>
        <w:jc w:val="both"/>
        <w:rPr>
          <w:rFonts w:ascii="宋体" w:hAnsi="宋体" w:cs="宋体" w:eastAsia="宋体" w:hint="default"/>
          <w:sz w:val="18"/>
          <w:szCs w:val="18"/>
        </w:rPr>
      </w:pPr>
      <w:r>
        <w:rPr>
          <w:rFonts w:ascii="宋体" w:hAnsi="宋体" w:cs="宋体" w:eastAsia="宋体" w:hint="default"/>
          <w:b/>
          <w:bCs/>
          <w:spacing w:val="-1"/>
          <w:sz w:val="18"/>
          <w:szCs w:val="18"/>
        </w:rPr>
        <w:t>李美平先生</w:t>
      </w:r>
      <w:r>
        <w:rPr>
          <w:rFonts w:ascii="宋体" w:hAnsi="宋体" w:cs="宋体" w:eastAsia="宋体" w:hint="default"/>
          <w:spacing w:val="-1"/>
          <w:sz w:val="18"/>
          <w:szCs w:val="18"/>
        </w:rPr>
        <w:t>，高级副总裁，中国国籍，</w:t>
      </w:r>
      <w:r>
        <w:rPr>
          <w:rFonts w:ascii="Times New Roman" w:hAnsi="Times New Roman" w:cs="Times New Roman" w:eastAsia="Times New Roman" w:hint="default"/>
          <w:spacing w:val="-1"/>
          <w:sz w:val="18"/>
          <w:szCs w:val="18"/>
        </w:rPr>
        <w:t>1979</w:t>
      </w:r>
      <w:r>
        <w:rPr>
          <w:rFonts w:ascii="宋体" w:hAnsi="宋体" w:cs="宋体" w:eastAsia="宋体" w:hint="default"/>
          <w:spacing w:val="-1"/>
          <w:sz w:val="18"/>
          <w:szCs w:val="18"/>
        </w:rPr>
        <w:t>年生，中共党员，研究生学历。</w:t>
      </w:r>
      <w:r>
        <w:rPr>
          <w:rFonts w:ascii="Times New Roman" w:hAnsi="Times New Roman" w:cs="Times New Roman" w:eastAsia="Times New Roman" w:hint="default"/>
          <w:spacing w:val="-1"/>
          <w:sz w:val="18"/>
          <w:szCs w:val="18"/>
        </w:rPr>
        <w:t>2004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月加入公司，先后从事客户支持</w:t>
      </w:r>
      <w:r>
        <w:rPr>
          <w:rFonts w:ascii="宋体" w:hAnsi="宋体" w:cs="宋体" w:eastAsia="宋体" w:hint="default"/>
          <w:w w:val="101"/>
          <w:sz w:val="18"/>
          <w:szCs w:val="18"/>
        </w:rPr>
        <w:t> </w:t>
      </w:r>
      <w:r>
        <w:rPr>
          <w:rFonts w:ascii="宋体" w:hAnsi="宋体" w:cs="宋体" w:eastAsia="宋体" w:hint="default"/>
          <w:spacing w:val="-4"/>
          <w:sz w:val="18"/>
          <w:szCs w:val="18"/>
        </w:rPr>
        <w:t>中心、质量管理部、实施中心、产品管理部等工作，历任实施中心总经理、实施总监、副总裁。报告期还担任珠海智行慧达</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商务旅行社有限公司执行董事。</w:t>
      </w:r>
    </w:p>
    <w:p>
      <w:pPr>
        <w:spacing w:line="240" w:lineRule="auto" w:before="9"/>
        <w:rPr>
          <w:rFonts w:ascii="宋体" w:hAnsi="宋体" w:cs="宋体" w:eastAsia="宋体" w:hint="default"/>
          <w:sz w:val="25"/>
          <w:szCs w:val="25"/>
        </w:rPr>
      </w:pPr>
    </w:p>
    <w:p>
      <w:pPr>
        <w:spacing w:line="312" w:lineRule="auto" w:before="0"/>
        <w:ind w:left="153" w:right="0" w:firstLine="556"/>
        <w:jc w:val="left"/>
        <w:rPr>
          <w:rFonts w:ascii="宋体" w:hAnsi="宋体" w:cs="宋体" w:eastAsia="宋体" w:hint="default"/>
          <w:sz w:val="18"/>
          <w:szCs w:val="18"/>
        </w:rPr>
      </w:pPr>
      <w:r>
        <w:rPr>
          <w:rFonts w:ascii="宋体" w:hAnsi="宋体" w:cs="宋体" w:eastAsia="宋体" w:hint="default"/>
          <w:b/>
          <w:bCs/>
          <w:sz w:val="18"/>
          <w:szCs w:val="18"/>
        </w:rPr>
        <w:t>简露然先生</w:t>
      </w:r>
      <w:r>
        <w:rPr>
          <w:rFonts w:ascii="宋体" w:hAnsi="宋体" w:cs="宋体" w:eastAsia="宋体" w:hint="default"/>
          <w:sz w:val="18"/>
          <w:szCs w:val="18"/>
        </w:rPr>
        <w:t>，高级副总裁，中国国籍，</w:t>
      </w:r>
      <w:r>
        <w:rPr>
          <w:rFonts w:ascii="Times New Roman" w:hAnsi="Times New Roman" w:cs="Times New Roman" w:eastAsia="Times New Roman" w:hint="default"/>
          <w:sz w:val="18"/>
          <w:szCs w:val="18"/>
        </w:rPr>
        <w:t>1973</w:t>
      </w:r>
      <w:r>
        <w:rPr>
          <w:rFonts w:ascii="宋体" w:hAnsi="宋体" w:cs="宋体" w:eastAsia="宋体" w:hint="default"/>
          <w:sz w:val="18"/>
          <w:szCs w:val="18"/>
        </w:rPr>
        <w:t>年生，大学学历。自</w:t>
      </w:r>
      <w:r>
        <w:rPr>
          <w:rFonts w:ascii="Times New Roman" w:hAnsi="Times New Roman" w:cs="Times New Roman" w:eastAsia="Times New Roman" w:hint="default"/>
          <w:sz w:val="18"/>
          <w:szCs w:val="18"/>
        </w:rPr>
        <w:t>2001</w:t>
      </w:r>
      <w:r>
        <w:rPr>
          <w:rFonts w:ascii="宋体" w:hAnsi="宋体" w:cs="宋体" w:eastAsia="宋体" w:hint="default"/>
          <w:sz w:val="18"/>
          <w:szCs w:val="18"/>
        </w:rPr>
        <w:t>年以来，简露然先生一直在公司任职，先后从</w:t>
      </w:r>
      <w:r>
        <w:rPr>
          <w:rFonts w:ascii="宋体" w:hAnsi="宋体" w:cs="宋体" w:eastAsia="宋体" w:hint="default"/>
          <w:w w:val="101"/>
          <w:sz w:val="18"/>
          <w:szCs w:val="18"/>
        </w:rPr>
        <w:t> </w:t>
      </w:r>
      <w:r>
        <w:rPr>
          <w:rFonts w:ascii="宋体" w:hAnsi="宋体" w:cs="宋体" w:eastAsia="宋体" w:hint="default"/>
          <w:spacing w:val="-4"/>
          <w:sz w:val="18"/>
          <w:szCs w:val="18"/>
        </w:rPr>
        <w:t>事营销管理、服务管理、客户化开发管理、公司信息化建设等工作，历任市场总监、营销总监、服务总监、副总裁。报告期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还担任远光资本管理（横琴）有限公司监事、珠海高远电能科技有限公司董事兼总经理、远光能源互联网产业发展（横琴）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有限公司董事、珠海远光晴天能源科技有限公司董事兼总经理、佛山市晴方太阳能科技有限公司执行董事兼经理。</w:t>
      </w:r>
    </w:p>
    <w:p>
      <w:pPr>
        <w:spacing w:line="240" w:lineRule="auto" w:before="0"/>
        <w:rPr>
          <w:rFonts w:ascii="宋体" w:hAnsi="宋体" w:cs="宋体" w:eastAsia="宋体" w:hint="default"/>
          <w:sz w:val="18"/>
          <w:szCs w:val="18"/>
        </w:rPr>
      </w:pPr>
    </w:p>
    <w:p>
      <w:pPr>
        <w:spacing w:line="307" w:lineRule="auto" w:before="142"/>
        <w:ind w:left="153" w:right="1123" w:firstLine="360"/>
        <w:jc w:val="both"/>
        <w:rPr>
          <w:rFonts w:ascii="宋体" w:hAnsi="宋体" w:cs="宋体" w:eastAsia="宋体" w:hint="default"/>
          <w:sz w:val="18"/>
          <w:szCs w:val="18"/>
        </w:rPr>
      </w:pPr>
      <w:r>
        <w:rPr>
          <w:rFonts w:ascii="宋体" w:hAnsi="宋体" w:cs="宋体" w:eastAsia="宋体" w:hint="default"/>
          <w:b/>
          <w:bCs/>
          <w:spacing w:val="-3"/>
          <w:sz w:val="18"/>
          <w:szCs w:val="18"/>
        </w:rPr>
        <w:t>毛华夏先生</w:t>
      </w:r>
      <w:r>
        <w:rPr>
          <w:rFonts w:ascii="宋体" w:hAnsi="宋体" w:cs="宋体" w:eastAsia="宋体" w:hint="default"/>
          <w:spacing w:val="-3"/>
          <w:sz w:val="18"/>
          <w:szCs w:val="18"/>
        </w:rPr>
        <w:t>，高级副总裁、财务总监，中国国籍，</w:t>
      </w:r>
      <w:r>
        <w:rPr>
          <w:rFonts w:ascii="Times New Roman" w:hAnsi="Times New Roman" w:cs="Times New Roman" w:eastAsia="Times New Roman" w:hint="default"/>
          <w:spacing w:val="-3"/>
          <w:sz w:val="18"/>
          <w:szCs w:val="18"/>
        </w:rPr>
        <w:t>1974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年生，会计师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获中欧国际工商学院</w:t>
      </w:r>
      <w:r>
        <w:rPr>
          <w:rFonts w:ascii="Times New Roman" w:hAnsi="Times New Roman" w:cs="Times New Roman" w:eastAsia="Times New Roman" w:hint="default"/>
          <w:spacing w:val="-3"/>
          <w:sz w:val="18"/>
          <w:szCs w:val="18"/>
        </w:rPr>
        <w:t>EMBA</w:t>
      </w:r>
      <w:r>
        <w:rPr>
          <w:rFonts w:ascii="宋体" w:hAnsi="宋体" w:cs="宋体" w:eastAsia="宋体" w:hint="default"/>
          <w:spacing w:val="-3"/>
          <w:sz w:val="18"/>
          <w:szCs w:val="18"/>
        </w:rPr>
        <w:t>学位。报告期还担任</w:t>
      </w:r>
      <w:r>
        <w:rPr>
          <w:rFonts w:ascii="宋体" w:hAnsi="宋体" w:cs="宋体" w:eastAsia="宋体" w:hint="default"/>
          <w:w w:val="101"/>
          <w:sz w:val="18"/>
          <w:szCs w:val="18"/>
        </w:rPr>
        <w:t> </w:t>
      </w:r>
      <w:r>
        <w:rPr>
          <w:rFonts w:ascii="宋体" w:hAnsi="宋体" w:cs="宋体" w:eastAsia="宋体" w:hint="default"/>
          <w:spacing w:val="-4"/>
          <w:sz w:val="18"/>
          <w:szCs w:val="18"/>
        </w:rPr>
        <w:t>远光资本管理（横琴）有限公司董事、广东省依依关爱儿童基金会监事职务。毛华夏先生曾任职于湖南汽车车桥厂、三九珠</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海九阳保健品厂。</w:t>
      </w:r>
      <w:r>
        <w:rPr>
          <w:rFonts w:ascii="Times New Roman" w:hAnsi="Times New Roman" w:cs="Times New Roman" w:eastAsia="Times New Roman" w:hint="default"/>
          <w:spacing w:val="-2"/>
          <w:sz w:val="18"/>
          <w:szCs w:val="18"/>
        </w:rPr>
        <w:t>1998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年加入公司，先后从事软件研发、技术服务、市场营销及财务管理工作，历任客户服务部经理、市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场部经理、财务部经理、副总裁等职务。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00" w:lineRule="auto" w:before="0"/>
        <w:ind w:left="153" w:right="1123" w:firstLine="360"/>
        <w:jc w:val="both"/>
        <w:rPr>
          <w:rFonts w:ascii="宋体" w:hAnsi="宋体" w:cs="宋体" w:eastAsia="宋体" w:hint="default"/>
          <w:sz w:val="18"/>
          <w:szCs w:val="18"/>
        </w:rPr>
      </w:pPr>
      <w:r>
        <w:rPr>
          <w:rFonts w:ascii="宋体" w:hAnsi="宋体" w:cs="宋体" w:eastAsia="宋体" w:hint="default"/>
          <w:b/>
          <w:bCs/>
          <w:spacing w:val="-2"/>
          <w:sz w:val="18"/>
          <w:szCs w:val="18"/>
        </w:rPr>
        <w:t>姚国全先生</w:t>
      </w:r>
      <w:r>
        <w:rPr>
          <w:rFonts w:ascii="宋体" w:hAnsi="宋体" w:cs="宋体" w:eastAsia="宋体" w:hint="default"/>
          <w:spacing w:val="-2"/>
          <w:sz w:val="18"/>
          <w:szCs w:val="18"/>
        </w:rPr>
        <w:t>，副总裁，中国国籍，</w:t>
      </w:r>
      <w:r>
        <w:rPr>
          <w:rFonts w:ascii="Times New Roman" w:hAnsi="Times New Roman" w:cs="Times New Roman" w:eastAsia="Times New Roman" w:hint="default"/>
          <w:spacing w:val="-2"/>
          <w:sz w:val="18"/>
          <w:szCs w:val="18"/>
        </w:rPr>
        <w:t>1973</w:t>
      </w:r>
      <w:r>
        <w:rPr>
          <w:rFonts w:ascii="宋体" w:hAnsi="宋体" w:cs="宋体" w:eastAsia="宋体" w:hint="default"/>
          <w:spacing w:val="-2"/>
          <w:sz w:val="18"/>
          <w:szCs w:val="18"/>
        </w:rPr>
        <w:t>年生，现任</w:t>
      </w:r>
      <w:r>
        <w:rPr>
          <w:rFonts w:ascii="Times New Roman" w:hAnsi="Times New Roman" w:cs="Times New Roman" w:eastAsia="Times New Roman" w:hint="default"/>
          <w:spacing w:val="-2"/>
          <w:sz w:val="18"/>
          <w:szCs w:val="18"/>
        </w:rPr>
        <w:t>GRIS</w:t>
      </w:r>
      <w:r>
        <w:rPr>
          <w:rFonts w:ascii="宋体" w:hAnsi="宋体" w:cs="宋体" w:eastAsia="宋体" w:hint="default"/>
          <w:spacing w:val="-2"/>
          <w:sz w:val="18"/>
          <w:szCs w:val="18"/>
        </w:rPr>
        <w:t>事业部总经理。姚国全先生曾任职于江苏冶金机械厂、金蝶软</w:t>
      </w:r>
      <w:r>
        <w:rPr>
          <w:rFonts w:ascii="宋体" w:hAnsi="宋体" w:cs="宋体" w:eastAsia="宋体" w:hint="default"/>
          <w:w w:val="101"/>
          <w:sz w:val="18"/>
          <w:szCs w:val="18"/>
        </w:rPr>
        <w:t> </w:t>
      </w:r>
      <w:r>
        <w:rPr>
          <w:rFonts w:ascii="宋体" w:hAnsi="宋体" w:cs="宋体" w:eastAsia="宋体" w:hint="default"/>
          <w:spacing w:val="-4"/>
          <w:sz w:val="18"/>
          <w:szCs w:val="18"/>
        </w:rPr>
        <w:t>件江苏分公司、珠海宏桥高科技公司。</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年加入公司，先后从事实施项目管理、产品管理、业务发展管理工作，历任公司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多个大型项目的项目经理、实施中心总经理、产品管理部总经理、</w:t>
      </w:r>
      <w:r>
        <w:rPr>
          <w:rFonts w:ascii="Times New Roman" w:hAnsi="Times New Roman" w:cs="Times New Roman" w:eastAsia="Times New Roman" w:hint="default"/>
          <w:spacing w:val="-3"/>
          <w:sz w:val="18"/>
          <w:szCs w:val="18"/>
        </w:rPr>
        <w:t>GRIS</w:t>
      </w:r>
      <w:r>
        <w:rPr>
          <w:rFonts w:ascii="宋体" w:hAnsi="宋体" w:cs="宋体" w:eastAsia="宋体" w:hint="default"/>
          <w:spacing w:val="-3"/>
          <w:sz w:val="18"/>
          <w:szCs w:val="18"/>
        </w:rPr>
        <w:t>事业部副总经理、总监等职务。</w:t>
      </w:r>
    </w:p>
    <w:p>
      <w:pPr>
        <w:spacing w:line="240" w:lineRule="auto" w:before="11"/>
        <w:rPr>
          <w:rFonts w:ascii="宋体" w:hAnsi="宋体" w:cs="宋体" w:eastAsia="宋体" w:hint="default"/>
          <w:sz w:val="24"/>
          <w:szCs w:val="24"/>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b/>
          <w:bCs/>
          <w:sz w:val="18"/>
          <w:szCs w:val="18"/>
        </w:rPr>
        <w:t>毕伟先生</w:t>
      </w:r>
      <w:r>
        <w:rPr>
          <w:rFonts w:ascii="宋体" w:hAnsi="宋体" w:cs="宋体" w:eastAsia="宋体" w:hint="default"/>
          <w:sz w:val="18"/>
          <w:szCs w:val="18"/>
        </w:rPr>
        <w:t>，总工程师，中国国籍，</w:t>
      </w:r>
      <w:r>
        <w:rPr>
          <w:rFonts w:ascii="Times New Roman" w:hAnsi="Times New Roman" w:cs="Times New Roman" w:eastAsia="Times New Roman" w:hint="default"/>
          <w:sz w:val="18"/>
          <w:szCs w:val="18"/>
        </w:rPr>
        <w:t>1976</w:t>
      </w:r>
      <w:r>
        <w:rPr>
          <w:rFonts w:ascii="宋体" w:hAnsi="宋体" w:cs="宋体" w:eastAsia="宋体" w:hint="default"/>
          <w:sz w:val="18"/>
          <w:szCs w:val="18"/>
        </w:rPr>
        <w:t>年生，工程师，现任公司总工程师，还兼任</w:t>
      </w:r>
      <w:r>
        <w:rPr>
          <w:rFonts w:ascii="Times New Roman" w:hAnsi="Times New Roman" w:cs="Times New Roman" w:eastAsia="Times New Roman" w:hint="default"/>
          <w:sz w:val="18"/>
          <w:szCs w:val="18"/>
        </w:rPr>
        <w:t>ECP</w:t>
      </w:r>
      <w:r>
        <w:rPr>
          <w:rFonts w:ascii="宋体" w:hAnsi="宋体" w:cs="宋体" w:eastAsia="宋体" w:hint="default"/>
          <w:sz w:val="18"/>
          <w:szCs w:val="18"/>
        </w:rPr>
        <w:t>平台研发部总经理、</w:t>
      </w:r>
      <w:r>
        <w:rPr>
          <w:rFonts w:ascii="Times New Roman" w:hAnsi="Times New Roman" w:cs="Times New Roman" w:eastAsia="Times New Roman" w:hint="default"/>
          <w:sz w:val="18"/>
          <w:szCs w:val="18"/>
        </w:rPr>
        <w:t>GRIS</w:t>
      </w:r>
      <w:r>
        <w:rPr>
          <w:rFonts w:ascii="宋体" w:hAnsi="宋体" w:cs="宋体" w:eastAsia="宋体" w:hint="default"/>
          <w:sz w:val="18"/>
          <w:szCs w:val="18"/>
        </w:rPr>
        <w:t>设计</w:t>
      </w:r>
      <w:r>
        <w:rPr>
          <w:rFonts w:ascii="宋体" w:hAnsi="宋体" w:cs="宋体" w:eastAsia="宋体" w:hint="default"/>
          <w:w w:val="101"/>
          <w:sz w:val="18"/>
          <w:szCs w:val="18"/>
        </w:rPr>
        <w:t> </w:t>
      </w:r>
      <w:r>
        <w:rPr>
          <w:rFonts w:ascii="宋体" w:hAnsi="宋体" w:cs="宋体" w:eastAsia="宋体" w:hint="default"/>
          <w:spacing w:val="-6"/>
          <w:sz w:val="18"/>
          <w:szCs w:val="18"/>
        </w:rPr>
        <w:t>部总经理。</w:t>
      </w:r>
      <w:r>
        <w:rPr>
          <w:rFonts w:ascii="Times New Roman" w:hAnsi="Times New Roman" w:cs="Times New Roman" w:eastAsia="Times New Roman" w:hint="default"/>
          <w:spacing w:val="-6"/>
          <w:sz w:val="18"/>
          <w:szCs w:val="18"/>
        </w:rPr>
        <w:t>2000</w:t>
      </w:r>
      <w:r>
        <w:rPr>
          <w:rFonts w:ascii="宋体" w:hAnsi="宋体" w:cs="宋体" w:eastAsia="宋体" w:hint="default"/>
          <w:spacing w:val="-6"/>
          <w:sz w:val="18"/>
          <w:szCs w:val="18"/>
        </w:rPr>
        <w:t>年加入公司，历任开发工程师、开发经理、设计经理、产品经理、首席程序员、部门副总经理、部门总经理、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首席技术架构师、研发总监。</w:t>
      </w:r>
    </w:p>
    <w:p>
      <w:pPr>
        <w:spacing w:line="240" w:lineRule="auto" w:before="4"/>
        <w:rPr>
          <w:rFonts w:ascii="宋体" w:hAnsi="宋体" w:cs="宋体" w:eastAsia="宋体" w:hint="default"/>
          <w:sz w:val="26"/>
          <w:szCs w:val="26"/>
        </w:rPr>
      </w:pPr>
    </w:p>
    <w:p>
      <w:pPr>
        <w:spacing w:line="309" w:lineRule="auto" w:before="0"/>
        <w:ind w:left="153" w:right="1124" w:firstLine="480"/>
        <w:jc w:val="both"/>
        <w:rPr>
          <w:rFonts w:ascii="宋体" w:hAnsi="宋体" w:cs="宋体" w:eastAsia="宋体" w:hint="default"/>
          <w:sz w:val="18"/>
          <w:szCs w:val="18"/>
        </w:rPr>
      </w:pPr>
      <w:r>
        <w:rPr>
          <w:rFonts w:ascii="宋体" w:hAnsi="宋体" w:cs="宋体" w:eastAsia="宋体" w:hint="default"/>
          <w:b/>
          <w:bCs/>
          <w:spacing w:val="-1"/>
          <w:sz w:val="18"/>
          <w:szCs w:val="18"/>
        </w:rPr>
        <w:t>王志刚先生</w:t>
      </w:r>
      <w:r>
        <w:rPr>
          <w:rFonts w:ascii="宋体" w:hAnsi="宋体" w:cs="宋体" w:eastAsia="宋体" w:hint="default"/>
          <w:spacing w:val="-1"/>
          <w:sz w:val="18"/>
          <w:szCs w:val="18"/>
        </w:rPr>
        <w:t>，副总裁，中国国籍，</w:t>
      </w:r>
      <w:r>
        <w:rPr>
          <w:rFonts w:ascii="Times New Roman" w:hAnsi="Times New Roman" w:cs="Times New Roman" w:eastAsia="Times New Roman" w:hint="default"/>
          <w:spacing w:val="-1"/>
          <w:sz w:val="18"/>
          <w:szCs w:val="18"/>
        </w:rPr>
        <w:t>1979</w:t>
      </w:r>
      <w:r>
        <w:rPr>
          <w:rFonts w:ascii="宋体" w:hAnsi="宋体" w:cs="宋体" w:eastAsia="宋体" w:hint="default"/>
          <w:spacing w:val="-1"/>
          <w:sz w:val="18"/>
          <w:szCs w:val="18"/>
        </w:rPr>
        <w:t>年生，软件工程硕士。</w:t>
      </w:r>
      <w:r>
        <w:rPr>
          <w:rFonts w:ascii="Times New Roman" w:hAnsi="Times New Roman" w:cs="Times New Roman" w:eastAsia="Times New Roman" w:hint="default"/>
          <w:spacing w:val="-1"/>
          <w:sz w:val="18"/>
          <w:szCs w:val="18"/>
        </w:rPr>
        <w:t>2001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月加入公司，先后从事开发、服务、销售等工</w:t>
      </w:r>
      <w:r>
        <w:rPr>
          <w:rFonts w:ascii="宋体" w:hAnsi="宋体" w:cs="宋体" w:eastAsia="宋体" w:hint="default"/>
          <w:w w:val="101"/>
          <w:sz w:val="18"/>
          <w:szCs w:val="18"/>
        </w:rPr>
        <w:t> </w:t>
      </w:r>
      <w:r>
        <w:rPr>
          <w:rFonts w:ascii="宋体" w:hAnsi="宋体" w:cs="宋体" w:eastAsia="宋体" w:hint="default"/>
          <w:spacing w:val="-4"/>
          <w:sz w:val="18"/>
          <w:szCs w:val="18"/>
        </w:rPr>
        <w:t>作，历任客户支持部经理、发电集团事业部副总经理、总经理、华中区域总经理、客户总监。报告期还担任长沙远光瑞翔科</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技有限公司监事、北京智和管理咨询有限公司董事长、南京远光广安信息科技有限公司董事长。</w:t>
      </w:r>
    </w:p>
    <w:p>
      <w:pPr>
        <w:spacing w:line="240" w:lineRule="auto" w:before="9"/>
        <w:rPr>
          <w:rFonts w:ascii="宋体" w:hAnsi="宋体" w:cs="宋体" w:eastAsia="宋体" w:hint="default"/>
          <w:sz w:val="25"/>
          <w:szCs w:val="25"/>
        </w:rPr>
      </w:pPr>
    </w:p>
    <w:p>
      <w:pPr>
        <w:spacing w:line="300" w:lineRule="auto" w:before="0"/>
        <w:ind w:left="153" w:right="1047" w:firstLine="360"/>
        <w:jc w:val="both"/>
        <w:rPr>
          <w:rFonts w:ascii="宋体" w:hAnsi="宋体" w:cs="宋体" w:eastAsia="宋体" w:hint="default"/>
          <w:sz w:val="18"/>
          <w:szCs w:val="18"/>
        </w:rPr>
      </w:pPr>
      <w:r>
        <w:rPr>
          <w:rFonts w:ascii="宋体" w:hAnsi="宋体" w:cs="宋体" w:eastAsia="宋体" w:hint="default"/>
          <w:b/>
          <w:bCs/>
          <w:sz w:val="18"/>
          <w:szCs w:val="18"/>
        </w:rPr>
        <w:t>宋小松先生</w:t>
      </w:r>
      <w:r>
        <w:rPr>
          <w:rFonts w:ascii="宋体" w:hAnsi="宋体" w:cs="宋体" w:eastAsia="宋体" w:hint="default"/>
          <w:sz w:val="18"/>
          <w:szCs w:val="18"/>
        </w:rPr>
        <w:t>，副总裁，中国国籍，</w:t>
      </w: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年生，中共党员，电力系统专业硕士学历，高级工程师。先后在国网北京市电</w:t>
      </w:r>
      <w:r>
        <w:rPr>
          <w:rFonts w:ascii="宋体" w:hAnsi="宋体" w:cs="宋体" w:eastAsia="宋体" w:hint="default"/>
          <w:w w:val="101"/>
          <w:sz w:val="18"/>
          <w:szCs w:val="18"/>
        </w:rPr>
        <w:t> </w:t>
      </w:r>
      <w:r>
        <w:rPr>
          <w:rFonts w:ascii="宋体" w:hAnsi="宋体" w:cs="宋体" w:eastAsia="宋体" w:hint="default"/>
          <w:spacing w:val="-3"/>
          <w:sz w:val="18"/>
          <w:szCs w:val="18"/>
        </w:rPr>
        <w:t>力公司调度控制处、计划处、系统处工作任高级管理人员。兼任远光能源互联网产业发展（横琴）有限公司董事、总经理。</w:t>
      </w:r>
    </w:p>
    <w:p>
      <w:pPr>
        <w:spacing w:line="240" w:lineRule="auto" w:before="3"/>
        <w:rPr>
          <w:rFonts w:ascii="宋体" w:hAnsi="宋体" w:cs="宋体" w:eastAsia="宋体" w:hint="default"/>
          <w:sz w:val="26"/>
          <w:szCs w:val="26"/>
        </w:rPr>
      </w:pPr>
    </w:p>
    <w:p>
      <w:pPr>
        <w:spacing w:line="300" w:lineRule="auto" w:before="0"/>
        <w:ind w:left="153" w:right="1122" w:firstLine="360"/>
        <w:jc w:val="both"/>
        <w:rPr>
          <w:rFonts w:ascii="宋体" w:hAnsi="宋体" w:cs="宋体" w:eastAsia="宋体" w:hint="default"/>
          <w:sz w:val="18"/>
          <w:szCs w:val="18"/>
        </w:rPr>
      </w:pPr>
      <w:r>
        <w:rPr>
          <w:rFonts w:ascii="宋体" w:hAnsi="宋体" w:cs="宋体" w:eastAsia="宋体" w:hint="default"/>
          <w:b/>
          <w:bCs/>
          <w:spacing w:val="-4"/>
          <w:sz w:val="18"/>
          <w:szCs w:val="18"/>
        </w:rPr>
        <w:t>陈婷女士</w:t>
      </w:r>
      <w:r>
        <w:rPr>
          <w:rFonts w:ascii="宋体" w:hAnsi="宋体" w:cs="宋体" w:eastAsia="宋体" w:hint="default"/>
          <w:spacing w:val="-4"/>
          <w:sz w:val="18"/>
          <w:szCs w:val="18"/>
        </w:rPr>
        <w:t>，副总裁，中国国籍，</w:t>
      </w:r>
      <w:r>
        <w:rPr>
          <w:rFonts w:ascii="Times New Roman" w:hAnsi="Times New Roman" w:cs="Times New Roman" w:eastAsia="Times New Roman" w:hint="default"/>
          <w:spacing w:val="-4"/>
          <w:sz w:val="18"/>
          <w:szCs w:val="18"/>
        </w:rPr>
        <w:t>1979</w:t>
      </w:r>
      <w:r>
        <w:rPr>
          <w:rFonts w:ascii="宋体" w:hAnsi="宋体" w:cs="宋体" w:eastAsia="宋体" w:hint="default"/>
          <w:spacing w:val="-4"/>
          <w:sz w:val="18"/>
          <w:szCs w:val="18"/>
        </w:rPr>
        <w:t>年生，中共党员，本科管理学、法学双学士学历。</w:t>
      </w:r>
      <w:r>
        <w:rPr>
          <w:rFonts w:ascii="Times New Roman" w:hAnsi="Times New Roman" w:cs="Times New Roman" w:eastAsia="Times New Roman" w:hint="default"/>
          <w:spacing w:val="-4"/>
          <w:sz w:val="18"/>
          <w:szCs w:val="18"/>
        </w:rPr>
        <w:t>2001</w:t>
      </w:r>
      <w:r>
        <w:rPr>
          <w:rFonts w:ascii="宋体" w:hAnsi="宋体" w:cs="宋体" w:eastAsia="宋体" w:hint="default"/>
          <w:spacing w:val="-4"/>
          <w:sz w:val="18"/>
          <w:szCs w:val="18"/>
        </w:rPr>
        <w:t>年加入公司，历任咨询及实</w:t>
      </w:r>
      <w:r>
        <w:rPr>
          <w:rFonts w:ascii="宋体" w:hAnsi="宋体" w:cs="宋体" w:eastAsia="宋体" w:hint="default"/>
          <w:w w:val="101"/>
          <w:sz w:val="18"/>
          <w:szCs w:val="18"/>
        </w:rPr>
        <w:t> </w:t>
      </w:r>
      <w:r>
        <w:rPr>
          <w:rFonts w:ascii="宋体" w:hAnsi="宋体" w:cs="宋体" w:eastAsia="宋体" w:hint="default"/>
          <w:spacing w:val="-3"/>
          <w:sz w:val="18"/>
          <w:szCs w:val="18"/>
        </w:rPr>
        <w:t>施中心副总经理、</w:t>
      </w:r>
      <w:r>
        <w:rPr>
          <w:rFonts w:ascii="Times New Roman" w:hAnsi="Times New Roman" w:cs="Times New Roman" w:eastAsia="Times New Roman" w:hint="default"/>
          <w:spacing w:val="-3"/>
          <w:sz w:val="18"/>
          <w:szCs w:val="18"/>
        </w:rPr>
        <w:t>GRIS</w:t>
      </w:r>
      <w:r>
        <w:rPr>
          <w:rFonts w:ascii="宋体" w:hAnsi="宋体" w:cs="宋体" w:eastAsia="宋体" w:hint="default"/>
          <w:spacing w:val="-3"/>
          <w:sz w:val="18"/>
          <w:szCs w:val="18"/>
        </w:rPr>
        <w:t>事业部副总经理、共享服务业务总监等职务。</w:t>
      </w:r>
    </w:p>
    <w:p>
      <w:pPr>
        <w:spacing w:line="240" w:lineRule="auto" w:before="0"/>
        <w:rPr>
          <w:rFonts w:ascii="宋体" w:hAnsi="宋体" w:cs="宋体" w:eastAsia="宋体" w:hint="default"/>
          <w:sz w:val="18"/>
          <w:szCs w:val="18"/>
        </w:rPr>
      </w:pPr>
    </w:p>
    <w:p>
      <w:pPr>
        <w:spacing w:line="309" w:lineRule="auto" w:before="133"/>
        <w:ind w:left="153" w:right="0" w:firstLine="480"/>
        <w:jc w:val="left"/>
        <w:rPr>
          <w:rFonts w:ascii="宋体" w:hAnsi="宋体" w:cs="宋体" w:eastAsia="宋体" w:hint="default"/>
          <w:sz w:val="18"/>
          <w:szCs w:val="18"/>
        </w:rPr>
      </w:pPr>
      <w:r>
        <w:rPr>
          <w:rFonts w:ascii="宋体" w:hAnsi="宋体" w:cs="宋体" w:eastAsia="宋体" w:hint="default"/>
          <w:b/>
          <w:bCs/>
          <w:spacing w:val="-6"/>
          <w:sz w:val="18"/>
          <w:szCs w:val="18"/>
        </w:rPr>
        <w:t>郑佩敏女士</w:t>
      </w:r>
      <w:r>
        <w:rPr>
          <w:rFonts w:ascii="宋体" w:hAnsi="宋体" w:cs="宋体" w:eastAsia="宋体" w:hint="default"/>
          <w:spacing w:val="-6"/>
          <w:sz w:val="18"/>
          <w:szCs w:val="18"/>
        </w:rPr>
        <w:t>，副总裁，中国香港，</w:t>
      </w:r>
      <w:r>
        <w:rPr>
          <w:rFonts w:ascii="Times New Roman" w:hAnsi="Times New Roman" w:cs="Times New Roman" w:eastAsia="Times New Roman" w:hint="default"/>
          <w:spacing w:val="-6"/>
          <w:sz w:val="18"/>
          <w:szCs w:val="18"/>
        </w:rPr>
        <w:t>1972</w:t>
      </w:r>
      <w:r>
        <w:rPr>
          <w:rFonts w:ascii="宋体" w:hAnsi="宋体" w:cs="宋体" w:eastAsia="宋体" w:hint="default"/>
          <w:spacing w:val="-6"/>
          <w:sz w:val="18"/>
          <w:szCs w:val="18"/>
        </w:rPr>
        <w:t>年生，获香港浸会大学</w:t>
      </w:r>
      <w:r>
        <w:rPr>
          <w:rFonts w:ascii="Times New Roman" w:hAnsi="Times New Roman" w:cs="Times New Roman" w:eastAsia="Times New Roman" w:hint="default"/>
          <w:spacing w:val="-6"/>
          <w:sz w:val="18"/>
          <w:szCs w:val="18"/>
        </w:rPr>
        <w:t>MBA</w:t>
      </w:r>
      <w:r>
        <w:rPr>
          <w:rFonts w:ascii="宋体" w:hAnsi="宋体" w:cs="宋体" w:eastAsia="宋体" w:hint="default"/>
          <w:spacing w:val="-6"/>
          <w:sz w:val="18"/>
          <w:szCs w:val="18"/>
        </w:rPr>
        <w:t>学位。自</w:t>
      </w:r>
      <w:r>
        <w:rPr>
          <w:rFonts w:ascii="Times New Roman" w:hAnsi="Times New Roman" w:cs="Times New Roman" w:eastAsia="Times New Roman" w:hint="default"/>
          <w:spacing w:val="-6"/>
          <w:sz w:val="18"/>
          <w:szCs w:val="18"/>
        </w:rPr>
        <w:t>2001</w:t>
      </w:r>
      <w:r>
        <w:rPr>
          <w:rFonts w:ascii="宋体" w:hAnsi="宋体" w:cs="宋体" w:eastAsia="宋体" w:hint="default"/>
          <w:spacing w:val="-6"/>
          <w:sz w:val="18"/>
          <w:szCs w:val="18"/>
        </w:rPr>
        <w:t>年以来，郑佩敏女士一直在公司任职，</w:t>
      </w:r>
      <w:r>
        <w:rPr>
          <w:rFonts w:ascii="宋体" w:hAnsi="宋体" w:cs="宋体" w:eastAsia="宋体" w:hint="default"/>
          <w:w w:val="101"/>
          <w:sz w:val="18"/>
          <w:szCs w:val="18"/>
        </w:rPr>
        <w:t> </w:t>
      </w:r>
      <w:r>
        <w:rPr>
          <w:rFonts w:ascii="宋体" w:hAnsi="宋体" w:cs="宋体" w:eastAsia="宋体" w:hint="default"/>
          <w:spacing w:val="-4"/>
          <w:sz w:val="18"/>
          <w:szCs w:val="18"/>
        </w:rPr>
        <w:t>先后从事人力资源管理、行政管理、流程管理等工作，历任人事行政部经理、企业管理办公室主任、行政总监。报告期还担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任公司子公司远光软件（北京）有限公司监事。</w:t>
      </w:r>
    </w:p>
    <w:p>
      <w:pPr>
        <w:spacing w:after="0" w:line="30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122" w:firstLine="360"/>
        <w:jc w:val="both"/>
        <w:rPr>
          <w:rFonts w:ascii="宋体" w:hAnsi="宋体" w:cs="宋体" w:eastAsia="宋体" w:hint="default"/>
          <w:sz w:val="18"/>
          <w:szCs w:val="18"/>
        </w:rPr>
      </w:pPr>
      <w:r>
        <w:rPr>
          <w:rFonts w:ascii="宋体" w:hAnsi="宋体" w:cs="宋体" w:eastAsia="宋体" w:hint="default"/>
          <w:b/>
          <w:bCs/>
          <w:spacing w:val="-4"/>
          <w:sz w:val="18"/>
          <w:szCs w:val="18"/>
        </w:rPr>
        <w:t>袁绣华女士</w:t>
      </w:r>
      <w:r>
        <w:rPr>
          <w:rFonts w:ascii="宋体" w:hAnsi="宋体" w:cs="宋体" w:eastAsia="宋体" w:hint="default"/>
          <w:spacing w:val="-4"/>
          <w:sz w:val="18"/>
          <w:szCs w:val="18"/>
        </w:rPr>
        <w:t>，副总裁，中国国籍，</w:t>
      </w:r>
      <w:r>
        <w:rPr>
          <w:rFonts w:ascii="Times New Roman" w:hAnsi="Times New Roman" w:cs="Times New Roman" w:eastAsia="Times New Roman" w:hint="default"/>
          <w:spacing w:val="-4"/>
          <w:sz w:val="18"/>
          <w:szCs w:val="18"/>
        </w:rPr>
        <w:t>1978</w:t>
      </w:r>
      <w:r>
        <w:rPr>
          <w:rFonts w:ascii="宋体" w:hAnsi="宋体" w:cs="宋体" w:eastAsia="宋体" w:hint="default"/>
          <w:spacing w:val="-4"/>
          <w:sz w:val="18"/>
          <w:szCs w:val="18"/>
        </w:rPr>
        <w:t>年生，南昌大学计算机科学专业本科，高级人力资源管理师。袁绣华女士曾任职</w:t>
      </w:r>
      <w:r>
        <w:rPr>
          <w:rFonts w:ascii="宋体" w:hAnsi="宋体" w:cs="宋体" w:eastAsia="宋体" w:hint="default"/>
          <w:w w:val="101"/>
          <w:sz w:val="18"/>
          <w:szCs w:val="18"/>
        </w:rPr>
        <w:t> </w:t>
      </w:r>
      <w:r>
        <w:rPr>
          <w:rFonts w:ascii="宋体" w:hAnsi="宋体" w:cs="宋体" w:eastAsia="宋体" w:hint="default"/>
          <w:spacing w:val="-4"/>
          <w:sz w:val="18"/>
          <w:szCs w:val="18"/>
        </w:rPr>
        <w:t>于双喜电器有限公司、魅族科技有限公司、金蝶软件股份有限公司、云洲科技有限公司。</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年加入公司，从事公司人力资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源管理工作，历任人力资源经理、人力资源总监等职务。</w:t>
      </w:r>
    </w:p>
    <w:p>
      <w:pPr>
        <w:spacing w:before="7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江昊</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43"/>
              <w:jc w:val="left"/>
              <w:rPr>
                <w:rFonts w:ascii="宋体" w:hAnsi="宋体" w:cs="宋体" w:eastAsia="宋体" w:hint="default"/>
                <w:sz w:val="18"/>
                <w:szCs w:val="18"/>
              </w:rPr>
            </w:pPr>
            <w:r>
              <w:rPr>
                <w:rFonts w:ascii="宋体" w:hAnsi="宋体" w:cs="宋体" w:eastAsia="宋体" w:hint="default"/>
                <w:spacing w:val="-2"/>
                <w:sz w:val="18"/>
                <w:szCs w:val="18"/>
              </w:rPr>
              <w:t>总法律顾问、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法律事务与</w:t>
            </w:r>
            <w:r>
              <w:rPr>
                <w:rFonts w:ascii="宋体" w:hAnsi="宋体" w:cs="宋体" w:eastAsia="宋体" w:hint="default"/>
                <w:w w:val="101"/>
                <w:sz w:val="18"/>
                <w:szCs w:val="18"/>
              </w:rPr>
              <w:t> </w:t>
            </w:r>
            <w:r>
              <w:rPr>
                <w:rFonts w:ascii="宋体" w:hAnsi="宋体" w:cs="宋体" w:eastAsia="宋体" w:hint="default"/>
                <w:sz w:val="18"/>
                <w:szCs w:val="18"/>
              </w:rPr>
              <w:t>信息管理部</w:t>
            </w:r>
            <w:r>
              <w:rPr>
                <w:rFonts w:ascii="宋体" w:hAnsi="宋体" w:cs="宋体" w:eastAsia="宋体" w:hint="default"/>
                <w:w w:val="101"/>
                <w:sz w:val="18"/>
                <w:szCs w:val="18"/>
              </w:rPr>
              <w:t> </w:t>
            </w:r>
            <w:r>
              <w:rPr>
                <w:rFonts w:ascii="宋体" w:hAnsi="宋体" w:cs="宋体" w:eastAsia="宋体" w:hint="default"/>
                <w:sz w:val="18"/>
                <w:szCs w:val="18"/>
              </w:rPr>
              <w:t>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6"/>
              <w:jc w:val="left"/>
              <w:rPr>
                <w:rFonts w:ascii="宋体" w:hAnsi="宋体" w:cs="宋体" w:eastAsia="宋体" w:hint="default"/>
                <w:sz w:val="20"/>
                <w:szCs w:val="20"/>
              </w:rPr>
            </w:pPr>
            <w:r>
              <w:rPr>
                <w:rFonts w:ascii="宋体" w:hAnsi="宋体" w:cs="宋体" w:eastAsia="宋体" w:hint="default"/>
                <w:position w:val="-5"/>
                <w:sz w:val="20"/>
                <w:szCs w:val="20"/>
              </w:rPr>
              <w:pict>
                <v:group style="width:60.3pt;height:15.6pt;mso-position-horizontal-relative:char;mso-position-vertical-relative:line" coordorigin="0,0" coordsize="1206,312">
                  <v:group style="position:absolute;left:0;top:0;width:1206;height:312" coordorigin="0,0" coordsize="1206,312">
                    <v:shape style="position:absolute;left:0;top:0;width:1206;height:312" coordorigin="0,0" coordsize="1206,312" path="m0,312l1205,312,1205,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金融运管中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心负责人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财务产权部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12"/>
              <w:jc w:val="left"/>
              <w:rPr>
                <w:rFonts w:ascii="宋体" w:hAnsi="宋体" w:cs="宋体" w:eastAsia="宋体" w:hint="default"/>
                <w:sz w:val="18"/>
                <w:szCs w:val="18"/>
              </w:rPr>
            </w:pPr>
            <w:r>
              <w:rPr>
                <w:rFonts w:ascii="宋体" w:hAnsi="宋体" w:cs="宋体" w:eastAsia="宋体" w:hint="default"/>
                <w:spacing w:val="-12"/>
                <w:sz w:val="18"/>
                <w:szCs w:val="18"/>
              </w:rPr>
              <w:t>办公室（人力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2"/>
                <w:sz w:val="18"/>
                <w:szCs w:val="18"/>
              </w:rPr>
              <w:t>资源部）主任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37"/>
              <w:jc w:val="left"/>
              <w:rPr>
                <w:rFonts w:ascii="宋体" w:hAnsi="宋体" w:cs="宋体" w:eastAsia="宋体" w:hint="default"/>
                <w:sz w:val="18"/>
                <w:szCs w:val="18"/>
              </w:rPr>
            </w:pPr>
            <w:r>
              <w:rPr>
                <w:rFonts w:ascii="宋体" w:hAnsi="宋体" w:cs="宋体" w:eastAsia="宋体" w:hint="default"/>
                <w:spacing w:val="-2"/>
                <w:sz w:val="18"/>
                <w:szCs w:val="18"/>
              </w:rPr>
              <w:t>财务共享中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心主任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49"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珠海市浩天投资有限公司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珠海市载舟企业管理有限公司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广东省依依关爱儿童基金会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理事兼秘书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珠海远光软件产业有限公司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远光资本管理（横琴）有限公司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珠海高远电能科技有限公司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远光能源互联网产业发展（横琴）有限公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珠海远光晴天能源科技有限公司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林芝地区荣光科技有限公司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江昊</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国网雄安金融科技集团有限公司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北京太阳宫燃气热电有限公司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国电内蒙古上海庙热电有限公司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国网汇通金财（北京）信息科技有限公司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国网雄安金融科技集团有限公司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金融运管中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广东省依依关爱儿童基金会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北京融和晟源售电有限公司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珠海远光软件产业有限公司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珠海市锐创股权投资咨询中心（有限合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珠海高远电能科技有限公司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远光资本管理（横琴）有限公司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珠海远光移动互联科技有限公司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left"/>
              <w:rPr>
                <w:rFonts w:ascii="宋体" w:hAnsi="宋体" w:cs="宋体" w:eastAsia="宋体" w:hint="default"/>
                <w:sz w:val="18"/>
                <w:szCs w:val="18"/>
              </w:rPr>
            </w:pPr>
            <w:r>
              <w:rPr>
                <w:rFonts w:ascii="宋体" w:hAnsi="宋体" w:cs="宋体" w:eastAsia="宋体" w:hint="default"/>
                <w:spacing w:val="-17"/>
                <w:sz w:val="18"/>
                <w:szCs w:val="18"/>
              </w:rPr>
              <w:t>执行董事、经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深圳市合创资本管理有限公司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董事、管理合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南京亚派科技股份有限公司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南京绛门信息科技股份有限公司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上海兴容信息技术有限公司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成都准星云学科技有限公司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湖北双剑鼓风机股份有限公司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百应科技（北京）有限公司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3"/>
              <w:ind w:left="24" w:right="-37"/>
              <w:jc w:val="both"/>
              <w:rPr>
                <w:rFonts w:ascii="宋体" w:hAnsi="宋体" w:cs="宋体" w:eastAsia="宋体" w:hint="default"/>
                <w:sz w:val="18"/>
                <w:szCs w:val="18"/>
              </w:rPr>
            </w:pPr>
            <w:r>
              <w:rPr>
                <w:rFonts w:ascii="宋体" w:hAnsi="宋体" w:cs="宋体" w:eastAsia="宋体" w:hint="default"/>
                <w:sz w:val="18"/>
                <w:szCs w:val="18"/>
              </w:rPr>
              <w:t>会计系主任、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教授、博士生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导师</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153" w:lineRule="exact"/>
              <w:ind w:left="-8"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61pt;height:7.7pt;mso-position-horizontal-relative:char;mso-position-vertical-relative:line" coordorigin="0,0" coordsize="1220,154">
                  <v:group style="position:absolute;left:0;top:0;width:1220;height:154" coordorigin="0,0" coordsize="1220,154">
                    <v:shape style="position:absolute;left:0;top:0;width:1220;height:154" coordorigin="0,0" coordsize="1220,154" path="m0,154l1220,154,122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5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重庆秦安机电股份有限公司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中国科技出版传媒股份有限公司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欢瑞世纪联合股份有限公司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长春中天能源股份有限公司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深圳信公企业管理咨询有限公司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上海信公企业管理咨询有限公司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深圳市麦达数字股份有限公司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佛山市国星光电股份有限公司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0"/>
              <w:jc w:val="left"/>
              <w:rPr>
                <w:rFonts w:ascii="宋体" w:hAnsi="宋体" w:cs="宋体" w:eastAsia="宋体" w:hint="default"/>
                <w:sz w:val="18"/>
                <w:szCs w:val="18"/>
              </w:rPr>
            </w:pPr>
            <w:r>
              <w:rPr>
                <w:rFonts w:ascii="宋体" w:hAnsi="宋体" w:cs="宋体" w:eastAsia="宋体" w:hint="default"/>
                <w:spacing w:val="-3"/>
                <w:sz w:val="18"/>
                <w:szCs w:val="18"/>
              </w:rPr>
              <w:t>珠海恒基达鑫国际化工仓储股份有限公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常州中英科技股份有限公司（非上市）</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国电内蒙古上海庙热电有限公司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国网雄安金融科技集团有限公司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9"/>
                <w:sz w:val="18"/>
                <w:szCs w:val="18"/>
              </w:rPr>
              <w:t>办公室（人力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资源部）主任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国网雄安金融科技集团有限公司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财务共享中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国网征信有限公司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法人代表、执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珠海智行慧达商务旅行社有限公司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远光资本管理（横琴）有限公司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珠海高远电能科技有限公司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董事兼总经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远光能源互联网产业发展（横琴）有限公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珠海远光晴天能源科技有限公司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51"/>
              <w:jc w:val="left"/>
              <w:rPr>
                <w:rFonts w:ascii="宋体" w:hAnsi="宋体" w:cs="宋体" w:eastAsia="宋体" w:hint="default"/>
                <w:sz w:val="18"/>
                <w:szCs w:val="18"/>
              </w:rPr>
            </w:pPr>
            <w:r>
              <w:rPr>
                <w:rFonts w:ascii="宋体" w:hAnsi="宋体" w:cs="宋体" w:eastAsia="宋体" w:hint="default"/>
                <w:spacing w:val="-2"/>
                <w:sz w:val="18"/>
                <w:szCs w:val="18"/>
              </w:rPr>
              <w:t>董事兼总经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佛山市晴方太阳能科技有限公司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远光资本管理（横琴）有限公司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广东省依依关爱儿童基金会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长沙远光瑞翔科技有限公司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北京智和管理咨询有限公司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南京远光广安信息科技有限公司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远光能源互联网产业发展（横琴）有限公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1"/>
              <w:jc w:val="left"/>
              <w:rPr>
                <w:rFonts w:ascii="宋体" w:hAnsi="宋体" w:cs="宋体" w:eastAsia="宋体" w:hint="default"/>
                <w:sz w:val="18"/>
                <w:szCs w:val="18"/>
              </w:rPr>
            </w:pPr>
            <w:r>
              <w:rPr>
                <w:rFonts w:ascii="宋体" w:hAnsi="宋体" w:cs="宋体" w:eastAsia="宋体" w:hint="default"/>
                <w:spacing w:val="-2"/>
                <w:sz w:val="18"/>
                <w:szCs w:val="18"/>
              </w:rPr>
              <w:t>董事兼总经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董事会在年初制定经营班子（总裁、副总裁）本年度的考核方案，年末根据会计师事务所的财务审计报告，对经营班子</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的经营业绩进行考核，并实施奖励与惩罚；对高级管理人员的其他奖励由董事会审议决定。董事、监事的薪酬方案提交股东</w:t>
      </w:r>
    </w:p>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大会决定。</w:t>
      </w:r>
    </w:p>
    <w:p>
      <w:pPr>
        <w:spacing w:before="76"/>
        <w:ind w:left="513" w:right="0" w:firstLine="0"/>
        <w:jc w:val="left"/>
        <w:rPr>
          <w:rFonts w:ascii="宋体" w:hAnsi="宋体" w:cs="宋体" w:eastAsia="宋体" w:hint="default"/>
          <w:sz w:val="18"/>
          <w:szCs w:val="18"/>
        </w:rPr>
      </w:pPr>
      <w:r>
        <w:rPr>
          <w:rFonts w:ascii="宋体" w:hAnsi="宋体" w:cs="宋体" w:eastAsia="宋体" w:hint="default"/>
          <w:spacing w:val="-5"/>
          <w:sz w:val="18"/>
          <w:szCs w:val="18"/>
        </w:rPr>
        <w:t>非独立董事，若未在公司担任董事以外的其他职务，则不在公司领取薪酬；若同时还担任公司管理职务，则按照其职务</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16" w:lineRule="auto" w:before="46"/>
        <w:ind w:left="513" w:right="4617" w:hanging="360"/>
        <w:jc w:val="left"/>
        <w:rPr>
          <w:rFonts w:ascii="宋体" w:hAnsi="宋体" w:cs="宋体" w:eastAsia="宋体" w:hint="default"/>
          <w:sz w:val="18"/>
          <w:szCs w:val="18"/>
        </w:rPr>
      </w:pPr>
      <w:r>
        <w:rPr>
          <w:rFonts w:ascii="宋体" w:hAnsi="宋体" w:cs="宋体" w:eastAsia="宋体" w:hint="default"/>
          <w:spacing w:val="-3"/>
          <w:sz w:val="18"/>
          <w:szCs w:val="18"/>
        </w:rPr>
        <w:t>相应的薪酬政策领取薪酬，公司不再另行支付董事薪酬；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独立董事薪酬根据股东大会审议确定的标准执行。</w:t>
      </w:r>
    </w:p>
    <w:p>
      <w:pPr>
        <w:spacing w:line="319"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4"/>
          <w:sz w:val="18"/>
          <w:szCs w:val="18"/>
        </w:rPr>
        <w:t>监事若未在公司担任监事以外的其他职务，则不在公司领取薪酬；若同时还担任公司其他职务，则按照其职务相应的薪</w:t>
      </w:r>
      <w:r>
        <w:rPr>
          <w:rFonts w:ascii="宋体" w:hAnsi="宋体" w:cs="宋体" w:eastAsia="宋体" w:hint="default"/>
          <w:w w:val="101"/>
          <w:sz w:val="18"/>
          <w:szCs w:val="18"/>
        </w:rPr>
        <w:t> </w:t>
      </w:r>
      <w:r>
        <w:rPr>
          <w:rFonts w:ascii="宋体" w:hAnsi="宋体" w:cs="宋体" w:eastAsia="宋体" w:hint="default"/>
          <w:spacing w:val="-3"/>
          <w:sz w:val="18"/>
          <w:szCs w:val="18"/>
        </w:rPr>
        <w:t>酬政策领取薪酬，公司不再另行支付监事薪酬。</w:t>
      </w:r>
    </w:p>
    <w:p>
      <w:pPr>
        <w:spacing w:line="316" w:lineRule="auto" w:before="17"/>
        <w:ind w:left="153" w:right="0" w:firstLine="360"/>
        <w:jc w:val="left"/>
        <w:rPr>
          <w:rFonts w:ascii="宋体" w:hAnsi="宋体" w:cs="宋体" w:eastAsia="宋体" w:hint="default"/>
          <w:sz w:val="18"/>
          <w:szCs w:val="18"/>
        </w:rPr>
      </w:pPr>
      <w:r>
        <w:rPr>
          <w:rFonts w:ascii="宋体" w:hAnsi="宋体" w:cs="宋体" w:eastAsia="宋体" w:hint="default"/>
          <w:spacing w:val="-4"/>
          <w:sz w:val="18"/>
          <w:szCs w:val="18"/>
        </w:rPr>
        <w:t>高级管理人员的薪酬将以其履职情况为基础，结合公司所处行业的薪酬水平和经营目标实现情况，依据公司工资制度和</w:t>
      </w:r>
      <w:r>
        <w:rPr>
          <w:rFonts w:ascii="宋体" w:hAnsi="宋体" w:cs="宋体" w:eastAsia="宋体" w:hint="default"/>
          <w:w w:val="101"/>
          <w:sz w:val="18"/>
          <w:szCs w:val="18"/>
        </w:rPr>
        <w:t> </w:t>
      </w:r>
      <w:r>
        <w:rPr>
          <w:rFonts w:ascii="宋体" w:hAnsi="宋体" w:cs="宋体" w:eastAsia="宋体" w:hint="default"/>
          <w:sz w:val="18"/>
          <w:szCs w:val="18"/>
        </w:rPr>
        <w:t>考核办法确定其薪酬。</w:t>
      </w:r>
    </w:p>
    <w:p>
      <w:pPr>
        <w:spacing w:before="62"/>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职工代表董事、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王新勇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王意涵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高级副总裁、财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姚国全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毕伟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袁绣华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职工代表董事、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高级副总裁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副总裁、董事会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1,149.25</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265"/>
            <w:col w:w="2008"/>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33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60" w:firstLine="4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格（元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3"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p>
          <w:p>
            <w:pPr>
              <w:pStyle w:val="TableParagraph"/>
              <w:spacing w:line="195" w:lineRule="exact" w:before="4"/>
              <w:ind w:left="5"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5"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7" w:right="3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总</w:t>
            </w:r>
            <w:r>
              <w:rPr>
                <w:rFonts w:ascii="宋体" w:hAnsi="宋体" w:cs="宋体" w:eastAsia="宋体" w:hint="default"/>
                <w:w w:val="101"/>
                <w:sz w:val="18"/>
                <w:szCs w:val="18"/>
              </w:rPr>
              <w:t>裁</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20"/>
                <w:w w:val="101"/>
                <w:sz w:val="18"/>
                <w:szCs w:val="18"/>
              </w:rPr>
              <w:t>董事、副总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8"/>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裁、财务总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监</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姚国全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毕伟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34,230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袁绣华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32,844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918,134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918,134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员工数量、专业构成及教育程度" w:id="131"/>
      <w:bookmarkEnd w:id="13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3,811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938</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4,749</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41</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3,987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335</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4,749</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3,248</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4,749</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薪酬政策" w:id="132"/>
      <w:bookmarkEnd w:id="1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09" w:lineRule="auto" w:before="0"/>
        <w:ind w:left="153" w:right="1123" w:firstLine="292"/>
        <w:jc w:val="both"/>
        <w:rPr>
          <w:rFonts w:ascii="宋体" w:hAnsi="宋体" w:cs="宋体" w:eastAsia="宋体" w:hint="default"/>
          <w:sz w:val="18"/>
          <w:szCs w:val="18"/>
        </w:rPr>
      </w:pPr>
      <w:r>
        <w:rPr>
          <w:rFonts w:ascii="宋体" w:hAnsi="宋体" w:cs="宋体" w:eastAsia="宋体" w:hint="default"/>
          <w:spacing w:val="-3"/>
          <w:sz w:val="18"/>
          <w:szCs w:val="18"/>
        </w:rPr>
        <w:t>公司按照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绩效贡献、能力导向、价值共享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的原则，建立了公平、公正、合理的薪酬激励体系，充分调动了员工的积极</w:t>
      </w:r>
      <w:r>
        <w:rPr>
          <w:rFonts w:ascii="宋体" w:hAnsi="宋体" w:cs="宋体" w:eastAsia="宋体" w:hint="default"/>
          <w:w w:val="101"/>
          <w:sz w:val="18"/>
          <w:szCs w:val="18"/>
        </w:rPr>
        <w:t> </w:t>
      </w:r>
      <w:r>
        <w:rPr>
          <w:rFonts w:ascii="宋体" w:hAnsi="宋体" w:cs="宋体" w:eastAsia="宋体" w:hint="default"/>
          <w:spacing w:val="-4"/>
          <w:sz w:val="18"/>
          <w:szCs w:val="18"/>
        </w:rPr>
        <w:t>性和创造性。公司定期开展薪酬水平市场调研，从竞争力、激励性等角度审视公司的薪酬结构、薪酬水平，并及时进行优化</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调整，以确保公司员工薪酬在市场上具有竞争性。公司支持从个人绩效和企业成功的角度给予员工合理的奖金回报。</w:t>
      </w:r>
    </w:p>
    <w:p>
      <w:pPr>
        <w:spacing w:line="338" w:lineRule="auto" w:before="67"/>
        <w:ind w:left="446" w:right="0" w:hanging="293"/>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报告期计入成本的职工薪酬总额为</w:t>
      </w:r>
      <w:r>
        <w:rPr>
          <w:rFonts w:ascii="Times New Roman" w:hAnsi="Times New Roman" w:cs="Times New Roman" w:eastAsia="Times New Roman" w:hint="default"/>
          <w:spacing w:val="-3"/>
          <w:sz w:val="18"/>
          <w:szCs w:val="18"/>
        </w:rPr>
        <w:t>304,988,963.43</w:t>
      </w:r>
      <w:r>
        <w:rPr>
          <w:rFonts w:ascii="宋体" w:hAnsi="宋体" w:cs="宋体" w:eastAsia="宋体" w:hint="default"/>
          <w:spacing w:val="-3"/>
          <w:sz w:val="18"/>
          <w:szCs w:val="18"/>
        </w:rPr>
        <w:t>元，占公司成本总额的比重为</w:t>
      </w:r>
      <w:r>
        <w:rPr>
          <w:rFonts w:ascii="Times New Roman" w:hAnsi="Times New Roman" w:cs="Times New Roman" w:eastAsia="Times New Roman" w:hint="default"/>
          <w:spacing w:val="-3"/>
          <w:sz w:val="18"/>
          <w:szCs w:val="18"/>
        </w:rPr>
        <w:t>55.78%</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年职工薪酬总额为</w:t>
      </w:r>
    </w:p>
    <w:p>
      <w:pPr>
        <w:spacing w:line="230"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826,574,387.65</w:t>
      </w:r>
      <w:r>
        <w:rPr>
          <w:rFonts w:ascii="宋体" w:hAnsi="宋体" w:cs="宋体" w:eastAsia="宋体" w:hint="default"/>
          <w:sz w:val="18"/>
          <w:szCs w:val="18"/>
        </w:rPr>
        <w:t>元，利润总额为</w:t>
      </w:r>
      <w:r>
        <w:rPr>
          <w:rFonts w:ascii="Times New Roman" w:hAnsi="Times New Roman" w:cs="Times New Roman" w:eastAsia="Times New Roman" w:hint="default"/>
          <w:sz w:val="18"/>
          <w:szCs w:val="18"/>
        </w:rPr>
        <w:t>226,491,844.35</w:t>
      </w:r>
      <w:r>
        <w:rPr>
          <w:rFonts w:ascii="宋体" w:hAnsi="宋体" w:cs="宋体" w:eastAsia="宋体" w:hint="default"/>
          <w:sz w:val="18"/>
          <w:szCs w:val="18"/>
        </w:rPr>
        <w:t>元，职工薪酬总额每增减变动</w:t>
      </w:r>
      <w:r>
        <w:rPr>
          <w:rFonts w:ascii="Times New Roman" w:hAnsi="Times New Roman" w:cs="Times New Roman" w:eastAsia="Times New Roman" w:hint="default"/>
          <w:sz w:val="18"/>
          <w:szCs w:val="18"/>
        </w:rPr>
        <w:t>1%</w:t>
      </w:r>
      <w:r>
        <w:rPr>
          <w:rFonts w:ascii="宋体" w:hAnsi="宋体" w:cs="宋体" w:eastAsia="宋体" w:hint="default"/>
          <w:sz w:val="18"/>
          <w:szCs w:val="18"/>
        </w:rPr>
        <w:t>，将会影响公司利润总额反向变动</w:t>
      </w:r>
      <w:r>
        <w:rPr>
          <w:rFonts w:ascii="Times New Roman" w:hAnsi="Times New Roman" w:cs="Times New Roman" w:eastAsia="Times New Roman" w:hint="default"/>
          <w:sz w:val="18"/>
          <w:szCs w:val="18"/>
        </w:rPr>
        <w:t>3.65%</w:t>
      </w:r>
      <w:r>
        <w:rPr>
          <w:rFonts w:ascii="宋体" w:hAnsi="宋体" w:cs="宋体" w:eastAsia="宋体" w:hint="default"/>
          <w:sz w:val="18"/>
          <w:szCs w:val="18"/>
        </w:rPr>
        <w:t>。核</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心技术人员占公司总人数的比重为</w:t>
      </w:r>
      <w:r>
        <w:rPr>
          <w:rFonts w:ascii="Times New Roman" w:hAnsi="Times New Roman" w:cs="Times New Roman" w:eastAsia="Times New Roman" w:hint="default"/>
          <w:spacing w:val="-3"/>
          <w:sz w:val="18"/>
          <w:szCs w:val="18"/>
        </w:rPr>
        <w:t>8.55%</w:t>
      </w:r>
      <w:r>
        <w:rPr>
          <w:rFonts w:ascii="宋体" w:hAnsi="宋体" w:cs="宋体" w:eastAsia="宋体" w:hint="default"/>
          <w:spacing w:val="-3"/>
          <w:sz w:val="18"/>
          <w:szCs w:val="18"/>
        </w:rPr>
        <w:t>；其薪酬占职工薪酬总额的比重为</w:t>
      </w:r>
      <w:r>
        <w:rPr>
          <w:rFonts w:ascii="Times New Roman" w:hAnsi="Times New Roman" w:cs="Times New Roman" w:eastAsia="Times New Roman" w:hint="default"/>
          <w:spacing w:val="-3"/>
          <w:sz w:val="18"/>
          <w:szCs w:val="18"/>
        </w:rPr>
        <w:t>16.64%</w:t>
      </w:r>
      <w:r>
        <w:rPr>
          <w:rFonts w:ascii="宋体" w:hAnsi="宋体" w:cs="宋体" w:eastAsia="宋体" w:hint="default"/>
          <w:spacing w:val="-3"/>
          <w:sz w:val="18"/>
          <w:szCs w:val="18"/>
        </w:rPr>
        <w:t>。</w:t>
      </w:r>
    </w:p>
    <w:p>
      <w:pPr>
        <w:spacing w:line="240" w:lineRule="auto" w:before="1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培训计划" w:id="133"/>
      <w:bookmarkEnd w:id="1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16" w:lineRule="auto" w:before="0"/>
        <w:ind w:left="153" w:right="1123" w:firstLine="360"/>
        <w:jc w:val="both"/>
        <w:rPr>
          <w:rFonts w:ascii="宋体" w:hAnsi="宋体" w:cs="宋体" w:eastAsia="宋体" w:hint="default"/>
          <w:sz w:val="18"/>
          <w:szCs w:val="18"/>
        </w:rPr>
      </w:pPr>
      <w:r>
        <w:rPr>
          <w:rFonts w:ascii="宋体" w:hAnsi="宋体" w:cs="宋体" w:eastAsia="宋体" w:hint="default"/>
          <w:spacing w:val="-5"/>
          <w:sz w:val="18"/>
          <w:szCs w:val="18"/>
        </w:rPr>
        <w:t>公司开展了全司范围的培训需求调查，一方面，通过主题引导、提能接口人赋能等，指导并推动各部门积极开展日常提</w:t>
      </w:r>
      <w:r>
        <w:rPr>
          <w:rFonts w:ascii="宋体" w:hAnsi="宋体" w:cs="宋体" w:eastAsia="宋体" w:hint="default"/>
          <w:w w:val="101"/>
          <w:sz w:val="18"/>
          <w:szCs w:val="18"/>
        </w:rPr>
        <w:t> </w:t>
      </w:r>
      <w:r>
        <w:rPr>
          <w:rFonts w:ascii="宋体" w:hAnsi="宋体" w:cs="宋体" w:eastAsia="宋体" w:hint="default"/>
          <w:spacing w:val="-4"/>
          <w:sz w:val="18"/>
          <w:szCs w:val="18"/>
        </w:rPr>
        <w:t>能活动，促进全员能力提升；另一方面，重点分析研发线、产品线、实施服务线的业务能力现状，并依此制定并实施定向的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赋能计划。在品牌培训项目方面，为实现更好、更快的梯队人才培养，公司对远光星起点、春天行动、远光领导力工作坊等</w:t>
      </w:r>
    </w:p>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16" w:lineRule="auto" w:before="46"/>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进行了项目升级，课程质量与学习体验都得到了进一步提升；在前沿领域方面，公司持续组织大数据、软件架构、人工智能</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与机器学习、区块链技术等系列专题培训，不断拓宽产品业务端对技术发展趋势的认知；在能力认证方面，公司在原有系列</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认证的基础上，新建了软件测试能力认证。至此，公司内部认证体系已涵盖需求、研发、测试等大部分职业发展通道。</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劳务外包情况" w:id="134"/>
      <w:bookmarkEnd w:id="13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4113"/>
        <w:jc w:val="center"/>
        <w:rPr>
          <w:b w:val="0"/>
          <w:bCs w:val="0"/>
        </w:rPr>
      </w:pPr>
      <w:bookmarkStart w:name="第十节公司治理" w:id="135"/>
      <w:bookmarkEnd w:id="135"/>
      <w:r>
        <w:rPr>
          <w:b w:val="0"/>
          <w:bCs w:val="0"/>
        </w:rPr>
      </w:r>
      <w:bookmarkStart w:name="_bookmark9" w:id="136"/>
      <w:bookmarkEnd w:id="136"/>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spacing w:line="319" w:lineRule="auto" w:before="0"/>
        <w:ind w:left="153" w:right="0" w:firstLine="292"/>
        <w:jc w:val="left"/>
        <w:rPr>
          <w:rFonts w:ascii="宋体" w:hAnsi="宋体" w:cs="宋体" w:eastAsia="宋体" w:hint="default"/>
          <w:sz w:val="18"/>
          <w:szCs w:val="18"/>
        </w:rPr>
      </w:pPr>
      <w:r>
        <w:rPr>
          <w:rFonts w:ascii="宋体" w:hAnsi="宋体" w:cs="宋体" w:eastAsia="宋体" w:hint="default"/>
          <w:spacing w:val="-3"/>
          <w:sz w:val="18"/>
          <w:szCs w:val="18"/>
        </w:rPr>
        <w:t>报告期内，公司按照《公司法》、《证券法》等法律、法规和中国证监会有关法律法规的要求，确立了股东大会、董事</w:t>
      </w:r>
      <w:r>
        <w:rPr>
          <w:rFonts w:ascii="宋体" w:hAnsi="宋体" w:cs="宋体" w:eastAsia="宋体" w:hint="default"/>
          <w:w w:val="101"/>
          <w:sz w:val="18"/>
          <w:szCs w:val="18"/>
        </w:rPr>
        <w:t> </w:t>
      </w:r>
      <w:r>
        <w:rPr>
          <w:rFonts w:ascii="宋体" w:hAnsi="宋体" w:cs="宋体" w:eastAsia="宋体" w:hint="default"/>
          <w:spacing w:val="-6"/>
          <w:sz w:val="18"/>
          <w:szCs w:val="18"/>
        </w:rPr>
        <w:t>会、监事会及经营管理层的分层治理结构，不断完善公司法人治理结构，建立健全公司内部控制制度，进一步规范公司运作，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提高公司治理水平。公司治理的实际情况与《上市公司治理准则》等规范性文件的规定和要求相符。</w:t>
      </w:r>
    </w:p>
    <w:p>
      <w:pPr>
        <w:spacing w:line="362" w:lineRule="auto" w:before="17"/>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（一）关于股东与股东大会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报告期内，公司共召开</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次股东大会。股东大会严格按照《上市公司股东大会规则》和公司制定的《股东大会议事规则》</w:t>
      </w:r>
    </w:p>
    <w:p>
      <w:pPr>
        <w:spacing w:line="192" w:lineRule="exact" w:before="0"/>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的要求，股东大会召集、召开、表决等程序合法、合规，平等对待所有股东，特别是保证中小股东对公司重大事项的知情权</w:t>
      </w:r>
    </w:p>
    <w:p>
      <w:pPr>
        <w:spacing w:before="8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和平等参与权，充分而不受干涉地行使股东权力。</w:t>
      </w:r>
    </w:p>
    <w:p>
      <w:pPr>
        <w:spacing w:line="316" w:lineRule="auto" w:before="110"/>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（二）关于公司与控股股东</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5"/>
          <w:sz w:val="18"/>
          <w:szCs w:val="18"/>
        </w:rPr>
        <w:t>公司与控股股东在业务、人员、资产、机构、财务等方面完全分开，具有独立完整的业务及自主经营能力。公司董事会、</w:t>
      </w:r>
    </w:p>
    <w:p>
      <w:pPr>
        <w:spacing w:line="316" w:lineRule="auto" w:before="19"/>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监事会和内部机构独立运作。公司控股股东能严格规范自己的行为，依法行使股东权利，没有超越公司股东大会直接或间接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干预公司的决策和经营活动的行为，不存在控股股东占用公司资金的现象。公司也不存在为控股股东提供担保的情形。</w:t>
      </w:r>
    </w:p>
    <w:p>
      <w:pPr>
        <w:spacing w:line="362" w:lineRule="auto" w:before="19"/>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（三）关于董事与董事会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
          <w:sz w:val="18"/>
          <w:szCs w:val="18"/>
        </w:rPr>
        <w:t>报告期内，公司共召开</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次董事会，均严格按照《公司章程》、《董事会议事规则》及《关于以非现场方式召开董事会</w:t>
      </w:r>
    </w:p>
    <w:p>
      <w:pPr>
        <w:spacing w:line="197"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会议的实施细则》的要求，召集、召开、表决等程序合法、合规。董事会人员构成和人数符合法律法规和《公司章程》的要</w:t>
      </w:r>
    </w:p>
    <w:p>
      <w:pPr>
        <w:spacing w:line="340" w:lineRule="auto" w:before="7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求。公司全体董事能够依据《公司董事会议事规则》及其他相关规则的要求开展工作，认真出席董事会和股东大会，积极参</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加相关知识的培训，熟悉有关法律法规，勤勉尽职地行使权力，维护公司和股东利益。</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43" w:lineRule="auto" w:before="39"/>
        <w:ind w:left="153" w:right="35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spacing w:line="319" w:lineRule="auto" w:before="0"/>
        <w:ind w:left="302" w:right="0" w:firstLine="0"/>
        <w:jc w:val="left"/>
        <w:rPr>
          <w:rFonts w:ascii="宋体" w:hAnsi="宋体" w:cs="宋体" w:eastAsia="宋体" w:hint="default"/>
          <w:sz w:val="18"/>
          <w:szCs w:val="18"/>
        </w:rPr>
      </w:pPr>
      <w:r>
        <w:rPr>
          <w:rFonts w:ascii="宋体" w:hAnsi="宋体" w:cs="宋体" w:eastAsia="宋体" w:hint="default"/>
          <w:spacing w:val="-3"/>
          <w:sz w:val="18"/>
          <w:szCs w:val="18"/>
        </w:rPr>
        <w:t>（一）业务的独立性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公司具有独立、完整的软件研发、销售、实施和技术服务体系。公司的业务独立于控股股东、实际控制人，与控股股东、</w:t>
      </w:r>
    </w:p>
    <w:p>
      <w:pPr>
        <w:spacing w:before="17"/>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实际控制人不存在同业竞争或者显失公平的关联交易。</w:t>
      </w:r>
    </w:p>
    <w:p>
      <w:pPr>
        <w:spacing w:line="316" w:lineRule="auto" w:before="76"/>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（二）人员的独立性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公司董事长没有由股东单位的法定代表人兼任，公司总裁、各副总裁、财务总监等高级管理人员均在公司专职工作及领</w:t>
      </w:r>
    </w:p>
    <w:p>
      <w:pPr>
        <w:spacing w:line="316" w:lineRule="auto" w:before="19"/>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取报酬，上述人员未在公司的控股股东、实际控制人处担任除董事、监事以外的其他职务，未在控股股东、实际控制人处领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薪，亦不存在自营或为他人经营与公司经营范围相同业务的情形；公司的财务人员未在控股股东、实际控制人处兼职。公司</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的劳动、人事及工资管理完全独立。公司董事、监事均严格按照《公司法》和《公司章程》的有关规定选举产生，公司高级</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6"/>
          <w:w w:val="101"/>
          <w:sz w:val="18"/>
          <w:szCs w:val="18"/>
        </w:rPr>
        <w:t>管理人员都是公司董事会依职权聘任的，不存在股东或其他关联方干涉公司有关人事任免的情况。公司拥有独立的员工队伍，</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3"/>
          <w:sz w:val="18"/>
          <w:szCs w:val="18"/>
        </w:rPr>
        <w:t>并已建立较为完善的劳动用工和人事管理制度。公司已依据国家的法律法规与公司员工签订了劳动合同并缴纳社会保险费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用、住房公积金，公司拥有独立的劳动用工权利，不存在受控股股东干涉的现象。</w:t>
      </w:r>
    </w:p>
    <w:p>
      <w:pPr>
        <w:spacing w:line="319" w:lineRule="auto" w:before="19"/>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（三）资产的独立性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公司拥有开展生产经营所必须的资产，包括专利权、商标权、计算机软件著作权和软件开发所需要的设备、车辆、土地</w:t>
      </w:r>
    </w:p>
    <w:p>
      <w:pPr>
        <w:spacing w:line="316" w:lineRule="auto" w:before="17"/>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使用权、房屋建筑物等。公司资产产权界定明确，不存在以承包、委托经营、租赁或其他类似方式，依赖关联方的资产进行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生产和经营的情形。公司没有以资产、权益或信誉为控股股东的债务提供过担保，不存在资产、资金被控股股东占用而损害</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before="46"/>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公司其他股东利益的情况。</w:t>
      </w:r>
    </w:p>
    <w:p>
      <w:pPr>
        <w:spacing w:line="316" w:lineRule="auto" w:before="76"/>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（四）机构的独立性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公司建立了健全的法人治理机构，公司根据《公司法》和《公司章程》及其他有关法律法规的规定，设立了股东大会、</w:t>
      </w:r>
    </w:p>
    <w:p>
      <w:pPr>
        <w:spacing w:line="316" w:lineRule="auto" w:before="19"/>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董事会、监事会以及经营管理层，并制定了相关议事规则和工作细则。公司已经按照法律、法规的规定和公司的实际情况设</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置了公司的组织机构，独立于控股股东和其他关联方，具有健全的内部经营管理机构，独立行使经营管理职权，公司及其职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能部门与控股股东及其职能部门之间不存在上下级关系，任何企业无权以任何形式干预公司的经营活动。公司不存在与控股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股东、实际控制人机构混同的情形。</w:t>
      </w:r>
    </w:p>
    <w:p>
      <w:pPr>
        <w:spacing w:line="316" w:lineRule="auto" w:before="19"/>
        <w:ind w:left="446" w:right="0" w:hanging="72"/>
        <w:jc w:val="left"/>
        <w:rPr>
          <w:rFonts w:ascii="宋体" w:hAnsi="宋体" w:cs="宋体" w:eastAsia="宋体" w:hint="default"/>
          <w:sz w:val="18"/>
          <w:szCs w:val="18"/>
        </w:rPr>
      </w:pPr>
      <w:r>
        <w:rPr>
          <w:rFonts w:ascii="宋体" w:hAnsi="宋体" w:cs="宋体" w:eastAsia="宋体" w:hint="default"/>
          <w:spacing w:val="-3"/>
          <w:sz w:val="18"/>
          <w:szCs w:val="18"/>
        </w:rPr>
        <w:t>（五）财务的独立性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公司设有独立的财务部门，建立独立的财务核算体系，能够独立作出财务决策，具有规范的财务会计制度和对驻外机构</w:t>
      </w:r>
    </w:p>
    <w:p>
      <w:pPr>
        <w:spacing w:line="316" w:lineRule="auto" w:before="19"/>
        <w:ind w:left="153" w:right="993" w:firstLine="0"/>
        <w:jc w:val="left"/>
        <w:rPr>
          <w:rFonts w:ascii="宋体" w:hAnsi="宋体" w:cs="宋体" w:eastAsia="宋体" w:hint="default"/>
          <w:sz w:val="18"/>
          <w:szCs w:val="18"/>
        </w:rPr>
      </w:pPr>
      <w:r>
        <w:rPr>
          <w:rFonts w:ascii="宋体" w:hAnsi="宋体" w:cs="宋体" w:eastAsia="宋体" w:hint="default"/>
          <w:spacing w:val="-5"/>
          <w:sz w:val="18"/>
          <w:szCs w:val="18"/>
        </w:rPr>
        <w:t>（分公司、办事处、研发中心）、子公司的财务管理制度；公司在银行独立开户，不存在与控股股东、实际控制人共用银行</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账户的情形。</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9"/>
      <w:bookmarkEnd w:id="139"/>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本报告期股东大会情况" w:id="141"/>
      <w:bookmarkEnd w:id="1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3" w:right="21"/>
              <w:jc w:val="both"/>
              <w:rPr>
                <w:rFonts w:ascii="Times New Roman" w:hAnsi="Times New Roman" w:cs="Times New Roman" w:eastAsia="Times New Roman" w:hint="default"/>
                <w:sz w:val="18"/>
                <w:szCs w:val="18"/>
              </w:rPr>
            </w:pPr>
            <w:hyperlink r:id="rId16">
              <w:r>
                <w:rPr>
                  <w:rFonts w:ascii="Times New Roman"/>
                  <w:spacing w:val="-3"/>
                  <w:sz w:val="18"/>
                </w:rPr>
                <w:t>http://www.cninfo.co</w:t>
              </w:r>
            </w:hyperlink>
            <w:r>
              <w:rPr>
                <w:rFonts w:ascii="Times New Roman"/>
                <w:spacing w:val="-7"/>
                <w:sz w:val="18"/>
              </w:rPr>
              <w:t> </w:t>
            </w:r>
            <w:r>
              <w:rPr>
                <w:rFonts w:ascii="Times New Roman"/>
                <w:spacing w:val="-7"/>
                <w:sz w:val="18"/>
              </w:rPr>
            </w:r>
            <w:r>
              <w:rPr>
                <w:rFonts w:ascii="Times New Roman"/>
                <w:spacing w:val="-2"/>
                <w:sz w:val="18"/>
              </w:rPr>
              <w:t>m.cn/new/disclosure/</w:t>
            </w:r>
            <w:r>
              <w:rPr>
                <w:rFonts w:ascii="Times New Roman"/>
                <w:spacing w:val="-13"/>
                <w:sz w:val="18"/>
              </w:rPr>
              <w:t> </w:t>
            </w:r>
            <w:r>
              <w:rPr>
                <w:rFonts w:ascii="Times New Roman"/>
                <w:spacing w:val="-13"/>
                <w:sz w:val="18"/>
              </w:rPr>
            </w:r>
            <w:r>
              <w:rPr>
                <w:rFonts w:ascii="Times New Roman"/>
                <w:spacing w:val="-2"/>
                <w:sz w:val="18"/>
              </w:rPr>
              <w:t>detail?plate=szse&amp;or</w:t>
            </w:r>
            <w:r>
              <w:rPr>
                <w:rFonts w:ascii="Times New Roman"/>
                <w:spacing w:val="-17"/>
                <w:sz w:val="18"/>
              </w:rPr>
              <w:t> </w:t>
            </w:r>
            <w:r>
              <w:rPr>
                <w:rFonts w:ascii="Times New Roman"/>
                <w:spacing w:val="-17"/>
                <w:sz w:val="18"/>
              </w:rPr>
            </w:r>
            <w:r>
              <w:rPr>
                <w:rFonts w:ascii="Times New Roman"/>
                <w:sz w:val="18"/>
              </w:rPr>
              <w:t>gId=9900000382&amp;st</w:t>
            </w:r>
          </w:p>
          <w:p>
            <w:pPr>
              <w:pStyle w:val="TableParagraph"/>
              <w:spacing w:line="362" w:lineRule="auto" w:before="5"/>
              <w:ind w:left="23" w:right="52"/>
              <w:jc w:val="both"/>
              <w:rPr>
                <w:rFonts w:ascii="Times New Roman" w:hAnsi="Times New Roman" w:cs="Times New Roman" w:eastAsia="Times New Roman" w:hint="default"/>
                <w:sz w:val="18"/>
                <w:szCs w:val="18"/>
              </w:rPr>
            </w:pPr>
            <w:r>
              <w:rPr>
                <w:rFonts w:ascii="Times New Roman"/>
                <w:spacing w:val="-2"/>
                <w:sz w:val="18"/>
              </w:rPr>
              <w:t>ockCode=002063&amp;a</w:t>
            </w:r>
            <w:r>
              <w:rPr>
                <w:rFonts w:ascii="Times New Roman"/>
                <w:spacing w:val="-11"/>
                <w:sz w:val="18"/>
              </w:rPr>
              <w:t> </w:t>
            </w:r>
            <w:r>
              <w:rPr>
                <w:rFonts w:ascii="Times New Roman"/>
                <w:spacing w:val="-11"/>
                <w:sz w:val="18"/>
              </w:rPr>
            </w:r>
            <w:r>
              <w:rPr>
                <w:rFonts w:ascii="Times New Roman"/>
                <w:spacing w:val="-2"/>
                <w:sz w:val="18"/>
              </w:rPr>
              <w:t>nnouncementId=120</w:t>
            </w:r>
            <w:r>
              <w:rPr>
                <w:rFonts w:ascii="Times New Roman"/>
                <w:spacing w:val="-15"/>
                <w:sz w:val="18"/>
              </w:rPr>
              <w:t> </w:t>
            </w:r>
            <w:r>
              <w:rPr>
                <w:rFonts w:ascii="Times New Roman"/>
                <w:spacing w:val="-15"/>
                <w:sz w:val="18"/>
              </w:rPr>
            </w:r>
            <w:r>
              <w:rPr>
                <w:rFonts w:ascii="Times New Roman"/>
                <w:sz w:val="18"/>
              </w:rPr>
              <w:t>6043131&amp;announce</w:t>
            </w:r>
            <w:r>
              <w:rPr>
                <w:rFonts w:ascii="Times New Roman"/>
                <w:w w:val="101"/>
                <w:sz w:val="18"/>
              </w:rPr>
              <w:t> </w:t>
            </w:r>
            <w:r>
              <w:rPr>
                <w:rFonts w:ascii="Times New Roman"/>
                <w:spacing w:val="-2"/>
                <w:sz w:val="18"/>
              </w:rPr>
              <w:t>mentTime=2019-04-</w:t>
            </w:r>
            <w:r>
              <w:rPr>
                <w:rFonts w:ascii="Times New Roman"/>
                <w:spacing w:val="-16"/>
                <w:sz w:val="18"/>
              </w:rPr>
              <w:t> </w:t>
            </w:r>
            <w:r>
              <w:rPr>
                <w:rFonts w:ascii="Times New Roman"/>
                <w:spacing w:val="-16"/>
                <w:sz w:val="18"/>
              </w:rPr>
            </w:r>
            <w:r>
              <w:rPr>
                <w:rFonts w:ascii="Times New Roman"/>
                <w:sz w:val="18"/>
              </w:rPr>
              <w:t>17</w:t>
            </w:r>
          </w:p>
        </w:tc>
      </w:tr>
      <w:tr>
        <w:trPr>
          <w:trHeight w:val="290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3" w:right="21"/>
              <w:jc w:val="both"/>
              <w:rPr>
                <w:rFonts w:ascii="Times New Roman" w:hAnsi="Times New Roman" w:cs="Times New Roman" w:eastAsia="Times New Roman" w:hint="default"/>
                <w:sz w:val="18"/>
                <w:szCs w:val="18"/>
              </w:rPr>
            </w:pPr>
            <w:hyperlink r:id="rId16">
              <w:r>
                <w:rPr>
                  <w:rFonts w:ascii="Times New Roman"/>
                  <w:spacing w:val="-3"/>
                  <w:sz w:val="18"/>
                </w:rPr>
                <w:t>http://www.cninfo.co</w:t>
              </w:r>
            </w:hyperlink>
            <w:r>
              <w:rPr>
                <w:rFonts w:ascii="Times New Roman"/>
                <w:spacing w:val="-7"/>
                <w:sz w:val="18"/>
              </w:rPr>
              <w:t> </w:t>
            </w:r>
            <w:r>
              <w:rPr>
                <w:rFonts w:ascii="Times New Roman"/>
                <w:spacing w:val="-7"/>
                <w:sz w:val="18"/>
              </w:rPr>
            </w:r>
            <w:r>
              <w:rPr>
                <w:rFonts w:ascii="Times New Roman"/>
                <w:spacing w:val="-2"/>
                <w:sz w:val="18"/>
              </w:rPr>
              <w:t>m.cn/new/disclosure/</w:t>
            </w:r>
            <w:r>
              <w:rPr>
                <w:rFonts w:ascii="Times New Roman"/>
                <w:spacing w:val="-13"/>
                <w:sz w:val="18"/>
              </w:rPr>
              <w:t> </w:t>
            </w:r>
            <w:r>
              <w:rPr>
                <w:rFonts w:ascii="Times New Roman"/>
                <w:spacing w:val="-13"/>
                <w:sz w:val="18"/>
              </w:rPr>
            </w:r>
            <w:r>
              <w:rPr>
                <w:rFonts w:ascii="Times New Roman"/>
                <w:spacing w:val="-2"/>
                <w:sz w:val="18"/>
              </w:rPr>
              <w:t>detail?plate=szse&amp;or</w:t>
            </w:r>
            <w:r>
              <w:rPr>
                <w:rFonts w:ascii="Times New Roman"/>
                <w:spacing w:val="-17"/>
                <w:sz w:val="18"/>
              </w:rPr>
              <w:t> </w:t>
            </w:r>
            <w:r>
              <w:rPr>
                <w:rFonts w:ascii="Times New Roman"/>
                <w:spacing w:val="-17"/>
                <w:sz w:val="18"/>
              </w:rPr>
            </w:r>
            <w:r>
              <w:rPr>
                <w:rFonts w:ascii="Times New Roman"/>
                <w:sz w:val="18"/>
              </w:rPr>
              <w:t>gId=9900000382&amp;st</w:t>
            </w:r>
          </w:p>
          <w:p>
            <w:pPr>
              <w:pStyle w:val="TableParagraph"/>
              <w:spacing w:line="362" w:lineRule="auto" w:before="5"/>
              <w:ind w:left="23" w:right="52"/>
              <w:jc w:val="both"/>
              <w:rPr>
                <w:rFonts w:ascii="Times New Roman" w:hAnsi="Times New Roman" w:cs="Times New Roman" w:eastAsia="Times New Roman" w:hint="default"/>
                <w:sz w:val="18"/>
                <w:szCs w:val="18"/>
              </w:rPr>
            </w:pPr>
            <w:r>
              <w:rPr>
                <w:rFonts w:ascii="Times New Roman"/>
                <w:spacing w:val="-2"/>
                <w:sz w:val="18"/>
              </w:rPr>
              <w:t>ockCode=002063&amp;a</w:t>
            </w:r>
            <w:r>
              <w:rPr>
                <w:rFonts w:ascii="Times New Roman"/>
                <w:spacing w:val="-11"/>
                <w:sz w:val="18"/>
              </w:rPr>
              <w:t> </w:t>
            </w:r>
            <w:r>
              <w:rPr>
                <w:rFonts w:ascii="Times New Roman"/>
                <w:spacing w:val="-11"/>
                <w:sz w:val="18"/>
              </w:rPr>
            </w:r>
            <w:r>
              <w:rPr>
                <w:rFonts w:ascii="Times New Roman"/>
                <w:spacing w:val="-2"/>
                <w:sz w:val="18"/>
              </w:rPr>
              <w:t>nnouncementId=120</w:t>
            </w:r>
            <w:r>
              <w:rPr>
                <w:rFonts w:ascii="Times New Roman"/>
                <w:spacing w:val="-15"/>
                <w:sz w:val="18"/>
              </w:rPr>
              <w:t> </w:t>
            </w:r>
            <w:r>
              <w:rPr>
                <w:rFonts w:ascii="Times New Roman"/>
                <w:spacing w:val="-15"/>
                <w:sz w:val="18"/>
              </w:rPr>
            </w:r>
            <w:r>
              <w:rPr>
                <w:rFonts w:ascii="Times New Roman"/>
                <w:sz w:val="18"/>
              </w:rPr>
              <w:t>6282704&amp;announce</w:t>
            </w:r>
            <w:r>
              <w:rPr>
                <w:rFonts w:ascii="Times New Roman"/>
                <w:w w:val="101"/>
                <w:sz w:val="18"/>
              </w:rPr>
              <w:t> </w:t>
            </w:r>
            <w:r>
              <w:rPr>
                <w:rFonts w:ascii="Times New Roman"/>
                <w:spacing w:val="-2"/>
                <w:sz w:val="18"/>
              </w:rPr>
              <w:t>mentTime=2019-05-</w:t>
            </w:r>
            <w:r>
              <w:rPr>
                <w:rFonts w:ascii="Times New Roman"/>
                <w:spacing w:val="-16"/>
                <w:sz w:val="18"/>
              </w:rPr>
              <w:t> </w:t>
            </w:r>
            <w:r>
              <w:rPr>
                <w:rFonts w:ascii="Times New Roman"/>
                <w:spacing w:val="-16"/>
                <w:sz w:val="18"/>
              </w:rPr>
            </w:r>
            <w:r>
              <w:rPr>
                <w:rFonts w:ascii="Times New Roman"/>
                <w:sz w:val="18"/>
              </w:rPr>
              <w:t>18</w:t>
            </w:r>
          </w:p>
        </w:tc>
      </w:tr>
      <w:tr>
        <w:trPr>
          <w:trHeight w:val="129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3" w:right="21"/>
              <w:jc w:val="both"/>
              <w:rPr>
                <w:rFonts w:ascii="Times New Roman" w:hAnsi="Times New Roman" w:cs="Times New Roman" w:eastAsia="Times New Roman" w:hint="default"/>
                <w:sz w:val="18"/>
                <w:szCs w:val="18"/>
              </w:rPr>
            </w:pPr>
            <w:hyperlink r:id="rId16">
              <w:r>
                <w:rPr>
                  <w:rFonts w:ascii="Times New Roman"/>
                  <w:spacing w:val="-3"/>
                  <w:sz w:val="18"/>
                </w:rPr>
                <w:t>http://www.cninfo.co</w:t>
              </w:r>
            </w:hyperlink>
            <w:r>
              <w:rPr>
                <w:rFonts w:ascii="Times New Roman"/>
                <w:spacing w:val="-7"/>
                <w:sz w:val="18"/>
              </w:rPr>
              <w:t> </w:t>
            </w:r>
            <w:r>
              <w:rPr>
                <w:rFonts w:ascii="Times New Roman"/>
                <w:spacing w:val="-7"/>
                <w:sz w:val="18"/>
              </w:rPr>
            </w:r>
            <w:r>
              <w:rPr>
                <w:rFonts w:ascii="Times New Roman"/>
                <w:spacing w:val="-2"/>
                <w:sz w:val="18"/>
              </w:rPr>
              <w:t>m.cn/new/disclosure/</w:t>
            </w:r>
            <w:r>
              <w:rPr>
                <w:rFonts w:ascii="Times New Roman"/>
                <w:spacing w:val="-13"/>
                <w:sz w:val="18"/>
              </w:rPr>
              <w:t> </w:t>
            </w:r>
            <w:r>
              <w:rPr>
                <w:rFonts w:ascii="Times New Roman"/>
                <w:spacing w:val="-13"/>
                <w:sz w:val="18"/>
              </w:rPr>
            </w:r>
            <w:r>
              <w:rPr>
                <w:rFonts w:ascii="Times New Roman"/>
                <w:spacing w:val="-2"/>
                <w:sz w:val="18"/>
              </w:rPr>
              <w:t>detail?plate=szse&amp;or</w:t>
            </w:r>
            <w:r>
              <w:rPr>
                <w:rFonts w:ascii="Times New Roman"/>
                <w:spacing w:val="-15"/>
                <w:sz w:val="18"/>
              </w:rPr>
              <w:t> </w:t>
            </w:r>
            <w:r>
              <w:rPr>
                <w:rFonts w:ascii="Times New Roman"/>
                <w:spacing w:val="-15"/>
                <w:sz w:val="18"/>
              </w:rPr>
            </w:r>
            <w:r>
              <w:rPr>
                <w:rFonts w:ascii="Times New Roman"/>
                <w:sz w:val="18"/>
              </w:rPr>
              <w:t>gId=9900000382&amp;st</w:t>
            </w:r>
          </w:p>
        </w:tc>
      </w:tr>
    </w:tbl>
    <w:p>
      <w:pPr>
        <w:spacing w:after="0" w:line="360" w:lineRule="auto"/>
        <w:jc w:val="both"/>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1609"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23" w:right="52"/>
              <w:jc w:val="both"/>
              <w:rPr>
                <w:rFonts w:ascii="Times New Roman" w:hAnsi="Times New Roman" w:cs="Times New Roman" w:eastAsia="Times New Roman" w:hint="default"/>
                <w:sz w:val="18"/>
                <w:szCs w:val="18"/>
              </w:rPr>
            </w:pPr>
            <w:r>
              <w:rPr>
                <w:rFonts w:ascii="Times New Roman"/>
                <w:spacing w:val="-2"/>
                <w:sz w:val="18"/>
              </w:rPr>
              <w:t>ockCode=002063&amp;a</w:t>
            </w:r>
            <w:r>
              <w:rPr>
                <w:rFonts w:ascii="Times New Roman"/>
                <w:spacing w:val="-11"/>
                <w:sz w:val="18"/>
              </w:rPr>
              <w:t> </w:t>
            </w:r>
            <w:r>
              <w:rPr>
                <w:rFonts w:ascii="Times New Roman"/>
                <w:spacing w:val="-11"/>
                <w:sz w:val="18"/>
              </w:rPr>
            </w:r>
            <w:r>
              <w:rPr>
                <w:rFonts w:ascii="Times New Roman"/>
                <w:spacing w:val="-2"/>
                <w:sz w:val="18"/>
              </w:rPr>
              <w:t>nnouncementId=120</w:t>
            </w:r>
            <w:r>
              <w:rPr>
                <w:rFonts w:ascii="Times New Roman"/>
                <w:spacing w:val="-15"/>
                <w:sz w:val="18"/>
              </w:rPr>
              <w:t> </w:t>
            </w:r>
            <w:r>
              <w:rPr>
                <w:rFonts w:ascii="Times New Roman"/>
                <w:spacing w:val="-15"/>
                <w:sz w:val="18"/>
              </w:rPr>
            </w:r>
            <w:r>
              <w:rPr>
                <w:rFonts w:ascii="Times New Roman"/>
                <w:sz w:val="18"/>
              </w:rPr>
              <w:t>6929072&amp;announce</w:t>
            </w:r>
            <w:r>
              <w:rPr>
                <w:rFonts w:ascii="Times New Roman"/>
                <w:w w:val="101"/>
                <w:sz w:val="18"/>
              </w:rPr>
              <w:t> </w:t>
            </w:r>
            <w:r>
              <w:rPr>
                <w:rFonts w:ascii="Times New Roman"/>
                <w:spacing w:val="-2"/>
                <w:sz w:val="18"/>
              </w:rPr>
              <w:t>mentTime=2019-09-</w:t>
            </w:r>
            <w:r>
              <w:rPr>
                <w:rFonts w:ascii="Times New Roman"/>
                <w:spacing w:val="-16"/>
                <w:sz w:val="18"/>
              </w:rPr>
              <w:t> </w:t>
            </w:r>
            <w:r>
              <w:rPr>
                <w:rFonts w:ascii="Times New Roman"/>
                <w:spacing w:val="-16"/>
                <w:sz w:val="18"/>
              </w:rPr>
            </w:r>
            <w:r>
              <w:rPr>
                <w:rFonts w:ascii="Times New Roman"/>
                <w:sz w:val="18"/>
              </w:rPr>
              <w:t>18</w:t>
            </w:r>
          </w:p>
        </w:tc>
      </w:tr>
      <w:tr>
        <w:trPr>
          <w:trHeight w:val="290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1"/>
              <w:jc w:val="both"/>
              <w:rPr>
                <w:rFonts w:ascii="Times New Roman" w:hAnsi="Times New Roman" w:cs="Times New Roman" w:eastAsia="Times New Roman" w:hint="default"/>
                <w:sz w:val="18"/>
                <w:szCs w:val="18"/>
              </w:rPr>
            </w:pPr>
            <w:hyperlink r:id="rId16">
              <w:r>
                <w:rPr>
                  <w:rFonts w:ascii="Times New Roman"/>
                  <w:spacing w:val="-3"/>
                  <w:sz w:val="18"/>
                </w:rPr>
                <w:t>http://www.cninfo.co</w:t>
              </w:r>
            </w:hyperlink>
            <w:r>
              <w:rPr>
                <w:rFonts w:ascii="Times New Roman"/>
                <w:spacing w:val="-7"/>
                <w:sz w:val="18"/>
              </w:rPr>
              <w:t> </w:t>
            </w:r>
            <w:r>
              <w:rPr>
                <w:rFonts w:ascii="Times New Roman"/>
                <w:spacing w:val="-7"/>
                <w:sz w:val="18"/>
              </w:rPr>
            </w:r>
            <w:r>
              <w:rPr>
                <w:rFonts w:ascii="Times New Roman"/>
                <w:spacing w:val="-2"/>
                <w:sz w:val="18"/>
              </w:rPr>
              <w:t>m.cn/new/disclosure/</w:t>
            </w:r>
            <w:r>
              <w:rPr>
                <w:rFonts w:ascii="Times New Roman"/>
                <w:spacing w:val="-13"/>
                <w:sz w:val="18"/>
              </w:rPr>
              <w:t> </w:t>
            </w:r>
            <w:r>
              <w:rPr>
                <w:rFonts w:ascii="Times New Roman"/>
                <w:spacing w:val="-13"/>
                <w:sz w:val="18"/>
              </w:rPr>
            </w:r>
            <w:r>
              <w:rPr>
                <w:rFonts w:ascii="Times New Roman"/>
                <w:spacing w:val="-2"/>
                <w:sz w:val="18"/>
              </w:rPr>
              <w:t>detail?plate=szse&amp;or</w:t>
            </w:r>
            <w:r>
              <w:rPr>
                <w:rFonts w:ascii="Times New Roman"/>
                <w:spacing w:val="-17"/>
                <w:sz w:val="18"/>
              </w:rPr>
              <w:t> </w:t>
            </w:r>
            <w:r>
              <w:rPr>
                <w:rFonts w:ascii="Times New Roman"/>
                <w:spacing w:val="-17"/>
                <w:sz w:val="18"/>
              </w:rPr>
            </w:r>
            <w:r>
              <w:rPr>
                <w:rFonts w:ascii="Times New Roman"/>
                <w:sz w:val="18"/>
              </w:rPr>
              <w:t>gId=9900000382&amp;st</w:t>
            </w:r>
          </w:p>
          <w:p>
            <w:pPr>
              <w:pStyle w:val="TableParagraph"/>
              <w:spacing w:line="362" w:lineRule="auto" w:before="3"/>
              <w:ind w:left="23" w:right="51"/>
              <w:jc w:val="both"/>
              <w:rPr>
                <w:rFonts w:ascii="Times New Roman" w:hAnsi="Times New Roman" w:cs="Times New Roman" w:eastAsia="Times New Roman" w:hint="default"/>
                <w:sz w:val="18"/>
                <w:szCs w:val="18"/>
              </w:rPr>
            </w:pPr>
            <w:r>
              <w:rPr>
                <w:rFonts w:ascii="Times New Roman"/>
                <w:spacing w:val="-2"/>
                <w:sz w:val="18"/>
              </w:rPr>
              <w:t>ockCode=002063&amp;a</w:t>
            </w:r>
            <w:r>
              <w:rPr>
                <w:rFonts w:ascii="Times New Roman"/>
                <w:spacing w:val="-10"/>
                <w:sz w:val="18"/>
              </w:rPr>
              <w:t> </w:t>
            </w:r>
            <w:r>
              <w:rPr>
                <w:rFonts w:ascii="Times New Roman"/>
                <w:spacing w:val="-10"/>
                <w:sz w:val="18"/>
              </w:rPr>
            </w:r>
            <w:r>
              <w:rPr>
                <w:rFonts w:ascii="Times New Roman"/>
                <w:spacing w:val="-2"/>
                <w:sz w:val="18"/>
              </w:rPr>
              <w:t>nnouncementId=120</w:t>
            </w:r>
            <w:r>
              <w:rPr>
                <w:rFonts w:ascii="Times New Roman"/>
                <w:spacing w:val="-15"/>
                <w:sz w:val="18"/>
              </w:rPr>
              <w:t> </w:t>
            </w:r>
            <w:r>
              <w:rPr>
                <w:rFonts w:ascii="Times New Roman"/>
                <w:spacing w:val="-15"/>
                <w:sz w:val="18"/>
              </w:rPr>
            </w:r>
            <w:r>
              <w:rPr>
                <w:rFonts w:ascii="Times New Roman"/>
                <w:sz w:val="18"/>
              </w:rPr>
              <w:t>7087854&amp;announce</w:t>
            </w:r>
            <w:r>
              <w:rPr>
                <w:rFonts w:ascii="Times New Roman"/>
                <w:w w:val="101"/>
                <w:sz w:val="18"/>
              </w:rPr>
              <w:t> </w:t>
            </w:r>
            <w:r>
              <w:rPr>
                <w:rFonts w:ascii="Times New Roman"/>
                <w:spacing w:val="-3"/>
                <w:sz w:val="18"/>
              </w:rPr>
              <w:t>mentTime=2019-11-</w:t>
            </w:r>
            <w:r>
              <w:rPr>
                <w:rFonts w:ascii="Times New Roman"/>
                <w:spacing w:val="-9"/>
                <w:sz w:val="18"/>
              </w:rPr>
              <w:t> </w:t>
            </w:r>
            <w:r>
              <w:rPr>
                <w:rFonts w:ascii="Times New Roman"/>
                <w:spacing w:val="-9"/>
                <w:sz w:val="18"/>
              </w:rPr>
            </w:r>
            <w:r>
              <w:rPr>
                <w:rFonts w:ascii="Times New Roman"/>
                <w:sz w:val="18"/>
              </w:rPr>
              <w:t>14</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表决权恢复的优先股股东请求召开临时股东大会" w:id="142"/>
      <w:bookmarkEnd w:id="1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独立董事出席董事会及股东大会的情况"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独立董事对公司有关事项提出异议的情况"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43" w:lineRule="auto" w:before="115"/>
        <w:ind w:left="153"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独立董事履行职责的其他说明" w:id="146"/>
      <w:bookmarkEnd w:id="1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before="1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line="336"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独立董事对公司有关建议被采纳或未被采纳的说明</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报告期内，公司独立董事严格按照《公司法》、《关于在上市公司建立独立董事制度的指导意见》、《深圳证券交易所中小</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企业板上市规范运作指引》以及本公司章程的规定，积极履行自身职责。公司独立董事始终坚持公平、公正的原则，充分运</w:t>
      </w:r>
    </w:p>
    <w:p>
      <w:pPr>
        <w:spacing w:line="316" w:lineRule="auto" w:before="5"/>
        <w:ind w:left="153" w:right="993" w:firstLine="0"/>
        <w:jc w:val="left"/>
        <w:rPr>
          <w:rFonts w:ascii="宋体" w:hAnsi="宋体" w:cs="宋体" w:eastAsia="宋体" w:hint="default"/>
          <w:sz w:val="18"/>
          <w:szCs w:val="18"/>
        </w:rPr>
      </w:pPr>
      <w:r>
        <w:rPr>
          <w:rFonts w:ascii="宋体" w:hAnsi="宋体" w:cs="宋体" w:eastAsia="宋体" w:hint="default"/>
          <w:spacing w:val="-4"/>
          <w:sz w:val="18"/>
          <w:szCs w:val="18"/>
        </w:rPr>
        <w:t>用上市公司独立董事的权力，认真履行职责，公司独立董事针对内部控制规范化建设等方面提出了合理意见和建议，公司已</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采纳。</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spacing w:line="307" w:lineRule="auto" w:before="0"/>
        <w:ind w:left="153" w:right="1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报告期内，审计委员会召开了</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次会议，对公司内部审计部门提供的内部审计报告、续聘审计机构等议案进行了审议；并按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照《董事会审计委员会年报工作规程》，充分发挥审计委员会的监督作用，提高公司定期报告信息披露质量。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、提名委员会</w:t>
      </w:r>
    </w:p>
    <w:p>
      <w:pPr>
        <w:spacing w:line="300" w:lineRule="auto" w:before="7"/>
        <w:ind w:left="153" w:right="1191" w:firstLine="0"/>
        <w:jc w:val="left"/>
        <w:rPr>
          <w:rFonts w:ascii="宋体" w:hAnsi="宋体" w:cs="宋体" w:eastAsia="宋体" w:hint="default"/>
          <w:sz w:val="18"/>
          <w:szCs w:val="18"/>
        </w:rPr>
      </w:pPr>
      <w:r>
        <w:rPr>
          <w:rFonts w:ascii="宋体" w:hAnsi="宋体" w:cs="宋体" w:eastAsia="宋体" w:hint="default"/>
          <w:spacing w:val="-3"/>
          <w:sz w:val="18"/>
          <w:szCs w:val="18"/>
        </w:rPr>
        <w:t>报告期内，提名委员会召开了</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次会议，提名了公司非独立董事、高级管理人员以及副董事长的人选。</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、薪酬与考核委员会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报告期内，薪酬与考核委员会召开了</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次会议，审议了公司董事、高级管理人员的薪酬情况，核查了公司</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年限制性股票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激励计划首次授予股票第三个解除限售期（预留授予股票第二个解除限售期）可解除限售的激励对象名单等。</w:t>
      </w:r>
      <w:r>
        <w:rPr>
          <w:rFonts w:ascii="宋体" w:hAnsi="宋体" w:cs="宋体" w:eastAsia="宋体" w:hint="default"/>
          <w:sz w:val="18"/>
          <w:szCs w:val="18"/>
        </w:rPr>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43" w:lineRule="auto" w:before="115"/>
        <w:ind w:left="153" w:right="7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spacing w:line="316" w:lineRule="auto" w:before="0"/>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公司高级管理人员均由董事会聘任，董事会薪酬与考核委员会负责对公司高级管理人员的工作能力、履职情况、责任目标完</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成情况进行考评。报告期内，公司加强绩效管理工作，根据发展战略和年度经营目标，确定公司年度经营重点工作，并从财</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务、业务、基础管理及能力等维度，以经营管理工作及相关能力表现相结合的形式进行考评。</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发现的内部控制重大缺陷的具体情况" w:id="151"/>
      <w:bookmarkEnd w:id="1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内控自我评价报告"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年度内部控制自我评价报告》</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before="0"/>
        <w:ind w:left="0" w:right="1151" w:firstLine="0"/>
        <w:jc w:val="right"/>
        <w:rPr>
          <w:rFonts w:ascii="宋体" w:hAnsi="宋体" w:cs="宋体" w:eastAsia="宋体" w:hint="default"/>
          <w:sz w:val="18"/>
          <w:szCs w:val="18"/>
        </w:rPr>
      </w:pPr>
      <w:r>
        <w:rPr/>
        <w:pict>
          <v:shape style="position:absolute;margin-left:56.424pt;margin-top:-147.218292pt;width:479.25pt;height:631.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33"/>
                    <w:gridCol w:w="3049"/>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3"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10" w:space="0" w:color="FFFFFF"/>
                        </w:tcBorders>
                      </w:tcPr>
                      <w:p>
                        <w:pPr>
                          <w:pStyle w:val="TableParagraph"/>
                          <w:spacing w:line="316" w:lineRule="auto" w:before="53"/>
                          <w:ind w:left="21" w:right="10"/>
                          <w:jc w:val="both"/>
                          <w:rPr>
                            <w:rFonts w:ascii="宋体" w:hAnsi="宋体" w:cs="宋体" w:eastAsia="宋体" w:hint="default"/>
                            <w:sz w:val="18"/>
                            <w:szCs w:val="18"/>
                          </w:rPr>
                        </w:pPr>
                        <w:r>
                          <w:rPr>
                            <w:rFonts w:ascii="宋体" w:hAnsi="宋体" w:cs="宋体" w:eastAsia="宋体" w:hint="default"/>
                            <w:spacing w:val="-3"/>
                            <w:sz w:val="18"/>
                            <w:szCs w:val="18"/>
                          </w:rPr>
                          <w:t>财务报告内部控制存在重大缺陷包括：控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制环境无效；公司董事、监事和高级管理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人员舞弊并给企业造成重要损失和不利影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响；注册会计师发现当期财务报告中存在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重大错报，而内部控制在运行过程中未能</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发现该错报；公司审计委员会和内部审计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机构对内部控制监督无效。</w:t>
                        </w:r>
                        <w:r>
                          <w:rPr>
                            <w:rFonts w:ascii="宋体" w:hAnsi="宋体" w:cs="宋体" w:eastAsia="宋体" w:hint="default"/>
                            <w:spacing w:val="-47"/>
                            <w:sz w:val="18"/>
                            <w:szCs w:val="18"/>
                          </w:rPr>
                          <w:t> </w:t>
                        </w:r>
                        <w:r>
                          <w:rPr>
                            <w:rFonts w:ascii="宋体" w:hAnsi="宋体" w:cs="宋体" w:eastAsia="宋体" w:hint="default"/>
                            <w:sz w:val="18"/>
                            <w:szCs w:val="18"/>
                          </w:rPr>
                          <w:t>财务报告内部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控制存在重要缺陷包括：未依照公认会计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准则选择和应用会计政策；未建立反舞弊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程序和控制措施；对于非常规或特殊交易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的账务处理没有建立相应的控制机制或没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有实施且没有相应的补偿性控制；对于期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末财务报告过程的控制存在一项或多项缺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陷且不能合理保证编制的财务报表达到真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实、准确的目标。一般缺陷：未构成重大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缺陷、重要缺陷标准的其他内部控制缺陷</w:t>
                        </w:r>
                      </w:p>
                    </w:tc>
                    <w:tc>
                      <w:tcPr>
                        <w:tcW w:w="3049" w:type="dxa"/>
                        <w:vMerge w:val="restart"/>
                        <w:tcBorders>
                          <w:top w:val="single" w:sz="4" w:space="0" w:color="000000"/>
                          <w:left w:val="single" w:sz="10"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12"/>
                          <w:jc w:val="left"/>
                          <w:rPr>
                            <w:rFonts w:ascii="宋体" w:hAnsi="宋体" w:cs="宋体" w:eastAsia="宋体" w:hint="default"/>
                            <w:sz w:val="18"/>
                            <w:szCs w:val="18"/>
                          </w:rPr>
                        </w:pPr>
                        <w:r>
                          <w:rPr>
                            <w:rFonts w:ascii="宋体" w:hAnsi="宋体" w:cs="宋体" w:eastAsia="宋体" w:hint="default"/>
                            <w:spacing w:val="-3"/>
                            <w:sz w:val="18"/>
                            <w:szCs w:val="18"/>
                          </w:rPr>
                          <w:t>公司确定的非财务报告内部控制缺陷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评价的定性标准以缺陷对业务流程有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效性的影响程度、发生的可能性作判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定，认定标准如下： ①非财务报告内</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部控制的重大缺陷包括：缺陷发生的可</w:t>
                        </w:r>
                        <w:r>
                          <w:rPr>
                            <w:rFonts w:ascii="宋体" w:hAnsi="宋体" w:cs="宋体" w:eastAsia="宋体" w:hint="default"/>
                            <w:w w:val="101"/>
                            <w:sz w:val="18"/>
                            <w:szCs w:val="18"/>
                          </w:rPr>
                          <w:t> </w:t>
                        </w:r>
                        <w:r>
                          <w:rPr>
                            <w:rFonts w:ascii="宋体" w:hAnsi="宋体" w:cs="宋体" w:eastAsia="宋体" w:hint="default"/>
                            <w:spacing w:val="-3"/>
                            <w:sz w:val="18"/>
                            <w:szCs w:val="18"/>
                          </w:rPr>
                          <w:t>能性高，会严重降低工作效率或效果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w w:val="101"/>
                            <w:sz w:val="18"/>
                            <w:szCs w:val="18"/>
                          </w:rPr>
                          <w:t>或严重加大效果的不确定性、或使之严</w:t>
                        </w:r>
                        <w:r>
                          <w:rPr>
                            <w:rFonts w:ascii="宋体" w:hAnsi="宋体" w:cs="宋体" w:eastAsia="宋体" w:hint="default"/>
                            <w:w w:val="101"/>
                            <w:sz w:val="18"/>
                            <w:szCs w:val="18"/>
                          </w:rPr>
                          <w:t> </w:t>
                        </w:r>
                        <w:r>
                          <w:rPr>
                            <w:rFonts w:ascii="宋体" w:hAnsi="宋体" w:cs="宋体" w:eastAsia="宋体" w:hint="default"/>
                            <w:spacing w:val="-6"/>
                            <w:sz w:val="18"/>
                            <w:szCs w:val="18"/>
                          </w:rPr>
                          <w:t>重偏离预期目标。②非财务报告内部控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6"/>
                            <w:w w:val="101"/>
                            <w:sz w:val="18"/>
                            <w:szCs w:val="18"/>
                          </w:rPr>
                          <w:t>制的重要缺陷包括：缺陷发生的可能性</w:t>
                        </w:r>
                        <w:r>
                          <w:rPr>
                            <w:rFonts w:ascii="宋体" w:hAnsi="宋体" w:cs="宋体" w:eastAsia="宋体" w:hint="default"/>
                            <w:w w:val="101"/>
                            <w:sz w:val="18"/>
                            <w:szCs w:val="18"/>
                          </w:rPr>
                          <w:t> </w:t>
                        </w:r>
                        <w:r>
                          <w:rPr>
                            <w:rFonts w:ascii="宋体" w:hAnsi="宋体" w:cs="宋体" w:eastAsia="宋体" w:hint="default"/>
                            <w:spacing w:val="-7"/>
                            <w:sz w:val="18"/>
                            <w:szCs w:val="18"/>
                          </w:rPr>
                          <w:t>较高，会显著降低工作效率或效果、或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显著加大效果的不确定性、或使之显著</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偏离预期目标。③非财务报告内部控制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的一般缺陷包括：缺陷发生的可能性较</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小，会降低工作效率或效果、或加大效</w:t>
                        </w:r>
                      </w:p>
                      <w:p>
                        <w:pPr>
                          <w:pStyle w:val="TableParagraph"/>
                          <w:spacing w:line="195" w:lineRule="exact" w:before="23"/>
                          <w:ind w:left="16" w:right="0"/>
                          <w:jc w:val="left"/>
                          <w:rPr>
                            <w:rFonts w:ascii="宋体" w:hAnsi="宋体" w:cs="宋体" w:eastAsia="宋体" w:hint="default"/>
                            <w:sz w:val="18"/>
                            <w:szCs w:val="18"/>
                          </w:rPr>
                        </w:pPr>
                        <w:r>
                          <w:rPr>
                            <w:rFonts w:ascii="宋体" w:hAnsi="宋体" w:cs="宋体" w:eastAsia="宋体" w:hint="default"/>
                            <w:spacing w:val="-3"/>
                            <w:sz w:val="18"/>
                            <w:szCs w:val="18"/>
                          </w:rPr>
                          <w:t>果的不确定性、或使之偏离预期目标</w:t>
                        </w:r>
                      </w:p>
                      <w:p>
                        <w:pPr>
                          <w:pStyle w:val="TableParagraph"/>
                          <w:spacing w:line="195" w:lineRule="exact"/>
                          <w:ind w:left="-12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2348"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r>
                    <w:trPr>
                      <w:trHeight w:val="2189"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00" w:lineRule="auto" w:before="53"/>
                          <w:ind w:left="21" w:right="23"/>
                          <w:jc w:val="left"/>
                          <w:rPr>
                            <w:rFonts w:ascii="宋体" w:hAnsi="宋体" w:cs="宋体" w:eastAsia="宋体" w:hint="default"/>
                            <w:sz w:val="18"/>
                            <w:szCs w:val="18"/>
                          </w:rPr>
                        </w:pPr>
                        <w:r>
                          <w:rPr>
                            <w:rFonts w:ascii="宋体" w:hAnsi="宋体" w:cs="宋体" w:eastAsia="宋体" w:hint="default"/>
                            <w:spacing w:val="-3"/>
                            <w:sz w:val="18"/>
                            <w:szCs w:val="18"/>
                          </w:rPr>
                          <w:t>①涉及收入的错报项目：</w:t>
                        </w:r>
                        <w:r>
                          <w:rPr>
                            <w:rFonts w:ascii="宋体" w:hAnsi="宋体" w:cs="宋体" w:eastAsia="宋体" w:hint="default"/>
                            <w:spacing w:val="41"/>
                            <w:sz w:val="18"/>
                            <w:szCs w:val="18"/>
                          </w:rPr>
                          <w:t> </w:t>
                        </w:r>
                        <w:r>
                          <w:rPr>
                            <w:rFonts w:ascii="宋体" w:hAnsi="宋体" w:cs="宋体" w:eastAsia="宋体" w:hint="default"/>
                            <w:spacing w:val="-3"/>
                            <w:sz w:val="18"/>
                            <w:szCs w:val="18"/>
                          </w:rPr>
                          <w:t>潜在错报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w:t>
                        </w:r>
                        <w:r>
                          <w:rPr>
                            <w:rFonts w:ascii="宋体" w:hAnsi="宋体" w:cs="宋体" w:eastAsia="宋体" w:hint="default"/>
                            <w:spacing w:val="-74"/>
                            <w:sz w:val="18"/>
                            <w:szCs w:val="18"/>
                          </w:rPr>
                          <w:t> </w:t>
                        </w:r>
                        <w:r>
                          <w:rPr>
                            <w:rFonts w:ascii="宋体" w:hAnsi="宋体" w:cs="宋体" w:eastAsia="宋体" w:hint="default"/>
                            <w:sz w:val="18"/>
                            <w:szCs w:val="18"/>
                          </w:rPr>
                          <w:t>收入总额的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为重大缺陷；营业收入总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额的</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潜在错报＜营业收入总额的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为重要缺陷；潜在错报＜营业收入总</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为一般缺陷</w:t>
                        </w:r>
                        <w:r>
                          <w:rPr>
                            <w:rFonts w:ascii="宋体" w:hAnsi="宋体" w:cs="宋体" w:eastAsia="宋体" w:hint="default"/>
                            <w:spacing w:val="-1"/>
                            <w:sz w:val="18"/>
                            <w:szCs w:val="18"/>
                          </w:rPr>
                          <w:t> </w:t>
                        </w:r>
                        <w:r>
                          <w:rPr>
                            <w:rFonts w:ascii="宋体" w:hAnsi="宋体" w:cs="宋体" w:eastAsia="宋体" w:hint="default"/>
                            <w:sz w:val="18"/>
                            <w:szCs w:val="18"/>
                          </w:rPr>
                          <w:t>。②涉及利润的错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报项目：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为重</w:t>
                        </w:r>
                        <w:r>
                          <w:rPr>
                            <w:rFonts w:ascii="宋体" w:hAnsi="宋体" w:cs="宋体" w:eastAsia="宋体" w:hint="default"/>
                            <w:w w:val="101"/>
                            <w:sz w:val="18"/>
                            <w:szCs w:val="18"/>
                          </w:rPr>
                          <w:t> </w:t>
                        </w:r>
                        <w:r>
                          <w:rPr>
                            <w:rFonts w:ascii="宋体" w:hAnsi="宋体" w:cs="宋体" w:eastAsia="宋体" w:hint="default"/>
                            <w:sz w:val="18"/>
                            <w:szCs w:val="18"/>
                          </w:rPr>
                          <w:t>大缺陷；利润总额的</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潜在错报＜利润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5%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为重要缺陷；潜在错报＜利润</w:t>
                        </w:r>
                      </w:p>
                      <w:p>
                        <w:pPr>
                          <w:pStyle w:val="TableParagraph"/>
                          <w:spacing w:line="304" w:lineRule="auto" w:before="13"/>
                          <w:ind w:left="21" w:right="17"/>
                          <w:jc w:val="both"/>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1% </w:t>
                        </w:r>
                        <w:r>
                          <w:rPr>
                            <w:rFonts w:ascii="宋体" w:hAnsi="宋体" w:cs="宋体" w:eastAsia="宋体" w:hint="default"/>
                            <w:spacing w:val="-3"/>
                            <w:sz w:val="18"/>
                            <w:szCs w:val="18"/>
                          </w:rPr>
                          <w:t>为一般缺陷。③涉及资产的错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报项目：潜在错报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缺陷；资产总额的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潜在错报＜资产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为重要缺陷； 潜在错报＜资产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为一般缺陷</w:t>
                        </w:r>
                        <w:r>
                          <w:rPr>
                            <w:rFonts w:ascii="宋体" w:hAnsi="宋体" w:cs="宋体" w:eastAsia="宋体" w:hint="default"/>
                            <w:spacing w:val="13"/>
                            <w:sz w:val="18"/>
                            <w:szCs w:val="18"/>
                          </w:rPr>
                          <w:t> </w:t>
                        </w:r>
                        <w:r>
                          <w:rPr>
                            <w:rFonts w:ascii="宋体" w:hAnsi="宋体" w:cs="宋体" w:eastAsia="宋体" w:hint="default"/>
                            <w:spacing w:val="-7"/>
                            <w:sz w:val="18"/>
                            <w:szCs w:val="18"/>
                          </w:rPr>
                          <w:t>。当某项内部控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制缺陷导致的潜在错报影响多项指标时，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按孰低原则认定缺陷性质。</w:t>
                        </w:r>
                      </w:p>
                    </w:tc>
                    <w:tc>
                      <w:tcPr>
                        <w:tcW w:w="30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pacing w:val="-3"/>
                            <w:sz w:val="18"/>
                            <w:szCs w:val="18"/>
                          </w:rPr>
                          <w:t>非财务报告内部控制缺陷评价的定量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标准参照财务报告内部控制缺陷评价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的定量标准执行。</w:t>
                        </w:r>
                      </w:p>
                    </w:tc>
                  </w:tr>
                  <w:tr>
                    <w:trPr>
                      <w:trHeight w:val="389"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2189"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509" w:lineRule="exact"/>
        <w:ind w:left="667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152.25pt;height:25.5pt;mso-position-horizontal-relative:char;mso-position-vertical-relative:line" coordorigin="0,0" coordsize="3045,510">
            <v:group style="position:absolute;left:0;top:350;width:3045;height:159" coordorigin="0,350" coordsize="3045,159">
              <v:shape style="position:absolute;left:0;top:350;width:3045;height:159" coordorigin="0,350" coordsize="3045,159" path="m0,509l3044,509,3044,350,0,350,0,509xe" filled="true" fillcolor="#ffffff" stroked="false">
                <v:path arrowok="t"/>
                <v:fill type="solid"/>
              </v:shape>
            </v:group>
            <v:group style="position:absolute;left:24;top:0;width:2997;height:351" coordorigin="24,0" coordsize="2997,351">
              <v:shape style="position:absolute;left:24;top:0;width:2997;height:351" coordorigin="24,0" coordsize="2997,351" path="m24,350l3020,350,3020,0,24,0,24,350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71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我们认为，远光软件公司于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日在所有重大方面有效地保持了按照《企业内部控制基本规范》建立的与财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务报表相关的内部控制。</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《远光软件股份有限公司内部控制鉴证报告》详见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日的巨潮资讯网。</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会计师事务所是否出具非标准意见的内部控制鉴证报告</w:t>
      </w:r>
    </w:p>
    <w:p>
      <w:pPr>
        <w:spacing w:line="338" w:lineRule="auto" w:before="119"/>
        <w:ind w:left="153" w:right="46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会计师事务所出具的内部控制鉴证报告与董事会的自我评价报告意见是否一致</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4"/>
      <w:bookmarkEnd w:id="154"/>
      <w:r>
        <w:rPr>
          <w:b w:val="0"/>
          <w:bCs w:val="0"/>
        </w:rPr>
      </w:r>
      <w:bookmarkStart w:name="_bookmark10" w:id="155"/>
      <w:bookmarkEnd w:id="155"/>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606" w:right="0"/>
        <w:jc w:val="left"/>
        <w:rPr>
          <w:b w:val="0"/>
          <w:bCs w:val="0"/>
        </w:rPr>
      </w:pPr>
      <w:bookmarkStart w:name="第十二节 财务报告" w:id="156"/>
      <w:bookmarkEnd w:id="156"/>
      <w:r>
        <w:rPr>
          <w:b w:val="0"/>
          <w:bCs w:val="0"/>
        </w:rPr>
      </w:r>
      <w:bookmarkStart w:name="_bookmark11" w:id="157"/>
      <w:bookmarkEnd w:id="157"/>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致同会计师事务所（特殊普通合伙）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442ZA2041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李恩成、余红</w:t>
            </w:r>
          </w:p>
        </w:tc>
      </w:tr>
    </w:tbl>
    <w:p>
      <w:pPr>
        <w:spacing w:before="53"/>
        <w:ind w:left="3144" w:right="411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3144" w:right="4118"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pStyle w:val="BodyText"/>
        <w:spacing w:line="240" w:lineRule="auto" w:before="161"/>
        <w:ind w:left="6232" w:right="0"/>
        <w:jc w:val="left"/>
      </w:pPr>
      <w:r>
        <w:rPr/>
        <w:t>致同审字（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442ZA2041</w:t>
      </w:r>
      <w:r>
        <w:rPr/>
        <w:t>号</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Heading2"/>
        <w:spacing w:line="331" w:lineRule="auto"/>
        <w:ind w:left="633" w:right="7136" w:hanging="480"/>
        <w:jc w:val="left"/>
        <w:rPr>
          <w:b w:val="0"/>
          <w:bCs w:val="0"/>
        </w:rPr>
      </w:pPr>
      <w:r>
        <w:rPr/>
        <w:t>远光软件股份有限公司全体股东：</w:t>
      </w:r>
      <w:r>
        <w:rPr>
          <w:w w:val="99"/>
        </w:rPr>
        <w:t> </w:t>
      </w:r>
      <w:r>
        <w:rPr/>
        <w:t>一、审计意见</w:t>
      </w:r>
      <w:r>
        <w:rPr>
          <w:b w:val="0"/>
          <w:bCs w:val="0"/>
        </w:rPr>
      </w:r>
    </w:p>
    <w:p>
      <w:pPr>
        <w:pStyle w:val="BodyText"/>
        <w:spacing w:line="312" w:lineRule="exact" w:before="57"/>
        <w:ind w:right="1134" w:firstLine="480"/>
        <w:jc w:val="both"/>
      </w:pPr>
      <w:r>
        <w:rPr/>
        <w:t>我们审计了远光软件股份有限公司（以下简称远光软件公司）财务报表，包括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2019</w:t>
      </w:r>
      <w:r>
        <w:rPr/>
        <w:t>年度的合并及公司利润表、合并及公司现金流量表、</w:t>
      </w:r>
      <w:r>
        <w:rPr>
          <w:spacing w:val="-91"/>
        </w:rPr>
        <w:t> </w:t>
      </w:r>
      <w:r>
        <w:rPr>
          <w:spacing w:val="-91"/>
        </w:rPr>
      </w:r>
      <w:r>
        <w:rPr/>
        <w:t>合并及公司股东权益变动表以及相关财务报表附注。</w:t>
      </w:r>
    </w:p>
    <w:p>
      <w:pPr>
        <w:pStyle w:val="BodyText"/>
        <w:spacing w:line="312" w:lineRule="exact" w:before="120"/>
        <w:ind w:right="1133" w:firstLine="480"/>
        <w:jc w:val="both"/>
      </w:pPr>
      <w:r>
        <w:rPr/>
        <w:t>我们认为，后附的财务报表在所有重大方面按照企业会计准则的规定编制，公允反映了 远光软件公司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年度的合并及公司经营成果和</w:t>
      </w:r>
      <w:r>
        <w:rPr>
          <w:spacing w:val="-91"/>
        </w:rPr>
        <w:t> </w:t>
      </w:r>
      <w:r>
        <w:rPr>
          <w:spacing w:val="-91"/>
        </w:rPr>
      </w:r>
      <w:r>
        <w:rPr/>
        <w:t>现金流量。</w:t>
      </w:r>
    </w:p>
    <w:p>
      <w:pPr>
        <w:spacing w:line="432" w:lineRule="exact" w:before="24"/>
        <w:ind w:left="647" w:right="0" w:hanging="15"/>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3"/>
          <w:sz w:val="24"/>
          <w:szCs w:val="24"/>
        </w:rPr>
        <w:t>我们按照中国注册会计师审计准则的规定执行了审计工作。审计报告的</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注册会计师对财</w:t>
      </w:r>
    </w:p>
    <w:p>
      <w:pPr>
        <w:pStyle w:val="BodyText"/>
        <w:spacing w:line="267" w:lineRule="exact"/>
        <w:ind w:right="0"/>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12" w:lineRule="exact" w:before="20"/>
        <w:ind w:right="0"/>
        <w:jc w:val="left"/>
      </w:pPr>
      <w:r>
        <w:rPr/>
        <w:t>德守则，我们独立于远光软件公司，并履行了职业道德方面的其他责任。我们相信，我们获</w:t>
      </w:r>
      <w:r>
        <w:rPr>
          <w:spacing w:val="-93"/>
        </w:rPr>
        <w:t> </w:t>
      </w:r>
      <w:r>
        <w:rPr>
          <w:spacing w:val="-93"/>
        </w:rPr>
      </w:r>
      <w:r>
        <w:rPr/>
        <w:t>取的审计证据是充分、适当的，为发表审计意见提供了基础。</w:t>
      </w:r>
    </w:p>
    <w:p>
      <w:pPr>
        <w:pStyle w:val="BodyText"/>
        <w:spacing w:line="331" w:lineRule="auto" w:before="89"/>
        <w:ind w:left="647" w:right="1137" w:hanging="15"/>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220" w:lineRule="exact"/>
        <w:ind w:right="0"/>
        <w:jc w:val="left"/>
      </w:pPr>
      <w:r>
        <w:rPr/>
        <w:t>项的应对以对财务报表整体进行审计并形成审计意见为背景，我们不对这些事项单独发表意</w:t>
      </w:r>
    </w:p>
    <w:p>
      <w:pPr>
        <w:pStyle w:val="BodyText"/>
        <w:spacing w:line="313" w:lineRule="exact"/>
        <w:ind w:right="0"/>
        <w:jc w:val="left"/>
      </w:pPr>
      <w:r>
        <w:rPr/>
        <w:t>见。</w:t>
      </w:r>
    </w:p>
    <w:p>
      <w:pPr>
        <w:pStyle w:val="BodyText"/>
        <w:spacing w:line="331" w:lineRule="auto" w:before="118"/>
        <w:ind w:left="647" w:right="5217"/>
        <w:jc w:val="left"/>
      </w:pPr>
      <w:r>
        <w:rPr/>
        <w:t>（一）收入确认 相关信息披露详见本节、五（</w:t>
      </w:r>
      <w:r>
        <w:rPr>
          <w:rFonts w:ascii="Times New Roman" w:hAnsi="Times New Roman" w:cs="Times New Roman" w:eastAsia="Times New Roman" w:hint="default"/>
        </w:rPr>
        <w:t>39</w:t>
      </w:r>
      <w:r>
        <w:rPr/>
        <w:t>），七（</w:t>
      </w:r>
      <w:r>
        <w:rPr>
          <w:rFonts w:ascii="Times New Roman" w:hAnsi="Times New Roman" w:cs="Times New Roman" w:eastAsia="Times New Roman" w:hint="default"/>
        </w:rPr>
        <w:t>61</w:t>
      </w:r>
      <w:r>
        <w:rPr/>
        <w:t>）。</w:t>
      </w:r>
    </w:p>
    <w:p>
      <w:pPr>
        <w:spacing w:after="0" w:line="331"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auto" w:before="26"/>
        <w:ind w:left="647" w:right="0"/>
        <w:jc w:val="left"/>
      </w:pPr>
      <w:r>
        <w:rPr>
          <w:rFonts w:ascii="Times New Roman" w:hAnsi="Times New Roman" w:cs="Times New Roman" w:eastAsia="Times New Roman" w:hint="default"/>
        </w:rPr>
        <w:t>1</w:t>
      </w:r>
      <w:r>
        <w:rPr/>
        <w:t>、事项描述 </w:t>
      </w:r>
      <w:r>
        <w:rPr>
          <w:spacing w:val="-3"/>
        </w:rPr>
        <w:t>远光软件公司的主要业务为向客户提供财务和管理信息化全面解决方案。对于软件产品，</w:t>
      </w:r>
    </w:p>
    <w:p>
      <w:pPr>
        <w:pStyle w:val="BodyText"/>
        <w:spacing w:line="239" w:lineRule="exact"/>
        <w:ind w:right="0"/>
        <w:jc w:val="left"/>
      </w:pPr>
      <w:r>
        <w:rPr/>
        <w:t>远光软件公司在将商品所有权上的主要风险和报酬转移给买方时确认收入；对于软件服务，</w:t>
      </w:r>
    </w:p>
    <w:p>
      <w:pPr>
        <w:pStyle w:val="BodyText"/>
        <w:spacing w:line="312" w:lineRule="exact" w:before="30"/>
        <w:ind w:right="993"/>
        <w:jc w:val="left"/>
      </w:pPr>
      <w:r>
        <w:rPr/>
        <w:t>在劳务已经提供，收到价款或取得收取款项的证据时，确认收入；对于技术开发服务，按完</w:t>
      </w:r>
      <w:r>
        <w:rPr>
          <w:spacing w:val="-90"/>
        </w:rPr>
        <w:t> </w:t>
      </w:r>
      <w:r>
        <w:rPr>
          <w:spacing w:val="-90"/>
        </w:rPr>
      </w:r>
      <w:r>
        <w:rPr/>
        <w:t>工百分比法确认收入。</w:t>
      </w:r>
      <w:r>
        <w:rPr>
          <w:rFonts w:ascii="Times New Roman" w:hAnsi="Times New Roman" w:cs="Times New Roman" w:eastAsia="Times New Roman" w:hint="default"/>
        </w:rPr>
        <w:t>2019</w:t>
      </w:r>
      <w:r>
        <w:rPr/>
        <w:t>年度远光软件公司主营业务收入</w:t>
      </w:r>
      <w:r>
        <w:rPr>
          <w:rFonts w:ascii="Times New Roman" w:hAnsi="Times New Roman" w:cs="Times New Roman" w:eastAsia="Times New Roman" w:hint="default"/>
        </w:rPr>
        <w:t>156,319.83</w:t>
      </w:r>
      <w:r>
        <w:rPr/>
        <w:t>万元，由于收入为关键 </w:t>
      </w:r>
      <w:r>
        <w:rPr>
          <w:spacing w:val="-2"/>
        </w:rPr>
        <w:t>业绩指标，其收入确认的准确性以及是否在恰当的财务报表期间确认涉及管理层的重大判断，</w:t>
      </w:r>
      <w:r>
        <w:rPr/>
        <w:t> 且对公司报告期的经营业绩具有重大影响，因此我们将收入确认识别为关键审计事项。</w:t>
      </w:r>
    </w:p>
    <w:p>
      <w:pPr>
        <w:pStyle w:val="BodyText"/>
        <w:spacing w:line="312" w:lineRule="auto" w:before="89"/>
        <w:ind w:left="647" w:right="5697"/>
        <w:jc w:val="left"/>
      </w:pPr>
      <w:r>
        <w:rPr>
          <w:rFonts w:ascii="Times New Roman" w:hAnsi="Times New Roman" w:cs="Times New Roman" w:eastAsia="Times New Roman" w:hint="default"/>
        </w:rPr>
        <w:t>2</w:t>
      </w:r>
      <w:r>
        <w:rPr/>
        <w:t>、审计应对 我们对收入确认实施的审计程序主要包括：</w:t>
      </w:r>
    </w:p>
    <w:p>
      <w:pPr>
        <w:pStyle w:val="BodyText"/>
        <w:spacing w:line="240" w:lineRule="auto" w:before="46"/>
        <w:ind w:left="647" w:right="0"/>
        <w:jc w:val="left"/>
      </w:pPr>
      <w:r>
        <w:rPr/>
        <w:t>（</w:t>
      </w:r>
      <w:r>
        <w:rPr>
          <w:rFonts w:ascii="Times New Roman" w:hAnsi="Times New Roman" w:cs="Times New Roman" w:eastAsia="Times New Roman" w:hint="default"/>
        </w:rPr>
        <w:t>1</w:t>
      </w:r>
      <w:r>
        <w:rPr/>
        <w:t>）了解和评价管理层对有关收入循环的关键内部控制的设计，并执行控制测试；</w:t>
      </w:r>
    </w:p>
    <w:p>
      <w:pPr>
        <w:pStyle w:val="BodyText"/>
        <w:spacing w:line="312" w:lineRule="exact" w:before="130"/>
        <w:ind w:right="0" w:firstLine="494"/>
        <w:jc w:val="left"/>
      </w:pPr>
      <w:r>
        <w:rPr>
          <w:spacing w:val="-3"/>
        </w:rPr>
        <w:t>（</w:t>
      </w:r>
      <w:r>
        <w:rPr>
          <w:rFonts w:ascii="Times New Roman" w:hAnsi="Times New Roman" w:cs="Times New Roman" w:eastAsia="Times New Roman" w:hint="default"/>
          <w:spacing w:val="-3"/>
        </w:rPr>
        <w:t>2</w:t>
      </w:r>
      <w:r>
        <w:rPr>
          <w:spacing w:val="-3"/>
        </w:rPr>
        <w:t>）获取远光软件公司与客户签订的主要合同，对合同关键条款进行核查，评价收入确</w:t>
      </w:r>
      <w:r>
        <w:rPr/>
        <w:t> 认政策是否符合企业会计准则的规定；</w:t>
      </w:r>
    </w:p>
    <w:p>
      <w:pPr>
        <w:pStyle w:val="BodyText"/>
        <w:spacing w:line="240" w:lineRule="auto" w:before="90"/>
        <w:ind w:left="647" w:right="0"/>
        <w:jc w:val="left"/>
      </w:pPr>
      <w:r>
        <w:rPr/>
        <w:t>（</w:t>
      </w:r>
      <w:r>
        <w:rPr>
          <w:rFonts w:ascii="Times New Roman" w:hAnsi="Times New Roman" w:cs="Times New Roman" w:eastAsia="Times New Roman" w:hint="default"/>
        </w:rPr>
        <w:t>3</w:t>
      </w:r>
      <w:r>
        <w:rPr/>
        <w:t>）执行分析程序，识别收入确认可能存在重大错报的迹象或异常情形；</w:t>
      </w:r>
    </w:p>
    <w:p>
      <w:pPr>
        <w:pStyle w:val="BodyText"/>
        <w:spacing w:line="312" w:lineRule="exact" w:before="130"/>
        <w:ind w:right="0" w:firstLine="494"/>
        <w:jc w:val="left"/>
      </w:pPr>
      <w:r>
        <w:rPr>
          <w:spacing w:val="-3"/>
        </w:rPr>
        <w:t>（</w:t>
      </w:r>
      <w:r>
        <w:rPr>
          <w:rFonts w:ascii="Times New Roman" w:hAnsi="Times New Roman" w:cs="Times New Roman" w:eastAsia="Times New Roman" w:hint="default"/>
          <w:spacing w:val="-3"/>
        </w:rPr>
        <w:t>4</w:t>
      </w:r>
      <w:r>
        <w:rPr>
          <w:spacing w:val="-3"/>
        </w:rPr>
        <w:t>）抽样检查中标通知书、合同、发票、项目实施报告或项目验收报告、回款单据等相</w:t>
      </w:r>
      <w:r>
        <w:rPr/>
        <w:t> 关资料，确认当期收入的真实性；</w:t>
      </w:r>
    </w:p>
    <w:p>
      <w:pPr>
        <w:pStyle w:val="BodyText"/>
        <w:spacing w:line="312" w:lineRule="exact" w:before="120"/>
        <w:ind w:right="0" w:firstLine="494"/>
        <w:jc w:val="left"/>
      </w:pPr>
      <w:r>
        <w:rPr>
          <w:spacing w:val="-3"/>
        </w:rPr>
        <w:t>（</w:t>
      </w:r>
      <w:r>
        <w:rPr>
          <w:rFonts w:ascii="Times New Roman" w:hAnsi="Times New Roman" w:cs="Times New Roman" w:eastAsia="Times New Roman" w:hint="default"/>
          <w:spacing w:val="-3"/>
        </w:rPr>
        <w:t>5</w:t>
      </w:r>
      <w:r>
        <w:rPr>
          <w:spacing w:val="-3"/>
        </w:rPr>
        <w:t>）结合对应收账款和预收款项的审计，在抽样的基础上执行函证程序，对主要客户函</w:t>
      </w:r>
      <w:r>
        <w:rPr/>
        <w:t> 询项目是否完工或进度情况、应收账款期末余额、本期结算金额及本期回款金额；</w:t>
      </w:r>
    </w:p>
    <w:p>
      <w:pPr>
        <w:pStyle w:val="BodyText"/>
        <w:spacing w:line="240" w:lineRule="auto" w:before="89"/>
        <w:ind w:left="647" w:right="0"/>
        <w:jc w:val="left"/>
      </w:pPr>
      <w:r>
        <w:rPr/>
        <w:t>（</w:t>
      </w:r>
      <w:r>
        <w:rPr>
          <w:rFonts w:ascii="Times New Roman" w:hAnsi="Times New Roman" w:cs="Times New Roman" w:eastAsia="Times New Roman" w:hint="default"/>
        </w:rPr>
        <w:t>6</w:t>
      </w:r>
      <w:r>
        <w:rPr/>
        <w:t>）对收入进行截止性测试；</w:t>
      </w:r>
    </w:p>
    <w:p>
      <w:pPr>
        <w:pStyle w:val="BodyText"/>
        <w:spacing w:line="240" w:lineRule="auto" w:before="99"/>
        <w:ind w:left="647" w:right="0"/>
        <w:jc w:val="left"/>
      </w:pPr>
      <w:r>
        <w:rPr>
          <w:spacing w:val="-6"/>
        </w:rPr>
        <w:t>（</w:t>
      </w:r>
      <w:r>
        <w:rPr>
          <w:rFonts w:ascii="Times New Roman" w:hAnsi="Times New Roman" w:cs="Times New Roman" w:eastAsia="Times New Roman" w:hint="default"/>
          <w:spacing w:val="-6"/>
        </w:rPr>
        <w:t>7</w:t>
      </w:r>
      <w:r>
        <w:rPr>
          <w:spacing w:val="-6"/>
        </w:rPr>
        <w:t>）对重大客户进行现场访谈，了解项目的来源方式、结算方式、项目的实施进度情况。</w:t>
      </w:r>
    </w:p>
    <w:p>
      <w:pPr>
        <w:pStyle w:val="BodyText"/>
        <w:spacing w:line="321" w:lineRule="auto" w:before="99"/>
        <w:ind w:left="647" w:right="4617"/>
        <w:jc w:val="left"/>
      </w:pPr>
      <w:r>
        <w:rPr/>
        <w:t>（二）应收账款预期信用损失的计量 相关信息披露详见财务报表附注三、</w:t>
      </w:r>
      <w:r>
        <w:rPr>
          <w:rFonts w:ascii="Times New Roman" w:hAnsi="Times New Roman" w:cs="Times New Roman" w:eastAsia="Times New Roman" w:hint="default"/>
        </w:rPr>
        <w:t>10</w:t>
      </w:r>
      <w:r>
        <w:rPr/>
        <w:t>，附注五、</w:t>
      </w:r>
      <w:r>
        <w:rPr>
          <w:rFonts w:ascii="Times New Roman" w:hAnsi="Times New Roman" w:cs="Times New Roman" w:eastAsia="Times New Roman" w:hint="default"/>
        </w:rPr>
        <w:t>5</w:t>
      </w:r>
      <w:r>
        <w:rPr/>
        <w:t>。 </w:t>
      </w:r>
      <w:r>
        <w:rPr>
          <w:rFonts w:ascii="Times New Roman" w:hAnsi="Times New Roman" w:cs="Times New Roman" w:eastAsia="Times New Roman" w:hint="default"/>
        </w:rPr>
        <w:t>1</w:t>
      </w:r>
      <w:r>
        <w:rPr/>
        <w:t>、事项描述</w:t>
      </w:r>
    </w:p>
    <w:p>
      <w:pPr>
        <w:pStyle w:val="BodyText"/>
        <w:spacing w:line="230" w:lineRule="auto" w:before="20"/>
        <w:ind w:right="1132" w:firstLine="494"/>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日，远光软件公司应收账款账面余额为</w:t>
      </w:r>
      <w:r>
        <w:rPr>
          <w:rFonts w:ascii="Times New Roman" w:hAnsi="Times New Roman" w:cs="Times New Roman" w:eastAsia="Times New Roman" w:hint="default"/>
        </w:rPr>
        <w:t>92,618.09</w:t>
      </w:r>
      <w:r>
        <w:rPr/>
        <w:t>万元，计提的坏账准 备为</w:t>
      </w:r>
      <w:r>
        <w:rPr>
          <w:rFonts w:ascii="Times New Roman" w:hAnsi="Times New Roman" w:cs="Times New Roman" w:eastAsia="Times New Roman" w:hint="default"/>
        </w:rPr>
        <w:t>13,465.45</w:t>
      </w:r>
      <w:r>
        <w:rPr/>
        <w:t>万元，应收账款账面价值占年末资产总额的</w:t>
      </w:r>
      <w:r>
        <w:rPr>
          <w:rFonts w:ascii="Times New Roman" w:hAnsi="Times New Roman" w:cs="Times New Roman" w:eastAsia="Times New Roman" w:hint="default"/>
        </w:rPr>
        <w:t>27.24%</w:t>
      </w:r>
      <w:r>
        <w:rPr/>
        <w:t>。由于应收账款金额重大，</w:t>
      </w:r>
      <w:r>
        <w:rPr>
          <w:spacing w:val="-108"/>
        </w:rPr>
        <w:t> </w:t>
      </w:r>
      <w:r>
        <w:rPr/>
        <w:t>坏账准备的计提涉及管理层的重大估计和判断，且应收账款的可收回性对于财务报表具有较</w:t>
      </w:r>
      <w:r>
        <w:rPr>
          <w:spacing w:val="-93"/>
        </w:rPr>
        <w:t> </w:t>
      </w:r>
      <w:r>
        <w:rPr>
          <w:spacing w:val="-93"/>
        </w:rPr>
      </w:r>
      <w:r>
        <w:rPr/>
        <w:t>大影响，因此我们将应收账款预期信用损失的计量识别为关键审计事项。</w:t>
      </w:r>
    </w:p>
    <w:p>
      <w:pPr>
        <w:pStyle w:val="BodyText"/>
        <w:spacing w:line="312" w:lineRule="auto" w:before="119"/>
        <w:ind w:left="647" w:right="3537"/>
        <w:jc w:val="left"/>
      </w:pPr>
      <w:r>
        <w:rPr>
          <w:rFonts w:ascii="Times New Roman" w:hAnsi="Times New Roman" w:cs="Times New Roman" w:eastAsia="Times New Roman" w:hint="default"/>
        </w:rPr>
        <w:t>2</w:t>
      </w:r>
      <w:r>
        <w:rPr/>
        <w:t>、审计应对 我们对应收账款预期信用损失的计量实施的审计程序主要包括：</w:t>
      </w:r>
    </w:p>
    <w:p>
      <w:pPr>
        <w:pStyle w:val="BodyText"/>
        <w:spacing w:line="312" w:lineRule="exact" w:before="76"/>
        <w:ind w:right="1017" w:firstLine="494"/>
        <w:jc w:val="left"/>
      </w:pPr>
      <w:r>
        <w:rPr/>
        <w:t>（</w:t>
      </w:r>
      <w:r>
        <w:rPr>
          <w:rFonts w:ascii="Times New Roman" w:hAnsi="Times New Roman" w:cs="Times New Roman" w:eastAsia="Times New Roman" w:hint="default"/>
        </w:rPr>
        <w:t>1</w:t>
      </w:r>
      <w:r>
        <w:rPr/>
        <w:t>）了解远光软件公司的信用政策，测试与应收账款管理相关内部控制的设计和执行， 以评价内部控制的有效性；</w:t>
      </w:r>
    </w:p>
    <w:p>
      <w:pPr>
        <w:pStyle w:val="BodyText"/>
        <w:spacing w:line="312" w:lineRule="exact" w:before="120"/>
        <w:ind w:right="0" w:firstLine="494"/>
        <w:jc w:val="left"/>
      </w:pPr>
      <w:r>
        <w:rPr>
          <w:spacing w:val="-3"/>
        </w:rPr>
        <w:t>（</w:t>
      </w:r>
      <w:r>
        <w:rPr>
          <w:rFonts w:ascii="Times New Roman" w:hAnsi="Times New Roman" w:cs="Times New Roman" w:eastAsia="Times New Roman" w:hint="default"/>
          <w:spacing w:val="-3"/>
        </w:rPr>
        <w:t>2</w:t>
      </w:r>
      <w:r>
        <w:rPr>
          <w:spacing w:val="-3"/>
        </w:rPr>
        <w:t>）结合远光软件公司行业特点及信用风险特征、同行业其他公司的预期信用损失计量</w:t>
      </w:r>
      <w:r>
        <w:rPr/>
        <w:t> 方法，评价管理层制定的相关会计政策是否符合准则的规定；</w:t>
      </w:r>
    </w:p>
    <w:p>
      <w:pPr>
        <w:pStyle w:val="BodyText"/>
        <w:spacing w:line="235" w:lineRule="auto" w:before="95"/>
        <w:ind w:right="0" w:firstLine="494"/>
        <w:jc w:val="left"/>
      </w:pPr>
      <w:r>
        <w:rPr>
          <w:spacing w:val="-3"/>
        </w:rPr>
        <w:t>（</w:t>
      </w:r>
      <w:r>
        <w:rPr>
          <w:rFonts w:ascii="Times New Roman" w:hAnsi="Times New Roman" w:cs="Times New Roman" w:eastAsia="Times New Roman" w:hint="default"/>
          <w:spacing w:val="-3"/>
        </w:rPr>
        <w:t>3</w:t>
      </w:r>
      <w:r>
        <w:rPr>
          <w:spacing w:val="-3"/>
        </w:rPr>
        <w:t>）获取管理层评估应收账款是否发生减值以及确认预期损失率所依据的数据及相关资</w:t>
      </w:r>
      <w:r>
        <w:rPr/>
        <w:t> </w:t>
      </w:r>
      <w:r>
        <w:rPr>
          <w:spacing w:val="-3"/>
        </w:rPr>
        <w:t>料，检查远光软件公司应收账款的账龄迁徙情况、客户信誉情况及经营情况、历史坏账情况、</w:t>
      </w:r>
      <w:r>
        <w:rPr>
          <w:spacing w:val="-84"/>
        </w:rPr>
        <w:t> </w:t>
      </w:r>
      <w:r>
        <w:rPr>
          <w:spacing w:val="-84"/>
        </w:rPr>
      </w:r>
      <w:r>
        <w:rPr/>
        <w:t>预期信用损失判断等，并执行应收账款函证程序及检查期后回款情况，评价应收账款预期信</w:t>
      </w:r>
      <w:r>
        <w:rPr>
          <w:spacing w:val="-93"/>
        </w:rPr>
        <w:t> </w:t>
      </w:r>
      <w:r>
        <w:rPr>
          <w:spacing w:val="-93"/>
        </w:rPr>
      </w:r>
      <w:r>
        <w:rPr/>
        <w:t>用损失率的合理性及应收账款损失准备计提的充分性；</w:t>
      </w:r>
    </w:p>
    <w:p>
      <w:pPr>
        <w:pStyle w:val="BodyText"/>
        <w:spacing w:line="240" w:lineRule="auto" w:before="118"/>
        <w:ind w:left="647" w:right="0"/>
        <w:jc w:val="left"/>
      </w:pPr>
      <w:r>
        <w:rPr/>
        <w:t>（</w:t>
      </w:r>
      <w:r>
        <w:rPr>
          <w:rFonts w:ascii="Times New Roman" w:hAnsi="Times New Roman" w:cs="Times New Roman" w:eastAsia="Times New Roman" w:hint="default"/>
        </w:rPr>
        <w:t>4</w:t>
      </w:r>
      <w:r>
        <w:rPr/>
        <w:t>）对于账龄较长</w:t>
      </w:r>
      <w:r>
        <w:rPr>
          <w:rFonts w:ascii="Times New Roman" w:hAnsi="Times New Roman" w:cs="Times New Roman" w:eastAsia="Times New Roman" w:hint="default"/>
        </w:rPr>
        <w:t>1</w:t>
      </w:r>
      <w:r>
        <w:rPr/>
        <w:t>年以上大额未回款的应收款项，了解未回款原因，检查合同付款条</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03"/>
        <w:jc w:val="left"/>
      </w:pPr>
      <w:r>
        <w:rPr/>
        <w:t>件，结合客户经营状况、期后回款情况和函证回函</w:t>
      </w:r>
      <w:r>
        <w:rPr>
          <w:spacing w:val="-72"/>
        </w:rPr>
        <w:t> </w:t>
      </w:r>
      <w:r>
        <w:rPr/>
        <w:t>，复核管理层对其可收回金额现值的预测</w:t>
      </w:r>
      <w:r>
        <w:rPr/>
        <w:t> 使用的相关考虑；</w:t>
      </w:r>
    </w:p>
    <w:p>
      <w:pPr>
        <w:pStyle w:val="BodyText"/>
        <w:spacing w:line="312" w:lineRule="exact" w:before="120"/>
        <w:ind w:right="1132" w:firstLine="494"/>
        <w:jc w:val="both"/>
      </w:pPr>
      <w:r>
        <w:rPr>
          <w:spacing w:val="-3"/>
        </w:rPr>
        <w:t>（</w:t>
      </w:r>
      <w:r>
        <w:rPr>
          <w:rFonts w:ascii="Times New Roman" w:hAnsi="Times New Roman" w:cs="Times New Roman" w:eastAsia="Times New Roman" w:hint="default"/>
          <w:spacing w:val="-3"/>
        </w:rPr>
        <w:t>5</w:t>
      </w:r>
      <w:r>
        <w:rPr>
          <w:spacing w:val="-3"/>
        </w:rPr>
        <w:t>）获取应收账款预期信用损失计算表，复核与预期信用损失计算相关的假设及前瞻性</w:t>
      </w:r>
      <w:r>
        <w:rPr/>
        <w:t> 调整的考虑因素，重新计算预期信用损失金额是否准确。</w:t>
      </w:r>
    </w:p>
    <w:p>
      <w:pPr>
        <w:pStyle w:val="BodyText"/>
        <w:spacing w:line="331" w:lineRule="auto" w:before="89"/>
        <w:ind w:left="647" w:right="1137" w:hanging="15"/>
        <w:jc w:val="left"/>
      </w:pPr>
      <w:r>
        <w:rPr>
          <w:rFonts w:ascii="宋体" w:hAnsi="宋体" w:cs="宋体" w:eastAsia="宋体" w:hint="default"/>
          <w:b/>
          <w:bCs/>
        </w:rPr>
        <w:t>四、其他信息</w:t>
      </w:r>
      <w:r>
        <w:rPr>
          <w:rFonts w:ascii="宋体" w:hAnsi="宋体" w:cs="宋体" w:eastAsia="宋体" w:hint="default"/>
          <w:b/>
          <w:bCs/>
          <w:w w:val="99"/>
        </w:rPr>
        <w:t> </w:t>
      </w:r>
      <w:r>
        <w:rPr/>
        <w:t>远光软件公司管理层（以下简称管理层）对其他信息负责。其他信息包括远光软件公司</w:t>
      </w:r>
    </w:p>
    <w:p>
      <w:pPr>
        <w:pStyle w:val="BodyText"/>
        <w:spacing w:line="239" w:lineRule="exact"/>
        <w:ind w:right="0"/>
        <w:jc w:val="left"/>
      </w:pPr>
      <w:r>
        <w:rPr>
          <w:rFonts w:ascii="Times New Roman" w:hAnsi="Times New Roman" w:cs="Times New Roman" w:eastAsia="Times New Roman" w:hint="default"/>
        </w:rPr>
        <w:t>2019</w:t>
      </w:r>
      <w:r>
        <w:rPr/>
        <w:t>年年度报告中涵盖的信息，但不包括财务报表和我们的审计报告。</w:t>
      </w:r>
    </w:p>
    <w:p>
      <w:pPr>
        <w:pStyle w:val="BodyText"/>
        <w:spacing w:line="312" w:lineRule="exact" w:before="131"/>
        <w:ind w:right="1140" w:firstLine="494"/>
        <w:jc w:val="both"/>
      </w:pPr>
      <w:r>
        <w:rPr/>
        <w:t>我们对财务报表发表的审计意见不涵盖其他信息，我们也不对其他信息发表任何形式的 鉴证结论。</w:t>
      </w:r>
    </w:p>
    <w:p>
      <w:pPr>
        <w:pStyle w:val="BodyText"/>
        <w:spacing w:line="312" w:lineRule="exact" w:before="120"/>
        <w:ind w:right="1140" w:firstLine="494"/>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240" w:lineRule="auto" w:before="89"/>
        <w:ind w:right="1140" w:firstLine="494"/>
        <w:jc w:val="both"/>
      </w:pPr>
      <w:r>
        <w:rPr/>
        <w:t>基于我们已执行的工作，如果我们确定其他信息存在重大错报，我们应当报告该事实。 在这方面，我们无任何事项需要报告。</w:t>
      </w:r>
    </w:p>
    <w:p>
      <w:pPr>
        <w:spacing w:line="331" w:lineRule="auto" w:before="118"/>
        <w:ind w:left="647" w:right="1137" w:hanging="15"/>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远光软件公司管理层负责按照企业会计准则的规定编制财务报表，使其实现公允反映，</w:t>
      </w:r>
    </w:p>
    <w:p>
      <w:pPr>
        <w:pStyle w:val="BodyText"/>
        <w:spacing w:line="221" w:lineRule="exact"/>
        <w:ind w:right="0"/>
        <w:jc w:val="left"/>
      </w:pPr>
      <w:r>
        <w:rPr>
          <w:spacing w:val="-3"/>
        </w:rPr>
        <w:t>并设计、执行和维护必要的内部控制，以使财务报表不存在由于舞弊或错误导致的重大错报。</w:t>
      </w:r>
    </w:p>
    <w:p>
      <w:pPr>
        <w:pStyle w:val="BodyText"/>
        <w:spacing w:line="312" w:lineRule="exact" w:before="149"/>
        <w:ind w:right="1136" w:firstLine="494"/>
        <w:jc w:val="both"/>
      </w:pPr>
      <w:r>
        <w:rPr/>
        <w:t>在编制财务报表时，管理层负责评估远光软件公司的持续经营能力，披露与持续经营相 关的事项（如适用），并运用持续经营假设，除非管理层计划清算远光软件公司、终止运营</w:t>
      </w:r>
      <w:r>
        <w:rPr>
          <w:spacing w:val="-93"/>
        </w:rPr>
        <w:t> </w:t>
      </w:r>
      <w:r>
        <w:rPr>
          <w:spacing w:val="-93"/>
        </w:rPr>
      </w:r>
      <w:r>
        <w:rPr/>
        <w:t>或别无其他现实的选择。</w:t>
      </w:r>
    </w:p>
    <w:p>
      <w:pPr>
        <w:spacing w:line="331" w:lineRule="auto" w:before="89"/>
        <w:ind w:left="633" w:right="5217" w:firstLine="14"/>
        <w:jc w:val="left"/>
        <w:rPr>
          <w:rFonts w:ascii="宋体" w:hAnsi="宋体" w:cs="宋体" w:eastAsia="宋体" w:hint="default"/>
          <w:sz w:val="24"/>
          <w:szCs w:val="24"/>
        </w:rPr>
      </w:pPr>
      <w:r>
        <w:rPr>
          <w:rFonts w:ascii="宋体" w:hAnsi="宋体" w:cs="宋体" w:eastAsia="宋体" w:hint="default"/>
          <w:sz w:val="24"/>
          <w:szCs w:val="24"/>
        </w:rPr>
        <w:t>治理层负责监督远光软件公司的财务报告过程。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12" w:lineRule="exact" w:before="58"/>
        <w:ind w:right="1134" w:firstLine="494"/>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93"/>
        </w:rPr>
        <w:t> </w:t>
      </w:r>
      <w:r>
        <w:rPr>
          <w:spacing w:val="-93"/>
        </w:rPr>
      </w:r>
      <w:r>
        <w:rPr/>
        <w:t>则执行的审计在某一重大错报存在时总能发现。错报可能由于舞弊或错误导致，如果合理预</w:t>
      </w:r>
      <w:r>
        <w:rPr>
          <w:spacing w:val="-93"/>
        </w:rPr>
        <w:t> </w:t>
      </w:r>
      <w:r>
        <w:rPr>
          <w:spacing w:val="-93"/>
        </w:rPr>
      </w:r>
      <w:r>
        <w:rPr/>
        <w:t>期错报单独或汇总起来可能影响财务报表使用者依据财务报表作出的经济决策，则通常认为</w:t>
      </w:r>
      <w:r>
        <w:rPr>
          <w:spacing w:val="-93"/>
        </w:rPr>
        <w:t> </w:t>
      </w:r>
      <w:r>
        <w:rPr>
          <w:spacing w:val="-93"/>
        </w:rPr>
      </w:r>
      <w:r>
        <w:rPr/>
        <w:t>错报是重大的。</w:t>
      </w:r>
    </w:p>
    <w:p>
      <w:pPr>
        <w:pStyle w:val="BodyText"/>
        <w:spacing w:line="312" w:lineRule="exact" w:before="120"/>
        <w:ind w:right="1140" w:firstLine="494"/>
        <w:jc w:val="both"/>
      </w:pPr>
      <w:r>
        <w:rPr/>
        <w:t>在按照审计准则执行审计工作的过程中，我们运用职业判断，并保持职业怀疑。同时， 我们也执行以下工作：</w:t>
      </w:r>
    </w:p>
    <w:p>
      <w:pPr>
        <w:pStyle w:val="BodyText"/>
        <w:spacing w:line="235" w:lineRule="auto" w:before="95"/>
        <w:ind w:right="1128" w:firstLine="494"/>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93"/>
        </w:rPr>
        <w:t> </w:t>
      </w:r>
      <w:r>
        <w:rPr>
          <w:spacing w:val="-93"/>
        </w:rPr>
      </w:r>
      <w:r>
        <w:rPr/>
        <w:t>及串通、伪造、故意遗漏、虚假陈述或凌驾于内部控制之上，未能发现由于舞弊导致的重大</w:t>
      </w:r>
      <w:r>
        <w:rPr>
          <w:spacing w:val="-93"/>
        </w:rPr>
        <w:t> </w:t>
      </w:r>
      <w:r>
        <w:rPr>
          <w:spacing w:val="-93"/>
        </w:rPr>
      </w:r>
      <w:r>
        <w:rPr/>
        <w:t>错报的风险高于未能发现由于错误导致的重大错报的风险。</w:t>
      </w:r>
    </w:p>
    <w:p>
      <w:pPr>
        <w:pStyle w:val="BodyText"/>
        <w:spacing w:line="312" w:lineRule="exact" w:before="149"/>
        <w:ind w:right="1134" w:firstLine="494"/>
        <w:jc w:val="both"/>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w:t>
      </w:r>
      <w:r>
        <w:rPr/>
        <w:t> 效性发表意见。</w:t>
      </w:r>
    </w:p>
    <w:p>
      <w:pPr>
        <w:pStyle w:val="BodyText"/>
        <w:spacing w:line="240" w:lineRule="auto" w:before="89"/>
        <w:ind w:left="647"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exact" w:before="131"/>
        <w:ind w:right="1129" w:firstLine="494"/>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能导致对远光软件公司的持续经营能力产生重大疑虑的事项或情况是否存在重大不确定性得</w:t>
      </w:r>
      <w:r>
        <w:rPr>
          <w:spacing w:val="-93"/>
        </w:rPr>
        <w:t> </w:t>
      </w:r>
      <w:r>
        <w:rPr>
          <w:spacing w:val="-93"/>
        </w:rPr>
      </w:r>
      <w:r>
        <w:rPr/>
        <w:t>出结论。如果我们得出结论认为存在重大不确定性，审计准则要求我们在审计报告中提请报</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表使用者注意财务报表中的相关披露；如果披露不充分，我们应当发表非无保留意见。我们</w:t>
      </w:r>
      <w:r>
        <w:rPr>
          <w:spacing w:val="-93"/>
        </w:rPr>
        <w:t> </w:t>
      </w:r>
      <w:r>
        <w:rPr>
          <w:spacing w:val="-93"/>
        </w:rPr>
      </w:r>
      <w:r>
        <w:rPr/>
        <w:t>的结论基于截至审计报告日可获得的信息。然而，未来的事项或情况可能导致远光软件公司</w:t>
      </w:r>
      <w:r>
        <w:rPr>
          <w:spacing w:val="-93"/>
        </w:rPr>
        <w:t> </w:t>
      </w:r>
      <w:r>
        <w:rPr>
          <w:spacing w:val="-93"/>
        </w:rPr>
      </w:r>
      <w:r>
        <w:rPr/>
        <w:t>不能持续经营。</w:t>
      </w:r>
    </w:p>
    <w:p>
      <w:pPr>
        <w:pStyle w:val="BodyText"/>
        <w:spacing w:line="312" w:lineRule="exact" w:before="120"/>
        <w:ind w:right="1134" w:firstLine="494"/>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w:t>
      </w:r>
      <w:r>
        <w:rPr/>
        <w:t> 事项。</w:t>
      </w:r>
    </w:p>
    <w:p>
      <w:pPr>
        <w:pStyle w:val="BodyText"/>
        <w:spacing w:line="312" w:lineRule="exact" w:before="120"/>
        <w:ind w:right="1134" w:firstLine="494"/>
        <w:jc w:val="both"/>
      </w:pPr>
      <w:r>
        <w:rPr>
          <w:spacing w:val="-3"/>
        </w:rPr>
        <w:t>（</w:t>
      </w:r>
      <w:r>
        <w:rPr>
          <w:rFonts w:ascii="Times New Roman" w:hAnsi="Times New Roman" w:cs="Times New Roman" w:eastAsia="Times New Roman" w:hint="default"/>
          <w:spacing w:val="-3"/>
        </w:rPr>
        <w:t>6</w:t>
      </w:r>
      <w:r>
        <w:rPr>
          <w:spacing w:val="-3"/>
        </w:rPr>
        <w:t>）就远光软件公司中实体或业务活动的财务信息获取充分、适当的审计证据，以对财</w:t>
      </w:r>
      <w:r>
        <w:rPr/>
        <w:t> 务报表发表意见。我们负责指导、监督和执行集团审计，并对审计意见承担全部责任。</w:t>
      </w:r>
    </w:p>
    <w:p>
      <w:pPr>
        <w:pStyle w:val="BodyText"/>
        <w:spacing w:line="312" w:lineRule="exact" w:before="120"/>
        <w:ind w:right="1140" w:firstLine="494"/>
        <w:jc w:val="both"/>
      </w:pPr>
      <w:r>
        <w:rPr/>
        <w:t>我们与治理层就计划的审计范围、时间安排和重大审计发现等事项进行沟通，包括沟通 我们在审计中识别出的值得关注的内部控制缺陷。</w:t>
      </w:r>
    </w:p>
    <w:p>
      <w:pPr>
        <w:pStyle w:val="BodyText"/>
        <w:spacing w:line="312" w:lineRule="exact" w:before="120"/>
        <w:ind w:right="1140" w:firstLine="494"/>
        <w:jc w:val="both"/>
      </w:pPr>
      <w:r>
        <w:rPr/>
        <w:t>我们还就已遵守与独立性相关的职业道德要求向治理层提供声明，并与治理层沟通可能 被合理认为影响我们独立性的所有关系和其他事项，以及相关的防范措施（如适用）。</w:t>
      </w:r>
    </w:p>
    <w:p>
      <w:pPr>
        <w:pStyle w:val="BodyText"/>
        <w:spacing w:line="237" w:lineRule="auto" w:before="92"/>
        <w:ind w:right="1136" w:firstLine="494"/>
        <w:jc w:val="both"/>
      </w:pPr>
      <w:r>
        <w:rPr/>
        <w:t>从与治理层沟通过的事项中，我们确定哪些事项对本期财务报表审计最为重要，因而构 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543" w:type="dxa"/>
        <w:tblLayout w:type="fixed"/>
        <w:tblCellMar>
          <w:top w:w="0" w:type="dxa"/>
          <w:left w:w="0" w:type="dxa"/>
          <w:bottom w:w="0" w:type="dxa"/>
          <w:right w:w="0" w:type="dxa"/>
        </w:tblCellMar>
        <w:tblLook w:val="01E0"/>
      </w:tblPr>
      <w:tblGrid>
        <w:gridCol w:w="3086"/>
        <w:gridCol w:w="3066"/>
        <w:gridCol w:w="1124"/>
      </w:tblGrid>
      <w:tr>
        <w:trPr>
          <w:trHeight w:val="184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致同会计师事务所</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（特殊普通合伙）</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exact"/>
              <w:ind w:left="1181"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181"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exact"/>
              <w:ind w:left="204" w:right="0"/>
              <w:jc w:val="left"/>
              <w:rPr>
                <w:rFonts w:ascii="宋体" w:hAnsi="宋体" w:cs="宋体" w:eastAsia="宋体" w:hint="default"/>
                <w:sz w:val="24"/>
                <w:szCs w:val="24"/>
              </w:rPr>
            </w:pPr>
            <w:r>
              <w:rPr>
                <w:rFonts w:ascii="宋体" w:hAnsi="宋体" w:cs="宋体" w:eastAsia="宋体" w:hint="default"/>
                <w:sz w:val="24"/>
                <w:szCs w:val="24"/>
              </w:rPr>
              <w:t>李恩成</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04" w:right="0"/>
              <w:jc w:val="left"/>
              <w:rPr>
                <w:rFonts w:ascii="宋体" w:hAnsi="宋体" w:cs="宋体" w:eastAsia="宋体" w:hint="default"/>
                <w:sz w:val="24"/>
                <w:szCs w:val="24"/>
              </w:rPr>
            </w:pPr>
            <w:r>
              <w:rPr>
                <w:rFonts w:ascii="宋体" w:hAnsi="宋体" w:cs="宋体" w:eastAsia="宋体" w:hint="default"/>
                <w:sz w:val="24"/>
                <w:szCs w:val="24"/>
              </w:rPr>
              <w:t>余红</w:t>
            </w:r>
          </w:p>
        </w:tc>
      </w:tr>
      <w:tr>
        <w:trPr>
          <w:trHeight w:val="611"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42"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41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65" w:right="0"/>
              <w:jc w:val="left"/>
              <w:rPr>
                <w:rFonts w:ascii="宋体" w:hAnsi="宋体" w:cs="宋体" w:eastAsia="宋体" w:hint="default"/>
                <w:sz w:val="24"/>
                <w:szCs w:val="24"/>
              </w:rPr>
            </w:pPr>
            <w:r>
              <w:rPr>
                <w:rFonts w:ascii="宋体" w:hAnsi="宋体" w:cs="宋体" w:eastAsia="宋体" w:hint="default"/>
                <w:sz w:val="24"/>
                <w:szCs w:val="24"/>
              </w:rPr>
              <w:t>二Ｏ二Ｏ年四月二十七日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1"/>
        <w:ind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60"/>
      <w:bookmarkEnd w:id="1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编制单位：远光软件股份有限公司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7" w:space="1220"/>
            <w:col w:w="1642" w:space="3203"/>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294,234,099.78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1,109,192,603.75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36,845,554.66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39,369,774.83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791,526,391.48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686,087,606.31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9,826,411.07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17,342,625.43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33,804,310.86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48,791,157.11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31,608,743.15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38,283,762.82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1,426,098.75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1,112,763.91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2,069,271,609.75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1,941,731,628.16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176,628,248.72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120,947,702.77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115,286,297.87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188,153,476.82</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43,020,543.74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42,979,523.14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165,622,751.86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165,564,475.83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64,733,148.88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125,711,387.91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70,859,278.26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24,518,311.19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54,645,854.35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35,310,460.25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37,715,810.62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557,431.18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3,390,411.60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35,887,629.80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20,135,805.82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836,950,434.72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751,938,855.09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2,906,222,044.47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2,693,670,483.25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40,968,387.02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452,600.00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134,954,065.20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110,719,365.87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10,319,374.68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15,823,554.77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98,879,330.34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93,992,786.97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50,090,085.25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31,271,963.51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6,713,431.81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10,675,587.15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25,012.51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34,751.67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571,034.20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311,408,887.28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337,885,374.49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9,662,978.20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9,003,457.78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12,462,978.20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13,703,457.78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323,871,865.48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351,588,832.27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848,066,240.00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849,403,251.00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146,056,582.84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150,800,948.80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10,957,808.36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-3,849.18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248,167,520.70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231,562,854.16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1,224,283,502.11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1,056,527,973.91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2,477,531,654.01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2,253,857,449.49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104,818,524.98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88,224,201.49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2,582,350,178.99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2,342,081,650.98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2,906,222,044.47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2,693,670,483.25</w:t>
            </w:r>
          </w:p>
        </w:tc>
      </w:tr>
    </w:tbl>
    <w:p>
      <w:pPr>
        <w:spacing w:line="240" w:lineRule="auto" w:before="2"/>
        <w:rPr>
          <w:rFonts w:ascii="Times New Roman" w:hAnsi="Times New Roman" w:cs="Times New Roman" w:eastAsia="Times New Roman" w:hint="default"/>
          <w:sz w:val="23"/>
          <w:szCs w:val="23"/>
        </w:rPr>
      </w:pPr>
    </w:p>
    <w:p>
      <w:pPr>
        <w:tabs>
          <w:tab w:pos="3577" w:val="left" w:leader="none"/>
          <w:tab w:pos="7716" w:val="left" w:leader="none"/>
        </w:tabs>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法定代表人：陈利浩</w:t>
        <w:tab/>
        <w:t>主管会计工作负责人：毛华夏</w:t>
        <w:tab/>
        <w:t>会计机构负责人：毛华夏</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61"/>
      <w:bookmarkEnd w:id="1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175,535,281.20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953,305,512.60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29,648,061.62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29,286,511.68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642,507,012.53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526,629,105.61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7,884,469.34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9,644,371.37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153,010,429.15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246,752,345.27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6,467,412.29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7,371,502.18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1,855,052,666.13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1,774,540,682.71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176,628,248.72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345,695,611.30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375,294,482.19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188,153,476.82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43,020,543.74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42,979,523.14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61,277,587.75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65,611,869.59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64,428,531.18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113,461,386.45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54,066,956.39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24,518,311.19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54,645,854.35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486,410.23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3,280,651.89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18,800,285.98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8,997,777.22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892,634,352.66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845,933,894.67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2,747,687,018.79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2,620,474,577.38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452,600.00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144,173,191.25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169,615,513.56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9,511,536.09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15,270,684.74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71,395,756.52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62,928,493.11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33,949,637.59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11,649,135.83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26,094,420.51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27,293,267.01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571,034.20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285,577,141.96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321,190,823.45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7,661,201.66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6,378,711.96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10,461,201.66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11,078,711.96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296,038,343.62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332,269,535.41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848,066,240.00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849,403,251.00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149,580,900.18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153,887,035.90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10,953,350.45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248,105,343.68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231,500,677.14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1,194,942,840.86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1,087,847,807.13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2,451,648,675.17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2,288,205,041.97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2,747,687,018.79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2,620,474,577.38</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3、合并利润表" w:id="162"/>
      <w:bookmarkEnd w:id="1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637.029968pt;width:158.950pt;height:20.65pt;mso-position-horizontal-relative:page;mso-position-vertical-relative:page;z-index:-1384864" coordorigin="4221,12741" coordsize="3179,413">
            <v:group style="position:absolute;left:4233;top:12753;width:2;height:389" coordorigin="4233,12753" coordsize="2,389">
              <v:shape style="position:absolute;left:4233;top:12753;width:2;height:389" coordorigin="4233,12753" coordsize="0,389" path="m4233,12753l4233,13141e" filled="false" stroked="true" strokeweight="1.2pt" strokecolor="#ffffff">
                <v:path arrowok="t"/>
              </v:shape>
            </v:group>
            <v:group style="position:absolute;left:4245;top:12753;width:3155;height:389" coordorigin="4245,12753" coordsize="3155,389">
              <v:shape style="position:absolute;left:4245;top:12753;width:3155;height:389" coordorigin="4245,12753" coordsize="3155,389" path="m4245,13141l7400,13141,7400,12753,4245,12753,4245,1314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1,565,208,558.82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1,278,381,650.64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1,565,208,558.82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1,278,381,650.64</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1,285,434,455.25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1,114,915,232.70</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546,769,668.17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434,817,103.06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15,862,432.01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15,414,844.23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233,938,768.71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224,634,107.07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191,167,286.45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190,228,940.67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308,964,472.83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258,859,298.12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-11,268,172.92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-9,039,060.45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2,398,869.40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3,320,477.91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14,143,042.44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12,994,722.34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16,201,539.50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27,230,691.40</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34,437,524.46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24,005,581.42</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-1,754,705.58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9,839,091.98</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-100,930,215.23</w:t>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203.685989pt;width:158.950pt;height:20.7pt;mso-position-horizontal-relative:page;mso-position-vertical-relative:page;z-index:-1384840" coordorigin="4221,4074" coordsize="3179,414">
            <v:group style="position:absolute;left:4233;top:4086;width:2;height:390" coordorigin="4233,4086" coordsize="2,390">
              <v:shape style="position:absolute;left:4233;top:4086;width:2;height:390" coordorigin="4233,4086" coordsize="0,390" path="m4233,4086l4233,4475e" filled="false" stroked="true" strokeweight="1.2pt" strokecolor="#ffffff">
                <v:path arrowok="t"/>
              </v:shape>
            </v:group>
            <v:group style="position:absolute;left:4245;top:4086;width:3155;height:390" coordorigin="4245,4086" coordsize="3155,390">
              <v:shape style="position:absolute;left:4245;top:4086;width:3155;height:390" coordorigin="4245,4086" coordsize="3155,390" path="m4245,4475l7400,4475,7400,4086,4245,4086,4245,447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76"/>
        <w:gridCol w:w="214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-20,509,388.06</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-52,154.10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227,025,447.83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194,193,302.70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409,934.70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546,576.83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943,538.18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240,318.42</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4"/>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96" w:right="0"/>
              <w:jc w:val="left"/>
              <w:rPr>
                <w:rFonts w:ascii="Times New Roman" w:hAnsi="Times New Roman" w:cs="Times New Roman" w:eastAsia="Times New Roman" w:hint="default"/>
                <w:sz w:val="18"/>
                <w:szCs w:val="18"/>
              </w:rPr>
            </w:pPr>
            <w:r>
              <w:rPr>
                <w:rFonts w:ascii="Times New Roman"/>
                <w:sz w:val="18"/>
              </w:rPr>
              <w:t>226,491,844.35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194,499,561.11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5,085,133.08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6,856,555.19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60" w:right="0"/>
              <w:jc w:val="left"/>
              <w:rPr>
                <w:rFonts w:ascii="Times New Roman" w:hAnsi="Times New Roman" w:cs="Times New Roman" w:eastAsia="Times New Roman" w:hint="default"/>
                <w:sz w:val="18"/>
                <w:szCs w:val="18"/>
              </w:rPr>
            </w:pPr>
            <w:r>
              <w:rPr>
                <w:rFonts w:ascii="Times New Roman"/>
                <w:sz w:val="18"/>
              </w:rPr>
              <w:t>221,406,711.27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187,643,005.92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0" w:right="0"/>
              <w:jc w:val="left"/>
              <w:rPr>
                <w:rFonts w:ascii="Times New Roman" w:hAnsi="Times New Roman" w:cs="Times New Roman" w:eastAsia="Times New Roman" w:hint="default"/>
                <w:sz w:val="18"/>
                <w:szCs w:val="18"/>
              </w:rPr>
            </w:pPr>
            <w:r>
              <w:rPr>
                <w:rFonts w:ascii="Times New Roman"/>
                <w:sz w:val="18"/>
              </w:rPr>
              <w:t>221,406,711.27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187,643,005.92</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226,707,159.85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194,695,651.63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-5,300,448.58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-7,052,645.71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16,559,346.03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9,489.39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16,559,346.03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9,489.39</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16,551,038.94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16,551,038.94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9,489.39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8,307.09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9,489.39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237,966,057.30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187,652,495.31</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243,266,505.88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194,705,141.02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-5,300,448.58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-7,052,645.71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0.2671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0.2292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0.2671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0.2292</w:t>
            </w:r>
          </w:p>
        </w:tc>
      </w:tr>
    </w:tbl>
    <w:p>
      <w:pPr>
        <w:tabs>
          <w:tab w:pos="3577" w:val="left" w:leader="none"/>
          <w:tab w:pos="7716" w:val="left" w:leader="none"/>
        </w:tabs>
        <w:spacing w:line="590" w:lineRule="auto" w:before="53"/>
        <w:ind w:left="153" w:right="1223" w:firstLine="0"/>
        <w:jc w:val="both"/>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73"/>
          <w:sz w:val="18"/>
          <w:szCs w:val="18"/>
        </w:rPr>
        <w:t> </w:t>
      </w:r>
      <w:r>
        <w:rPr>
          <w:rFonts w:ascii="宋体" w:hAnsi="宋体" w:cs="宋体" w:eastAsia="宋体" w:hint="default"/>
          <w:spacing w:val="-3"/>
          <w:sz w:val="18"/>
          <w:szCs w:val="18"/>
        </w:rPr>
        <w:t>法定代表人：陈利浩</w:t>
        <w:tab/>
        <w:t>主管会计工作负责人：毛华夏</w:t>
        <w:tab/>
        <w:t>会计机构负责人：毛华夏</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3"/>
      <w:bookmarkEnd w:id="163"/>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941"/>
        <w:gridCol w:w="3313"/>
        <w:gridCol w:w="3299"/>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1,351,798,612.61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1,088,609,115.75</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491,321,579.19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392,826,268.41</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12,740,827.28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10,901,758.34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190,786,553.47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177,112,942.62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147,118,548.36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134,217,605.63</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259,302,617.70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208,671,829.36</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-12,645,863.98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-13,321,751.37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622,255.56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1,028,669.78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13,667,869.28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14,784,561.45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10,445,751.11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16,721,077.65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-26,422,490.71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23,808,814.12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-29,162,406.68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11,295,440.33</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-76,584,183.87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-11,407,835.89</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-7,492.21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170,605,934.91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207,322,518.64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191,533.28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417,692.73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879,937.29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154,386.25</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169,917,530.90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207,585,825.12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3,870,865.52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3,040,123.88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166,046,665.38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204,545,701.24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166,046,665.38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204,545,701.24</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16,551,038.94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16,551,038.94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16,551,038.94</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182,597,704.32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204,545,701.24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5、合并现金流量表" w:id="164"/>
      <w:bookmarkEnd w:id="1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017" w:right="0"/>
              <w:jc w:val="left"/>
              <w:rPr>
                <w:rFonts w:ascii="Times New Roman" w:hAnsi="Times New Roman" w:cs="Times New Roman" w:eastAsia="Times New Roman" w:hint="default"/>
                <w:sz w:val="18"/>
                <w:szCs w:val="18"/>
              </w:rPr>
            </w:pPr>
            <w:r>
              <w:rPr>
                <w:rFonts w:ascii="Times New Roman"/>
                <w:sz w:val="18"/>
              </w:rPr>
              <w:t>1,499,428,864.19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z w:val="18"/>
              </w:rPr>
              <w:t>1,360,045,286.01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6,575,333.08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10,810,800.40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37,309,667.29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45,792,843.17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1,543,313,864.56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1,416,648,929.58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199,075,825.93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225,523,637.61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821,461,997.29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708,581,498.78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106,703,317.71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108,403,624.75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229,455,619.16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231,588,417.79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1,356,696,760.09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1,274,097,178.93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186,617,104.47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142,551,750.65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160,411,489.29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359,133,870.97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4,878,921.37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14,166,489.44</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369,689.71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447,466.93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165,660,100.37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373,747,827.34</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53,195,640.93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38,484,523.05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1,034,214,995.00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440,501,245.00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1,087,410,635.93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478,985,768.05</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-921,750,535.56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-105,237,940.71</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56,819,865.63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79,954,406.54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117,973,115.78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85,154,406.54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174,792,981.41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110,922,793.56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117,004,728.76</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47,727,670.72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33,393,246.16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3,360,000.00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3,591,921.46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2,707,916.96</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162,242,385.74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153,105,891.88</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-77,087,979.20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21,687,089.53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6,565.52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9,489.39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-812,214,844.77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59,010,388.86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1,093,035,336.82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1,034,024,947.96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280,820,492.05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1,093,035,336.82</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6、母公司现金流量表" w:id="165"/>
      <w:bookmarkEnd w:id="1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1,276,104,311.32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1,127,329,754.25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3,957,341.41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5,529,787.26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40,942,172.39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32,488,576.33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1,321,003,825.12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1,165,348,117.84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189,751,095.45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224,538,610.80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678,426,300.81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570,954,534.92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75,102,442.28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78,287,279.21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204,500,095.58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178,288,744.02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1,147,779,934.12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1,052,069,168.95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173,223,891.00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113,278,948.89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102,211,489.29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232,533,870.97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4,148,411.90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12,513,373.79</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346,606.19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429,810.05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106,706,507.38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245,477,054.81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44,948,286.23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35,077,712.17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940,014,994.00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303,401,245.00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984,963,280.23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338,478,957.17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-878,256,772.85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-93,001,902.36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56,819,865.63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48,165,885.56</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104,985,751.19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73,158,430.93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48,165,885.56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43,616,997.16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31,286,696.95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3,591,921.46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2,707,916.96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120,367,349.55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82,160,499.47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-70,367,349.55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22,825,251.72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-775,400,231.40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43,102,298.25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948,133,531.60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905,031,233.35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172,733,300.20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948,133,531.60</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7、合并所有者权益变动表" w:id="166"/>
      <w:bookmarkEnd w:id="16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2"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03,25</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150,80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0,948.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17"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18</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231,56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16</w:t>
            </w:r>
          </w:p>
        </w:tc>
        <w:tc>
          <w:tcPr>
            <w:tcW w:w="581" w:type="dxa"/>
            <w:vMerge w:val="restart"/>
            <w:tcBorders>
              <w:top w:val="single" w:sz="17" w:space="0" w:color="D2D2D2"/>
              <w:left w:val="single" w:sz="4" w:space="0" w:color="000000"/>
              <w:right w:val="single" w:sz="4" w:space="0" w:color="000000"/>
            </w:tcBorders>
          </w:tcPr>
          <w:p>
            <w:pPr/>
          </w:p>
        </w:tc>
        <w:tc>
          <w:tcPr>
            <w:tcW w:w="586" w:type="dxa"/>
            <w:vMerge w:val="restart"/>
            <w:tcBorders>
              <w:top w:val="single" w:sz="17" w:space="0" w:color="D2D2D2"/>
              <w:left w:val="single" w:sz="4" w:space="0" w:color="000000"/>
              <w:right w:val="single" w:sz="4" w:space="0" w:color="000000"/>
            </w:tcBorders>
          </w:tcPr>
          <w:p>
            <w:pPr>
              <w:pStyle w:val="TableParagraph"/>
              <w:spacing w:line="240" w:lineRule="auto" w:before="79"/>
              <w:ind w:left="78" w:right="0"/>
              <w:jc w:val="center"/>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527,97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3.91</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2,253,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857,44</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88,224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,201.4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36" w:space="0" w:color="D2D2D2"/>
              <w:left w:val="single" w:sz="4" w:space="0" w:color="000000"/>
              <w:right w:val="single" w:sz="4" w:space="0" w:color="000000"/>
            </w:tcBorders>
          </w:tcPr>
          <w:p>
            <w:pPr>
              <w:pStyle w:val="TableParagraph"/>
              <w:spacing w:line="240" w:lineRule="auto" w:before="55"/>
              <w:ind w:left="79" w:right="0"/>
              <w:jc w:val="center"/>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081,65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0.98</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-5,597,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688.49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-5,597,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688.49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-5,597,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688.49</w:t>
            </w: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0"/>
              <w:jc w:val="righ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159"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03,25</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150,80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0,948.</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-5,601,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537.67</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231,56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16</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527,97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3.91</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259,76</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1.00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88,224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,201.4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2,336,</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483,96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2.49</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7,011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-4,744,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365.96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-34,43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16,559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167,75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5,528.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229,27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16,594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245,86</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6,216.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50</w:t>
            </w: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16,559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,346.0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226,70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7,159.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243,26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448.58</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237,96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6,057.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30</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1"/>
              <w:ind w:left="47" w:right="0"/>
              <w:jc w:val="center"/>
              <w:rPr>
                <w:rFonts w:ascii="Times New Roman" w:hAnsi="Times New Roman" w:cs="Times New Roman" w:eastAsia="Times New Roman" w:hint="default"/>
                <w:sz w:val="18"/>
                <w:szCs w:val="18"/>
              </w:rPr>
            </w:pPr>
            <w:r>
              <w:rPr>
                <w:rFonts w:ascii="Times New Roman"/>
                <w:sz w:val="18"/>
              </w:rPr>
              <w:t>7,011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-4,306,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135.72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-34,43</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20</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28,790</w:t>
            </w:r>
          </w:p>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,582.4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5,554,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340.72</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34,344</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,923.2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-1,33</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Times New Roman" w:hAnsi="Times New Roman" w:cs="Times New Roman" w:eastAsia="Times New Roman" w:hint="default"/>
                <w:sz w:val="18"/>
                <w:szCs w:val="18"/>
              </w:rPr>
            </w:pPr>
            <w:r>
              <w:rPr>
                <w:rFonts w:ascii="Times New Roman"/>
                <w:spacing w:val="-1"/>
                <w:sz w:val="18"/>
              </w:rPr>
              <w:t>-5,197,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-1,956,</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Times New Roman" w:hAnsi="Times New Roman" w:cs="Times New Roman" w:eastAsia="Times New Roman" w:hint="default"/>
                <w:sz w:val="18"/>
                <w:szCs w:val="18"/>
              </w:rPr>
            </w:pPr>
            <w:r>
              <w:rPr>
                <w:rFonts w:ascii="Times New Roman"/>
                <w:spacing w:val="-1"/>
                <w:sz w:val="18"/>
              </w:rPr>
              <w:t>-4,577,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5,200,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622,23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center"/>
              <w:rPr>
                <w:rFonts w:ascii="Times New Roman" w:hAnsi="Times New Roman" w:cs="Times New Roman" w:eastAsia="Times New Roman" w:hint="default"/>
                <w:sz w:val="18"/>
                <w:szCs w:val="18"/>
              </w:rPr>
            </w:pPr>
            <w:r>
              <w:rPr>
                <w:rFonts w:ascii="Times New Roman"/>
                <w:sz w:val="18"/>
              </w:rPr>
              <w:t>7,011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435.72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677.70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769.02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0.98</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891,30</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-32,47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7,051.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33,368</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354,34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0.72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33,722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-42,34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-45,70</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-16,60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-42,34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-42,34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-45,70</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30.24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,431.3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19,262</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,201.1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848,0</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66,24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146,05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6,582.</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10,957</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248,16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7,520.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1,224,</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283,50</w:t>
            </w:r>
          </w:p>
          <w:p>
            <w:pPr>
              <w:pStyle w:val="TableParagraph"/>
              <w:spacing w:line="240" w:lineRule="auto" w:before="110"/>
              <w:ind w:left="225" w:right="0"/>
              <w:jc w:val="center"/>
              <w:rPr>
                <w:rFonts w:ascii="Times New Roman" w:hAnsi="Times New Roman" w:cs="Times New Roman" w:eastAsia="Times New Roman" w:hint="default"/>
                <w:sz w:val="18"/>
                <w:szCs w:val="18"/>
              </w:rPr>
            </w:pPr>
            <w:r>
              <w:rPr>
                <w:rFonts w:ascii="Times New Roman"/>
                <w:sz w:val="18"/>
              </w:rPr>
              <w:t>2.11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2,477,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531,65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4.01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8,524.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350,17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8.99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7"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7"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73,95</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218,61</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9,639.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73,774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,561.7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19"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8.57</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211,10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8,284.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04</w:t>
            </w:r>
          </w:p>
        </w:tc>
        <w:tc>
          <w:tcPr>
            <w:tcW w:w="576" w:type="dxa"/>
            <w:vMerge w:val="restart"/>
            <w:tcBorders>
              <w:top w:val="single" w:sz="19" w:space="0" w:color="D2D2D2"/>
              <w:left w:val="single" w:sz="4" w:space="0" w:color="000000"/>
              <w:right w:val="single" w:sz="4" w:space="0" w:color="000000"/>
            </w:tcBorders>
          </w:tcPr>
          <w:p>
            <w:pPr/>
          </w:p>
        </w:tc>
        <w:tc>
          <w:tcPr>
            <w:tcW w:w="591" w:type="dxa"/>
            <w:vMerge w:val="restart"/>
            <w:tcBorders>
              <w:top w:val="single" w:sz="19" w:space="0" w:color="D2D2D2"/>
              <w:left w:val="single" w:sz="4" w:space="0" w:color="000000"/>
              <w:right w:val="single" w:sz="4" w:space="0" w:color="000000"/>
            </w:tcBorders>
          </w:tcPr>
          <w:p>
            <w:pPr>
              <w:pStyle w:val="TableParagraph"/>
              <w:spacing w:line="240" w:lineRule="auto" w:before="77"/>
              <w:ind w:left="83" w:right="0"/>
              <w:jc w:val="center"/>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967,90</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1.17</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1,992,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481,87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4.65</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,430.55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2,095,0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10,305.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20</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73,95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218,61</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9,639.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73,774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,561.7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-13,33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8.57</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211,10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8,284.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04</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967,90</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1.17</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1,992,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481,87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4.65</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,430.55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2,095,0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10,305.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20</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246,8</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1.00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-67,81</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8,690.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-39,34</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0,832.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9,489.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39</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20,454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,570.1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22,560</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,072.7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261,37</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5,574.</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84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-14,304</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,229.06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247,071</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,345.78</w:t>
            </w: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9,489.</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39</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0.00</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194,69</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63</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194,70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5,141.</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02</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-7,052,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645.71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187,652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,495.31</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,546.</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54,687</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,602.6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-39,34</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98,051</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,981.2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-7,251,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583.35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90,800,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397.89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56</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5"/>
              <w:ind w:left="74" w:right="0"/>
              <w:jc w:val="center"/>
              <w:rPr>
                <w:rFonts w:ascii="Times New Roman" w:hAnsi="Times New Roman" w:cs="Times New Roman" w:eastAsia="Times New Roman" w:hint="default"/>
                <w:sz w:val="18"/>
                <w:szCs w:val="18"/>
              </w:rPr>
            </w:pPr>
            <w:r>
              <w:rPr>
                <w:rFonts w:ascii="Times New Roman"/>
                <w:sz w:val="18"/>
              </w:rPr>
              <w:t>,546.</w:t>
            </w:r>
          </w:p>
          <w:p>
            <w:pPr>
              <w:pStyle w:val="TableParagraph"/>
              <w:spacing w:line="240" w:lineRule="auto" w:before="110"/>
              <w:ind w:left="259"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,402.6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54,111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,948.6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pacing w:val="-3"/>
                <w:sz w:val="18"/>
              </w:rPr>
              <w:t>54,111,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948.68</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4,599,</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200.00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-39,34</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0,832.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43,940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,032.5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-7,251,</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583.35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449.21</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02,87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8.00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,570.1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35,578</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.89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8,130.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,130.77</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,570.1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-20,45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4,570.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4"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8,130.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8,130.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77</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,130.77</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02,87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8.00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02,878</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02,87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02,877</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02,87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02,877</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67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-1,103,</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416.65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-1,103,</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416.65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-1,103,</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416.65</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849,4</w:t>
            </w:r>
          </w:p>
          <w:p>
            <w:pPr>
              <w:pStyle w:val="TableParagraph"/>
              <w:spacing w:line="240" w:lineRule="auto" w:before="101"/>
              <w:ind w:left="52" w:right="0"/>
              <w:jc w:val="left"/>
              <w:rPr>
                <w:rFonts w:ascii="Times New Roman" w:hAnsi="Times New Roman" w:cs="Times New Roman" w:eastAsia="Times New Roman" w:hint="default"/>
                <w:sz w:val="18"/>
                <w:szCs w:val="18"/>
              </w:rPr>
            </w:pPr>
            <w:r>
              <w:rPr>
                <w:rFonts w:ascii="Times New Roman"/>
                <w:sz w:val="18"/>
              </w:rPr>
              <w:t>03,25</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1.00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150,80</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0,948.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80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34,433</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,729.2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231,56</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16</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1"/>
              <w:ind w:left="42" w:right="0"/>
              <w:jc w:val="center"/>
              <w:rPr>
                <w:rFonts w:ascii="Times New Roman" w:hAnsi="Times New Roman" w:cs="Times New Roman" w:eastAsia="Times New Roman" w:hint="default"/>
                <w:sz w:val="18"/>
                <w:szCs w:val="18"/>
              </w:rPr>
            </w:pPr>
            <w:r>
              <w:rPr>
                <w:rFonts w:ascii="Times New Roman"/>
                <w:sz w:val="18"/>
              </w:rPr>
              <w:t>527,97</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3.91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2,253,</w:t>
            </w:r>
          </w:p>
          <w:p>
            <w:pPr>
              <w:pStyle w:val="TableParagraph"/>
              <w:spacing w:line="240" w:lineRule="auto" w:before="101"/>
              <w:ind w:left="19" w:right="0"/>
              <w:jc w:val="center"/>
              <w:rPr>
                <w:rFonts w:ascii="Times New Roman" w:hAnsi="Times New Roman" w:cs="Times New Roman" w:eastAsia="Times New Roman" w:hint="default"/>
                <w:sz w:val="18"/>
                <w:szCs w:val="18"/>
              </w:rPr>
            </w:pPr>
            <w:r>
              <w:rPr>
                <w:rFonts w:ascii="Times New Roman"/>
                <w:sz w:val="18"/>
              </w:rPr>
              <w:t>857,44</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9.49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88,224,</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201.49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2,342,0</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81,650.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8、母公司所有者权益变动表" w:id="167"/>
      <w:bookmarkEnd w:id="1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2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82"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5"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849,40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153,887,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035.90</w:t>
            </w: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34,433,7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29.20</w:t>
            </w:r>
          </w:p>
        </w:tc>
        <w:tc>
          <w:tcPr>
            <w:tcW w:w="730" w:type="dxa"/>
            <w:vMerge w:val="restart"/>
            <w:tcBorders>
              <w:top w:val="single" w:sz="17"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231,500,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677.14</w:t>
            </w:r>
          </w:p>
        </w:tc>
        <w:tc>
          <w:tcPr>
            <w:tcW w:w="614" w:type="dxa"/>
            <w:vMerge w:val="restart"/>
            <w:tcBorders>
              <w:top w:val="single" w:sz="17" w:space="0" w:color="D2D2D2"/>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47,807.</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13</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2,288,205,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041.97</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-5,597,6</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88.49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-5,597,688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3" w:right="0"/>
              <w:jc w:val="lef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3" w:right="0"/>
              <w:jc w:val="lef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849,40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153,887,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035.90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34,433,7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29.20</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-5,597,6</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88.49</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231,500,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677.14</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47,807.</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13</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2,282,607,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353.48</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2"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011.00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-4,306,1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35.72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-34,433,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729.20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16,551,0</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38.94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16,604,6</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66.54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107,09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5,033.7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169,041,3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21.69</w:t>
            </w:r>
          </w:p>
        </w:tc>
      </w:tr>
      <w:tr>
        <w:trPr>
          <w:trHeight w:val="164"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16,551,0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38.94</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6,665.3</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182,597,7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04.32</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011.00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-4,306,1</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35.72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-34,433,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729.20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28,790,58</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2.48</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011.00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-5,197,4</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35.72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-6,534,446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891,300.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-34,433,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729.20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35,325,02</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9.20</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16,604,6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66.54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-58,951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,631.65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-42,346,96</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5.11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16,604,6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66.54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-16,604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,666.54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-42,346</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,965.11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-42,346,96</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5.11</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0.00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3" w:right="0"/>
              <w:jc w:val="lef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3"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848,06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6,240.0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149,580,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900.18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10,953,3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50.45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248,105,</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343.68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1,194,9</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42,840.</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86</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2,451,648,</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675.17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4"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90"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1"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2"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8"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220,602</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,310.22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73,774,5</w:t>
            </w:r>
          </w:p>
          <w:p>
            <w:pPr>
              <w:pStyle w:val="TableParagraph"/>
              <w:spacing w:line="240" w:lineRule="auto" w:before="110"/>
              <w:ind w:left="249" w:right="0"/>
              <w:jc w:val="left"/>
              <w:rPr>
                <w:rFonts w:ascii="Times New Roman" w:hAnsi="Times New Roman" w:cs="Times New Roman" w:eastAsia="Times New Roman" w:hint="default"/>
                <w:sz w:val="18"/>
                <w:szCs w:val="18"/>
              </w:rPr>
            </w:pPr>
            <w:r>
              <w:rPr>
                <w:rFonts w:ascii="Times New Roman"/>
                <w:sz w:val="18"/>
              </w:rPr>
              <w:t>61.76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211,046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,107.02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1,055,437</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,684.78</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2,015,885,4</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90.26</w:t>
            </w:r>
          </w:p>
        </w:tc>
      </w:tr>
      <w:tr>
        <w:trPr>
          <w:trHeight w:val="706"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158"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220,602</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,310.22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73,774,5</w:t>
            </w:r>
          </w:p>
          <w:p>
            <w:pPr>
              <w:pStyle w:val="TableParagraph"/>
              <w:spacing w:line="240" w:lineRule="auto" w:before="110"/>
              <w:ind w:left="249" w:right="0"/>
              <w:jc w:val="left"/>
              <w:rPr>
                <w:rFonts w:ascii="Times New Roman" w:hAnsi="Times New Roman" w:cs="Times New Roman" w:eastAsia="Times New Roman" w:hint="default"/>
                <w:sz w:val="18"/>
                <w:szCs w:val="18"/>
              </w:rPr>
            </w:pPr>
            <w:r>
              <w:rPr>
                <w:rFonts w:ascii="Times New Roman"/>
                <w:sz w:val="18"/>
              </w:rPr>
              <w:t>61.76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211,046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,107.02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1,055,437</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,684.78</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2,015,885,4</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90.26</w:t>
            </w:r>
          </w:p>
        </w:tc>
      </w:tr>
      <w:tr>
        <w:trPr>
          <w:trHeight w:val="706"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246,82</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9,301.</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-66,715,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274.32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832.56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570.12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32,410,12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272,319,55</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1.71</w:t>
            </w: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204,545,7</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01.24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204,545,70</w:t>
            </w:r>
          </w:p>
          <w:p>
            <w:pPr>
              <w:pStyle w:val="TableParagraph"/>
              <w:spacing w:line="240" w:lineRule="auto" w:before="110"/>
              <w:ind w:left="580" w:right="0"/>
              <w:jc w:val="left"/>
              <w:rPr>
                <w:rFonts w:ascii="Times New Roman" w:hAnsi="Times New Roman" w:cs="Times New Roman" w:eastAsia="Times New Roman" w:hint="default"/>
                <w:sz w:val="18"/>
                <w:szCs w:val="18"/>
              </w:rPr>
            </w:pPr>
            <w:r>
              <w:rPr>
                <w:rFonts w:ascii="Times New Roman"/>
                <w:sz w:val="18"/>
              </w:rPr>
              <w:t>1.24</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546.00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54,687,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602.68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832.56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98,051,981.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546.00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50,088,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402.68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54,111,948.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68</w:t>
            </w:r>
          </w:p>
        </w:tc>
      </w:tr>
      <w:tr>
        <w:trPr>
          <w:trHeight w:val="102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64"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0.00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4,599,2</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00.00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832.56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43,940,032.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56</w:t>
            </w:r>
          </w:p>
        </w:tc>
      </w:tr>
      <w:tr>
        <w:trPr>
          <w:trHeight w:val="389"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121,40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2"/>
                <w:sz w:val="18"/>
              </w:rPr>
              <w:t>20,454,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-172,135,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-30,278,130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570.12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578.89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.77</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570.12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-20,454,5</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70.12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-30,278,1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-30,278,130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.77</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10"/>
              <w:ind w:left="255" w:right="0"/>
              <w:jc w:val="center"/>
              <w:rPr>
                <w:rFonts w:ascii="Times New Roman" w:hAnsi="Times New Roman" w:cs="Times New Roman" w:eastAsia="Times New Roman" w:hint="default"/>
                <w:sz w:val="18"/>
                <w:szCs w:val="18"/>
              </w:rPr>
            </w:pPr>
            <w:r>
              <w:rPr>
                <w:rFonts w:ascii="Times New Roman"/>
                <w:sz w:val="18"/>
              </w:rPr>
              <w:t>878.00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-121,40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2,877.0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-121,40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2,877.0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849,40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3,251.</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153,887</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,035.90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34,433,7</w:t>
            </w:r>
          </w:p>
          <w:p>
            <w:pPr>
              <w:pStyle w:val="TableParagraph"/>
              <w:spacing w:line="240" w:lineRule="auto" w:before="110"/>
              <w:ind w:left="249" w:right="0"/>
              <w:jc w:val="left"/>
              <w:rPr>
                <w:rFonts w:ascii="Times New Roman" w:hAnsi="Times New Roman" w:cs="Times New Roman" w:eastAsia="Times New Roman" w:hint="default"/>
                <w:sz w:val="18"/>
                <w:szCs w:val="18"/>
              </w:rPr>
            </w:pPr>
            <w:r>
              <w:rPr>
                <w:rFonts w:ascii="Times New Roman"/>
                <w:sz w:val="18"/>
              </w:rPr>
              <w:t>29.20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231,500</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,677.14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1,087,847</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,807.13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2,288,205,0</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41.97</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spacing w:line="240" w:lineRule="auto" w:before="5"/>
        <w:rPr>
          <w:rFonts w:ascii="宋体" w:hAnsi="宋体" w:cs="宋体" w:eastAsia="宋体" w:hint="default"/>
          <w:b/>
          <w:bCs/>
          <w:sz w:val="25"/>
          <w:szCs w:val="25"/>
        </w:rPr>
      </w:pPr>
    </w:p>
    <w:p>
      <w:pPr>
        <w:pStyle w:val="BodyText"/>
        <w:spacing w:line="312" w:lineRule="exact"/>
        <w:ind w:right="1127"/>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日经广东省人民政府办公厅粤办函</w:t>
      </w:r>
      <w:r>
        <w:rPr>
          <w:rFonts w:ascii="Times New Roman" w:hAnsi="Times New Roman" w:cs="Times New Roman" w:eastAsia="Times New Roman" w:hint="default"/>
        </w:rPr>
        <w:t>[2001]366</w:t>
      </w:r>
      <w:r>
        <w:rPr/>
        <w:t>号</w:t>
      </w:r>
      <w:r>
        <w:rPr>
          <w:rFonts w:ascii="Times New Roman" w:hAnsi="Times New Roman" w:cs="Times New Roman" w:eastAsia="Times New Roman" w:hint="default"/>
        </w:rPr>
        <w:t>“</w:t>
      </w:r>
      <w:r>
        <w:rPr/>
        <w:t>关于同意变更设立广东远光软件</w:t>
      </w:r>
      <w:r>
        <w:rPr>
          <w:spacing w:val="-115"/>
        </w:rPr>
        <w:t> </w:t>
      </w:r>
      <w:r>
        <w:rPr>
          <w:spacing w:val="-115"/>
        </w:rPr>
      </w:r>
      <w:r>
        <w:rPr>
          <w:spacing w:val="2"/>
        </w:rPr>
        <w:t>股份有限公司的复函</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日经广东省经济贸易委员会粤经贸监督</w:t>
      </w:r>
      <w:r>
        <w:rPr>
          <w:rFonts w:ascii="Times New Roman" w:hAnsi="Times New Roman" w:cs="Times New Roman" w:eastAsia="Times New Roman" w:hint="default"/>
          <w:spacing w:val="2"/>
        </w:rPr>
        <w:t>[2001]556</w:t>
      </w:r>
      <w:r>
        <w:rPr>
          <w:spacing w:val="2"/>
        </w:rPr>
        <w:t>号</w:t>
      </w:r>
      <w:r>
        <w:rPr>
          <w:rFonts w:ascii="Times New Roman" w:hAnsi="Times New Roman" w:cs="Times New Roman" w:eastAsia="Times New Roman" w:hint="default"/>
          <w:spacing w:val="2"/>
        </w:rPr>
        <w:t>“</w:t>
      </w:r>
      <w:r>
        <w:rPr>
          <w:spacing w:val="2"/>
        </w:rPr>
        <w:t>关</w:t>
      </w:r>
      <w:r>
        <w:rPr>
          <w:spacing w:val="-92"/>
        </w:rPr>
        <w:t> </w:t>
      </w:r>
      <w:r>
        <w:rPr>
          <w:spacing w:val="-2"/>
        </w:rPr>
        <w:t>于同意变更设立广东远光软件股份有限公司的批复</w:t>
      </w:r>
      <w:r>
        <w:rPr>
          <w:rFonts w:ascii="Times New Roman" w:hAnsi="Times New Roman" w:cs="Times New Roman" w:eastAsia="Times New Roman" w:hint="default"/>
          <w:spacing w:val="-2"/>
        </w:rPr>
        <w:t>”</w:t>
      </w:r>
      <w:r>
        <w:rPr>
          <w:spacing w:val="-2"/>
        </w:rPr>
        <w:t>文件批准，由珠海市东区荣光软件有限公</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0" w:lineRule="auto" w:before="37"/>
        <w:ind w:right="1126"/>
        <w:jc w:val="both"/>
      </w:pPr>
      <w:r>
        <w:rPr>
          <w:spacing w:val="2"/>
        </w:rPr>
        <w:t>司</w:t>
      </w:r>
      <w:r>
        <w:rPr>
          <w:rFonts w:ascii="Times New Roman" w:hAnsi="Times New Roman" w:cs="Times New Roman" w:eastAsia="Times New Roman" w:hint="default"/>
          <w:spacing w:val="2"/>
        </w:rPr>
        <w:t>(</w:t>
      </w:r>
      <w:r>
        <w:rPr>
          <w:spacing w:val="2"/>
        </w:rPr>
        <w:t>后更名为林芝地区东区荣光科技有限公司</w:t>
      </w:r>
      <w:r>
        <w:rPr>
          <w:rFonts w:ascii="Times New Roman" w:hAnsi="Times New Roman" w:cs="Times New Roman" w:eastAsia="Times New Roman" w:hint="default"/>
          <w:spacing w:val="2"/>
        </w:rPr>
        <w:t>)</w:t>
      </w:r>
      <w:r>
        <w:rPr>
          <w:spacing w:val="2"/>
        </w:rPr>
        <w:t>、国电电力发展股份有限公司、陈利浩、吉林</w:t>
      </w:r>
      <w:r>
        <w:rPr>
          <w:spacing w:val="-97"/>
        </w:rPr>
        <w:t> </w:t>
      </w:r>
      <w:r>
        <w:rPr>
          <w:spacing w:val="-97"/>
        </w:rPr>
      </w:r>
      <w:r>
        <w:rPr/>
        <w:t>省电力有限公司、福建省电力有限公司、广东太平洋技术创业有限公司、浙江华能投资有限</w:t>
      </w:r>
      <w:r>
        <w:rPr>
          <w:spacing w:val="-93"/>
        </w:rPr>
        <w:t> </w:t>
      </w:r>
      <w:r>
        <w:rPr>
          <w:spacing w:val="-93"/>
        </w:rPr>
      </w:r>
      <w:r>
        <w:rPr/>
        <w:t>公司（后更名为浙江嘉汇集团有限公司）等七个发起人，以其在珠海远光新纪元软件产业有</w:t>
      </w:r>
      <w:r>
        <w:rPr>
          <w:spacing w:val="-93"/>
        </w:rPr>
        <w:t> </w:t>
      </w:r>
      <w:r>
        <w:rPr>
          <w:spacing w:val="-93"/>
        </w:rPr>
      </w:r>
      <w:r>
        <w:rPr/>
        <w:t>限公司的出资额整体变更设立广东远光软件股份有限公司（以下简称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46"/>
        </w:rPr>
        <w:t> </w:t>
      </w:r>
      <w:r>
        <w:rPr>
          <w:spacing w:val="-1"/>
        </w:rPr>
        <w:t>变更设立的股份有限公司股份总数为</w:t>
      </w:r>
      <w:r>
        <w:rPr>
          <w:rFonts w:ascii="Times New Roman" w:hAnsi="Times New Roman" w:cs="Times New Roman" w:eastAsia="Times New Roman" w:hint="default"/>
          <w:spacing w:val="-1"/>
        </w:rPr>
        <w:t>3,000</w:t>
      </w:r>
      <w:r>
        <w:rPr>
          <w:spacing w:val="-1"/>
        </w:rPr>
        <w:t>万股。该注册资本由利安达信隆会计师事务所利安</w:t>
      </w:r>
      <w:r>
        <w:rPr>
          <w:spacing w:val="-103"/>
        </w:rPr>
        <w:t> </w:t>
      </w:r>
      <w:r>
        <w:rPr>
          <w:spacing w:val="-103"/>
        </w:rPr>
      </w:r>
      <w:r>
        <w:rPr/>
        <w:t>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 号为</w:t>
      </w:r>
      <w:r>
        <w:rPr>
          <w:rFonts w:ascii="Times New Roman" w:hAnsi="Times New Roman" w:cs="Times New Roman" w:eastAsia="Times New Roman" w:hint="default"/>
        </w:rPr>
        <w:t>4400001009932</w:t>
      </w:r>
      <w:r>
        <w:rPr/>
        <w:t>号营业执照。</w:t>
      </w:r>
    </w:p>
    <w:p>
      <w:pPr>
        <w:pStyle w:val="BodyText"/>
        <w:spacing w:line="225" w:lineRule="auto" w:before="214"/>
        <w:ind w:right="1007"/>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w:t>
      </w:r>
      <w:r>
        <w:rPr>
          <w:rFonts w:ascii="Times New Roman" w:hAnsi="Times New Roman" w:cs="Times New Roman" w:eastAsia="Times New Roman" w:hint="default"/>
        </w:rPr>
        <w:t>2001</w:t>
      </w:r>
      <w:r>
        <w:rPr/>
        <w:t>年度股东大会会议决议通过，并经广东省人民政府办公厅粤府函 </w:t>
      </w:r>
      <w:r>
        <w:rPr>
          <w:rFonts w:ascii="Times New Roman" w:hAnsi="Times New Roman" w:cs="Times New Roman" w:eastAsia="Times New Roman" w:hint="default"/>
        </w:rPr>
        <w:t>[2002]346</w:t>
      </w:r>
      <w:r>
        <w:rPr/>
        <w:t>号《关于同意广东远光软件股份有限公司以任意公积金分派新股的批复》及广东省 经济贸易委员会粤经贸监督</w:t>
      </w:r>
      <w:r>
        <w:rPr>
          <w:rFonts w:ascii="Times New Roman" w:hAnsi="Times New Roman" w:cs="Times New Roman" w:eastAsia="Times New Roman" w:hint="default"/>
        </w:rPr>
        <w:t>[2002]449</w:t>
      </w:r>
      <w:r>
        <w:rPr/>
        <w:t>号《关于同意广东远光软件股份有限公司转增新股的批 复》文件批准，公司以任意盈余公积金</w:t>
      </w:r>
      <w:r>
        <w:rPr>
          <w:rFonts w:ascii="Times New Roman" w:hAnsi="Times New Roman" w:cs="Times New Roman" w:eastAsia="Times New Roman" w:hint="default"/>
        </w:rPr>
        <w:t>1,116</w:t>
      </w:r>
      <w:r>
        <w:rPr/>
        <w:t>万元转增股本。转增后，公司注册资本增至</w:t>
      </w:r>
      <w:r>
        <w:rPr>
          <w:rFonts w:ascii="Times New Roman" w:hAnsi="Times New Roman" w:cs="Times New Roman" w:eastAsia="Times New Roman" w:hint="default"/>
        </w:rPr>
        <w:t>4,116 </w:t>
      </w:r>
      <w:r>
        <w:rPr/>
        <w:t>万元。此次增资已由利安达信隆会计师事务所利安达验字</w:t>
      </w:r>
      <w:r>
        <w:rPr>
          <w:rFonts w:ascii="Times New Roman" w:hAnsi="Times New Roman" w:cs="Times New Roman" w:eastAsia="Times New Roman" w:hint="default"/>
        </w:rPr>
        <w:t>[2002]B-1025</w:t>
      </w:r>
      <w:r>
        <w:rPr/>
        <w:t>号验资报告验证确认。</w:t>
      </w:r>
    </w:p>
    <w:p>
      <w:pPr>
        <w:pStyle w:val="BodyText"/>
        <w:spacing w:line="225" w:lineRule="auto" w:before="215"/>
        <w:ind w:right="1012"/>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日，经本公司第二届董事会第十三次会议决议、</w:t>
      </w:r>
      <w:r>
        <w:rPr>
          <w:rFonts w:ascii="Times New Roman" w:hAnsi="Times New Roman" w:cs="Times New Roman" w:eastAsia="Times New Roman" w:hint="default"/>
          <w:spacing w:val="-2"/>
        </w:rPr>
        <w:t>2005</w:t>
      </w:r>
      <w:r>
        <w:rPr>
          <w:spacing w:val="-2"/>
        </w:rPr>
        <w:t>年度股东大会会议决议通过，</w:t>
      </w:r>
      <w:r>
        <w:rPr>
          <w:spacing w:val="-114"/>
        </w:rPr>
        <w:t> </w:t>
      </w:r>
      <w:r>
        <w:rPr/>
        <w:t>公司以未分配利润增加注册资本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日在广东省工商行政管理局办理了变更登记。此次增资已由利安达信隆会计师事务所</w:t>
      </w:r>
      <w:r>
        <w:rPr>
          <w:spacing w:val="-93"/>
        </w:rPr>
        <w:t> </w:t>
      </w:r>
      <w:r>
        <w:rPr>
          <w:spacing w:val="-93"/>
        </w:rPr>
      </w:r>
      <w:r>
        <w:rPr/>
        <w:t>利安达验字</w:t>
      </w:r>
      <w:r>
        <w:rPr>
          <w:rFonts w:ascii="Times New Roman" w:hAnsi="Times New Roman" w:cs="Times New Roman" w:eastAsia="Times New Roman" w:hint="default"/>
        </w:rPr>
        <w:t>[2006]B-1019</w:t>
      </w:r>
      <w:r>
        <w:rPr/>
        <w:t>号验资报告验证确认。</w:t>
      </w:r>
    </w:p>
    <w:p>
      <w:pPr>
        <w:pStyle w:val="BodyText"/>
        <w:spacing w:line="225" w:lineRule="auto" w:before="215"/>
        <w:ind w:right="1128"/>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 </w:t>
      </w:r>
      <w:r>
        <w:rPr>
          <w:spacing w:val="-1"/>
        </w:rPr>
        <w:t>股</w:t>
      </w:r>
      <w:r>
        <w:rPr>
          <w:rFonts w:ascii="Times New Roman" w:hAnsi="Times New Roman" w:cs="Times New Roman" w:eastAsia="Times New Roman" w:hint="default"/>
          <w:spacing w:val="-1"/>
        </w:rPr>
        <w:t>2,750</w:t>
      </w:r>
      <w:r>
        <w:rPr>
          <w:spacing w:val="-1"/>
        </w:rPr>
        <w:t>万股，每股面值</w:t>
      </w:r>
      <w:r>
        <w:rPr>
          <w:rFonts w:ascii="Times New Roman" w:hAnsi="Times New Roman" w:cs="Times New Roman" w:eastAsia="Times New Roman" w:hint="default"/>
          <w:spacing w:val="-1"/>
        </w:rPr>
        <w:t>1</w:t>
      </w:r>
      <w:r>
        <w:rPr>
          <w:spacing w:val="-1"/>
        </w:rPr>
        <w:t>元，并于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日在深圳证券交易所上市交易。公司发行后总</w:t>
      </w:r>
      <w:r>
        <w:rPr>
          <w:spacing w:val="-101"/>
        </w:rPr>
        <w:t> </w:t>
      </w:r>
      <w:r>
        <w:rPr>
          <w:spacing w:val="-101"/>
        </w:rPr>
      </w:r>
      <w:r>
        <w:rPr>
          <w:spacing w:val="-2"/>
        </w:rPr>
        <w:t>股本为</w:t>
      </w:r>
      <w:r>
        <w:rPr>
          <w:rFonts w:ascii="Times New Roman" w:hAnsi="Times New Roman" w:cs="Times New Roman" w:eastAsia="Times New Roman" w:hint="default"/>
          <w:spacing w:val="-2"/>
        </w:rPr>
        <w:t>10,982</w:t>
      </w:r>
      <w:r>
        <w:rPr>
          <w:spacing w:val="-2"/>
        </w:rPr>
        <w:t>万元，此次增资已由利安达信隆会计师事务所利安达验字</w:t>
      </w:r>
      <w:r>
        <w:rPr>
          <w:rFonts w:ascii="Times New Roman" w:hAnsi="Times New Roman" w:cs="Times New Roman" w:eastAsia="Times New Roman" w:hint="default"/>
          <w:spacing w:val="-2"/>
        </w:rPr>
        <w:t>[2006]B-1032</w:t>
      </w:r>
      <w:r>
        <w:rPr>
          <w:spacing w:val="-2"/>
        </w:rPr>
        <w:t>号验资报</w:t>
      </w:r>
      <w:r>
        <w:rPr>
          <w:spacing w:val="-88"/>
        </w:rPr>
        <w:t> </w:t>
      </w:r>
      <w:r>
        <w:rPr>
          <w:spacing w:val="-88"/>
        </w:rPr>
      </w:r>
      <w:r>
        <w:rPr/>
        <w:t>告验证确认，并于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日在广东省工商行政管理局办理了变更登记，变更后注册资</w:t>
      </w:r>
      <w:r>
        <w:rPr>
          <w:spacing w:val="-93"/>
        </w:rPr>
        <w:t> </w:t>
      </w:r>
      <w:r>
        <w:rPr>
          <w:spacing w:val="-93"/>
        </w:rPr>
      </w:r>
      <w:r>
        <w:rPr/>
        <w:t>本为</w:t>
      </w:r>
      <w:r>
        <w:rPr>
          <w:rFonts w:ascii="Times New Roman" w:hAnsi="Times New Roman" w:cs="Times New Roman" w:eastAsia="Times New Roman" w:hint="default"/>
        </w:rPr>
        <w:t>10,982</w:t>
      </w:r>
      <w:r>
        <w:rPr/>
        <w:t>万元。</w:t>
      </w:r>
    </w:p>
    <w:p>
      <w:pPr>
        <w:pStyle w:val="BodyText"/>
        <w:spacing w:line="240" w:lineRule="auto" w:before="199"/>
        <w:ind w:right="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spacing w:line="240" w:lineRule="auto" w:before="4"/>
        <w:rPr>
          <w:rFonts w:ascii="宋体" w:hAnsi="宋体" w:cs="宋体" w:eastAsia="宋体" w:hint="default"/>
          <w:sz w:val="17"/>
          <w:szCs w:val="17"/>
        </w:rPr>
      </w:pPr>
    </w:p>
    <w:p>
      <w:pPr>
        <w:pStyle w:val="BodyText"/>
        <w:spacing w:line="312" w:lineRule="exact"/>
        <w:ind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w:t>
      </w:r>
      <w:r>
        <w:rPr>
          <w:spacing w:val="-65"/>
        </w:rPr>
        <w:t> </w:t>
      </w:r>
      <w:r>
        <w:rPr/>
        <w:t>更为</w:t>
      </w:r>
      <w:r>
        <w:rPr>
          <w:rFonts w:ascii="Times New Roman" w:hAnsi="Times New Roman" w:cs="Times New Roman" w:eastAsia="Times New Roman" w:hint="default"/>
        </w:rPr>
        <w:t>“</w:t>
      </w:r>
      <w:r>
        <w:rPr/>
        <w:t>远光软件股份有限公司</w:t>
      </w:r>
      <w:r>
        <w:rPr>
          <w:rFonts w:ascii="Times New Roman" w:hAnsi="Times New Roman" w:cs="Times New Roman" w:eastAsia="Times New Roman" w:hint="default"/>
        </w:rPr>
        <w:t>”</w:t>
      </w:r>
      <w:r>
        <w:rPr/>
        <w:t>。</w:t>
      </w:r>
    </w:p>
    <w:p>
      <w:pPr>
        <w:pStyle w:val="BodyText"/>
        <w:spacing w:line="225" w:lineRule="auto" w:before="202"/>
        <w:ind w:right="1008"/>
        <w:jc w:val="left"/>
      </w:pP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22</w:t>
      </w:r>
      <w:r>
        <w:rPr>
          <w:spacing w:val="-5"/>
        </w:rPr>
        <w:t>日，经本公司第三届董事会第十七次会议决议、</w:t>
      </w:r>
      <w:r>
        <w:rPr>
          <w:rFonts w:ascii="Times New Roman" w:hAnsi="Times New Roman" w:cs="Times New Roman" w:eastAsia="Times New Roman" w:hint="default"/>
          <w:spacing w:val="-5"/>
        </w:rPr>
        <w:t>2008</w:t>
      </w:r>
      <w:r>
        <w:rPr>
          <w:spacing w:val="-5"/>
        </w:rPr>
        <w:t>年度股东大会会议决议通过，</w:t>
      </w:r>
      <w:r>
        <w:rPr>
          <w:spacing w:val="-85"/>
        </w:rPr>
        <w:t> </w:t>
      </w:r>
      <w:r>
        <w:rPr/>
        <w:t>公司以资本公积转增注册资本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 资已由利安达会计师事务所利安达验字</w:t>
      </w:r>
      <w:r>
        <w:rPr>
          <w:rFonts w:ascii="Times New Roman" w:hAnsi="Times New Roman" w:cs="Times New Roman" w:eastAsia="Times New Roman" w:hint="default"/>
        </w:rPr>
        <w:t>[2009]B-1021</w:t>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 </w:t>
      </w:r>
      <w:r>
        <w:rPr/>
        <w:t>日办理了变更登记。</w:t>
      </w:r>
    </w:p>
    <w:p>
      <w:pPr>
        <w:spacing w:line="240" w:lineRule="auto" w:before="10"/>
        <w:rPr>
          <w:rFonts w:ascii="宋体" w:hAnsi="宋体" w:cs="宋体" w:eastAsia="宋体" w:hint="default"/>
          <w:sz w:val="17"/>
          <w:szCs w:val="17"/>
        </w:rPr>
      </w:pPr>
    </w:p>
    <w:p>
      <w:pPr>
        <w:pStyle w:val="BodyText"/>
        <w:spacing w:line="225" w:lineRule="auto"/>
        <w:ind w:right="99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日，经本公司第三届董事会第二十八次会议决议、</w:t>
      </w:r>
      <w:r>
        <w:rPr>
          <w:rFonts w:ascii="Times New Roman" w:hAnsi="Times New Roman" w:cs="Times New Roman" w:eastAsia="Times New Roman" w:hint="default"/>
        </w:rPr>
        <w:t>2009</w:t>
      </w:r>
      <w:r>
        <w:rPr/>
        <w:t>年度股东大会会议决议通 过，公司以资本公积转增注册资本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39"/>
        </w:rPr>
        <w:t> </w:t>
      </w:r>
      <w:r>
        <w:rPr/>
        <w:t>万元， </w:t>
      </w:r>
      <w:r>
        <w:rPr>
          <w:spacing w:val="5"/>
        </w:rPr>
        <w:t>转增后，公司注册资本增至</w:t>
      </w:r>
      <w:r>
        <w:rPr>
          <w:rFonts w:ascii="Times New Roman" w:hAnsi="Times New Roman" w:cs="Times New Roman" w:eastAsia="Times New Roman" w:hint="default"/>
          <w:spacing w:val="5"/>
        </w:rPr>
        <w:t>25,697.88</w:t>
      </w:r>
      <w:r>
        <w:rPr>
          <w:spacing w:val="5"/>
        </w:rPr>
        <w:t>万元。此次增资已由利安达会计师事务所利安达验字</w:t>
      </w:r>
      <w:r>
        <w:rPr>
          <w:spacing w:val="-87"/>
        </w:rPr>
        <w:t> </w:t>
      </w:r>
      <w:r>
        <w:rPr>
          <w:spacing w:val="-87"/>
        </w:rPr>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1051</w:t>
      </w:r>
      <w:r>
        <w:rPr>
          <w:rFonts w:ascii="Times New Roman" w:hAnsi="Times New Roman" w:cs="Times New Roman" w:eastAsia="Times New Roman" w:hint="default"/>
          <w:spacing w:val="33"/>
        </w:rPr>
        <w:t> </w:t>
      </w:r>
      <w:r>
        <w:rPr/>
        <w:t>号验资报告验证确认，并办理了工商变更登记。</w:t>
      </w:r>
    </w:p>
    <w:p>
      <w:pPr>
        <w:pStyle w:val="BodyText"/>
        <w:spacing w:line="228" w:lineRule="auto" w:before="213"/>
        <w:ind w:right="1124"/>
        <w:jc w:val="both"/>
      </w:pPr>
      <w:r>
        <w:rPr/>
        <w:t>根据公司股票期权激励计划规定，经公司董事会申请、深圳证券交易所确认、中国证券登记</w:t>
      </w:r>
      <w:r>
        <w:rPr>
          <w:spacing w:val="-93"/>
        </w:rPr>
        <w:t> </w:t>
      </w:r>
      <w:r>
        <w:rPr>
          <w:spacing w:val="-93"/>
        </w:rPr>
      </w:r>
      <w:r>
        <w:rPr/>
        <w:t>结算有限责任公司深圳分公司核准登记，以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日为股票行权登记日，对本次提出</w:t>
      </w:r>
      <w:r>
        <w:rPr>
          <w:spacing w:val="-91"/>
        </w:rPr>
        <w:t> </w:t>
      </w:r>
      <w:r>
        <w:rPr>
          <w:spacing w:val="-91"/>
        </w:rPr>
      </w:r>
      <w:r>
        <w:rPr>
          <w:spacing w:val="11"/>
        </w:rPr>
        <w:t>申请行权的</w:t>
      </w:r>
      <w:r>
        <w:rPr>
          <w:rFonts w:ascii="Times New Roman" w:hAnsi="Times New Roman" w:cs="Times New Roman" w:eastAsia="Times New Roman" w:hint="default"/>
          <w:spacing w:val="11"/>
        </w:rPr>
        <w:t>91</w:t>
      </w:r>
      <w:r>
        <w:rPr>
          <w:spacing w:val="11"/>
        </w:rPr>
        <w:t>名激励对象的</w:t>
      </w:r>
      <w:r>
        <w:rPr>
          <w:rFonts w:ascii="Times New Roman" w:hAnsi="Times New Roman" w:cs="Times New Roman" w:eastAsia="Times New Roman" w:hint="default"/>
          <w:spacing w:val="11"/>
        </w:rPr>
        <w:t>1,573,603</w:t>
      </w:r>
      <w:r>
        <w:rPr>
          <w:spacing w:val="11"/>
        </w:rPr>
        <w:t>份股票期权予以行权。行权后公司注册资本变更为</w:t>
      </w:r>
      <w:r>
        <w:rPr>
          <w:spacing w:val="-106"/>
        </w:rPr>
        <w:t> </w:t>
      </w:r>
      <w:r>
        <w:rPr>
          <w:spacing w:val="-106"/>
        </w:rPr>
      </w:r>
      <w:r>
        <w:rPr>
          <w:rFonts w:ascii="Times New Roman" w:hAnsi="Times New Roman" w:cs="Times New Roman" w:eastAsia="Times New Roman" w:hint="default"/>
          <w:spacing w:val="2"/>
        </w:rPr>
        <w:t>25,855.24</w:t>
      </w:r>
      <w:r>
        <w:rPr>
          <w:spacing w:val="2"/>
        </w:rPr>
        <w:t>万元。此次增资已由利安达会计师事务所利安达验字</w:t>
      </w:r>
      <w:r>
        <w:rPr>
          <w:rFonts w:ascii="Times New Roman" w:hAnsi="Times New Roman" w:cs="Times New Roman" w:eastAsia="Times New Roman" w:hint="default"/>
          <w:spacing w:val="2"/>
        </w:rPr>
        <w:t>[2010]1081</w:t>
      </w:r>
      <w:r>
        <w:rPr>
          <w:spacing w:val="2"/>
        </w:rPr>
        <w:t>号验资报告验证确</w:t>
      </w:r>
      <w:r>
        <w:rPr>
          <w:spacing w:val="-112"/>
        </w:rPr>
        <w:t> </w:t>
      </w:r>
      <w:r>
        <w:rPr>
          <w:spacing w:val="-112"/>
        </w:rPr>
      </w:r>
      <w:r>
        <w:rPr/>
        <w:t>认，并办理了工商变更登记。</w:t>
      </w:r>
    </w:p>
    <w:p>
      <w:pPr>
        <w:pStyle w:val="BodyText"/>
        <w:spacing w:line="240" w:lineRule="auto" w:before="215"/>
        <w:ind w:right="0"/>
        <w:jc w:val="both"/>
      </w:pPr>
      <w:r>
        <w:rPr/>
        <w:t>根据公司股票期权激励计划规定，经公司董事会申请、深圳证券交易所确认、中国证券登记</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25" w:lineRule="auto" w:before="42"/>
        <w:ind w:right="1046"/>
        <w:jc w:val="both"/>
      </w:pPr>
      <w:r>
        <w:rPr>
          <w:spacing w:val="-2"/>
        </w:rPr>
        <w:t>结算有限责任公司深圳分公司核准登记，以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日为股票行权登记日，对本次提出申</w:t>
      </w:r>
      <w:r>
        <w:rPr/>
        <w:t> 请行权的激励对象的</w:t>
      </w:r>
      <w:r>
        <w:rPr>
          <w:rFonts w:ascii="Times New Roman" w:hAnsi="Times New Roman" w:cs="Times New Roman" w:eastAsia="Times New Roman" w:hint="default"/>
        </w:rPr>
        <w:t>1,257,680</w:t>
      </w:r>
      <w:r>
        <w:rPr/>
        <w:t>份股票期权予以行权。行权后公司注册资本变更为</w:t>
      </w:r>
      <w:r>
        <w:rPr>
          <w:rFonts w:ascii="Times New Roman" w:hAnsi="Times New Roman" w:cs="Times New Roman" w:eastAsia="Times New Roman" w:hint="default"/>
        </w:rPr>
        <w:t>25,981.01</w:t>
      </w:r>
      <w:r>
        <w:rPr/>
        <w:t>万</w:t>
      </w:r>
      <w:r>
        <w:rPr>
          <w:spacing w:val="-89"/>
        </w:rPr>
        <w:t> </w:t>
      </w:r>
      <w:r>
        <w:rPr>
          <w:spacing w:val="2"/>
        </w:rPr>
        <w:t>元。此次增资已由利安达会计师事务所利安达验字</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1016</w:t>
      </w:r>
      <w:r>
        <w:rPr>
          <w:spacing w:val="2"/>
        </w:rPr>
        <w:t>号验资报告验证确认，并办</w:t>
      </w:r>
      <w:r>
        <w:rPr>
          <w:spacing w:val="-103"/>
        </w:rPr>
        <w:t> </w:t>
      </w:r>
      <w:r>
        <w:rPr>
          <w:spacing w:val="-103"/>
        </w:rPr>
      </w:r>
      <w:r>
        <w:rPr/>
        <w:t>理了工商变更登记。</w:t>
      </w:r>
    </w:p>
    <w:p>
      <w:pPr>
        <w:spacing w:line="240" w:lineRule="auto" w:before="11"/>
        <w:rPr>
          <w:rFonts w:ascii="宋体" w:hAnsi="宋体" w:cs="宋体" w:eastAsia="宋体" w:hint="default"/>
          <w:sz w:val="18"/>
          <w:szCs w:val="18"/>
        </w:rPr>
      </w:pPr>
    </w:p>
    <w:p>
      <w:pPr>
        <w:pStyle w:val="BodyText"/>
        <w:spacing w:line="312" w:lineRule="exact"/>
        <w:ind w:right="1031"/>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日，经本公司第四届董事会第六次会议决议、</w:t>
      </w:r>
      <w:r>
        <w:rPr>
          <w:rFonts w:ascii="Times New Roman" w:hAnsi="Times New Roman" w:cs="Times New Roman" w:eastAsia="Times New Roman" w:hint="default"/>
        </w:rPr>
        <w:t>2010</w:t>
      </w:r>
      <w:r>
        <w:rPr/>
        <w:t>年度股东大会会议决议通过， </w:t>
      </w:r>
      <w:r>
        <w:rPr>
          <w:spacing w:val="-2"/>
        </w:rPr>
        <w:t>公司以未分配利润转增注册资本</w:t>
      </w:r>
      <w:r>
        <w:rPr>
          <w:rFonts w:ascii="Times New Roman" w:hAnsi="Times New Roman" w:cs="Times New Roman" w:eastAsia="Times New Roman" w:hint="default"/>
          <w:spacing w:val="-2"/>
        </w:rPr>
        <w:t>7,756.57</w:t>
      </w:r>
      <w:r>
        <w:rPr>
          <w:spacing w:val="-2"/>
        </w:rPr>
        <w:t>万元，转增后，公司注册资本增至</w:t>
      </w:r>
      <w:r>
        <w:rPr>
          <w:rFonts w:ascii="Times New Roman" w:hAnsi="Times New Roman" w:cs="Times New Roman" w:eastAsia="Times New Roman" w:hint="default"/>
          <w:spacing w:val="-2"/>
        </w:rPr>
        <w:t>33,737.58</w:t>
      </w:r>
      <w:r>
        <w:rPr>
          <w:spacing w:val="-2"/>
        </w:rPr>
        <w:t>万元。此</w:t>
      </w:r>
      <w:r>
        <w:rPr>
          <w:spacing w:val="-102"/>
        </w:rPr>
        <w:t> </w:t>
      </w:r>
      <w:r>
        <w:rPr>
          <w:spacing w:val="-102"/>
        </w:rPr>
      </w:r>
      <w:r>
        <w:rPr>
          <w:spacing w:val="2"/>
        </w:rPr>
        <w:t>次增资已由利安达会计师事务所利安达验字</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1094</w:t>
      </w:r>
      <w:r>
        <w:rPr>
          <w:spacing w:val="2"/>
        </w:rPr>
        <w:t>号验资报告验证确认，并办理了工</w:t>
      </w:r>
      <w:r>
        <w:rPr>
          <w:spacing w:val="-108"/>
        </w:rPr>
        <w:t> </w:t>
      </w:r>
      <w:r>
        <w:rPr>
          <w:spacing w:val="-108"/>
        </w:rPr>
      </w:r>
      <w:r>
        <w:rPr/>
        <w:t>商变更登记。</w:t>
      </w:r>
    </w:p>
    <w:p>
      <w:pPr>
        <w:pStyle w:val="BodyText"/>
        <w:spacing w:line="228" w:lineRule="auto" w:before="199"/>
        <w:ind w:right="0"/>
        <w:jc w:val="left"/>
      </w:pPr>
      <w:r>
        <w:rPr/>
        <w:t>根据公司股票期权激励计划规定，经公司董事会申请、深圳证券交易所确认、中国证券登记</w:t>
      </w:r>
      <w:r>
        <w:rPr>
          <w:spacing w:val="-93"/>
        </w:rPr>
        <w:t> </w:t>
      </w:r>
      <w:r>
        <w:rPr>
          <w:spacing w:val="-93"/>
        </w:rPr>
      </w:r>
      <w:r>
        <w:rPr/>
        <w:t>结算有限责任公司深圳分公司核准登记，以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日为股票行权登记日，对本次提出</w:t>
      </w:r>
      <w:r>
        <w:rPr>
          <w:spacing w:val="-91"/>
        </w:rPr>
        <w:t> </w:t>
      </w:r>
      <w:r>
        <w:rPr>
          <w:spacing w:val="-91"/>
        </w:rPr>
      </w:r>
      <w:r>
        <w:rPr>
          <w:spacing w:val="-2"/>
        </w:rPr>
        <w:t>申请行权的激励对象的</w:t>
      </w:r>
      <w:r>
        <w:rPr>
          <w:rFonts w:ascii="Times New Roman" w:hAnsi="Times New Roman" w:cs="Times New Roman" w:eastAsia="Times New Roman" w:hint="default"/>
          <w:spacing w:val="-2"/>
        </w:rPr>
        <w:t>2,549,823</w:t>
      </w:r>
      <w:r>
        <w:rPr>
          <w:spacing w:val="-2"/>
        </w:rPr>
        <w:t>份股票期权予以行权，本次行权于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日完成验资，</w:t>
      </w:r>
      <w:r>
        <w:rPr>
          <w:spacing w:val="-10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日在中国证券登记结算有限责任公司深圳分公司完成核准登记。行权后注册资本</w:t>
      </w:r>
      <w:r>
        <w:rPr>
          <w:spacing w:val="-93"/>
        </w:rPr>
        <w:t> </w:t>
      </w:r>
      <w:r>
        <w:rPr>
          <w:spacing w:val="-93"/>
        </w:rPr>
      </w:r>
      <w:r>
        <w:rPr>
          <w:spacing w:val="2"/>
        </w:rPr>
        <w:t>变更为</w:t>
      </w:r>
      <w:r>
        <w:rPr>
          <w:rFonts w:ascii="Times New Roman" w:hAnsi="Times New Roman" w:cs="Times New Roman" w:eastAsia="Times New Roman" w:hint="default"/>
          <w:spacing w:val="2"/>
        </w:rPr>
        <w:t>33,992.56</w:t>
      </w:r>
      <w:r>
        <w:rPr>
          <w:spacing w:val="2"/>
        </w:rPr>
        <w:t>万元。此次增资已由利安达会计师事务所有限责任公司利安达验字</w:t>
      </w:r>
      <w:r>
        <w:rPr>
          <w:rFonts w:ascii="Times New Roman" w:hAnsi="Times New Roman" w:cs="Times New Roman" w:eastAsia="Times New Roman" w:hint="default"/>
          <w:spacing w:val="2"/>
        </w:rPr>
        <w:t>[2011]</w:t>
      </w:r>
      <w:r>
        <w:rPr>
          <w:spacing w:val="2"/>
        </w:rPr>
        <w:t>第</w:t>
      </w:r>
      <w:r>
        <w:rPr>
          <w:spacing w:val="-111"/>
        </w:rPr>
        <w:t> </w:t>
      </w:r>
      <w:r>
        <w:rPr>
          <w:rFonts w:ascii="Times New Roman" w:hAnsi="Times New Roman" w:cs="Times New Roman" w:eastAsia="Times New Roman" w:hint="default"/>
        </w:rPr>
        <w:t>1107</w:t>
      </w:r>
      <w:r>
        <w:rPr/>
        <w:t>号验资报告验证确认，并办理了工商变更登记。</w:t>
      </w:r>
    </w:p>
    <w:p>
      <w:pPr>
        <w:pStyle w:val="BodyText"/>
        <w:spacing w:line="225" w:lineRule="auto" w:before="215"/>
        <w:ind w:right="1031"/>
        <w:jc w:val="left"/>
      </w:pPr>
      <w:r>
        <w:rPr>
          <w:spacing w:val="16"/>
        </w:rPr>
        <w:t>根据公司</w:t>
      </w:r>
      <w:r>
        <w:rPr>
          <w:spacing w:val="-95"/>
        </w:rPr>
        <w:t> </w:t>
      </w:r>
      <w:r>
        <w:rPr>
          <w:rFonts w:ascii="Times New Roman" w:hAnsi="Times New Roman" w:cs="Times New Roman" w:eastAsia="Times New Roman" w:hint="default"/>
          <w:spacing w:val="18"/>
        </w:rPr>
        <w:t>2011</w:t>
      </w:r>
      <w:r>
        <w:rPr>
          <w:spacing w:val="18"/>
        </w:rPr>
        <w:t>年度股东会决议和修改后的章程规定，公司以未分配利润转增注册资本</w:t>
      </w:r>
      <w:r>
        <w:rPr>
          <w:spacing w:val="-117"/>
        </w:rPr>
        <w:t> </w:t>
      </w:r>
      <w:r>
        <w:rPr>
          <w:spacing w:val="-117"/>
        </w:rPr>
      </w:r>
      <w:r>
        <w:rPr>
          <w:rFonts w:ascii="Times New Roman" w:hAnsi="Times New Roman" w:cs="Times New Roman" w:eastAsia="Times New Roman" w:hint="default"/>
        </w:rPr>
        <w:t>10,197.77</w:t>
      </w:r>
      <w:r>
        <w:rPr/>
        <w:t>万元，转增基准日期为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日，转增后，公司注册资本增至</w:t>
      </w:r>
      <w:r>
        <w:rPr>
          <w:rFonts w:ascii="Times New Roman" w:hAnsi="Times New Roman" w:cs="Times New Roman" w:eastAsia="Times New Roman" w:hint="default"/>
        </w:rPr>
        <w:t>44,190.33</w:t>
      </w:r>
      <w:r>
        <w:rPr/>
        <w:t>万元。 </w:t>
      </w:r>
      <w:r>
        <w:rPr>
          <w:spacing w:val="2"/>
        </w:rPr>
        <w:t>此次增资已由利安达会计师事务所利安达验字</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1046</w:t>
      </w:r>
      <w:r>
        <w:rPr>
          <w:spacing w:val="2"/>
        </w:rPr>
        <w:t>号验资报告验证确认，并办理了</w:t>
      </w:r>
      <w:r>
        <w:rPr>
          <w:spacing w:val="-103"/>
        </w:rPr>
        <w:t> </w:t>
      </w:r>
      <w:r>
        <w:rPr>
          <w:spacing w:val="-103"/>
        </w:rPr>
      </w:r>
      <w:r>
        <w:rPr/>
        <w:t>工商变更登记。</w:t>
      </w:r>
    </w:p>
    <w:p>
      <w:pPr>
        <w:spacing w:line="240" w:lineRule="auto" w:before="8"/>
        <w:rPr>
          <w:rFonts w:ascii="宋体" w:hAnsi="宋体" w:cs="宋体" w:eastAsia="宋体" w:hint="default"/>
          <w:sz w:val="17"/>
          <w:szCs w:val="17"/>
        </w:rPr>
      </w:pPr>
    </w:p>
    <w:p>
      <w:pPr>
        <w:pStyle w:val="BodyText"/>
        <w:spacing w:line="228" w:lineRule="auto"/>
        <w:ind w:right="1117"/>
        <w:jc w:val="both"/>
      </w:pPr>
      <w:r>
        <w:rPr/>
        <w:t>根据公司股票期权激励计划规定，经公司董事会申请、深圳证券交易所确认、中国证券登记</w:t>
      </w:r>
      <w:r>
        <w:rPr>
          <w:spacing w:val="-93"/>
        </w:rPr>
        <w:t> </w:t>
      </w:r>
      <w:r>
        <w:rPr>
          <w:spacing w:val="-93"/>
        </w:rPr>
      </w:r>
      <w:r>
        <w:rPr>
          <w:spacing w:val="-2"/>
        </w:rPr>
        <w:t>结算有限责任公司深圳分公司核准登记，以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日为股票行权登记日，对本次提出申</w:t>
      </w:r>
      <w:r>
        <w:rPr/>
        <w:t> </w:t>
      </w:r>
      <w:r>
        <w:rPr>
          <w:spacing w:val="3"/>
        </w:rPr>
        <w:t>请行权的激励对象的</w:t>
      </w:r>
      <w:r>
        <w:rPr>
          <w:rFonts w:ascii="Times New Roman" w:hAnsi="Times New Roman" w:cs="Times New Roman" w:eastAsia="Times New Roman" w:hint="default"/>
          <w:spacing w:val="3"/>
        </w:rPr>
        <w:t>1,279,860</w:t>
      </w:r>
      <w:r>
        <w:rPr>
          <w:spacing w:val="3"/>
        </w:rPr>
        <w:t>份股票期权予以行权，本次行权于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日完成验资，</w:t>
      </w:r>
      <w:r>
        <w:rPr>
          <w:spacing w:val="-118"/>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日在中国证券登记结算有限责任公司深圳分公司完成核准登记。行权后注册资</w:t>
      </w:r>
      <w:r>
        <w:rPr>
          <w:spacing w:val="-93"/>
        </w:rPr>
        <w:t> </w:t>
      </w:r>
      <w:r>
        <w:rPr>
          <w:spacing w:val="-93"/>
        </w:rPr>
      </w:r>
      <w:r>
        <w:rPr>
          <w:spacing w:val="2"/>
        </w:rPr>
        <w:t>本变更为</w:t>
      </w:r>
      <w:r>
        <w:rPr>
          <w:rFonts w:ascii="Times New Roman" w:hAnsi="Times New Roman" w:cs="Times New Roman" w:eastAsia="Times New Roman" w:hint="default"/>
          <w:spacing w:val="2"/>
        </w:rPr>
        <w:t>44,318.32</w:t>
      </w:r>
      <w:r>
        <w:rPr>
          <w:spacing w:val="2"/>
        </w:rPr>
        <w:t>万元。此次增资已由利安达会计师事务所有限责任公司利安达验字</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t>第</w:t>
      </w:r>
      <w:r>
        <w:rPr>
          <w:rFonts w:ascii="Times New Roman" w:hAnsi="Times New Roman" w:cs="Times New Roman" w:eastAsia="Times New Roman" w:hint="default"/>
        </w:rPr>
        <w:t>1080</w:t>
      </w:r>
      <w:r>
        <w:rPr/>
        <w:t>号验资报告验证确认，并办理了工商变更登记。</w:t>
      </w:r>
    </w:p>
    <w:p>
      <w:pPr>
        <w:pStyle w:val="BodyText"/>
        <w:spacing w:line="228" w:lineRule="auto" w:before="212"/>
        <w:ind w:right="1131"/>
        <w:jc w:val="both"/>
      </w:pPr>
      <w:r>
        <w:rPr/>
        <w:t>根据公司股票期权激励计划规定，经公司董事会申请、深圳证券交易所确认、中国证券登记</w:t>
      </w:r>
      <w:r>
        <w:rPr>
          <w:spacing w:val="-93"/>
        </w:rPr>
        <w:t> </w:t>
      </w:r>
      <w:r>
        <w:rPr>
          <w:spacing w:val="-93"/>
        </w:rPr>
      </w:r>
      <w:r>
        <w:rPr/>
        <w:t>结算有限责任公司深圳分公司核准登记，对本次提出申请行权的激励对象的</w:t>
      </w:r>
      <w:r>
        <w:rPr>
          <w:rFonts w:ascii="Times New Roman" w:hAnsi="Times New Roman" w:cs="Times New Roman" w:eastAsia="Times New Roman" w:hint="default"/>
        </w:rPr>
        <w:t>6,077,001</w:t>
      </w:r>
      <w:r>
        <w:rPr/>
        <w:t>份股票</w:t>
      </w:r>
      <w:r>
        <w:rPr>
          <w:spacing w:val="-89"/>
        </w:rPr>
        <w:t> </w:t>
      </w:r>
      <w:r>
        <w:rPr/>
        <w:t>期权予以行权，本次行权于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日完成验资，中国证券登记结算有限责任公司深圳分</w:t>
      </w:r>
      <w:r>
        <w:rPr>
          <w:spacing w:val="-92"/>
        </w:rPr>
        <w:t> </w:t>
      </w:r>
      <w:r>
        <w:rPr>
          <w:spacing w:val="-92"/>
        </w:rPr>
      </w:r>
      <w:r>
        <w:rPr/>
        <w:t>公司已完成核准登记。行权后注册资本变更为</w:t>
      </w:r>
      <w:r>
        <w:rPr>
          <w:rFonts w:ascii="Times New Roman" w:hAnsi="Times New Roman" w:cs="Times New Roman" w:eastAsia="Times New Roman" w:hint="default"/>
        </w:rPr>
        <w:t>44,926.02</w:t>
      </w:r>
      <w:r>
        <w:rPr/>
        <w:t>万元。此次增资已由国富浩华会计师</w:t>
      </w:r>
      <w:r>
        <w:rPr>
          <w:spacing w:val="-94"/>
        </w:rPr>
        <w:t> </w:t>
      </w:r>
      <w:r>
        <w:rPr>
          <w:spacing w:val="-94"/>
        </w:rPr>
      </w:r>
      <w:r>
        <w:rPr>
          <w:spacing w:val="-2"/>
        </w:rPr>
        <w:t>事务所（特殊普通合伙）国浩验字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016A80001</w:t>
      </w:r>
      <w:r>
        <w:rPr>
          <w:spacing w:val="-2"/>
        </w:rPr>
        <w:t>号验资报告验证确认，并办理了工商变</w:t>
      </w:r>
      <w:r>
        <w:rPr>
          <w:spacing w:val="-93"/>
        </w:rPr>
        <w:t> </w:t>
      </w:r>
      <w:r>
        <w:rPr>
          <w:spacing w:val="-93"/>
        </w:rPr>
      </w:r>
      <w:r>
        <w:rPr/>
        <w:t>更登记。</w:t>
      </w:r>
    </w:p>
    <w:p>
      <w:pPr>
        <w:spacing w:line="240" w:lineRule="auto" w:before="7"/>
        <w:rPr>
          <w:rFonts w:ascii="宋体" w:hAnsi="宋体" w:cs="宋体" w:eastAsia="宋体" w:hint="default"/>
          <w:sz w:val="17"/>
          <w:szCs w:val="17"/>
        </w:rPr>
      </w:pPr>
    </w:p>
    <w:p>
      <w:pPr>
        <w:pStyle w:val="BodyText"/>
        <w:spacing w:line="228" w:lineRule="auto"/>
        <w:ind w:right="1127"/>
        <w:jc w:val="both"/>
      </w:pPr>
      <w:r>
        <w:rPr/>
        <w:t>根据公司</w:t>
      </w:r>
      <w:r>
        <w:rPr>
          <w:rFonts w:ascii="Times New Roman" w:hAnsi="Times New Roman" w:cs="Times New Roman" w:eastAsia="Times New Roman" w:hint="default"/>
        </w:rPr>
        <w:t>2012</w:t>
      </w:r>
      <w:r>
        <w:rPr/>
        <w:t>年度第三次临时股东大会审议通过的《远光软件股份有限公司限制性股票激励</w:t>
      </w:r>
      <w:r>
        <w:rPr>
          <w:spacing w:val="-93"/>
        </w:rPr>
        <w:t> </w:t>
      </w:r>
      <w:r>
        <w:rPr>
          <w:spacing w:val="-93"/>
        </w:rPr>
      </w:r>
      <w:r>
        <w:rPr/>
        <w:t>计划（修订稿）及其摘要》及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日第四届董事会第二十五次会议决议，本次由</w:t>
      </w:r>
      <w:r>
        <w:rPr>
          <w:rFonts w:ascii="Times New Roman" w:hAnsi="Times New Roman" w:cs="Times New Roman" w:eastAsia="Times New Roman" w:hint="default"/>
        </w:rPr>
        <w:t>295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名限制性股票激励对象行权，实际行权数量为</w:t>
      </w:r>
      <w:r>
        <w:rPr>
          <w:rFonts w:ascii="Times New Roman" w:hAnsi="Times New Roman" w:cs="Times New Roman" w:eastAsia="Times New Roman" w:hint="default"/>
        </w:rPr>
        <w:t>12,494,650</w:t>
      </w:r>
      <w:r>
        <w:rPr/>
        <w:t>份，本次行权于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w:t>
      </w:r>
      <w:r>
        <w:rPr>
          <w:spacing w:val="-93"/>
        </w:rPr>
        <w:t> </w:t>
      </w:r>
      <w:r>
        <w:rPr/>
        <w:t>验资，中国证券登记结算有限责任公司深圳分公司已完成核准登记。行权后注册资本变更为</w:t>
      </w:r>
      <w:r>
        <w:rPr>
          <w:spacing w:val="-93"/>
        </w:rPr>
        <w:t> </w:t>
      </w:r>
      <w:r>
        <w:rPr>
          <w:spacing w:val="-93"/>
        </w:rPr>
      </w:r>
      <w:r>
        <w:rPr>
          <w:rFonts w:ascii="Times New Roman" w:hAnsi="Times New Roman" w:cs="Times New Roman" w:eastAsia="Times New Roman" w:hint="default"/>
          <w:spacing w:val="7"/>
        </w:rPr>
        <w:t>46,175.48</w:t>
      </w:r>
      <w:r>
        <w:rPr>
          <w:spacing w:val="7"/>
        </w:rPr>
        <w:t>万元。此次增资已由国富浩华会计师事务所（特殊普通合伙）国浩验字</w:t>
      </w:r>
      <w:r>
        <w:rPr>
          <w:rFonts w:ascii="Times New Roman" w:hAnsi="Times New Roman" w:cs="Times New Roman" w:eastAsia="Times New Roman" w:hint="default"/>
          <w:spacing w:val="7"/>
        </w:rPr>
        <w:t>[2013]</w:t>
      </w:r>
      <w:r>
        <w:rPr>
          <w:spacing w:val="7"/>
        </w:rPr>
        <w:t>第</w:t>
      </w:r>
    </w:p>
    <w:p>
      <w:pPr>
        <w:pStyle w:val="BodyText"/>
        <w:spacing w:line="315" w:lineRule="exact"/>
        <w:ind w:right="0"/>
        <w:jc w:val="both"/>
      </w:pPr>
      <w:r>
        <w:rPr>
          <w:rFonts w:ascii="Times New Roman" w:hAnsi="Times New Roman" w:cs="Times New Roman" w:eastAsia="Times New Roman" w:hint="default"/>
        </w:rPr>
        <w:t>016A0002</w:t>
      </w:r>
      <w:r>
        <w:rPr/>
        <w:t>号验资报告验证确认，并办理了工商变更登记。</w:t>
      </w:r>
    </w:p>
    <w:p>
      <w:pPr>
        <w:spacing w:line="240" w:lineRule="auto" w:before="5"/>
        <w:rPr>
          <w:rFonts w:ascii="宋体" w:hAnsi="宋体" w:cs="宋体" w:eastAsia="宋体" w:hint="default"/>
          <w:sz w:val="17"/>
          <w:szCs w:val="17"/>
        </w:rPr>
      </w:pPr>
    </w:p>
    <w:p>
      <w:pPr>
        <w:pStyle w:val="BodyText"/>
        <w:spacing w:line="312" w:lineRule="exact"/>
        <w:ind w:right="1127"/>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日，公司第四届董事会第三十一次会议审议通过了《关于回购注销部分限制性股</w:t>
      </w:r>
      <w:r>
        <w:rPr/>
        <w:t> </w:t>
      </w:r>
      <w:r>
        <w:rPr>
          <w:spacing w:val="-3"/>
        </w:rPr>
        <w:t>票的议案》，本次回购股份</w:t>
      </w:r>
      <w:r>
        <w:rPr>
          <w:rFonts w:ascii="Times New Roman" w:hAnsi="Times New Roman" w:cs="Times New Roman" w:eastAsia="Times New Roman" w:hint="default"/>
          <w:spacing w:val="-3"/>
        </w:rPr>
        <w:t>38,360</w:t>
      </w:r>
      <w:r>
        <w:rPr>
          <w:spacing w:val="-3"/>
        </w:rPr>
        <w:t>份，回购价格为</w:t>
      </w:r>
      <w:r>
        <w:rPr>
          <w:rFonts w:ascii="Times New Roman" w:hAnsi="Times New Roman" w:cs="Times New Roman" w:eastAsia="Times New Roman" w:hint="default"/>
          <w:spacing w:val="-3"/>
        </w:rPr>
        <w:t>7.69</w:t>
      </w:r>
      <w:r>
        <w:rPr>
          <w:spacing w:val="-3"/>
        </w:rPr>
        <w:t>元</w:t>
      </w:r>
      <w:r>
        <w:rPr>
          <w:rFonts w:ascii="Times New Roman" w:hAnsi="Times New Roman" w:cs="Times New Roman" w:eastAsia="Times New Roman" w:hint="default"/>
          <w:spacing w:val="-3"/>
        </w:rPr>
        <w:t>/</w:t>
      </w:r>
      <w:r>
        <w:rPr>
          <w:spacing w:val="-3"/>
        </w:rPr>
        <w:t>股。回购后的股本为人民币</w:t>
      </w:r>
      <w:r>
        <w:rPr>
          <w:rFonts w:ascii="Times New Roman" w:hAnsi="Times New Roman" w:cs="Times New Roman" w:eastAsia="Times New Roman" w:hint="default"/>
          <w:spacing w:val="-3"/>
        </w:rPr>
        <w:t>46,171.64</w:t>
      </w:r>
      <w:r>
        <w:rPr>
          <w:rFonts w:ascii="Times New Roman" w:hAnsi="Times New Roman" w:cs="Times New Roman" w:eastAsia="Times New Roman" w:hint="default"/>
          <w:spacing w:val="-56"/>
        </w:rPr>
        <w:t> </w:t>
      </w:r>
      <w:r>
        <w:rPr>
          <w:rFonts w:ascii="Times New Roman" w:hAnsi="Times New Roman" w:cs="Times New Roman" w:eastAsia="Times New Roman" w:hint="default"/>
          <w:spacing w:val="-56"/>
        </w:rPr>
      </w:r>
      <w:r>
        <w:rPr>
          <w:spacing w:val="8"/>
        </w:rPr>
        <w:t>万元。此次减资业经瑞华会计师事务所（特殊普通合伙）验证，并出具瑞华验字</w:t>
      </w:r>
      <w:r>
        <w:rPr>
          <w:rFonts w:ascii="Times New Roman" w:hAnsi="Times New Roman" w:cs="Times New Roman" w:eastAsia="Times New Roman" w:hint="default"/>
          <w:spacing w:val="8"/>
        </w:rPr>
        <w:t>[2013]</w:t>
      </w:r>
      <w:r>
        <w:rPr>
          <w:spacing w:val="8"/>
        </w:rPr>
        <w:t>第</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rFonts w:ascii="Times New Roman" w:hAnsi="Times New Roman" w:cs="Times New Roman" w:eastAsia="Times New Roman" w:hint="default"/>
        </w:rPr>
        <w:t>845A0001</w:t>
      </w:r>
      <w:r>
        <w:rPr/>
        <w:t>号验资报告验证确认。</w:t>
      </w:r>
    </w:p>
    <w:p>
      <w:pPr>
        <w:pStyle w:val="BodyText"/>
        <w:spacing w:line="232" w:lineRule="auto" w:before="204"/>
        <w:ind w:right="1123"/>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日，公司第四届董事会第二十六次会议审议通过了《关于股票期权激励计划首</w:t>
      </w:r>
      <w:r>
        <w:rPr>
          <w:spacing w:val="-93"/>
        </w:rPr>
        <w:t> </w:t>
      </w:r>
      <w:r>
        <w:rPr>
          <w:spacing w:val="-93"/>
        </w:rPr>
      </w:r>
      <w:r>
        <w:rPr/>
        <w:t>次授予第三个行权期（预留股票期权第二个行权期）可行权的议案》，本次实际行权数量为</w:t>
      </w:r>
      <w:r>
        <w:rPr>
          <w:spacing w:val="-90"/>
        </w:rPr>
        <w:t> </w:t>
      </w:r>
      <w:r>
        <w:rPr>
          <w:spacing w:val="-90"/>
        </w:rPr>
      </w:r>
      <w:r>
        <w:rPr>
          <w:rFonts w:ascii="Times New Roman" w:hAnsi="Times New Roman" w:cs="Times New Roman" w:eastAsia="Times New Roman" w:hint="default"/>
        </w:rPr>
        <w:t>357,506</w:t>
      </w:r>
      <w:r>
        <w:rPr/>
        <w:t>份，行权价格为</w:t>
      </w:r>
      <w:r>
        <w:rPr>
          <w:rFonts w:ascii="Times New Roman" w:hAnsi="Times New Roman" w:cs="Times New Roman" w:eastAsia="Times New Roman" w:hint="default"/>
        </w:rPr>
        <w:t>16.86</w:t>
      </w:r>
      <w:r>
        <w:rPr/>
        <w:t>元</w:t>
      </w:r>
      <w:r>
        <w:rPr>
          <w:rFonts w:ascii="Times New Roman" w:hAnsi="Times New Roman" w:cs="Times New Roman" w:eastAsia="Times New Roman" w:hint="default"/>
        </w:rPr>
        <w:t>/</w:t>
      </w:r>
      <w:r>
        <w:rPr/>
        <w:t>股。变更后公司总股本由人民币</w:t>
      </w:r>
      <w:r>
        <w:rPr>
          <w:rFonts w:ascii="Times New Roman" w:hAnsi="Times New Roman" w:cs="Times New Roman" w:eastAsia="Times New Roman" w:hint="default"/>
        </w:rPr>
        <w:t>46,171.64</w:t>
      </w:r>
      <w:r>
        <w:rPr/>
        <w:t>万元增加至人民币</w:t>
      </w:r>
    </w:p>
    <w:p>
      <w:pPr>
        <w:pStyle w:val="BodyText"/>
        <w:spacing w:line="312" w:lineRule="exact" w:before="12"/>
        <w:ind w:right="1122"/>
        <w:jc w:val="both"/>
      </w:pPr>
      <w:r>
        <w:rPr>
          <w:rFonts w:ascii="Times New Roman" w:hAnsi="Times New Roman" w:cs="Times New Roman" w:eastAsia="Times New Roman" w:hint="default"/>
          <w:spacing w:val="-2"/>
        </w:rPr>
        <w:t>46,207.39</w:t>
      </w:r>
      <w:r>
        <w:rPr>
          <w:spacing w:val="-2"/>
        </w:rPr>
        <w:t>万元。此次增资业经瑞华会计师事务所（特殊普通合伙）验证，于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日出</w:t>
      </w:r>
      <w:r>
        <w:rPr>
          <w:spacing w:val="-101"/>
        </w:rPr>
        <w:t> </w:t>
      </w:r>
      <w:r>
        <w:rPr/>
        <w:t>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845A0002</w:t>
      </w:r>
      <w:r>
        <w:rPr/>
        <w:t>号验资报告验证确认。</w:t>
      </w:r>
    </w:p>
    <w:p>
      <w:pPr>
        <w:pStyle w:val="BodyText"/>
        <w:spacing w:line="225" w:lineRule="auto" w:before="202"/>
        <w:ind w:right="1127"/>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日，公司第四届董事会第三十三次会议审议通过了《关于回购注销部分限制性</w:t>
      </w:r>
      <w:r>
        <w:rPr>
          <w:spacing w:val="-93"/>
        </w:rPr>
        <w:t> </w:t>
      </w:r>
      <w:r>
        <w:rPr>
          <w:spacing w:val="-93"/>
        </w:rPr>
      </w:r>
      <w:r>
        <w:rPr>
          <w:spacing w:val="-8"/>
        </w:rPr>
        <w:t>股票的议案》，本次回购股份</w:t>
      </w:r>
      <w:r>
        <w:rPr>
          <w:rFonts w:ascii="Times New Roman" w:hAnsi="Times New Roman" w:cs="Times New Roman" w:eastAsia="Times New Roman" w:hint="default"/>
          <w:spacing w:val="-8"/>
        </w:rPr>
        <w:t>19,580</w:t>
      </w:r>
      <w:r>
        <w:rPr>
          <w:spacing w:val="-8"/>
        </w:rPr>
        <w:t>份，回购价格为</w:t>
      </w:r>
      <w:r>
        <w:rPr>
          <w:rFonts w:ascii="Times New Roman" w:hAnsi="Times New Roman" w:cs="Times New Roman" w:eastAsia="Times New Roman" w:hint="default"/>
          <w:spacing w:val="-8"/>
        </w:rPr>
        <w:t>7.69</w:t>
      </w:r>
      <w:r>
        <w:rPr>
          <w:spacing w:val="-8"/>
        </w:rPr>
        <w:t>元</w:t>
      </w:r>
      <w:r>
        <w:rPr>
          <w:rFonts w:ascii="Times New Roman" w:hAnsi="Times New Roman" w:cs="Times New Roman" w:eastAsia="Times New Roman" w:hint="default"/>
          <w:spacing w:val="-8"/>
        </w:rPr>
        <w:t>/</w:t>
      </w:r>
      <w:r>
        <w:rPr>
          <w:spacing w:val="-8"/>
        </w:rPr>
        <w:t>股。回购后的股本为人民币</w:t>
      </w:r>
      <w:r>
        <w:rPr>
          <w:rFonts w:ascii="Times New Roman" w:hAnsi="Times New Roman" w:cs="Times New Roman" w:eastAsia="Times New Roman" w:hint="default"/>
          <w:spacing w:val="-8"/>
        </w:rPr>
        <w:t>46,205.44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8"/>
        </w:rPr>
        <w:t>万元。此次减资业经瑞华会计师事务所（特殊普通合伙）验证，并出具瑞华验字</w:t>
      </w:r>
      <w:r>
        <w:rPr>
          <w:rFonts w:ascii="Times New Roman" w:hAnsi="Times New Roman" w:cs="Times New Roman" w:eastAsia="Times New Roman" w:hint="default"/>
          <w:spacing w:val="8"/>
        </w:rPr>
        <w:t>[2013]</w:t>
      </w:r>
      <w:r>
        <w:rPr>
          <w:spacing w:val="8"/>
        </w:rPr>
        <w:t>第</w:t>
      </w:r>
      <w:r>
        <w:rPr/>
        <w:t> </w:t>
      </w:r>
      <w:r>
        <w:rPr>
          <w:rFonts w:ascii="Times New Roman" w:hAnsi="Times New Roman" w:cs="Times New Roman" w:eastAsia="Times New Roman" w:hint="default"/>
        </w:rPr>
        <w:t>845A0003</w:t>
      </w:r>
      <w:r>
        <w:rPr/>
        <w:t>号验资报告验证确认。</w:t>
      </w:r>
    </w:p>
    <w:p>
      <w:pPr>
        <w:pStyle w:val="BodyText"/>
        <w:spacing w:line="225" w:lineRule="auto" w:before="215"/>
        <w:ind w:right="1127"/>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日，公司第五届董事会第三次会议审议通过了《关于回购注销部分限制性股票的</w:t>
      </w:r>
      <w:r>
        <w:rPr/>
        <w:t> 议案》，本次回购股份</w:t>
      </w:r>
      <w:r>
        <w:rPr>
          <w:rFonts w:ascii="Times New Roman" w:hAnsi="Times New Roman" w:cs="Times New Roman" w:eastAsia="Times New Roman" w:hint="default"/>
        </w:rPr>
        <w:t>56,041</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46,199.83</w:t>
      </w:r>
      <w:r>
        <w:rPr/>
        <w:t>万</w:t>
      </w:r>
      <w:r>
        <w:rPr>
          <w:spacing w:val="-38"/>
        </w:rPr>
        <w:t> </w:t>
      </w:r>
      <w:r>
        <w:rPr>
          <w:spacing w:val="-8"/>
        </w:rPr>
        <w:t>元。此次减资业经瑞华会计师事务所（特殊普通合伙）验证，并出具瑞华验字</w:t>
      </w:r>
      <w:r>
        <w:rPr>
          <w:rFonts w:ascii="Times New Roman" w:hAnsi="Times New Roman" w:cs="Times New Roman" w:eastAsia="Times New Roman" w:hint="default"/>
          <w:spacing w:val="-8"/>
        </w:rPr>
        <w:t>[2014]</w:t>
      </w:r>
      <w:r>
        <w:rPr>
          <w:spacing w:val="-8"/>
        </w:rPr>
        <w:t>第</w:t>
      </w:r>
      <w:r>
        <w:rPr>
          <w:rFonts w:ascii="Times New Roman" w:hAnsi="Times New Roman" w:cs="Times New Roman" w:eastAsia="Times New Roman" w:hint="default"/>
          <w:spacing w:val="-8"/>
        </w:rPr>
        <w:t>40030003</w:t>
      </w:r>
      <w:r>
        <w:rPr>
          <w:rFonts w:ascii="Times New Roman" w:hAnsi="Times New Roman" w:cs="Times New Roman" w:eastAsia="Times New Roman" w:hint="default"/>
          <w:spacing w:val="-31"/>
        </w:rPr>
        <w:t> </w:t>
      </w:r>
      <w:r>
        <w:rPr/>
        <w:t>号验资报告验证确认。</w:t>
      </w:r>
    </w:p>
    <w:p>
      <w:pPr>
        <w:spacing w:line="240" w:lineRule="auto" w:before="10"/>
        <w:rPr>
          <w:rFonts w:ascii="宋体" w:hAnsi="宋体" w:cs="宋体" w:eastAsia="宋体" w:hint="default"/>
          <w:sz w:val="17"/>
          <w:szCs w:val="17"/>
        </w:rPr>
      </w:pPr>
    </w:p>
    <w:p>
      <w:pPr>
        <w:pStyle w:val="BodyText"/>
        <w:spacing w:line="225" w:lineRule="auto"/>
        <w:ind w:right="112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日，公司第五届董事会第十次会议审议通过了《关于回购注销</w:t>
      </w:r>
      <w:r>
        <w:rPr>
          <w:rFonts w:ascii="Times New Roman" w:hAnsi="Times New Roman" w:cs="Times New Roman" w:eastAsia="Times New Roman" w:hint="default"/>
          <w:spacing w:val="-2"/>
        </w:rPr>
        <w:t>2012</w:t>
      </w:r>
      <w:r>
        <w:rPr>
          <w:spacing w:val="-2"/>
        </w:rPr>
        <w:t>年限制性股票</w:t>
      </w:r>
      <w:r>
        <w:rPr>
          <w:spacing w:val="-114"/>
        </w:rPr>
        <w:t> </w:t>
      </w:r>
      <w:r>
        <w:rPr>
          <w:spacing w:val="-1"/>
        </w:rPr>
        <w:t>激励计划部分限制性股票的议案》，本次回购股份</w:t>
      </w:r>
      <w:r>
        <w:rPr>
          <w:rFonts w:ascii="Times New Roman" w:hAnsi="Times New Roman" w:cs="Times New Roman" w:eastAsia="Times New Roman" w:hint="default"/>
          <w:spacing w:val="-1"/>
        </w:rPr>
        <w:t>228,180</w:t>
      </w:r>
      <w:r>
        <w:rPr>
          <w:spacing w:val="-1"/>
        </w:rPr>
        <w:t>份，回购价格为</w:t>
      </w:r>
      <w:r>
        <w:rPr>
          <w:rFonts w:ascii="Times New Roman" w:hAnsi="Times New Roman" w:cs="Times New Roman" w:eastAsia="Times New Roman" w:hint="default"/>
          <w:spacing w:val="-1"/>
        </w:rPr>
        <w:t>7.64</w:t>
      </w:r>
      <w:r>
        <w:rPr>
          <w:spacing w:val="-1"/>
        </w:rPr>
        <w:t>元</w:t>
      </w:r>
      <w:r>
        <w:rPr>
          <w:rFonts w:ascii="Times New Roman" w:hAnsi="Times New Roman" w:cs="Times New Roman" w:eastAsia="Times New Roman" w:hint="default"/>
          <w:spacing w:val="-1"/>
        </w:rPr>
        <w:t>/</w:t>
      </w:r>
      <w:r>
        <w:rPr>
          <w:spacing w:val="-1"/>
        </w:rPr>
        <w:t>股。回购后</w:t>
      </w:r>
      <w:r>
        <w:rPr>
          <w:spacing w:val="-98"/>
        </w:rPr>
        <w:t> </w:t>
      </w:r>
      <w:r>
        <w:rPr>
          <w:spacing w:val="-98"/>
        </w:rPr>
      </w:r>
      <w:r>
        <w:rPr/>
        <w:t>的股本为人民币</w:t>
      </w:r>
      <w:r>
        <w:rPr>
          <w:rFonts w:ascii="Times New Roman" w:hAnsi="Times New Roman" w:cs="Times New Roman" w:eastAsia="Times New Roman" w:hint="default"/>
        </w:rPr>
        <w:t>46,177.01</w:t>
      </w:r>
      <w:r>
        <w:rPr/>
        <w:t>万元。此次减资业经瑞华会计师事务所（特殊普通合伙）验证，并</w:t>
      </w:r>
      <w:r>
        <w:rPr>
          <w:spacing w:val="-93"/>
        </w:rPr>
        <w:t> </w:t>
      </w:r>
      <w:r>
        <w:rPr>
          <w:spacing w:val="-93"/>
        </w:rPr>
      </w:r>
      <w:r>
        <w:rPr/>
        <w:t>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40030007</w:t>
      </w:r>
      <w:r>
        <w:rPr/>
        <w:t>号验资报告验证确认。</w:t>
      </w:r>
    </w:p>
    <w:p>
      <w:pPr>
        <w:pStyle w:val="BodyText"/>
        <w:spacing w:line="322" w:lineRule="exact" w:before="199"/>
        <w:ind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2014</w:t>
      </w:r>
      <w:r>
        <w:rPr/>
        <w:t>年第一次临时股东大会审议通过了《</w:t>
      </w:r>
      <w:r>
        <w:rPr>
          <w:rFonts w:ascii="Times New Roman" w:hAnsi="Times New Roman" w:cs="Times New Roman" w:eastAsia="Times New Roman" w:hint="default"/>
        </w:rPr>
        <w:t>2014</w:t>
      </w:r>
      <w:r>
        <w:rPr/>
        <w:t>年限制性股票激励计划</w:t>
      </w:r>
    </w:p>
    <w:p>
      <w:pPr>
        <w:pStyle w:val="BodyText"/>
        <w:spacing w:line="322" w:lineRule="exact"/>
        <w:ind w:right="0"/>
        <w:jc w:val="both"/>
      </w:pPr>
      <w:r>
        <w:rPr/>
        <w:t>（草案修订稿）及其摘要》，公司自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日共回购</w:t>
      </w:r>
      <w:r>
        <w:rPr>
          <w:rFonts w:ascii="Times New Roman" w:hAnsi="Times New Roman" w:cs="Times New Roman" w:eastAsia="Times New Roman" w:hint="default"/>
        </w:rPr>
        <w:t>8,595,724</w:t>
      </w:r>
      <w:r>
        <w:rPr/>
        <w:t>股。</w:t>
      </w:r>
    </w:p>
    <w:p>
      <w:pPr>
        <w:pStyle w:val="BodyText"/>
        <w:spacing w:line="230" w:lineRule="auto" w:before="207"/>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日，公司第五届董事会第十四次会议决议，公司计划一次性授予激励对象限制</w:t>
      </w:r>
      <w:r>
        <w:rPr>
          <w:spacing w:val="-93"/>
        </w:rPr>
        <w:t> </w:t>
      </w:r>
      <w:r>
        <w:rPr>
          <w:spacing w:val="-93"/>
        </w:rPr>
      </w:r>
      <w:r>
        <w:rPr/>
        <w:t>性股票</w:t>
      </w:r>
      <w:r>
        <w:rPr>
          <w:rFonts w:ascii="Times New Roman" w:hAnsi="Times New Roman" w:cs="Times New Roman" w:eastAsia="Times New Roman" w:hint="default"/>
        </w:rPr>
        <w:t>8,541,124</w:t>
      </w:r>
      <w:r>
        <w:rPr/>
        <w:t>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日，授予的价格为每股人民币</w:t>
      </w:r>
      <w:r>
        <w:rPr>
          <w:rFonts w:ascii="Times New Roman" w:hAnsi="Times New Roman" w:cs="Times New Roman" w:eastAsia="Times New Roman" w:hint="default"/>
        </w:rPr>
        <w:t>10.9645</w:t>
      </w:r>
      <w:r>
        <w:rPr/>
        <w:t>元，限制性 </w:t>
      </w:r>
      <w:r>
        <w:rPr>
          <w:spacing w:val="-3"/>
        </w:rPr>
        <w:t>股票来源为公司已回购的股份。本次限制性股票授予业经瑞华会计师事务所（特殊普通合伙）</w:t>
      </w:r>
      <w:r>
        <w:rPr>
          <w:spacing w:val="-85"/>
        </w:rPr>
        <w:t> </w:t>
      </w:r>
      <w:r>
        <w:rPr>
          <w:spacing w:val="-85"/>
        </w:rPr>
      </w:r>
      <w:r>
        <w:rPr/>
        <w:t>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40030009</w:t>
      </w:r>
      <w:r>
        <w:rPr/>
        <w:t>号验资报告验证确认。</w:t>
      </w:r>
    </w:p>
    <w:p>
      <w:pPr>
        <w:pStyle w:val="BodyText"/>
        <w:spacing w:line="230" w:lineRule="auto" w:before="209"/>
        <w:ind w:right="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日，公司第五届董事会第十九次会议决议，公司计划一次性授予激励对象限制性</w:t>
      </w:r>
      <w:r>
        <w:rPr/>
        <w:t> 股票</w:t>
      </w:r>
      <w:r>
        <w:rPr>
          <w:rFonts w:ascii="Times New Roman" w:hAnsi="Times New Roman" w:cs="Times New Roman" w:eastAsia="Times New Roman" w:hint="default"/>
        </w:rPr>
        <w:t>22,700</w:t>
      </w:r>
      <w:r>
        <w:rPr/>
        <w:t>股，授予日为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日，授予的价格为每股人民币</w:t>
      </w:r>
      <w:r>
        <w:rPr>
          <w:rFonts w:ascii="Times New Roman" w:hAnsi="Times New Roman" w:cs="Times New Roman" w:eastAsia="Times New Roman" w:hint="default"/>
        </w:rPr>
        <w:t>10.9645</w:t>
      </w:r>
      <w:r>
        <w:rPr/>
        <w:t>元，限制性股票来 </w:t>
      </w:r>
      <w:r>
        <w:rPr>
          <w:spacing w:val="-3"/>
        </w:rPr>
        <w:t>源为公司已回购的股份。本次限制性股票授予业经瑞华会计师事务所（特殊普通合伙）验证，</w:t>
      </w:r>
      <w:r>
        <w:rPr>
          <w:spacing w:val="-84"/>
        </w:rPr>
        <w:t> </w:t>
      </w:r>
      <w:r>
        <w:rPr>
          <w:spacing w:val="-84"/>
        </w:rPr>
      </w:r>
      <w:r>
        <w:rPr/>
        <w:t>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40030007</w:t>
      </w:r>
      <w:r>
        <w:rPr/>
        <w:t>号验资报告验证确认。</w:t>
      </w:r>
    </w:p>
    <w:p>
      <w:pPr>
        <w:pStyle w:val="BodyText"/>
        <w:spacing w:line="230" w:lineRule="auto" w:before="209"/>
        <w:ind w:right="113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日，根据公司第一次临时股东大会决议和第五届董事会第十九次会议决议，由于</w:t>
      </w:r>
      <w:r>
        <w:rPr>
          <w:spacing w:val="-93"/>
        </w:rPr>
        <w:t> </w:t>
      </w:r>
      <w:r>
        <w:rPr>
          <w:spacing w:val="-93"/>
        </w:rPr>
      </w:r>
      <w:r>
        <w:rPr/>
        <w:t>原激励对象拟离职放弃认购，已不符合授予条件，公司注销拟授予尚在公司回购专户内的股</w:t>
      </w:r>
      <w:r>
        <w:rPr>
          <w:spacing w:val="-93"/>
        </w:rPr>
        <w:t> </w:t>
      </w:r>
      <w:r>
        <w:rPr>
          <w:spacing w:val="-93"/>
        </w:rPr>
      </w:r>
      <w:r>
        <w:rPr/>
        <w:t>票</w:t>
      </w:r>
      <w:r>
        <w:rPr>
          <w:rFonts w:ascii="Times New Roman" w:hAnsi="Times New Roman" w:cs="Times New Roman" w:eastAsia="Times New Roman" w:hint="default"/>
        </w:rPr>
        <w:t>31,900</w:t>
      </w:r>
      <w:r>
        <w:rPr/>
        <w:t>股，注销后的股本为人民币</w:t>
      </w:r>
      <w:r>
        <w:rPr>
          <w:rFonts w:ascii="Times New Roman" w:hAnsi="Times New Roman" w:cs="Times New Roman" w:eastAsia="Times New Roman" w:hint="default"/>
        </w:rPr>
        <w:t>46,173.82</w:t>
      </w:r>
      <w:r>
        <w:rPr/>
        <w:t>万元。本次注销回购经瑞华会计师事务所（特</w:t>
      </w:r>
      <w:r>
        <w:rPr>
          <w:spacing w:val="-38"/>
        </w:rPr>
        <w:t> </w:t>
      </w:r>
      <w:r>
        <w:rPr>
          <w:spacing w:val="-38"/>
        </w:rPr>
      </w:r>
      <w:r>
        <w:rPr/>
        <w:t>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40030008</w:t>
      </w:r>
      <w:r>
        <w:rPr/>
        <w:t>号验资报告验证确认。</w:t>
      </w:r>
    </w:p>
    <w:p>
      <w:pPr>
        <w:pStyle w:val="BodyText"/>
        <w:spacing w:line="225" w:lineRule="auto" w:before="214"/>
        <w:ind w:right="113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日，根据公司第五届董事会第十九次会议决议，由于公司未满足</w:t>
      </w:r>
      <w:r>
        <w:rPr>
          <w:rFonts w:ascii="Times New Roman" w:hAnsi="Times New Roman" w:cs="Times New Roman" w:eastAsia="Times New Roman" w:hint="default"/>
        </w:rPr>
        <w:t>2012</w:t>
      </w:r>
      <w:r>
        <w:rPr/>
        <w:t>年股权激励</w:t>
      </w:r>
      <w:r>
        <w:rPr>
          <w:spacing w:val="-90"/>
        </w:rPr>
        <w:t> </w:t>
      </w:r>
      <w:r>
        <w:rPr>
          <w:spacing w:val="-90"/>
        </w:rPr>
      </w:r>
      <w:r>
        <w:rPr/>
        <w:t>计划规定的限制性股票第三期解锁的相关条件。根据</w:t>
      </w:r>
      <w:r>
        <w:rPr>
          <w:rFonts w:ascii="Times New Roman" w:hAnsi="Times New Roman" w:cs="Times New Roman" w:eastAsia="Times New Roman" w:hint="default"/>
        </w:rPr>
        <w:t>2012</w:t>
      </w:r>
      <w:r>
        <w:rPr/>
        <w:t>年股权激励计划的相关规定，公司</w:t>
      </w:r>
      <w:r>
        <w:rPr>
          <w:spacing w:val="-91"/>
        </w:rPr>
        <w:t> </w:t>
      </w:r>
      <w:r>
        <w:rPr>
          <w:spacing w:val="-91"/>
        </w:rPr>
      </w:r>
      <w:r>
        <w:rPr>
          <w:spacing w:val="5"/>
        </w:rPr>
        <w:t>回购注销所有激励对象获授的第三期限制性股票共计</w:t>
      </w:r>
      <w:r>
        <w:rPr>
          <w:rFonts w:ascii="Times New Roman" w:hAnsi="Times New Roman" w:cs="Times New Roman" w:eastAsia="Times New Roman" w:hint="default"/>
          <w:spacing w:val="5"/>
        </w:rPr>
        <w:t>3,616,923</w:t>
      </w:r>
      <w:r>
        <w:rPr>
          <w:spacing w:val="5"/>
        </w:rPr>
        <w:t>股。回购后的股本为人民币</w:t>
      </w:r>
      <w:r>
        <w:rPr>
          <w:spacing w:val="-84"/>
        </w:rPr>
        <w:t> </w:t>
      </w:r>
      <w:r>
        <w:rPr>
          <w:spacing w:val="-84"/>
        </w:rPr>
      </w:r>
      <w:r>
        <w:rPr>
          <w:rFonts w:ascii="Times New Roman" w:hAnsi="Times New Roman" w:cs="Times New Roman" w:eastAsia="Times New Roman" w:hint="default"/>
        </w:rPr>
        <w:t>45,812.13</w:t>
      </w:r>
      <w:r>
        <w:rPr/>
        <w:t>万元。本次注销回购经瑞华会计师事务所（特殊普通合伙）验证，并出具瑞华验字</w:t>
      </w:r>
      <w:r>
        <w:rPr>
          <w:spacing w:val="-92"/>
        </w:rPr>
        <w:t> </w:t>
      </w:r>
      <w:r>
        <w:rPr>
          <w:spacing w:val="-92"/>
        </w:rPr>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40030009</w:t>
      </w:r>
      <w:r>
        <w:rPr/>
        <w:t>号验资报告验证确认。</w:t>
      </w:r>
    </w:p>
    <w:p>
      <w:pPr>
        <w:spacing w:after="0" w:line="225"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25" w:lineRule="auto" w:before="42"/>
        <w:ind w:right="112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日，根据公司第五届董事会第十九次会议审议通过了《关于回购注销</w:t>
      </w:r>
      <w:r>
        <w:rPr>
          <w:rFonts w:ascii="Times New Roman" w:hAnsi="Times New Roman" w:cs="Times New Roman" w:eastAsia="Times New Roman" w:hint="default"/>
        </w:rPr>
        <w:t>2014</w:t>
      </w:r>
      <w:r>
        <w:rPr/>
        <w:t>年限制</w:t>
      </w:r>
      <w:r>
        <w:rPr>
          <w:spacing w:val="-89"/>
        </w:rPr>
        <w:t> </w:t>
      </w:r>
      <w:r>
        <w:rPr>
          <w:spacing w:val="-89"/>
        </w:rPr>
      </w:r>
      <w:r>
        <w:rPr>
          <w:spacing w:val="2"/>
        </w:rPr>
        <w:t>性股票激励计划部分限制性股票的议案》，本次回购股份</w:t>
      </w:r>
      <w:r>
        <w:rPr>
          <w:rFonts w:ascii="Times New Roman" w:hAnsi="Times New Roman" w:cs="Times New Roman" w:eastAsia="Times New Roman" w:hint="default"/>
          <w:spacing w:val="2"/>
        </w:rPr>
        <w:t>74,700</w:t>
      </w:r>
      <w:r>
        <w:rPr>
          <w:spacing w:val="2"/>
        </w:rPr>
        <w:t>元，回购后的股本为人民币</w:t>
      </w:r>
      <w:r>
        <w:rPr>
          <w:spacing w:val="-116"/>
        </w:rPr>
        <w:t> </w:t>
      </w:r>
      <w:r>
        <w:rPr>
          <w:spacing w:val="-116"/>
        </w:rPr>
      </w:r>
      <w:r>
        <w:rPr>
          <w:rFonts w:ascii="Times New Roman" w:hAnsi="Times New Roman" w:cs="Times New Roman" w:eastAsia="Times New Roman" w:hint="default"/>
          <w:spacing w:val="-3"/>
        </w:rPr>
        <w:t>45,804.66</w:t>
      </w:r>
      <w:r>
        <w:rPr>
          <w:spacing w:val="-3"/>
        </w:rPr>
        <w:t>万元。本次回购经瑞华会计师事务所（特殊普通合伙）验证，并出具瑞华验字</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第</w:t>
      </w:r>
      <w:r>
        <w:rPr>
          <w:rFonts w:ascii="Times New Roman" w:hAnsi="Times New Roman" w:cs="Times New Roman" w:eastAsia="Times New Roman" w:hint="default"/>
        </w:rPr>
        <w:t>40030010</w:t>
      </w:r>
      <w:r>
        <w:rPr/>
        <w:t>号验资报告验证确认。</w:t>
      </w:r>
    </w:p>
    <w:p>
      <w:pPr>
        <w:pStyle w:val="BodyText"/>
        <w:spacing w:line="225" w:lineRule="auto" w:before="215"/>
        <w:ind w:right="1123"/>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日，公司根据</w:t>
      </w:r>
      <w:r>
        <w:rPr>
          <w:rFonts w:ascii="Times New Roman" w:hAnsi="Times New Roman" w:cs="Times New Roman" w:eastAsia="Times New Roman" w:hint="default"/>
          <w:spacing w:val="-2"/>
        </w:rPr>
        <w:t>2014</w:t>
      </w:r>
      <w:r>
        <w:rPr>
          <w:spacing w:val="-2"/>
        </w:rPr>
        <w:t>年度股东大会决议和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日第五届董事会第十七次会议</w:t>
      </w:r>
      <w:r>
        <w:rPr>
          <w:spacing w:val="-103"/>
        </w:rPr>
        <w:t> </w:t>
      </w:r>
      <w:r>
        <w:rPr/>
        <w:t>决议，以未分配利润向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日在中国证券登记结算有限责任公司深圳分公司登记在册</w:t>
      </w:r>
      <w:r>
        <w:rPr>
          <w:spacing w:val="-92"/>
        </w:rPr>
        <w:t> </w:t>
      </w:r>
      <w:r>
        <w:rPr>
          <w:spacing w:val="-92"/>
        </w:rPr>
      </w:r>
      <w:r>
        <w:rPr>
          <w:spacing w:val="14"/>
        </w:rPr>
        <w:t>的全体股东按每</w:t>
      </w:r>
      <w:r>
        <w:rPr>
          <w:rFonts w:ascii="Times New Roman" w:hAnsi="Times New Roman" w:cs="Times New Roman" w:eastAsia="Times New Roman" w:hint="default"/>
          <w:spacing w:val="14"/>
        </w:rPr>
        <w:t>10</w:t>
      </w:r>
      <w:r>
        <w:rPr>
          <w:spacing w:val="14"/>
        </w:rPr>
        <w:t>股送</w:t>
      </w:r>
      <w:r>
        <w:rPr>
          <w:rFonts w:ascii="Times New Roman" w:hAnsi="Times New Roman" w:cs="Times New Roman" w:eastAsia="Times New Roman" w:hint="default"/>
          <w:spacing w:val="14"/>
        </w:rPr>
        <w:t>3.024029</w:t>
      </w:r>
      <w:r>
        <w:rPr>
          <w:spacing w:val="14"/>
        </w:rPr>
        <w:t>股的比例转增股本，每股面值</w:t>
      </w:r>
      <w:r>
        <w:rPr>
          <w:spacing w:val="-98"/>
        </w:rPr>
        <w:t>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17"/>
        </w:rPr>
        <w:t>元，计增加股本人民币</w:t>
      </w:r>
      <w:r>
        <w:rPr/>
        <w:t> </w:t>
      </w:r>
      <w:r>
        <w:rPr>
          <w:rFonts w:ascii="Times New Roman" w:hAnsi="Times New Roman" w:cs="Times New Roman" w:eastAsia="Times New Roman" w:hint="default"/>
        </w:rPr>
        <w:t>138,514,627</w:t>
      </w:r>
      <w:r>
        <w:rPr/>
        <w:t>元。转增股本后股本总额为人民币</w:t>
      </w:r>
      <w:r>
        <w:rPr>
          <w:rFonts w:ascii="Times New Roman" w:hAnsi="Times New Roman" w:cs="Times New Roman" w:eastAsia="Times New Roman" w:hint="default"/>
        </w:rPr>
        <w:t>59,656.13</w:t>
      </w:r>
      <w:r>
        <w:rPr/>
        <w:t>万元。本次以未分配利润转增股本经</w:t>
      </w:r>
      <w:r>
        <w:rPr>
          <w:spacing w:val="-91"/>
        </w:rPr>
        <w:t> </w:t>
      </w:r>
      <w:r>
        <w:rPr>
          <w:spacing w:val="-91"/>
        </w:rPr>
      </w:r>
      <w:r>
        <w:rPr>
          <w:spacing w:val="2"/>
        </w:rPr>
        <w:t>瑞华会计师事务所（特殊普通合伙）验证，并出具瑞华验字</w:t>
      </w:r>
      <w:r>
        <w:rPr>
          <w:rFonts w:ascii="Times New Roman" w:hAnsi="Times New Roman" w:cs="Times New Roman" w:eastAsia="Times New Roman" w:hint="default"/>
          <w:spacing w:val="2"/>
        </w:rPr>
        <w:t>[2016]40030002</w:t>
      </w:r>
      <w:r>
        <w:rPr>
          <w:spacing w:val="2"/>
        </w:rPr>
        <w:t>号验资报告验证</w:t>
      </w:r>
      <w:r>
        <w:rPr>
          <w:spacing w:val="-106"/>
        </w:rPr>
        <w:t> </w:t>
      </w:r>
      <w:r>
        <w:rPr>
          <w:spacing w:val="-106"/>
        </w:rPr>
      </w:r>
      <w:r>
        <w:rPr/>
        <w:t>确认。</w:t>
      </w:r>
    </w:p>
    <w:p>
      <w:pPr>
        <w:spacing w:line="240" w:lineRule="auto" w:before="10"/>
        <w:rPr>
          <w:rFonts w:ascii="宋体" w:hAnsi="宋体" w:cs="宋体" w:eastAsia="宋体" w:hint="default"/>
          <w:sz w:val="17"/>
          <w:szCs w:val="17"/>
        </w:rPr>
      </w:pPr>
    </w:p>
    <w:p>
      <w:pPr>
        <w:pStyle w:val="BodyText"/>
        <w:spacing w:line="225" w:lineRule="auto"/>
        <w:ind w:right="112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日，公司根据第五届董事会第二十六次会议《关于回购注销</w:t>
      </w:r>
      <w:r>
        <w:rPr>
          <w:rFonts w:ascii="Times New Roman" w:hAnsi="Times New Roman" w:cs="Times New Roman" w:eastAsia="Times New Roman" w:hint="default"/>
        </w:rPr>
        <w:t>2014</w:t>
      </w:r>
      <w:r>
        <w:rPr/>
        <w:t>年限制性股票</w:t>
      </w:r>
      <w:r>
        <w:rPr>
          <w:spacing w:val="-90"/>
        </w:rPr>
        <w:t> </w:t>
      </w:r>
      <w:r>
        <w:rPr>
          <w:spacing w:val="-90"/>
        </w:rPr>
      </w:r>
      <w:r>
        <w:rPr>
          <w:spacing w:val="-1"/>
        </w:rPr>
        <w:t>激励计划部分限制性股票的议案》，回购股份</w:t>
      </w:r>
      <w:r>
        <w:rPr>
          <w:rFonts w:ascii="Times New Roman" w:hAnsi="Times New Roman" w:cs="Times New Roman" w:eastAsia="Times New Roman" w:hint="default"/>
          <w:spacing w:val="-1"/>
        </w:rPr>
        <w:t>255,140</w:t>
      </w:r>
      <w:r>
        <w:rPr>
          <w:spacing w:val="-1"/>
        </w:rPr>
        <w:t>元，回购后的股本为人民币</w:t>
      </w:r>
      <w:r>
        <w:rPr>
          <w:rFonts w:ascii="Times New Roman" w:hAnsi="Times New Roman" w:cs="Times New Roman" w:eastAsia="Times New Roman" w:hint="default"/>
          <w:spacing w:val="-1"/>
        </w:rPr>
        <w:t>596,306,110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8"/>
        </w:rPr>
        <w:t>元。此次减资业经瑞华会计师事务所（特殊普通合伙）验证，并出具瑞华验字</w:t>
      </w:r>
      <w:r>
        <w:rPr>
          <w:rFonts w:ascii="Times New Roman" w:hAnsi="Times New Roman" w:cs="Times New Roman" w:eastAsia="Times New Roman" w:hint="default"/>
          <w:spacing w:val="-8"/>
        </w:rPr>
        <w:t>[2016]</w:t>
      </w:r>
      <w:r>
        <w:rPr>
          <w:spacing w:val="-8"/>
        </w:rPr>
        <w:t>第</w:t>
      </w:r>
      <w:r>
        <w:rPr>
          <w:rFonts w:ascii="Times New Roman" w:hAnsi="Times New Roman" w:cs="Times New Roman" w:eastAsia="Times New Roman" w:hint="default"/>
          <w:spacing w:val="-8"/>
        </w:rPr>
        <w:t>40030005</w:t>
      </w:r>
      <w:r>
        <w:rPr>
          <w:rFonts w:ascii="Times New Roman" w:hAnsi="Times New Roman" w:cs="Times New Roman" w:eastAsia="Times New Roman" w:hint="default"/>
          <w:spacing w:val="-31"/>
        </w:rPr>
        <w:t> </w:t>
      </w:r>
      <w:r>
        <w:rPr/>
        <w:t>号验资报告验证确认。</w:t>
      </w:r>
    </w:p>
    <w:p>
      <w:pPr>
        <w:spacing w:line="240" w:lineRule="auto" w:before="10"/>
        <w:rPr>
          <w:rFonts w:ascii="宋体" w:hAnsi="宋体" w:cs="宋体" w:eastAsia="宋体" w:hint="default"/>
          <w:sz w:val="17"/>
          <w:szCs w:val="17"/>
        </w:rPr>
      </w:pPr>
    </w:p>
    <w:p>
      <w:pPr>
        <w:pStyle w:val="BodyText"/>
        <w:spacing w:line="225" w:lineRule="auto"/>
        <w:ind w:right="113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日，公司根据第五届董事会第二十七次会议《关于回购注销</w:t>
      </w:r>
      <w:r>
        <w:rPr>
          <w:rFonts w:ascii="Times New Roman" w:hAnsi="Times New Roman" w:cs="Times New Roman" w:eastAsia="Times New Roman" w:hint="default"/>
        </w:rPr>
        <w:t>2014</w:t>
      </w:r>
      <w:r>
        <w:rPr/>
        <w:t>年限制性股票激</w:t>
      </w:r>
      <w:r>
        <w:rPr>
          <w:spacing w:val="-90"/>
        </w:rPr>
        <w:t> </w:t>
      </w:r>
      <w:r>
        <w:rPr>
          <w:spacing w:val="-90"/>
        </w:rPr>
      </w:r>
      <w:r>
        <w:rPr/>
        <w:t>励计划第一期为达到解锁条件限制性股票的议案》，回购股份</w:t>
      </w:r>
      <w:r>
        <w:rPr>
          <w:rFonts w:ascii="Times New Roman" w:hAnsi="Times New Roman" w:cs="Times New Roman" w:eastAsia="Times New Roman" w:hint="default"/>
        </w:rPr>
        <w:t>5,400,560</w:t>
      </w:r>
      <w:r>
        <w:rPr/>
        <w:t>元，回购后的股本为</w:t>
      </w:r>
      <w:r>
        <w:rPr>
          <w:spacing w:val="-93"/>
        </w:rPr>
        <w:t> </w:t>
      </w:r>
      <w:r>
        <w:rPr>
          <w:spacing w:val="-93"/>
        </w:rPr>
      </w:r>
      <w:r>
        <w:rPr/>
        <w:t>人民币</w:t>
      </w:r>
      <w:r>
        <w:rPr>
          <w:rFonts w:ascii="Times New Roman" w:hAnsi="Times New Roman" w:cs="Times New Roman" w:eastAsia="Times New Roman" w:hint="default"/>
        </w:rPr>
        <w:t>590,905,550</w:t>
      </w:r>
      <w:r>
        <w:rPr/>
        <w:t>元。此次减资业经瑞华会计师事务所（特殊普通合伙）验证，并出具瑞华</w:t>
      </w:r>
      <w:r>
        <w:rPr>
          <w:spacing w:val="-96"/>
        </w:rPr>
        <w:t> </w:t>
      </w:r>
      <w:r>
        <w:rPr>
          <w:spacing w:val="-96"/>
        </w:rPr>
      </w:r>
      <w:r>
        <w:rPr/>
        <w:t>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400300006</w:t>
      </w:r>
      <w:r>
        <w:rPr/>
        <w:t>号验资报告验证确认。</w:t>
      </w:r>
    </w:p>
    <w:p>
      <w:pPr>
        <w:spacing w:line="240" w:lineRule="auto" w:before="7"/>
        <w:rPr>
          <w:rFonts w:ascii="宋体" w:hAnsi="宋体" w:cs="宋体" w:eastAsia="宋体" w:hint="default"/>
          <w:sz w:val="17"/>
          <w:szCs w:val="17"/>
        </w:rPr>
      </w:pPr>
    </w:p>
    <w:p>
      <w:pPr>
        <w:pStyle w:val="BodyText"/>
        <w:spacing w:line="312" w:lineRule="exact"/>
        <w:ind w:right="1046"/>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日，公司根据第五届董事会第三十次会议《关于回购注销</w:t>
      </w:r>
      <w:r>
        <w:rPr>
          <w:rFonts w:ascii="Times New Roman" w:hAnsi="Times New Roman" w:cs="Times New Roman" w:eastAsia="Times New Roman" w:hint="default"/>
          <w:spacing w:val="-2"/>
        </w:rPr>
        <w:t>2014</w:t>
      </w:r>
      <w:r>
        <w:rPr>
          <w:spacing w:val="-2"/>
        </w:rPr>
        <w:t>年限制性股票激励</w:t>
      </w:r>
      <w:r>
        <w:rPr>
          <w:spacing w:val="-114"/>
        </w:rPr>
        <w:t> </w:t>
      </w:r>
      <w:r>
        <w:rPr/>
        <w:t>计划部分限制性股票的议案》，回购股份</w:t>
      </w:r>
      <w:r>
        <w:rPr>
          <w:rFonts w:ascii="Times New Roman" w:hAnsi="Times New Roman" w:cs="Times New Roman" w:eastAsia="Times New Roman" w:hint="default"/>
        </w:rPr>
        <w:t>123,013</w:t>
      </w:r>
      <w:r>
        <w:rPr/>
        <w:t>元，回购后的股本为人民币</w:t>
      </w:r>
      <w:r>
        <w:rPr>
          <w:rFonts w:ascii="Times New Roman" w:hAnsi="Times New Roman" w:cs="Times New Roman" w:eastAsia="Times New Roman" w:hint="default"/>
        </w:rPr>
        <w:t>590,782,537</w:t>
      </w:r>
      <w:r>
        <w:rPr/>
        <w:t>元。</w:t>
      </w:r>
      <w:r>
        <w:rPr>
          <w:spacing w:val="-118"/>
        </w:rPr>
        <w:t> </w:t>
      </w:r>
      <w:r>
        <w:rPr>
          <w:spacing w:val="2"/>
        </w:rPr>
        <w:t>此次减资业经瑞华会计师事务所（特殊普通合伙）验证，并出具瑞华验字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40030009</w:t>
      </w:r>
      <w:r>
        <w:rPr>
          <w:rFonts w:ascii="Times New Roman" w:hAnsi="Times New Roman" w:cs="Times New Roman" w:eastAsia="Times New Roman" w:hint="default"/>
          <w:spacing w:val="-48"/>
        </w:rPr>
        <w:t> </w:t>
      </w:r>
      <w:r>
        <w:rPr/>
        <w:t>号验资报告验证确认。</w:t>
      </w:r>
    </w:p>
    <w:p>
      <w:pPr>
        <w:spacing w:line="240" w:lineRule="auto" w:before="7"/>
        <w:rPr>
          <w:rFonts w:ascii="宋体" w:hAnsi="宋体" w:cs="宋体" w:eastAsia="宋体" w:hint="default"/>
          <w:sz w:val="16"/>
          <w:szCs w:val="16"/>
        </w:rPr>
      </w:pPr>
    </w:p>
    <w:p>
      <w:pPr>
        <w:pStyle w:val="BodyText"/>
        <w:spacing w:line="312" w:lineRule="exact"/>
        <w:ind w:right="991"/>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 及其摘要》和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日第五届董事会第三十二次会议决议，</w:t>
      </w:r>
      <w:r>
        <w:rPr>
          <w:rFonts w:ascii="Times New Roman" w:hAnsi="Times New Roman" w:cs="Times New Roman" w:eastAsia="Times New Roman" w:hint="default"/>
        </w:rPr>
        <w:t>2016</w:t>
      </w:r>
      <w:r>
        <w:rPr/>
        <w:t>年限制性股票激励计划 激励对象行权，实际行权对象</w:t>
      </w:r>
      <w:r>
        <w:rPr>
          <w:rFonts w:ascii="Times New Roman" w:hAnsi="Times New Roman" w:cs="Times New Roman" w:eastAsia="Times New Roman" w:hint="default"/>
        </w:rPr>
        <w:t>633</w:t>
      </w:r>
      <w:r>
        <w:rPr/>
        <w:t>名、实际行权数量为</w:t>
      </w:r>
      <w:r>
        <w:rPr>
          <w:rFonts w:ascii="Times New Roman" w:hAnsi="Times New Roman" w:cs="Times New Roman" w:eastAsia="Times New Roman" w:hint="default"/>
        </w:rPr>
        <w:t>15,780,800</w:t>
      </w:r>
      <w:r>
        <w:rPr/>
        <w:t>股，行权价格</w:t>
      </w:r>
      <w:r>
        <w:rPr>
          <w:rFonts w:ascii="Times New Roman" w:hAnsi="Times New Roman" w:cs="Times New Roman" w:eastAsia="Times New Roman" w:hint="default"/>
        </w:rPr>
        <w:t>7.04</w:t>
      </w:r>
      <w:r>
        <w:rPr/>
        <w:t>元</w:t>
      </w:r>
      <w:r>
        <w:rPr>
          <w:rFonts w:ascii="Times New Roman" w:hAnsi="Times New Roman" w:cs="Times New Roman" w:eastAsia="Times New Roman" w:hint="default"/>
        </w:rPr>
        <w:t>/</w:t>
      </w:r>
      <w:r>
        <w:rPr/>
        <w:t>股。行</w:t>
      </w:r>
      <w:r>
        <w:rPr>
          <w:spacing w:val="-98"/>
        </w:rPr>
        <w:t> </w:t>
      </w:r>
      <w:r>
        <w:rPr>
          <w:spacing w:val="-98"/>
        </w:rPr>
      </w:r>
      <w:r>
        <w:rPr/>
        <w:t>权后，公司总股本由人民币</w:t>
      </w:r>
      <w:r>
        <w:rPr>
          <w:rFonts w:ascii="Times New Roman" w:hAnsi="Times New Roman" w:cs="Times New Roman" w:eastAsia="Times New Roman" w:hint="default"/>
        </w:rPr>
        <w:t>590,782,537</w:t>
      </w:r>
      <w:r>
        <w:rPr/>
        <w:t>元增加至人民币</w:t>
      </w:r>
      <w:r>
        <w:rPr>
          <w:rFonts w:ascii="Times New Roman" w:hAnsi="Times New Roman" w:cs="Times New Roman" w:eastAsia="Times New Roman" w:hint="default"/>
        </w:rPr>
        <w:t>606,563,337</w:t>
      </w:r>
      <w:r>
        <w:rPr/>
        <w:t>元。此次增资业经瑞华会</w:t>
      </w:r>
      <w:r>
        <w:rPr>
          <w:spacing w:val="-91"/>
        </w:rPr>
        <w:t> </w:t>
      </w:r>
      <w:r>
        <w:rPr>
          <w:spacing w:val="-91"/>
        </w:rPr>
      </w:r>
      <w:r>
        <w:rPr/>
        <w:t>计师事务所（特殊普通合伙）验证，并出具瑞华验字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40030020</w:t>
      </w:r>
      <w:r>
        <w:rPr/>
        <w:t>号验资报告验证确认。</w:t>
      </w:r>
    </w:p>
    <w:p>
      <w:pPr>
        <w:spacing w:line="240" w:lineRule="auto" w:before="7"/>
        <w:rPr>
          <w:rFonts w:ascii="宋体" w:hAnsi="宋体" w:cs="宋体" w:eastAsia="宋体" w:hint="default"/>
          <w:sz w:val="16"/>
          <w:szCs w:val="16"/>
        </w:rPr>
      </w:pPr>
    </w:p>
    <w:p>
      <w:pPr>
        <w:pStyle w:val="BodyText"/>
        <w:spacing w:line="312" w:lineRule="exact"/>
        <w:ind w:right="1046"/>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日，公司第五届董事会第三十六次会议审议通过了《关于回购注销</w:t>
      </w:r>
      <w:r>
        <w:rPr>
          <w:rFonts w:ascii="Times New Roman" w:hAnsi="Times New Roman" w:cs="Times New Roman" w:eastAsia="Times New Roman" w:hint="default"/>
          <w:spacing w:val="-2"/>
        </w:rPr>
        <w:t>2014</w:t>
      </w:r>
      <w:r>
        <w:rPr>
          <w:spacing w:val="-2"/>
        </w:rPr>
        <w:t>年限制性</w:t>
      </w:r>
      <w:r>
        <w:rPr>
          <w:spacing w:val="-114"/>
        </w:rPr>
        <w:t> </w:t>
      </w:r>
      <w:r>
        <w:rPr/>
        <w:t>股票激励计划第二期未达到解锁条件限制性股票的议案》，回购股份</w:t>
      </w:r>
      <w:r>
        <w:rPr>
          <w:rFonts w:ascii="Times New Roman" w:hAnsi="Times New Roman" w:cs="Times New Roman" w:eastAsia="Times New Roman" w:hint="default"/>
        </w:rPr>
        <w:t>5,277,547</w:t>
      </w:r>
      <w:r>
        <w:rPr/>
        <w:t>元，回购后的</w:t>
      </w:r>
      <w:r>
        <w:rPr>
          <w:spacing w:val="-93"/>
        </w:rPr>
        <w:t> </w:t>
      </w:r>
      <w:r>
        <w:rPr/>
        <w:t>股本为人民币</w:t>
      </w:r>
      <w:r>
        <w:rPr>
          <w:rFonts w:ascii="Times New Roman" w:hAnsi="Times New Roman" w:cs="Times New Roman" w:eastAsia="Times New Roman" w:hint="default"/>
        </w:rPr>
        <w:t>601,285,790</w:t>
      </w:r>
      <w:r>
        <w:rPr/>
        <w:t>元。此次减资业经瑞华会计师事务所（特殊普通合伙）验证，并出</w:t>
      </w:r>
      <w:r>
        <w:rPr>
          <w:spacing w:val="-97"/>
        </w:rPr>
        <w:t> </w:t>
      </w:r>
      <w:r>
        <w:rPr>
          <w:spacing w:val="-97"/>
        </w:rPr>
      </w:r>
      <w:r>
        <w:rPr/>
        <w:t>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40030004</w:t>
      </w:r>
      <w:r>
        <w:rPr/>
        <w:t>号验资报告验证确认。</w:t>
      </w:r>
    </w:p>
    <w:p>
      <w:pPr>
        <w:spacing w:line="240" w:lineRule="auto" w:before="7"/>
        <w:rPr>
          <w:rFonts w:ascii="宋体" w:hAnsi="宋体" w:cs="宋体" w:eastAsia="宋体" w:hint="default"/>
          <w:sz w:val="16"/>
          <w:szCs w:val="16"/>
        </w:rPr>
      </w:pPr>
    </w:p>
    <w:p>
      <w:pPr>
        <w:pStyle w:val="BodyText"/>
        <w:spacing w:line="312" w:lineRule="exact"/>
        <w:ind w:right="102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 </w:t>
      </w:r>
      <w:r>
        <w:rPr>
          <w:spacing w:val="-2"/>
        </w:rPr>
        <w:t>及其摘要》和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日第六届董事会第七次会议决议，</w:t>
      </w:r>
      <w:r>
        <w:rPr>
          <w:rFonts w:ascii="Times New Roman" w:hAnsi="Times New Roman" w:cs="Times New Roman" w:eastAsia="Times New Roman" w:hint="default"/>
          <w:spacing w:val="-2"/>
        </w:rPr>
        <w:t>2016</w:t>
      </w:r>
      <w:r>
        <w:rPr>
          <w:spacing w:val="-2"/>
        </w:rPr>
        <w:t>年限制性股票激励计划激励</w:t>
      </w:r>
      <w:r>
        <w:rPr>
          <w:spacing w:val="-114"/>
        </w:rPr>
        <w:t> </w:t>
      </w:r>
      <w:r>
        <w:rPr/>
        <w:t>对象行权，实际行权对象</w:t>
      </w:r>
      <w:r>
        <w:rPr>
          <w:rFonts w:ascii="Times New Roman" w:hAnsi="Times New Roman" w:cs="Times New Roman" w:eastAsia="Times New Roman" w:hint="default"/>
        </w:rPr>
        <w:t>253</w:t>
      </w:r>
      <w:r>
        <w:rPr/>
        <w:t>名、实际行权数量为</w:t>
      </w:r>
      <w:r>
        <w:rPr>
          <w:rFonts w:ascii="Times New Roman" w:hAnsi="Times New Roman" w:cs="Times New Roman" w:eastAsia="Times New Roman" w:hint="default"/>
        </w:rPr>
        <w:t>1,418,760</w:t>
      </w:r>
      <w:r>
        <w:rPr/>
        <w:t>股，行权价格</w:t>
      </w:r>
      <w:r>
        <w:rPr>
          <w:rFonts w:ascii="Times New Roman" w:hAnsi="Times New Roman" w:cs="Times New Roman" w:eastAsia="Times New Roman" w:hint="default"/>
        </w:rPr>
        <w:t>5.18</w:t>
      </w:r>
      <w:r>
        <w:rPr/>
        <w:t>元</w:t>
      </w:r>
      <w:r>
        <w:rPr>
          <w:rFonts w:ascii="Times New Roman" w:hAnsi="Times New Roman" w:cs="Times New Roman" w:eastAsia="Times New Roman" w:hint="default"/>
        </w:rPr>
        <w:t>/</w:t>
      </w:r>
      <w:r>
        <w:rPr/>
        <w:t>股。行权后， 公司总股本由人民币</w:t>
      </w:r>
      <w:r>
        <w:rPr>
          <w:rFonts w:ascii="Times New Roman" w:hAnsi="Times New Roman" w:cs="Times New Roman" w:eastAsia="Times New Roman" w:hint="default"/>
        </w:rPr>
        <w:t>601,285,790</w:t>
      </w:r>
      <w:r>
        <w:rPr/>
        <w:t>元增加至人民币</w:t>
      </w:r>
      <w:r>
        <w:rPr>
          <w:rFonts w:ascii="Times New Roman" w:hAnsi="Times New Roman" w:cs="Times New Roman" w:eastAsia="Times New Roman" w:hint="default"/>
        </w:rPr>
        <w:t>602,704,550</w:t>
      </w:r>
      <w:r>
        <w:rPr/>
        <w:t>元。此次增资业经瑞华会计师事</w:t>
      </w:r>
      <w:r>
        <w:rPr>
          <w:spacing w:val="-91"/>
        </w:rPr>
        <w:t> </w:t>
      </w:r>
      <w:r>
        <w:rPr>
          <w:spacing w:val="-91"/>
        </w:rPr>
      </w:r>
      <w:r>
        <w:rPr/>
        <w:t>务所（特殊普通合伙）验证，并出具瑞华验字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40030009</w:t>
      </w:r>
      <w:r>
        <w:rPr/>
        <w:t>号验资报告验证确认。</w:t>
      </w:r>
    </w:p>
    <w:p>
      <w:pPr>
        <w:spacing w:line="240" w:lineRule="auto" w:before="7"/>
        <w:rPr>
          <w:rFonts w:ascii="宋体" w:hAnsi="宋体" w:cs="宋体" w:eastAsia="宋体" w:hint="default"/>
          <w:sz w:val="16"/>
          <w:szCs w:val="16"/>
        </w:rPr>
      </w:pPr>
    </w:p>
    <w:p>
      <w:pPr>
        <w:pStyle w:val="BodyText"/>
        <w:spacing w:line="312" w:lineRule="exact"/>
        <w:ind w:right="1123"/>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日第六届董事会第四次会议及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日第二次临时股</w:t>
      </w:r>
      <w:r>
        <w:rPr>
          <w:spacing w:val="-100"/>
        </w:rPr>
        <w:t> </w:t>
      </w:r>
      <w:r>
        <w:rPr/>
        <w:t>东大会审议通过了《关于回购注销 </w:t>
      </w:r>
      <w:r>
        <w:rPr>
          <w:rFonts w:ascii="Times New Roman" w:hAnsi="Times New Roman" w:cs="Times New Roman" w:eastAsia="Times New Roman" w:hint="default"/>
        </w:rPr>
        <w:t>2016 </w:t>
      </w:r>
      <w:r>
        <w:rPr/>
        <w:t>年限制性股票激励计划部分限制性股票的议案》，</w:t>
      </w:r>
      <w:r>
        <w:rPr>
          <w:spacing w:val="-98"/>
        </w:rPr>
        <w:t> </w:t>
      </w:r>
      <w:r>
        <w:rPr>
          <w:spacing w:val="-98"/>
        </w:rPr>
      </w:r>
      <w:r>
        <w:rPr>
          <w:spacing w:val="-1"/>
        </w:rPr>
        <w:t>回购股份</w:t>
      </w:r>
      <w:r>
        <w:rPr>
          <w:rFonts w:ascii="Times New Roman" w:hAnsi="Times New Roman" w:cs="Times New Roman" w:eastAsia="Times New Roman" w:hint="default"/>
          <w:spacing w:val="-1"/>
        </w:rPr>
        <w:t>130,600</w:t>
      </w:r>
      <w:r>
        <w:rPr>
          <w:spacing w:val="-1"/>
        </w:rPr>
        <w:t>元，回购后的股本为人民币</w:t>
      </w:r>
      <w:r>
        <w:rPr>
          <w:rFonts w:ascii="Times New Roman" w:hAnsi="Times New Roman" w:cs="Times New Roman" w:eastAsia="Times New Roman" w:hint="default"/>
          <w:spacing w:val="-1"/>
        </w:rPr>
        <w:t>602,573,950</w:t>
      </w:r>
      <w:r>
        <w:rPr>
          <w:spacing w:val="-1"/>
        </w:rPr>
        <w:t>元。此次减资业经瑞华会计师事务所</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（特殊普通合伙）验证，并出具瑞华验字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40030012</w:t>
      </w:r>
      <w:r>
        <w:rPr/>
        <w:t>号验资报告验证确认。</w:t>
      </w:r>
    </w:p>
    <w:p>
      <w:pPr>
        <w:pStyle w:val="BodyText"/>
        <w:spacing w:line="225" w:lineRule="auto" w:before="212"/>
        <w:ind w:right="112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日公司第五届董事会第三十二次会议决议、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w:t>
      </w:r>
      <w:r>
        <w:rPr>
          <w:spacing w:val="-87"/>
        </w:rPr>
        <w:t> </w:t>
      </w:r>
      <w:r>
        <w:rPr>
          <w:spacing w:val="3"/>
        </w:rPr>
        <w:t>第三次临时股东大会决议、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日第二次临时股东大会决议及中国证监会</w:t>
      </w:r>
      <w:r>
        <w:rPr>
          <w:rFonts w:ascii="Times New Roman" w:hAnsi="Times New Roman" w:cs="Times New Roman" w:eastAsia="Times New Roman" w:hint="default"/>
          <w:spacing w:val="3"/>
        </w:rPr>
        <w:t>“</w:t>
      </w:r>
      <w:r>
        <w:rPr>
          <w:spacing w:val="3"/>
        </w:rPr>
        <w:t>证监许可</w:t>
      </w:r>
      <w:r>
        <w:rPr>
          <w:spacing w:val="-95"/>
        </w:rPr>
        <w:t> </w:t>
      </w:r>
      <w:r>
        <w:rPr>
          <w:rFonts w:ascii="Times New Roman" w:hAnsi="Times New Roman" w:cs="Times New Roman" w:eastAsia="Times New Roman" w:hint="default"/>
        </w:rPr>
        <w:t>[2017]1217</w:t>
      </w:r>
      <w:r>
        <w:rPr/>
        <w:t>号</w:t>
      </w:r>
      <w:r>
        <w:rPr>
          <w:rFonts w:ascii="Times New Roman" w:hAnsi="Times New Roman" w:cs="Times New Roman" w:eastAsia="Times New Roman" w:hint="default"/>
        </w:rPr>
        <w:t>”</w:t>
      </w:r>
      <w:r>
        <w:rPr/>
        <w:t>文《关于核准远光软件股份有限公司非公开发行股票的批复》核准，公司申请</w:t>
      </w:r>
      <w:r>
        <w:rPr>
          <w:spacing w:val="-118"/>
        </w:rPr>
        <w:t> </w:t>
      </w:r>
      <w:r>
        <w:rPr/>
        <w:t>增加注册资本人民币</w:t>
      </w:r>
      <w:r>
        <w:rPr>
          <w:rFonts w:ascii="Times New Roman" w:hAnsi="Times New Roman" w:cs="Times New Roman" w:eastAsia="Times New Roman" w:hint="default"/>
        </w:rPr>
        <w:t>4,542,682</w:t>
      </w:r>
      <w:r>
        <w:rPr/>
        <w:t>元，由深圳市宏利创新投资合伙企业（有限合伙）以现金方式</w:t>
      </w:r>
      <w:r>
        <w:rPr>
          <w:spacing w:val="-92"/>
        </w:rPr>
        <w:t> </w:t>
      </w:r>
      <w:r>
        <w:rPr>
          <w:spacing w:val="-92"/>
        </w:rPr>
      </w:r>
      <w:r>
        <w:rPr/>
        <w:t>认购，变更后注册资本为人民币</w:t>
      </w:r>
      <w:r>
        <w:rPr>
          <w:rFonts w:ascii="Times New Roman" w:hAnsi="Times New Roman" w:cs="Times New Roman" w:eastAsia="Times New Roman" w:hint="default"/>
        </w:rPr>
        <w:t>607,116,632</w:t>
      </w:r>
      <w:r>
        <w:rPr/>
        <w:t>元。此次增资业经瑞华会计师事务所（特殊普通</w:t>
      </w:r>
      <w:r>
        <w:rPr>
          <w:spacing w:val="-95"/>
        </w:rPr>
        <w:t> </w:t>
      </w:r>
      <w:r>
        <w:rPr>
          <w:spacing w:val="-95"/>
        </w:rPr>
      </w:r>
      <w:r>
        <w:rPr/>
        <w:t>合伙）验证，并出具瑞华验字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40030001</w:t>
      </w:r>
      <w:r>
        <w:rPr/>
        <w:t>号验资报告验证确认。</w:t>
      </w:r>
    </w:p>
    <w:p>
      <w:pPr>
        <w:spacing w:line="240" w:lineRule="auto" w:before="8"/>
        <w:rPr>
          <w:rFonts w:ascii="宋体" w:hAnsi="宋体" w:cs="宋体" w:eastAsia="宋体" w:hint="default"/>
          <w:sz w:val="17"/>
          <w:szCs w:val="17"/>
        </w:rPr>
      </w:pPr>
    </w:p>
    <w:p>
      <w:pPr>
        <w:pStyle w:val="BodyText"/>
        <w:spacing w:line="312" w:lineRule="exact"/>
        <w:ind w:right="1128"/>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日公司第六届董事会第十二次会议、第六届监事会第七次</w:t>
      </w:r>
      <w:r>
        <w:rPr>
          <w:spacing w:val="-93"/>
        </w:rPr>
        <w:t> </w:t>
      </w:r>
      <w:r>
        <w:rPr>
          <w:spacing w:val="-93"/>
        </w:rPr>
      </w:r>
      <w:r>
        <w:rPr/>
        <w:t>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日第三次临时股东大会审议通过了《关于回购注销</w:t>
      </w:r>
      <w:r>
        <w:rPr>
          <w:spacing w:val="1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年限制性股票</w:t>
      </w:r>
      <w:r>
        <w:rPr>
          <w:spacing w:val="-114"/>
        </w:rPr>
        <w:t> </w:t>
      </w:r>
      <w:r>
        <w:rPr>
          <w:spacing w:val="-114"/>
        </w:rPr>
      </w:r>
      <w:r>
        <w:rPr>
          <w:spacing w:val="17"/>
        </w:rPr>
        <w:t>激励计划部分限制性股票的议案》，</w:t>
      </w:r>
      <w:r>
        <w:rPr>
          <w:spacing w:val="-92"/>
        </w:rPr>
        <w:t> </w:t>
      </w:r>
      <w:r>
        <w:rPr>
          <w:spacing w:val="15"/>
        </w:rPr>
        <w:t>本次回购股份</w:t>
      </w:r>
      <w:r>
        <w:rPr>
          <w:spacing w:val="-88"/>
        </w:rPr>
        <w:t> </w:t>
      </w:r>
      <w:r>
        <w:rPr>
          <w:rFonts w:ascii="Times New Roman" w:hAnsi="Times New Roman" w:cs="Times New Roman" w:eastAsia="Times New Roman" w:hint="default"/>
          <w:spacing w:val="4"/>
        </w:rPr>
        <w:t>102,244</w:t>
      </w:r>
      <w:r>
        <w:rPr>
          <w:spacing w:val="4"/>
        </w:rPr>
        <w:t>元，</w:t>
      </w:r>
      <w:r>
        <w:rPr>
          <w:spacing w:val="-92"/>
        </w:rPr>
        <w:t> </w:t>
      </w:r>
      <w:r>
        <w:rPr>
          <w:spacing w:val="17"/>
        </w:rPr>
        <w:t>回购后的股本为人民币</w:t>
      </w:r>
      <w:r>
        <w:rPr>
          <w:spacing w:val="-110"/>
        </w:rPr>
        <w:t> </w:t>
      </w:r>
      <w:r>
        <w:rPr>
          <w:spacing w:val="-110"/>
        </w:rPr>
      </w:r>
      <w:r>
        <w:rPr>
          <w:rFonts w:ascii="Times New Roman" w:hAnsi="Times New Roman" w:cs="Times New Roman" w:eastAsia="Times New Roman" w:hint="default"/>
          <w:spacing w:val="-8"/>
        </w:rPr>
        <w:t>607,014,388</w:t>
      </w:r>
      <w:r>
        <w:rPr>
          <w:spacing w:val="-8"/>
        </w:rPr>
        <w:t>元。此次减资业经瑞华会计师事务所（特殊普通合伙）验证，并出具瑞华验字</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第</w:t>
      </w:r>
      <w:r>
        <w:rPr>
          <w:rFonts w:ascii="Times New Roman" w:hAnsi="Times New Roman" w:cs="Times New Roman" w:eastAsia="Times New Roman" w:hint="default"/>
        </w:rPr>
        <w:t>40030003</w:t>
      </w:r>
      <w:r>
        <w:rPr/>
        <w:t>号验资报告验证确认。</w:t>
      </w:r>
    </w:p>
    <w:p>
      <w:pPr>
        <w:pStyle w:val="BodyText"/>
        <w:spacing w:line="322" w:lineRule="exact" w:before="186"/>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日，根据公司</w:t>
      </w:r>
      <w:r>
        <w:rPr>
          <w:rFonts w:ascii="Times New Roman" w:hAnsi="Times New Roman" w:cs="Times New Roman" w:eastAsia="Times New Roman" w:hint="default"/>
        </w:rPr>
        <w:t>2017</w:t>
      </w:r>
      <w:r>
        <w:rPr/>
        <w:t>年度股东大会会议决议通过的</w:t>
      </w:r>
      <w:r>
        <w:rPr>
          <w:rFonts w:ascii="Times New Roman" w:hAnsi="Times New Roman" w:cs="Times New Roman" w:eastAsia="Times New Roman" w:hint="default"/>
        </w:rPr>
        <w:t>2017</w:t>
      </w:r>
      <w:r>
        <w:rPr/>
        <w:t>年度权益分配方案，公司以</w:t>
      </w:r>
    </w:p>
    <w:p>
      <w:pPr>
        <w:pStyle w:val="BodyText"/>
        <w:spacing w:line="225" w:lineRule="auto" w:before="6"/>
        <w:ind w:right="1122"/>
        <w:jc w:val="both"/>
      </w:pPr>
      <w:r>
        <w:rPr>
          <w:rFonts w:ascii="Times New Roman" w:hAnsi="Times New Roman" w:cs="Times New Roman" w:eastAsia="Times New Roman" w:hint="default"/>
          <w:spacing w:val="-2"/>
        </w:rPr>
        <w:t>2017</w:t>
      </w:r>
      <w:r>
        <w:rPr>
          <w:spacing w:val="-2"/>
        </w:rPr>
        <w:t>年度权益分配方案时股权登记日的总股本</w:t>
      </w:r>
      <w:r>
        <w:rPr>
          <w:rFonts w:ascii="Times New Roman" w:hAnsi="Times New Roman" w:cs="Times New Roman" w:eastAsia="Times New Roman" w:hint="default"/>
          <w:spacing w:val="-2"/>
        </w:rPr>
        <w:t>607,014,388</w:t>
      </w:r>
      <w:r>
        <w:rPr>
          <w:spacing w:val="-2"/>
        </w:rPr>
        <w:t>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6"/>
        </w:rPr>
        <w:t> </w:t>
      </w:r>
      <w:r>
        <w:rPr>
          <w:spacing w:val="-3"/>
        </w:rPr>
        <w:t>股，同时以资本公积金向全体股东每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股。由未分配利润和资本公积转增股本人民币</w:t>
      </w:r>
      <w:r>
        <w:rPr>
          <w:spacing w:val="-81"/>
        </w:rPr>
        <w:t> </w:t>
      </w:r>
      <w:r>
        <w:rPr>
          <w:spacing w:val="-81"/>
        </w:rPr>
      </w:r>
      <w:r>
        <w:rPr>
          <w:rFonts w:ascii="Times New Roman" w:hAnsi="Times New Roman" w:cs="Times New Roman" w:eastAsia="Times New Roman" w:hint="default"/>
          <w:spacing w:val="-2"/>
        </w:rPr>
        <w:t>242,805,755</w:t>
      </w:r>
      <w:r>
        <w:rPr>
          <w:spacing w:val="-2"/>
        </w:rPr>
        <w:t>元，转增基准日期为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日，变更后注册资本为人民币</w:t>
      </w:r>
      <w:r>
        <w:rPr>
          <w:rFonts w:ascii="Times New Roman" w:hAnsi="Times New Roman" w:cs="Times New Roman" w:eastAsia="Times New Roman" w:hint="default"/>
          <w:spacing w:val="-2"/>
        </w:rPr>
        <w:t>849,820,143</w:t>
      </w:r>
      <w:r>
        <w:rPr>
          <w:spacing w:val="-2"/>
        </w:rPr>
        <w:t>元。此</w:t>
      </w:r>
      <w:r>
        <w:rPr>
          <w:spacing w:val="-89"/>
        </w:rPr>
        <w:t> </w:t>
      </w:r>
      <w:r>
        <w:rPr>
          <w:spacing w:val="-89"/>
        </w:rPr>
      </w:r>
      <w:r>
        <w:rPr>
          <w:spacing w:val="2"/>
        </w:rPr>
        <w:t>次增资业经瑞华会计师事务所（特殊普通合伙）验证，并出具瑞华验字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40030010</w:t>
      </w:r>
      <w:r>
        <w:rPr>
          <w:spacing w:val="2"/>
        </w:rPr>
        <w:t>号</w:t>
      </w:r>
      <w:r>
        <w:rPr>
          <w:spacing w:val="-108"/>
        </w:rPr>
        <w:t> </w:t>
      </w:r>
      <w:r>
        <w:rPr/>
        <w:t>验资报告验证确认。</w:t>
      </w:r>
    </w:p>
    <w:p>
      <w:pPr>
        <w:spacing w:line="240" w:lineRule="auto" w:before="11"/>
        <w:rPr>
          <w:rFonts w:ascii="宋体" w:hAnsi="宋体" w:cs="宋体" w:eastAsia="宋体" w:hint="default"/>
          <w:sz w:val="18"/>
          <w:szCs w:val="18"/>
        </w:rPr>
      </w:pPr>
    </w:p>
    <w:p>
      <w:pPr>
        <w:pStyle w:val="BodyText"/>
        <w:spacing w:line="312" w:lineRule="exact"/>
        <w:ind w:right="1127"/>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9</w:t>
      </w:r>
      <w:r>
        <w:rPr>
          <w:spacing w:val="-4"/>
        </w:rPr>
        <w:t>日，根据</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日公司</w:t>
      </w:r>
      <w:r>
        <w:rPr>
          <w:rFonts w:ascii="Times New Roman" w:hAnsi="Times New Roman" w:cs="Times New Roman" w:eastAsia="Times New Roman" w:hint="default"/>
          <w:spacing w:val="-4"/>
        </w:rPr>
        <w:t>2017</w:t>
      </w:r>
      <w:r>
        <w:rPr>
          <w:spacing w:val="-4"/>
        </w:rPr>
        <w:t>年度股东大会会议决议通过《关于回购注销</w:t>
      </w:r>
      <w:r>
        <w:rPr>
          <w:spacing w:val="-15"/>
        </w:rPr>
        <w:t> </w:t>
      </w:r>
      <w:r>
        <w:rPr>
          <w:rFonts w:ascii="Times New Roman" w:hAnsi="Times New Roman" w:cs="Times New Roman" w:eastAsia="Times New Roman" w:hint="default"/>
        </w:rPr>
        <w:t>2016 </w:t>
      </w:r>
      <w:r>
        <w:rPr>
          <w:spacing w:val="6"/>
        </w:rPr>
        <w:t>年限制性股票激励计划部分限制性股票的议案》及</w:t>
      </w:r>
      <w:r>
        <w:rPr>
          <w:rFonts w:ascii="Times New Roman" w:hAnsi="Times New Roman" w:cs="Times New Roman" w:eastAsia="Times New Roman" w:hint="default"/>
          <w:spacing w:val="6"/>
        </w:rPr>
        <w:t>2017</w:t>
      </w:r>
      <w:r>
        <w:rPr>
          <w:spacing w:val="6"/>
        </w:rPr>
        <w:t>年度权益分配方案，本次回购股份</w:t>
      </w:r>
      <w:r>
        <w:rPr>
          <w:spacing w:val="-106"/>
        </w:rPr>
        <w:t> </w:t>
      </w:r>
      <w:r>
        <w:rPr>
          <w:spacing w:val="-106"/>
        </w:rPr>
      </w:r>
      <w:r>
        <w:rPr>
          <w:rFonts w:ascii="Times New Roman" w:hAnsi="Times New Roman" w:cs="Times New Roman" w:eastAsia="Times New Roman" w:hint="default"/>
          <w:spacing w:val="-1"/>
        </w:rPr>
        <w:t>416,892</w:t>
      </w:r>
      <w:r>
        <w:rPr>
          <w:spacing w:val="-1"/>
        </w:rPr>
        <w:t>元，回购后的股本为人民币</w:t>
      </w:r>
      <w:r>
        <w:rPr>
          <w:rFonts w:ascii="Times New Roman" w:hAnsi="Times New Roman" w:cs="Times New Roman" w:eastAsia="Times New Roman" w:hint="default"/>
          <w:spacing w:val="-1"/>
        </w:rPr>
        <w:t>849,403,251</w:t>
      </w:r>
      <w:r>
        <w:rPr>
          <w:spacing w:val="-1"/>
        </w:rPr>
        <w:t>元。此次减资业经瑞华会计师事务所（特殊普</w:t>
      </w:r>
      <w:r>
        <w:rPr>
          <w:spacing w:val="-96"/>
        </w:rPr>
        <w:t> </w:t>
      </w:r>
      <w:r>
        <w:rPr>
          <w:spacing w:val="-96"/>
        </w:rPr>
      </w:r>
      <w:r>
        <w:rPr/>
        <w:t>通合伙）验证，并出具瑞华验字【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40030012</w:t>
      </w:r>
      <w:r>
        <w:rPr/>
        <w:t>号验资报告验证确认。</w:t>
      </w:r>
    </w:p>
    <w:p>
      <w:pPr>
        <w:pStyle w:val="BodyText"/>
        <w:spacing w:line="225" w:lineRule="auto" w:before="202"/>
        <w:ind w:right="1122"/>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日公司第六届董事会第二十一会议、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日第六届</w:t>
      </w:r>
      <w:r>
        <w:rPr>
          <w:spacing w:val="-87"/>
        </w:rPr>
        <w:t> </w:t>
      </w:r>
      <w:r>
        <w:rPr>
          <w:spacing w:val="-87"/>
        </w:rPr>
      </w:r>
      <w:r>
        <w:rPr/>
        <w:t>董事会第二十二会议、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日第六届董事会第二十八次会议及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2019</w:t>
      </w:r>
      <w:r>
        <w:rPr/>
        <w:t>年</w:t>
      </w:r>
      <w:r>
        <w:rPr>
          <w:spacing w:val="-85"/>
        </w:rPr>
        <w:t> </w:t>
      </w:r>
      <w:r>
        <w:rPr/>
        <w:t>第一次临时股东大会会议决议通过《关于回购注销 </w:t>
      </w:r>
      <w:r>
        <w:rPr>
          <w:rFonts w:ascii="Times New Roman" w:hAnsi="Times New Roman" w:cs="Times New Roman" w:eastAsia="Times New Roman" w:hint="default"/>
        </w:rPr>
        <w:t>2016 </w:t>
      </w:r>
      <w:r>
        <w:rPr/>
        <w:t>年限制性股票激励计划部分限制性</w:t>
      </w:r>
      <w:r>
        <w:rPr>
          <w:spacing w:val="-100"/>
        </w:rPr>
        <w:t> </w:t>
      </w:r>
      <w:r>
        <w:rPr>
          <w:spacing w:val="-100"/>
        </w:rPr>
      </w:r>
      <w:r>
        <w:rPr>
          <w:spacing w:val="-1"/>
        </w:rPr>
        <w:t>股票的议案》，本次回购股份</w:t>
      </w:r>
      <w:r>
        <w:rPr>
          <w:rFonts w:ascii="Times New Roman" w:hAnsi="Times New Roman" w:cs="Times New Roman" w:eastAsia="Times New Roman" w:hint="default"/>
          <w:spacing w:val="-1"/>
        </w:rPr>
        <w:t>944,533</w:t>
      </w:r>
      <w:r>
        <w:rPr>
          <w:spacing w:val="-1"/>
        </w:rPr>
        <w:t>元，回购后的股本为人民币</w:t>
      </w:r>
      <w:r>
        <w:rPr>
          <w:rFonts w:ascii="Times New Roman" w:hAnsi="Times New Roman" w:cs="Times New Roman" w:eastAsia="Times New Roman" w:hint="default"/>
          <w:spacing w:val="-1"/>
        </w:rPr>
        <w:t>848,458,718</w:t>
      </w:r>
      <w:r>
        <w:rPr>
          <w:spacing w:val="-1"/>
        </w:rPr>
        <w:t>元。此次减资业</w:t>
      </w:r>
      <w:r>
        <w:rPr>
          <w:spacing w:val="-89"/>
        </w:rPr>
        <w:t> </w:t>
      </w:r>
      <w:r>
        <w:rPr>
          <w:spacing w:val="-89"/>
        </w:rPr>
      </w:r>
      <w:r>
        <w:rPr/>
        <w:t>经瑞华会计师事务所（特殊普通合伙）验证，并出具瑞华验字【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40020005</w:t>
      </w:r>
      <w:r>
        <w:rPr/>
        <w:t>号验资报告</w:t>
      </w:r>
      <w:r>
        <w:rPr>
          <w:spacing w:val="-93"/>
        </w:rPr>
        <w:t> </w:t>
      </w:r>
      <w:r>
        <w:rPr/>
        <w:t>验证确认。</w:t>
      </w:r>
    </w:p>
    <w:p>
      <w:pPr>
        <w:spacing w:line="240" w:lineRule="auto" w:before="10"/>
        <w:rPr>
          <w:rFonts w:ascii="宋体" w:hAnsi="宋体" w:cs="宋体" w:eastAsia="宋体" w:hint="default"/>
          <w:sz w:val="17"/>
          <w:szCs w:val="17"/>
        </w:rPr>
      </w:pPr>
    </w:p>
    <w:p>
      <w:pPr>
        <w:pStyle w:val="BodyText"/>
        <w:spacing w:line="225" w:lineRule="auto"/>
        <w:ind w:right="1131"/>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2019</w:t>
      </w:r>
      <w:r>
        <w:rPr/>
        <w:t>年第三次临时股东大会会议决议通过《关于回购</w:t>
      </w:r>
      <w:r>
        <w:rPr>
          <w:spacing w:val="-92"/>
        </w:rPr>
        <w:t> </w:t>
      </w:r>
      <w:r>
        <w:rPr>
          <w:spacing w:val="-92"/>
        </w:rPr>
      </w:r>
      <w:r>
        <w:rPr/>
        <w:t>注销 </w:t>
      </w:r>
      <w:r>
        <w:rPr>
          <w:rFonts w:ascii="Times New Roman" w:hAnsi="Times New Roman" w:cs="Times New Roman" w:eastAsia="Times New Roman" w:hint="default"/>
        </w:rPr>
        <w:t>2016</w:t>
      </w:r>
      <w:r>
        <w:rPr>
          <w:rFonts w:ascii="Times New Roman" w:hAnsi="Times New Roman" w:cs="Times New Roman" w:eastAsia="Times New Roman" w:hint="default"/>
          <w:spacing w:val="32"/>
        </w:rPr>
        <w:t> </w:t>
      </w:r>
      <w:r>
        <w:rPr/>
        <w:t>年限制性股票激励计划部分限制性股票的议案》，本次回购股份</w:t>
      </w:r>
      <w:r>
        <w:rPr>
          <w:rFonts w:ascii="Times New Roman" w:hAnsi="Times New Roman" w:cs="Times New Roman" w:eastAsia="Times New Roman" w:hint="default"/>
        </w:rPr>
        <w:t>392,478</w:t>
      </w:r>
      <w:r>
        <w:rPr/>
        <w:t>元，回购 后的股本为人民币</w:t>
      </w:r>
      <w:r>
        <w:rPr>
          <w:rFonts w:ascii="Times New Roman" w:hAnsi="Times New Roman" w:cs="Times New Roman" w:eastAsia="Times New Roman" w:hint="default"/>
        </w:rPr>
        <w:t>848,066,240</w:t>
      </w:r>
      <w:r>
        <w:rPr/>
        <w:t>元。此次减资业经瑞华会计师事务所（特殊普通合伙）验证，</w:t>
      </w:r>
      <w:r>
        <w:rPr>
          <w:spacing w:val="-97"/>
        </w:rPr>
        <w:t> </w:t>
      </w:r>
      <w:r>
        <w:rPr>
          <w:spacing w:val="-97"/>
        </w:rPr>
      </w:r>
      <w:r>
        <w:rPr/>
        <w:t>并出具瑞华验字【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40020009</w:t>
      </w:r>
      <w:r>
        <w:rPr/>
        <w:t>号验资报告验证确认。</w:t>
      </w:r>
    </w:p>
    <w:p>
      <w:pPr>
        <w:pStyle w:val="BodyText"/>
        <w:spacing w:line="388" w:lineRule="auto" w:before="199"/>
        <w:ind w:right="4871"/>
        <w:jc w:val="left"/>
      </w:pPr>
      <w:r>
        <w:rPr/>
        <w:t>本公司统一社会信用代码：</w:t>
      </w:r>
      <w:r>
        <w:rPr>
          <w:rFonts w:ascii="Times New Roman" w:hAnsi="Times New Roman" w:cs="Times New Roman" w:eastAsia="Times New Roman" w:hint="default"/>
        </w:rPr>
        <w:t>91440400707956364B</w:t>
      </w:r>
      <w:r>
        <w:rPr/>
        <w:t>。 本公司注册地址：广东省珠海市港湾大道科技一路</w:t>
      </w:r>
      <w:r>
        <w:rPr>
          <w:rFonts w:ascii="Times New Roman" w:hAnsi="Times New Roman" w:cs="Times New Roman" w:eastAsia="Times New Roman" w:hint="default"/>
        </w:rPr>
        <w:t>3</w:t>
      </w:r>
      <w:r>
        <w:rPr/>
        <w:t>号。 本公司法定代表人：陈利浩。 本公司行业性质：</w:t>
      </w:r>
      <w:r>
        <w:rPr>
          <w:rFonts w:ascii="Times New Roman" w:hAnsi="Times New Roman" w:cs="Times New Roman" w:eastAsia="Times New Roman" w:hint="default"/>
        </w:rPr>
        <w:t>IT</w:t>
      </w:r>
      <w:r>
        <w:rPr/>
        <w:t>行业。</w:t>
      </w:r>
    </w:p>
    <w:p>
      <w:pPr>
        <w:pStyle w:val="BodyText"/>
        <w:spacing w:line="240" w:lineRule="auto" w:before="31"/>
        <w:ind w:right="0"/>
        <w:jc w:val="both"/>
      </w:pPr>
      <w:r>
        <w:rPr/>
        <w:t>本公司及其子公司（以下简称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）主要经营活动：从事向客户提供财务和管理信息化</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403" w:lineRule="auto" w:before="26"/>
        <w:ind w:right="0"/>
        <w:jc w:val="left"/>
      </w:pPr>
      <w:r>
        <w:rPr/>
        <w:t>全面解决方案等服务。 本财务报表及财务报表附注业经本公司第六届董事会第三十五次会议于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12" w:lineRule="exact" w:before="160"/>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日，本公司纳入合并范围的子公司共</w:t>
      </w:r>
      <w:r>
        <w:rPr>
          <w:rFonts w:ascii="Times New Roman" w:hAnsi="Times New Roman" w:cs="Times New Roman" w:eastAsia="Times New Roman" w:hint="default"/>
        </w:rPr>
        <w:t>17</w:t>
      </w:r>
      <w:r>
        <w:rPr/>
        <w:t>家，详见</w:t>
      </w:r>
      <w:r>
        <w:rPr>
          <w:rFonts w:ascii="Times New Roman" w:hAnsi="Times New Roman" w:cs="Times New Roman" w:eastAsia="Times New Roman" w:hint="default"/>
        </w:rPr>
        <w:t>“</w:t>
      </w:r>
      <w:r>
        <w:rPr/>
        <w:t>附注七</w:t>
      </w:r>
      <w:r>
        <w:rPr>
          <w:spacing w:val="27"/>
        </w:rPr>
        <w:t> </w:t>
      </w:r>
      <w:r>
        <w:rPr/>
        <w:t>在其他主体中的</w:t>
      </w:r>
      <w:r>
        <w:rPr>
          <w:spacing w:val="-112"/>
        </w:rPr>
        <w:t> </w:t>
      </w:r>
      <w:r>
        <w:rPr>
          <w:spacing w:val="-112"/>
        </w:rPr>
      </w:r>
      <w:r>
        <w:rPr/>
        <w:t>权益</w:t>
      </w:r>
      <w:r>
        <w:rPr>
          <w:rFonts w:ascii="Times New Roman" w:hAnsi="Times New Roman" w:cs="Times New Roman" w:eastAsia="Times New Roman" w:hint="default"/>
        </w:rPr>
        <w:t>”</w:t>
      </w:r>
      <w:r>
        <w:rPr/>
        <w:t>。本期合并范围比上年同期增加</w:t>
      </w:r>
      <w:r>
        <w:rPr>
          <w:rFonts w:ascii="Times New Roman" w:hAnsi="Times New Roman" w:cs="Times New Roman" w:eastAsia="Times New Roman" w:hint="default"/>
        </w:rPr>
        <w:t>2</w:t>
      </w:r>
      <w:r>
        <w:rPr/>
        <w:t>家，减少</w:t>
      </w:r>
      <w:r>
        <w:rPr>
          <w:rFonts w:ascii="Times New Roman" w:hAnsi="Times New Roman" w:cs="Times New Roman" w:eastAsia="Times New Roman" w:hint="default"/>
        </w:rPr>
        <w:t>4</w:t>
      </w:r>
      <w:r>
        <w:rPr/>
        <w:t>家，详见</w:t>
      </w:r>
      <w:r>
        <w:rPr>
          <w:rFonts w:ascii="Times New Roman" w:hAnsi="Times New Roman" w:cs="Times New Roman" w:eastAsia="Times New Roman" w:hint="default"/>
        </w:rPr>
        <w:t>“</w:t>
      </w:r>
      <w:r>
        <w:rPr/>
        <w:t>附注六</w:t>
      </w:r>
      <w:r>
        <w:rPr>
          <w:spacing w:val="-26"/>
        </w:rPr>
        <w:t> </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Heading2"/>
        <w:spacing w:line="240" w:lineRule="auto"/>
        <w:ind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编制基础"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w:t>
      </w:r>
      <w:r>
        <w:rPr>
          <w:spacing w:val="-109"/>
        </w:rPr>
        <w:t> </w:t>
      </w:r>
      <w:r>
        <w:rPr>
          <w:spacing w:val="-2"/>
        </w:rPr>
        <w:t>会计准则</w:t>
      </w:r>
      <w:r>
        <w:rPr>
          <w:rFonts w:ascii="Times New Roman" w:hAnsi="Times New Roman" w:cs="Times New Roman" w:eastAsia="Times New Roman" w:hint="default"/>
          <w:spacing w:val="-2"/>
        </w:rPr>
        <w:t>”</w:t>
      </w:r>
      <w:r>
        <w:rPr>
          <w:spacing w:val="-2"/>
        </w:rPr>
        <w:t>）编制。此外，本公司还按照中国证监会《公开发行证券的公司信息披露编报规则</w:t>
      </w:r>
      <w:r>
        <w:rPr>
          <w:spacing w:val="-115"/>
        </w:rPr>
        <w:t> </w:t>
      </w:r>
      <w:r>
        <w:rPr>
          <w:spacing w:val="-115"/>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w:t>
      </w:r>
    </w:p>
    <w:p>
      <w:pPr>
        <w:pStyle w:val="BodyText"/>
        <w:spacing w:line="240" w:lineRule="auto" w:before="185"/>
        <w:ind w:right="0"/>
        <w:jc w:val="both"/>
      </w:pPr>
      <w:r>
        <w:rPr/>
        <w:t>本财务报表以持续经营为基础列报。</w:t>
      </w:r>
    </w:p>
    <w:p>
      <w:pPr>
        <w:spacing w:line="240" w:lineRule="auto" w:before="10"/>
        <w:rPr>
          <w:rFonts w:ascii="宋体" w:hAnsi="宋体" w:cs="宋体" w:eastAsia="宋体" w:hint="default"/>
          <w:sz w:val="18"/>
          <w:szCs w:val="18"/>
        </w:rPr>
      </w:pPr>
    </w:p>
    <w:p>
      <w:pPr>
        <w:pStyle w:val="BodyText"/>
        <w:spacing w:line="312" w:lineRule="exact"/>
        <w:ind w:right="0"/>
        <w:jc w:val="left"/>
      </w:pPr>
      <w:r>
        <w:rPr/>
        <w:t>本公司会计核算以权责发生制为基础。除某些金融工具外，本财务报表均以历史成本为计量</w:t>
      </w:r>
      <w:r>
        <w:rPr>
          <w:spacing w:val="-93"/>
        </w:rPr>
        <w:t> </w:t>
      </w:r>
      <w:r>
        <w:rPr>
          <w:spacing w:val="-93"/>
        </w:rPr>
      </w:r>
      <w:r>
        <w:rPr/>
        <w:t>基础。资产如果发生减值，则按照相关规定计提相应的减值准备。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0" w:firstLine="0"/>
        <w:jc w:val="both"/>
        <w:rPr>
          <w:rFonts w:ascii="宋体" w:hAnsi="宋体" w:cs="宋体" w:eastAsia="宋体" w:hint="default"/>
          <w:sz w:val="21"/>
          <w:szCs w:val="21"/>
        </w:rPr>
      </w:pPr>
      <w:bookmarkStart w:name="2、持续经营"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0"/>
        <w:jc w:val="left"/>
      </w:pPr>
      <w:r>
        <w:rPr/>
        <w:t>本公司自报告期末起</w:t>
      </w:r>
      <w:r>
        <w:rPr>
          <w:spacing w:val="1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个月内仍具有较强的持续经营能力，未发现对公司持续经营能力产</w:t>
      </w:r>
      <w:r>
        <w:rPr>
          <w:spacing w:val="-115"/>
        </w:rPr>
        <w:t> </w:t>
      </w:r>
      <w:r>
        <w:rPr>
          <w:spacing w:val="-115"/>
        </w:rPr>
      </w:r>
      <w:r>
        <w:rPr/>
        <w:t>生重大影响的事项或其他重要影响因素</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pStyle w:val="Heading2"/>
        <w:spacing w:line="240" w:lineRule="auto"/>
        <w:ind w:right="0"/>
        <w:jc w:val="both"/>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312" w:lineRule="exact" w:before="90"/>
        <w:ind w:right="0"/>
        <w:jc w:val="left"/>
      </w:pPr>
      <w:r>
        <w:rPr/>
        <w:t>本公司根据自身生产经营特点，确定研发支出资本化条件以及收入确认政策，具体会计政策</w:t>
      </w:r>
      <w:r>
        <w:rPr>
          <w:spacing w:val="-93"/>
        </w:rPr>
        <w:t> </w:t>
      </w:r>
      <w:r>
        <w:rPr>
          <w:spacing w:val="-93"/>
        </w:rPr>
      </w:r>
      <w:r>
        <w:rPr/>
        <w:t>见附注五、</w:t>
      </w:r>
      <w:r>
        <w:rPr>
          <w:rFonts w:ascii="Times New Roman" w:hAnsi="Times New Roman" w:cs="Times New Roman" w:eastAsia="Times New Roman" w:hint="default"/>
        </w:rPr>
        <w:t>30</w:t>
      </w:r>
      <w:r>
        <w:rPr/>
        <w:t>（</w:t>
      </w:r>
      <w:r>
        <w:rPr>
          <w:rFonts w:ascii="Times New Roman" w:hAnsi="Times New Roman" w:cs="Times New Roman" w:eastAsia="Times New Roman" w:hint="default"/>
        </w:rPr>
        <w:t>2</w:t>
      </w:r>
      <w:r>
        <w:rPr/>
        <w:t>）和附注五、</w:t>
      </w:r>
      <w:r>
        <w:rPr>
          <w:rFonts w:ascii="Times New Roman" w:hAnsi="Times New Roman" w:cs="Times New Roman" w:eastAsia="Times New Roman" w:hint="default"/>
        </w:rPr>
        <w:t>29</w:t>
      </w:r>
      <w:r>
        <w:rPr/>
        <w:t>。</w:t>
      </w:r>
    </w:p>
    <w:p>
      <w:pPr>
        <w:spacing w:after="0" w:line="312" w:lineRule="exact"/>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1、遵循企业会计准则的声明" w:id="173"/>
      <w:bookmarkEnd w:id="1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2"/>
        <w:jc w:val="both"/>
      </w:pPr>
      <w:r>
        <w:rPr/>
        <w:t>本财务报表符合企业会计准则的要求，真实、完整地反映了本公司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w:t>
      </w:r>
      <w:r>
        <w:rPr>
          <w:spacing w:val="-90"/>
        </w:rPr>
        <w:t> </w:t>
      </w:r>
      <w:r>
        <w:rPr>
          <w:spacing w:val="-90"/>
        </w:rPr>
      </w:r>
      <w:r>
        <w:rPr/>
        <w:t>公司财务状况以及</w:t>
      </w:r>
      <w:r>
        <w:rPr>
          <w:rFonts w:ascii="Times New Roman" w:hAnsi="Times New Roman" w:cs="Times New Roman" w:eastAsia="Times New Roman" w:hint="default"/>
        </w:rPr>
        <w:t>2019</w:t>
      </w:r>
      <w:r>
        <w:rPr/>
        <w:t>年度的合并及公司经营成果和合并及公司现金流量等有关信息。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0" w:firstLine="0"/>
        <w:jc w:val="both"/>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line="472" w:lineRule="auto" w:before="0"/>
        <w:ind w:left="153" w:right="7631" w:firstLine="0"/>
        <w:jc w:val="left"/>
        <w:rPr>
          <w:rFonts w:ascii="宋体" w:hAnsi="宋体" w:cs="宋体" w:eastAsia="宋体" w:hint="default"/>
          <w:sz w:val="21"/>
          <w:szCs w:val="21"/>
        </w:rPr>
      </w:pPr>
      <w:bookmarkStart w:name="3、营业周期" w:id="175"/>
      <w:bookmarkEnd w:id="1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24"/>
          <w:szCs w:val="24"/>
        </w:rPr>
        <w:t>本公司的营业周期为</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 </w:t>
      </w:r>
      <w:bookmarkStart w:name="4、记账本位币" w:id="176"/>
      <w:bookmarkEnd w:id="176"/>
      <w:r>
        <w:rPr>
          <w:rFonts w:ascii="宋体" w:hAnsi="宋体" w:cs="宋体" w:eastAsia="宋体" w:hint="default"/>
          <w:sz w:val="24"/>
          <w:szCs w:val="24"/>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12" w:lineRule="exact" w:before="103"/>
        <w:ind w:right="1136"/>
        <w:jc w:val="both"/>
      </w:pPr>
      <w:r>
        <w:rPr/>
        <w:t>本公司及境内子公司以人民币为记账本位币。本公司之境外子公司根据其经营所处的主要经</w:t>
      </w:r>
      <w:r>
        <w:rPr>
          <w:spacing w:val="-93"/>
        </w:rPr>
        <w:t> </w:t>
      </w:r>
      <w:r>
        <w:rPr>
          <w:spacing w:val="-93"/>
        </w:rPr>
      </w:r>
      <w:r>
        <w:rPr/>
        <w:t>济环境中的货币确定其记账本位币。本公司编制本财务报表时所采用的货币为人民币。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77"/>
      <w:bookmarkEnd w:id="17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pStyle w:val="BodyText"/>
        <w:spacing w:line="237" w:lineRule="auto" w:before="198"/>
        <w:ind w:right="1136"/>
        <w:jc w:val="both"/>
      </w:pPr>
      <w:r>
        <w:rPr/>
        <w:t>对于同一控制下的企业合并，合并方在合并中取得的被合并方的资产、负债，除因会计政策</w:t>
      </w:r>
      <w:r>
        <w:rPr>
          <w:spacing w:val="-93"/>
        </w:rPr>
        <w:t> </w:t>
      </w:r>
      <w:r>
        <w:rPr>
          <w:spacing w:val="-93"/>
        </w:rPr>
      </w:r>
      <w:r>
        <w:rPr/>
        <w:t>不同而进行的调整以外，按合并日被合并方在最终控制方合并财务报表中的账面价值计量。</w:t>
      </w:r>
      <w:r>
        <w:rPr>
          <w:spacing w:val="-93"/>
        </w:rPr>
        <w:t> </w:t>
      </w:r>
      <w:r>
        <w:rPr>
          <w:spacing w:val="-93"/>
        </w:rPr>
      </w:r>
      <w:r>
        <w:rPr/>
        <w:t>合并对价的账面价值与合并中取得的净资产账面价值的差额调整资本公积，资本公积不足冲</w:t>
      </w:r>
      <w:r>
        <w:rPr>
          <w:spacing w:val="-93"/>
        </w:rPr>
        <w:t> </w:t>
      </w:r>
      <w:r>
        <w:rPr>
          <w:spacing w:val="-93"/>
        </w:rPr>
      </w:r>
      <w:r>
        <w:rPr/>
        <w:t>减的，调整留存收益。</w:t>
      </w:r>
    </w:p>
    <w:p>
      <w:pPr>
        <w:pStyle w:val="BodyText"/>
        <w:spacing w:line="240" w:lineRule="auto" w:before="214"/>
        <w:ind w:right="0"/>
        <w:jc w:val="both"/>
      </w:pPr>
      <w:r>
        <w:rPr/>
        <w:t>通过多次交易分步实现同一控制下的企业合并</w:t>
      </w:r>
    </w:p>
    <w:p>
      <w:pPr>
        <w:spacing w:line="240" w:lineRule="auto" w:before="7"/>
        <w:rPr>
          <w:rFonts w:ascii="宋体" w:hAnsi="宋体" w:cs="宋体" w:eastAsia="宋体" w:hint="default"/>
          <w:sz w:val="16"/>
          <w:szCs w:val="16"/>
        </w:rPr>
      </w:pPr>
    </w:p>
    <w:p>
      <w:pPr>
        <w:pStyle w:val="BodyText"/>
        <w:spacing w:line="237" w:lineRule="auto"/>
        <w:ind w:right="1133"/>
        <w:jc w:val="both"/>
      </w:pPr>
      <w:r>
        <w:rPr/>
        <w:t>在个别财务报表中，以合并日持股比例计算的合并日应享有被合并方净资产在最终控制方合</w:t>
      </w:r>
      <w:r>
        <w:rPr>
          <w:spacing w:val="-93"/>
        </w:rPr>
        <w:t> </w:t>
      </w:r>
      <w:r>
        <w:rPr>
          <w:spacing w:val="-93"/>
        </w:rPr>
      </w:r>
      <w:r>
        <w:rPr/>
        <w:t>并财务报表中的账面价值的份额作为该项投资的初始投资成本；初始投资成本与合并前持有</w:t>
      </w:r>
      <w:r>
        <w:rPr>
          <w:spacing w:val="-93"/>
        </w:rPr>
        <w:t> </w:t>
      </w:r>
      <w:r>
        <w:rPr>
          <w:spacing w:val="-93"/>
        </w:rPr>
      </w:r>
      <w:r>
        <w:rPr/>
        <w:t>投资的账面价值加上合并日新支付对价的账面价值之和的差额，调整资本公积，资本公积不</w:t>
      </w:r>
      <w:r>
        <w:rPr>
          <w:spacing w:val="-91"/>
        </w:rPr>
        <w:t> </w:t>
      </w:r>
      <w:r>
        <w:rPr>
          <w:spacing w:val="-91"/>
        </w:rPr>
      </w:r>
      <w:r>
        <w:rPr/>
        <w:t>足冲减的，调整留存收益。</w:t>
      </w:r>
    </w:p>
    <w:p>
      <w:pPr>
        <w:spacing w:line="240" w:lineRule="auto" w:before="8"/>
        <w:rPr>
          <w:rFonts w:ascii="宋体" w:hAnsi="宋体" w:cs="宋体" w:eastAsia="宋体" w:hint="default"/>
          <w:sz w:val="16"/>
          <w:szCs w:val="16"/>
        </w:rPr>
      </w:pPr>
    </w:p>
    <w:p>
      <w:pPr>
        <w:pStyle w:val="BodyText"/>
        <w:spacing w:line="237" w:lineRule="auto"/>
        <w:ind w:right="1133"/>
        <w:jc w:val="both"/>
      </w:pPr>
      <w:r>
        <w:rPr/>
        <w:t>在合并财务报表中，合并方在合并中取得的被合并方的资产、负债，除因会计政策不同而进</w:t>
      </w:r>
      <w:r>
        <w:rPr>
          <w:spacing w:val="-93"/>
        </w:rPr>
        <w:t> </w:t>
      </w:r>
      <w:r>
        <w:rPr>
          <w:spacing w:val="-93"/>
        </w:rPr>
      </w:r>
      <w:r>
        <w:rPr/>
        <w:t>行的调整以外，按合并日在最终控制方合并财务报表中的账面价值计量；合并前持有投资的</w:t>
      </w:r>
      <w:r>
        <w:rPr>
          <w:spacing w:val="-93"/>
        </w:rPr>
        <w:t> </w:t>
      </w:r>
      <w:r>
        <w:rPr>
          <w:spacing w:val="-93"/>
        </w:rPr>
      </w:r>
      <w:r>
        <w:rPr/>
        <w:t>账面价值加上合并日新支付对价的账面价值之和，与合并中取得的净资产账面价值的差额，</w:t>
      </w:r>
      <w:r>
        <w:rPr>
          <w:spacing w:val="-93"/>
        </w:rPr>
        <w:t> </w:t>
      </w:r>
      <w:r>
        <w:rPr>
          <w:spacing w:val="-93"/>
        </w:rPr>
      </w:r>
      <w:r>
        <w:rPr/>
        <w:t>调整资本公积，资本公积不足冲减的，调整留存收益。合并方在取得被合并方控制权之前持</w:t>
      </w:r>
      <w:r>
        <w:rPr>
          <w:spacing w:val="-93"/>
        </w:rPr>
        <w:t> </w:t>
      </w:r>
      <w:r>
        <w:rPr>
          <w:spacing w:val="-93"/>
        </w:rPr>
      </w:r>
      <w:r>
        <w:rPr/>
        <w:t>有的长期股权投资，在取得原股权之日与合并方与被合并方同处于同一方最终控制之日孰晚</w:t>
      </w:r>
      <w:r>
        <w:rPr>
          <w:spacing w:val="-93"/>
        </w:rPr>
        <w:t> </w:t>
      </w:r>
      <w:r>
        <w:rPr>
          <w:spacing w:val="-93"/>
        </w:rPr>
      </w:r>
      <w:r>
        <w:rPr/>
        <w:t>日起至合并日之间已确认有关损益、其他综合收益和其他所有者权益变动，应分别冲减比较</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报表期间的期初留存收益或当期损益。</w:t>
      </w:r>
    </w:p>
    <w:p>
      <w:pPr>
        <w:pStyle w:val="BodyText"/>
        <w:spacing w:line="240" w:lineRule="auto" w:before="214"/>
        <w:ind w:right="0"/>
        <w:jc w:val="both"/>
      </w:pPr>
      <w:r>
        <w:rPr/>
        <w:t>（</w:t>
      </w:r>
      <w:r>
        <w:rPr>
          <w:rFonts w:ascii="Times New Roman" w:hAnsi="Times New Roman" w:cs="Times New Roman" w:eastAsia="Times New Roman" w:hint="default"/>
        </w:rPr>
        <w:t>2</w:t>
      </w:r>
      <w:r>
        <w:rPr/>
        <w:t>）非同一控制下的企业合并</w:t>
      </w:r>
    </w:p>
    <w:p>
      <w:pPr>
        <w:spacing w:line="240" w:lineRule="auto" w:before="5"/>
        <w:rPr>
          <w:rFonts w:ascii="宋体" w:hAnsi="宋体" w:cs="宋体" w:eastAsia="宋体" w:hint="default"/>
          <w:sz w:val="17"/>
          <w:szCs w:val="17"/>
        </w:rPr>
      </w:pPr>
    </w:p>
    <w:p>
      <w:pPr>
        <w:pStyle w:val="BodyText"/>
        <w:spacing w:line="312" w:lineRule="exact"/>
        <w:ind w:right="993"/>
        <w:jc w:val="left"/>
      </w:pPr>
      <w:r>
        <w:rPr>
          <w:spacing w:val="-2"/>
        </w:rPr>
        <w:t>对于非同一控制下的企业合并，合并成本为购买日为取得对被购买方的控制权而付出的资产、</w:t>
      </w:r>
      <w:r>
        <w:rPr/>
        <w:t> 发生或承担的负债以及发行的权益性证券的公允价值。在购买日，取得的被购买方的资产、</w:t>
      </w:r>
      <w:r>
        <w:rPr>
          <w:spacing w:val="-93"/>
        </w:rPr>
        <w:t> </w:t>
      </w:r>
      <w:r>
        <w:rPr>
          <w:spacing w:val="-93"/>
        </w:rPr>
      </w:r>
      <w:r>
        <w:rPr/>
        <w:t>负债及或有负债按公允价值确认。</w:t>
      </w:r>
    </w:p>
    <w:p>
      <w:pPr>
        <w:pStyle w:val="BodyText"/>
        <w:spacing w:line="237" w:lineRule="auto" w:before="188"/>
        <w:ind w:right="1136"/>
        <w:jc w:val="both"/>
      </w:pPr>
      <w:r>
        <w:rPr/>
        <w:t>对合并成本大于合并中取得的被购买方可辨认净资产公允价值份额的差额，确认为商誉，按</w:t>
      </w:r>
      <w:r>
        <w:rPr>
          <w:spacing w:val="-93"/>
        </w:rPr>
        <w:t> </w:t>
      </w:r>
      <w:r>
        <w:rPr>
          <w:spacing w:val="-93"/>
        </w:rPr>
      </w:r>
      <w:r>
        <w:rPr/>
        <w:t>成本扣除累计减值准备进行后续计量；对合并成本小于合并中取得的被购买方可辨认净资产</w:t>
      </w:r>
      <w:r>
        <w:rPr>
          <w:spacing w:val="-93"/>
        </w:rPr>
        <w:t> </w:t>
      </w:r>
      <w:r>
        <w:rPr>
          <w:spacing w:val="-93"/>
        </w:rPr>
      </w:r>
      <w:r>
        <w:rPr/>
        <w:t>公允价值份额的差额，经复核后计入当期损益。</w:t>
      </w:r>
    </w:p>
    <w:p>
      <w:pPr>
        <w:pStyle w:val="BodyText"/>
        <w:spacing w:line="240" w:lineRule="auto" w:before="214"/>
        <w:ind w:right="0"/>
        <w:jc w:val="both"/>
      </w:pPr>
      <w:r>
        <w:rPr/>
        <w:t>通过多次交易分步实现非同一控制下的企业合并</w:t>
      </w:r>
    </w:p>
    <w:p>
      <w:pPr>
        <w:spacing w:line="240" w:lineRule="auto" w:before="7"/>
        <w:rPr>
          <w:rFonts w:ascii="宋体" w:hAnsi="宋体" w:cs="宋体" w:eastAsia="宋体" w:hint="default"/>
          <w:sz w:val="16"/>
          <w:szCs w:val="16"/>
        </w:rPr>
      </w:pPr>
    </w:p>
    <w:p>
      <w:pPr>
        <w:pStyle w:val="BodyText"/>
        <w:spacing w:line="237" w:lineRule="auto"/>
        <w:ind w:right="1136"/>
        <w:jc w:val="both"/>
      </w:pPr>
      <w:r>
        <w:rPr/>
        <w:t>在个别财务报表中，以购买日之前所持被购买方的股权投资的账面价值与购买日新增投资成</w:t>
      </w:r>
      <w:r>
        <w:rPr>
          <w:spacing w:val="-93"/>
        </w:rPr>
        <w:t> </w:t>
      </w:r>
      <w:r>
        <w:rPr>
          <w:spacing w:val="-93"/>
        </w:rPr>
      </w:r>
      <w:r>
        <w:rPr/>
        <w:t>本之和，作为该项投资的初始投资成本。购买日之前持有的股权投资因采用权益法核算而确</w:t>
      </w:r>
      <w:r>
        <w:rPr>
          <w:spacing w:val="-93"/>
        </w:rPr>
        <w:t> </w:t>
      </w:r>
      <w:r>
        <w:rPr>
          <w:spacing w:val="-93"/>
        </w:rPr>
      </w:r>
      <w:r>
        <w:rPr/>
        <w:t>认的其他综合收益，购买日对这部分其他综合收益不作处理，在处置该项投资时采用与被投</w:t>
      </w:r>
      <w:r>
        <w:rPr>
          <w:spacing w:val="-93"/>
        </w:rPr>
        <w:t> </w:t>
      </w:r>
      <w:r>
        <w:rPr>
          <w:spacing w:val="-93"/>
        </w:rPr>
      </w:r>
      <w:r>
        <w:rPr/>
        <w:t>资单位直接处置相关资产或负债相同的基础进行会计处理；因被投资方除净损益、其他综合</w:t>
      </w:r>
      <w:r>
        <w:rPr>
          <w:spacing w:val="-93"/>
        </w:rPr>
        <w:t> </w:t>
      </w:r>
      <w:r>
        <w:rPr>
          <w:spacing w:val="-93"/>
        </w:rPr>
      </w:r>
      <w:r>
        <w:rPr/>
        <w:t>收益和利润分配以外的其他所有者权益变动而确认的所有者权益，在处置该项投资时转入处</w:t>
      </w:r>
      <w:r>
        <w:rPr>
          <w:spacing w:val="-93"/>
        </w:rPr>
        <w:t> </w:t>
      </w:r>
      <w:r>
        <w:rPr>
          <w:spacing w:val="-93"/>
        </w:rPr>
      </w:r>
      <w:r>
        <w:rPr/>
        <w:t>置期间的当期损益。购买日之前持有的股权投资采用公允价值计量的，原计入其他综合收益</w:t>
      </w:r>
      <w:r>
        <w:rPr>
          <w:spacing w:val="-93"/>
        </w:rPr>
        <w:t> </w:t>
      </w:r>
      <w:r>
        <w:rPr>
          <w:spacing w:val="-93"/>
        </w:rPr>
      </w:r>
      <w:r>
        <w:rPr/>
        <w:t>的累计公允价值变动在改按成本法核算时转入当期损益。</w:t>
      </w:r>
    </w:p>
    <w:p>
      <w:pPr>
        <w:spacing w:line="240" w:lineRule="auto" w:before="10"/>
        <w:rPr>
          <w:rFonts w:ascii="宋体" w:hAnsi="宋体" w:cs="宋体" w:eastAsia="宋体" w:hint="default"/>
          <w:sz w:val="18"/>
          <w:szCs w:val="18"/>
        </w:rPr>
      </w:pPr>
    </w:p>
    <w:p>
      <w:pPr>
        <w:pStyle w:val="BodyText"/>
        <w:spacing w:line="312" w:lineRule="exact"/>
        <w:ind w:right="1136"/>
        <w:jc w:val="both"/>
      </w:pPr>
      <w:r>
        <w:rPr/>
        <w:t>在合并财务报表中，合并成本为购买日支付的对价与购买日之前已经持有的被购买方的股权</w:t>
      </w:r>
      <w:r>
        <w:rPr>
          <w:spacing w:val="-93"/>
        </w:rPr>
        <w:t> </w:t>
      </w:r>
      <w:r>
        <w:rPr>
          <w:spacing w:val="-93"/>
        </w:rPr>
      </w:r>
      <w:r>
        <w:rPr/>
        <w:t>在购买日的公允价值之和。对于购买日之前已经持有的被购买方的股权，按照该股权在购买</w:t>
      </w:r>
      <w:r>
        <w:rPr>
          <w:spacing w:val="-93"/>
        </w:rPr>
        <w:t> </w:t>
      </w:r>
      <w:r>
        <w:rPr>
          <w:spacing w:val="-93"/>
        </w:rPr>
      </w:r>
      <w:r>
        <w:rPr/>
        <w:t>日的公允价值进行重新计量，公允价值与其账面价值之间的差额计入当期收益；购买日之前</w:t>
      </w:r>
      <w:r>
        <w:rPr>
          <w:spacing w:val="-93"/>
        </w:rPr>
        <w:t> </w:t>
      </w:r>
      <w:r>
        <w:rPr>
          <w:spacing w:val="-93"/>
        </w:rPr>
      </w:r>
      <w:r>
        <w:rPr/>
        <w:t>已经持有的被购买方的股权涉及其他综合收益、其他所有者权益变动转为购买日当期收益，</w:t>
      </w:r>
      <w:r>
        <w:rPr>
          <w:spacing w:val="-93"/>
        </w:rPr>
        <w:t> </w:t>
      </w:r>
      <w:r>
        <w:rPr>
          <w:spacing w:val="-93"/>
        </w:rPr>
      </w:r>
      <w:r>
        <w:rPr/>
        <w:t>由于被投资方重新计量设定收益计划净负债或净资产变动而产生的其他综合收益除外。</w:t>
      </w:r>
    </w:p>
    <w:p>
      <w:pPr>
        <w:pStyle w:val="BodyText"/>
        <w:spacing w:line="240" w:lineRule="auto" w:before="185"/>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17"/>
          <w:szCs w:val="17"/>
        </w:rPr>
      </w:pPr>
    </w:p>
    <w:p>
      <w:pPr>
        <w:pStyle w:val="BodyText"/>
        <w:spacing w:line="312" w:lineRule="exact"/>
        <w:ind w:right="1134"/>
        <w:jc w:val="both"/>
      </w:pPr>
      <w:r>
        <w:rPr/>
        <w:t>为进行企业合并发生的审计、法律服务、评估咨询等中介费用以及其他相关管理费用，于发</w:t>
      </w:r>
      <w:r>
        <w:rPr>
          <w:spacing w:val="-91"/>
        </w:rPr>
        <w:t> </w:t>
      </w:r>
      <w:r>
        <w:rPr>
          <w:spacing w:val="-91"/>
        </w:rPr>
      </w:r>
      <w:r>
        <w:rPr/>
        <w:t>生时计入当期损益。作为合并对价发行的权益性证券或债务性证券的交易费用，计入权益性</w:t>
      </w:r>
      <w:r>
        <w:rPr>
          <w:spacing w:val="-93"/>
        </w:rPr>
        <w:t> </w:t>
      </w:r>
      <w:r>
        <w:rPr>
          <w:spacing w:val="-93"/>
        </w:rPr>
      </w:r>
      <w:r>
        <w:rPr/>
        <w:t>证券或债务性证券的初始确认金额。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0" w:firstLine="0"/>
        <w:jc w:val="both"/>
        <w:rPr>
          <w:rFonts w:ascii="宋体" w:hAnsi="宋体" w:cs="宋体" w:eastAsia="宋体" w:hint="default"/>
          <w:sz w:val="21"/>
          <w:szCs w:val="21"/>
        </w:rPr>
      </w:pPr>
      <w:bookmarkStart w:name="6、合并财务报表的编制方法" w:id="178"/>
      <w:bookmarkEnd w:id="17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pStyle w:val="BodyText"/>
        <w:spacing w:line="237" w:lineRule="auto" w:before="198"/>
        <w:ind w:right="0"/>
        <w:jc w:val="left"/>
      </w:pPr>
      <w:r>
        <w:rPr/>
        <w:t>合并财务报表的合并范围以控制为基础予以确定。控制，是指本公司拥有对被投资单位的权</w:t>
      </w:r>
      <w:r>
        <w:rPr>
          <w:spacing w:val="-93"/>
        </w:rPr>
        <w:t> </w:t>
      </w:r>
      <w:r>
        <w:rPr>
          <w:spacing w:val="-93"/>
        </w:rPr>
      </w:r>
      <w:r>
        <w:rPr/>
        <w:t>力，通过参与被投资单位的相关活动而享有可变回报，并且有能力运用对被投资单位的权力</w:t>
      </w:r>
      <w:r>
        <w:rPr>
          <w:spacing w:val="-93"/>
        </w:rPr>
        <w:t> </w:t>
      </w:r>
      <w:r>
        <w:rPr>
          <w:spacing w:val="-93"/>
        </w:rPr>
      </w:r>
      <w:r>
        <w:rPr>
          <w:spacing w:val="-3"/>
        </w:rPr>
        <w:t>影响其回报金额。子公司，是指被本公司控制的主体（含企业、被投资单位中可分割的部分、</w:t>
      </w:r>
      <w:r>
        <w:rPr>
          <w:spacing w:val="-82"/>
        </w:rPr>
        <w:t> </w:t>
      </w:r>
      <w:r>
        <w:rPr>
          <w:spacing w:val="-82"/>
        </w:rPr>
      </w:r>
      <w:r>
        <w:rPr/>
        <w:t>结构化主体等）。</w:t>
      </w:r>
    </w:p>
    <w:p>
      <w:pPr>
        <w:pStyle w:val="BodyText"/>
        <w:spacing w:line="240" w:lineRule="auto" w:before="214"/>
        <w:ind w:right="0"/>
        <w:jc w:val="both"/>
      </w:pPr>
      <w:r>
        <w:rPr/>
        <w:t>（</w:t>
      </w:r>
      <w:r>
        <w:rPr>
          <w:rFonts w:ascii="Times New Roman" w:hAnsi="Times New Roman" w:cs="Times New Roman" w:eastAsia="Times New Roman" w:hint="default"/>
        </w:rPr>
        <w:t>2</w:t>
      </w:r>
      <w:r>
        <w:rPr/>
        <w:t>）合并财务报表的编制方法</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合并财务报表以本公司和子公司的财务报表为基础，根据其他有关资料，由本公司编制。在</w:t>
      </w:r>
      <w:r>
        <w:rPr>
          <w:spacing w:val="-93"/>
        </w:rPr>
        <w:t> </w:t>
      </w:r>
      <w:r>
        <w:rPr>
          <w:spacing w:val="-93"/>
        </w:rPr>
      </w:r>
      <w:r>
        <w:rPr/>
        <w:t>编制合并财务报表时，本公司和子公司的会计政策和会计期间要求保持一致，公司间的重大</w:t>
      </w:r>
      <w:r>
        <w:rPr>
          <w:spacing w:val="-93"/>
        </w:rPr>
        <w:t> </w:t>
      </w:r>
      <w:r>
        <w:rPr>
          <w:spacing w:val="-93"/>
        </w:rPr>
      </w:r>
      <w:r>
        <w:rPr/>
        <w:t>交易和往来余额予以抵销。</w:t>
      </w:r>
    </w:p>
    <w:p>
      <w:pPr>
        <w:spacing w:line="240" w:lineRule="auto" w:before="7"/>
        <w:rPr>
          <w:rFonts w:ascii="宋体" w:hAnsi="宋体" w:cs="宋体" w:eastAsia="宋体" w:hint="default"/>
          <w:sz w:val="16"/>
          <w:szCs w:val="16"/>
        </w:rPr>
      </w:pPr>
    </w:p>
    <w:p>
      <w:pPr>
        <w:pStyle w:val="BodyText"/>
        <w:spacing w:line="312" w:lineRule="exact"/>
        <w:ind w:right="993"/>
        <w:jc w:val="left"/>
      </w:pPr>
      <w:r>
        <w:rPr/>
        <w:t>在报告期内因同一控制下企业合并增加的子公司以及业务，视同该子公司以及业务自同受最</w:t>
      </w:r>
      <w:r>
        <w:rPr>
          <w:spacing w:val="-93"/>
        </w:rPr>
        <w:t> </w:t>
      </w:r>
      <w:r>
        <w:rPr>
          <w:spacing w:val="-93"/>
        </w:rPr>
      </w:r>
      <w:r>
        <w:rPr>
          <w:spacing w:val="-2"/>
        </w:rPr>
        <w:t>终控制方控制之日起纳入本公司的合并范围，将其自同受最终控制方控制之日起的经营成果、</w:t>
      </w:r>
      <w:r>
        <w:rPr/>
        <w:t> 现金流量分别纳入合并利润表、合并现金流量表中。</w:t>
      </w:r>
    </w:p>
    <w:p>
      <w:pPr>
        <w:pStyle w:val="BodyText"/>
        <w:spacing w:line="240" w:lineRule="auto" w:before="185"/>
        <w:ind w:right="1136"/>
        <w:jc w:val="both"/>
      </w:pPr>
      <w:r>
        <w:rPr/>
        <w:t>在报告期内因非同一控制下企业合并增加的子公司以及业务，将该子公司以及业务自购买日</w:t>
      </w:r>
      <w:r>
        <w:rPr>
          <w:spacing w:val="-93"/>
        </w:rPr>
        <w:t> </w:t>
      </w:r>
      <w:r>
        <w:rPr>
          <w:spacing w:val="-93"/>
        </w:rPr>
      </w:r>
      <w:r>
        <w:rPr/>
        <w:t>至报告期末的收入、费用、利润纳入合并利润表，将其现金流量纳入合并现金流量表。</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子公司的股东权益中不属于本公司所拥有的部分，作为少数股东权益在合并资产负债表中股</w:t>
      </w:r>
      <w:r>
        <w:rPr>
          <w:spacing w:val="-93"/>
        </w:rPr>
        <w:t> </w:t>
      </w:r>
      <w:r>
        <w:rPr>
          <w:spacing w:val="-93"/>
        </w:rPr>
      </w:r>
      <w:r>
        <w:rPr/>
        <w:t>东权益项下单独列示；子公司当期净损益中属于少数股东权益的份额，在合并利润表中净利</w:t>
      </w:r>
      <w:r>
        <w:rPr>
          <w:spacing w:val="-93"/>
        </w:rPr>
        <w:t> </w:t>
      </w:r>
      <w:r>
        <w:rPr>
          <w:spacing w:val="-93"/>
        </w:rPr>
      </w:r>
      <w:r>
        <w:rPr/>
        <w:t>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w:t>
      </w:r>
      <w:r>
        <w:rPr>
          <w:spacing w:val="-73"/>
        </w:rPr>
        <w:t> </w:t>
      </w:r>
      <w:r>
        <w:rPr>
          <w:spacing w:val="-73"/>
        </w:rPr>
      </w:r>
      <w:r>
        <w:rPr/>
        <w:t>公司期初所有者权益中所享有的份额，其余额仍冲减少数股东权益。</w:t>
      </w:r>
    </w:p>
    <w:p>
      <w:pPr>
        <w:pStyle w:val="BodyText"/>
        <w:spacing w:line="240" w:lineRule="auto" w:before="186"/>
        <w:ind w:right="0"/>
        <w:jc w:val="both"/>
      </w:pPr>
      <w:r>
        <w:rPr/>
        <w:t>（</w:t>
      </w:r>
      <w:r>
        <w:rPr>
          <w:rFonts w:ascii="Times New Roman" w:hAnsi="Times New Roman" w:cs="Times New Roman" w:eastAsia="Times New Roman" w:hint="default"/>
        </w:rPr>
        <w:t>3</w:t>
      </w:r>
      <w:r>
        <w:rPr/>
        <w:t>）购买子公司少数股东股权</w:t>
      </w:r>
    </w:p>
    <w:p>
      <w:pPr>
        <w:pStyle w:val="BodyText"/>
        <w:spacing w:line="237" w:lineRule="auto" w:before="198"/>
        <w:ind w:right="1136"/>
        <w:jc w:val="both"/>
      </w:pPr>
      <w:r>
        <w:rPr/>
        <w:t>因购买少数股权新取得的长期股权投资成本与按照新增持股比例计算应享有子公司自购买日</w:t>
      </w:r>
      <w:r>
        <w:rPr>
          <w:spacing w:val="-93"/>
        </w:rPr>
        <w:t> </w:t>
      </w:r>
      <w:r>
        <w:rPr>
          <w:spacing w:val="-93"/>
        </w:rPr>
      </w:r>
      <w:r>
        <w:rPr/>
        <w:t>或合并日开始持续计算的净资产份额之间的差额，以及在不丧失控制权的情况下因部分处置</w:t>
      </w:r>
      <w:r>
        <w:rPr>
          <w:spacing w:val="-93"/>
        </w:rPr>
        <w:t> </w:t>
      </w:r>
      <w:r>
        <w:rPr>
          <w:spacing w:val="-93"/>
        </w:rPr>
      </w:r>
      <w:r>
        <w:rPr/>
        <w:t>对子公司的股权投资而取得的处置价款与处置长期股权投资相对应享有子公司自购买日或合</w:t>
      </w:r>
      <w:r>
        <w:rPr>
          <w:spacing w:val="-93"/>
        </w:rPr>
        <w:t> </w:t>
      </w:r>
      <w:r>
        <w:rPr>
          <w:spacing w:val="-93"/>
        </w:rPr>
      </w:r>
      <w:r>
        <w:rPr/>
        <w:t>并日开始持续计算的净资产份额之间的差额，均调整合并资产负债表中的资本公积，资本公</w:t>
      </w:r>
      <w:r>
        <w:rPr>
          <w:spacing w:val="-93"/>
        </w:rPr>
        <w:t> </w:t>
      </w:r>
      <w:r>
        <w:rPr>
          <w:spacing w:val="-93"/>
        </w:rPr>
      </w:r>
      <w:r>
        <w:rPr/>
        <w:t>积不足冲减的，调整留存收益。</w:t>
      </w:r>
    </w:p>
    <w:p>
      <w:pPr>
        <w:pStyle w:val="BodyText"/>
        <w:spacing w:line="240" w:lineRule="auto" w:before="214"/>
        <w:ind w:right="0"/>
        <w:jc w:val="both"/>
      </w:pPr>
      <w:r>
        <w:rPr/>
        <w:t>（</w:t>
      </w:r>
      <w:r>
        <w:rPr>
          <w:rFonts w:ascii="Times New Roman" w:hAnsi="Times New Roman" w:cs="Times New Roman" w:eastAsia="Times New Roman" w:hint="default"/>
        </w:rPr>
        <w:t>4</w:t>
      </w:r>
      <w:r>
        <w:rPr/>
        <w:t>）丧失子公司控制权的处理</w:t>
      </w:r>
    </w:p>
    <w:p>
      <w:pPr>
        <w:pStyle w:val="BodyText"/>
        <w:spacing w:line="237" w:lineRule="auto" w:before="198"/>
        <w:ind w:right="1133"/>
        <w:jc w:val="both"/>
      </w:pPr>
      <w:r>
        <w:rPr/>
        <w:t>因处置部分股权投资或其他原因丧失了对原有子公司控制权的，剩余股权按照其在丧失控制</w:t>
      </w:r>
      <w:r>
        <w:rPr>
          <w:spacing w:val="-93"/>
        </w:rPr>
        <w:t> </w:t>
      </w:r>
      <w:r>
        <w:rPr>
          <w:spacing w:val="-93"/>
        </w:rPr>
      </w:r>
      <w:r>
        <w:rPr/>
        <w:t>权日的公允价值进行重新计量；处置股权取得的对价与剩余股权公允价值之和，减去按原持</w:t>
      </w:r>
      <w:r>
        <w:rPr>
          <w:spacing w:val="-90"/>
        </w:rPr>
        <w:t> </w:t>
      </w:r>
      <w:r>
        <w:rPr>
          <w:spacing w:val="-90"/>
        </w:rPr>
      </w:r>
      <w:r>
        <w:rPr/>
        <w:t>股比例计算应享有原有子公司自购买日开始持续计算的净资产账面价值的份额与商誉之和，</w:t>
      </w:r>
      <w:r>
        <w:rPr>
          <w:spacing w:val="-93"/>
        </w:rPr>
        <w:t> </w:t>
      </w:r>
      <w:r>
        <w:rPr>
          <w:spacing w:val="-93"/>
        </w:rPr>
      </w:r>
      <w:r>
        <w:rPr/>
        <w:t>形成的差额计入丧失控制权当期的投资收益。</w:t>
      </w:r>
    </w:p>
    <w:p>
      <w:pPr>
        <w:spacing w:line="240" w:lineRule="auto" w:before="9"/>
        <w:rPr>
          <w:rFonts w:ascii="宋体" w:hAnsi="宋体" w:cs="宋体" w:eastAsia="宋体" w:hint="default"/>
          <w:sz w:val="18"/>
          <w:szCs w:val="18"/>
        </w:rPr>
      </w:pPr>
    </w:p>
    <w:p>
      <w:pPr>
        <w:pStyle w:val="BodyText"/>
        <w:spacing w:line="312" w:lineRule="exact"/>
        <w:ind w:right="1136"/>
        <w:jc w:val="both"/>
      </w:pPr>
      <w:r>
        <w:rPr/>
        <w:t>与原有子公司的股权投资相关的其他综合收益等，在丧失控制权时转入当期损益，由于被投</w:t>
      </w:r>
      <w:r>
        <w:rPr>
          <w:spacing w:val="-93"/>
        </w:rPr>
        <w:t> </w:t>
      </w:r>
      <w:r>
        <w:rPr>
          <w:spacing w:val="-93"/>
        </w:rPr>
      </w:r>
      <w:r>
        <w:rPr/>
        <w:t>资方重新计量设定收益计划净负债或净资产变动而产生的其他综合收益除外。</w:t>
      </w:r>
    </w:p>
    <w:p>
      <w:pPr>
        <w:pStyle w:val="BodyText"/>
        <w:spacing w:line="240" w:lineRule="auto" w:before="186"/>
        <w:ind w:right="0"/>
        <w:jc w:val="both"/>
      </w:pPr>
      <w:r>
        <w:rPr/>
        <w:t>（</w:t>
      </w:r>
      <w:r>
        <w:rPr>
          <w:rFonts w:ascii="Times New Roman" w:hAnsi="Times New Roman" w:cs="Times New Roman" w:eastAsia="Times New Roman" w:hint="default"/>
        </w:rPr>
        <w:t>5</w:t>
      </w:r>
      <w:r>
        <w:rPr/>
        <w:t>）分步处置股权直至丧失控制权的处理</w:t>
      </w:r>
    </w:p>
    <w:p>
      <w:pPr>
        <w:spacing w:line="240" w:lineRule="auto" w:before="4"/>
        <w:rPr>
          <w:rFonts w:ascii="宋体" w:hAnsi="宋体" w:cs="宋体" w:eastAsia="宋体" w:hint="default"/>
          <w:sz w:val="17"/>
          <w:szCs w:val="17"/>
        </w:rPr>
      </w:pPr>
    </w:p>
    <w:p>
      <w:pPr>
        <w:pStyle w:val="BodyText"/>
        <w:spacing w:line="312" w:lineRule="exact"/>
        <w:ind w:right="1136"/>
        <w:jc w:val="both"/>
      </w:pPr>
      <w:r>
        <w:rPr/>
        <w:t>通过多次交易分步处置股权直至丧失控制权的各项交易的条款、条件以及经济影响符合以下</w:t>
      </w:r>
      <w:r>
        <w:rPr>
          <w:spacing w:val="-93"/>
        </w:rPr>
        <w:t> </w:t>
      </w:r>
      <w:r>
        <w:rPr>
          <w:spacing w:val="-93"/>
        </w:rPr>
      </w:r>
      <w:r>
        <w:rPr/>
        <w:t>一种或多种情况的，本公司将多次交易事项作为一揽子交易进行会计处理：</w:t>
      </w:r>
    </w:p>
    <w:p>
      <w:pPr>
        <w:pStyle w:val="BodyText"/>
        <w:spacing w:line="240" w:lineRule="auto" w:before="185"/>
        <w:ind w:right="0"/>
        <w:jc w:val="both"/>
      </w:pPr>
      <w:r>
        <w:rPr/>
        <w:t>①这些交易是同时或者在考虑了彼此影响的情况下订立的；</w:t>
      </w:r>
    </w:p>
    <w:p>
      <w:pPr>
        <w:pStyle w:val="BodyText"/>
        <w:spacing w:line="240" w:lineRule="auto" w:before="214"/>
        <w:ind w:right="0"/>
        <w:jc w:val="both"/>
      </w:pPr>
      <w:r>
        <w:rPr/>
        <w:t>②这些交易整体才能达成一项完整的商业结果；</w:t>
      </w:r>
    </w:p>
    <w:p>
      <w:pPr>
        <w:pStyle w:val="BodyText"/>
        <w:spacing w:line="240" w:lineRule="auto" w:before="214"/>
        <w:ind w:right="0"/>
        <w:jc w:val="both"/>
      </w:pPr>
      <w:r>
        <w:rPr/>
        <w:t>③一项交易的发生取决于其他至少一项交易的发生；</w:t>
      </w:r>
    </w:p>
    <w:p>
      <w:pPr>
        <w:pStyle w:val="BodyText"/>
        <w:spacing w:line="240" w:lineRule="auto" w:before="214"/>
        <w:ind w:right="0"/>
        <w:jc w:val="both"/>
      </w:pPr>
      <w:r>
        <w:rPr/>
        <w:t>④一项交易单独看是不经济的，但是和其他交易一并考虑时是经济的。</w:t>
      </w:r>
    </w:p>
    <w:p>
      <w:pPr>
        <w:spacing w:line="240" w:lineRule="auto" w:before="9"/>
        <w:rPr>
          <w:rFonts w:ascii="宋体" w:hAnsi="宋体" w:cs="宋体" w:eastAsia="宋体" w:hint="default"/>
          <w:sz w:val="18"/>
          <w:szCs w:val="18"/>
        </w:rPr>
      </w:pPr>
    </w:p>
    <w:p>
      <w:pPr>
        <w:pStyle w:val="BodyText"/>
        <w:spacing w:line="312" w:lineRule="exact"/>
        <w:ind w:right="1132"/>
        <w:jc w:val="both"/>
      </w:pPr>
      <w:r>
        <w:rPr/>
        <w:t>在个别财务报表中，分步处置股权直至丧失控制权的各项交易不属于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的，结转</w:t>
      </w:r>
      <w:r>
        <w:rPr>
          <w:spacing w:val="-65"/>
        </w:rPr>
        <w:t> </w:t>
      </w:r>
      <w:r>
        <w:rPr>
          <w:spacing w:val="-65"/>
        </w:rPr>
      </w:r>
      <w:r>
        <w:rPr/>
        <w:t>每一次处置股权相对应的长期股权投资的账面价值，所得价款与处置长期股权投资账面价值</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29"/>
        <w:jc w:val="both"/>
      </w:pPr>
      <w:r>
        <w:rPr/>
        <w:t>之间的差额计入当期投资收益；属于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的，在丧失控制权之前每一次处置价款与</w:t>
      </w:r>
      <w:r>
        <w:rPr>
          <w:spacing w:val="-64"/>
        </w:rPr>
        <w:t> </w:t>
      </w:r>
      <w:r>
        <w:rPr>
          <w:spacing w:val="-64"/>
        </w:rPr>
      </w:r>
      <w:r>
        <w:rPr/>
        <w:t>所处置的股权对应的长期股权投资账面价值之间的差额，先确认为其他综合收益，到丧失控</w:t>
      </w:r>
      <w:r>
        <w:rPr>
          <w:spacing w:val="-90"/>
        </w:rPr>
        <w:t> </w:t>
      </w:r>
      <w:r>
        <w:rPr>
          <w:spacing w:val="-90"/>
        </w:rPr>
      </w:r>
      <w:r>
        <w:rPr/>
        <w:t>制权时再一并转入丧失控制权的当期损益。</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在合并财务报表中，分步处置股权直至丧失控制权时，剩余股权的计量以及有关处置股权损</w:t>
      </w:r>
      <w:r>
        <w:rPr>
          <w:spacing w:val="-93"/>
        </w:rPr>
        <w:t> </w:t>
      </w:r>
      <w:r>
        <w:rPr>
          <w:spacing w:val="-93"/>
        </w:rPr>
      </w:r>
      <w:r>
        <w:rPr/>
        <w:t>益的核算比照前述</w:t>
      </w:r>
      <w:r>
        <w:rPr>
          <w:rFonts w:ascii="Times New Roman" w:hAnsi="Times New Roman" w:cs="Times New Roman" w:eastAsia="Times New Roman" w:hint="default"/>
        </w:rPr>
        <w:t>“</w:t>
      </w:r>
      <w:r>
        <w:rPr/>
        <w:t>丧失子公司控制权的处理</w:t>
      </w:r>
      <w:r>
        <w:rPr>
          <w:rFonts w:ascii="Times New Roman" w:hAnsi="Times New Roman" w:cs="Times New Roman" w:eastAsia="Times New Roman" w:hint="default"/>
        </w:rPr>
        <w:t>”</w:t>
      </w:r>
      <w:r>
        <w:rPr/>
        <w:t>。在丧失控制权之前每一次处置价款与处置投</w:t>
      </w:r>
      <w:r>
        <w:rPr>
          <w:spacing w:val="-73"/>
        </w:rPr>
        <w:t> </w:t>
      </w:r>
      <w:r>
        <w:rPr>
          <w:spacing w:val="-73"/>
        </w:rPr>
      </w:r>
      <w:r>
        <w:rPr/>
        <w:t>资对应的享有该子公司自购买日开始持续计算的净资产账面价值份额之间的差额，分别进行</w:t>
      </w:r>
      <w:r>
        <w:rPr>
          <w:spacing w:val="-93"/>
        </w:rPr>
        <w:t> </w:t>
      </w:r>
      <w:r>
        <w:rPr>
          <w:spacing w:val="-93"/>
        </w:rPr>
      </w:r>
      <w:r>
        <w:rPr/>
        <w:t>如下处理：</w:t>
      </w:r>
    </w:p>
    <w:p>
      <w:pPr>
        <w:spacing w:line="240" w:lineRule="auto" w:before="7"/>
        <w:rPr>
          <w:rFonts w:ascii="宋体" w:hAnsi="宋体" w:cs="宋体" w:eastAsia="宋体" w:hint="default"/>
          <w:sz w:val="16"/>
          <w:szCs w:val="16"/>
        </w:rPr>
      </w:pPr>
    </w:p>
    <w:p>
      <w:pPr>
        <w:pStyle w:val="BodyText"/>
        <w:spacing w:line="312" w:lineRule="exact"/>
        <w:ind w:right="1141"/>
        <w:jc w:val="both"/>
      </w:pPr>
      <w:r>
        <w:rPr/>
        <w:t>①属于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的，确认为其他综合收益。在丧失控制权时一并转入丧失控制权当期的</w:t>
      </w:r>
      <w:r>
        <w:rPr>
          <w:spacing w:val="-74"/>
        </w:rPr>
        <w:t> </w:t>
      </w:r>
      <w:r>
        <w:rPr>
          <w:spacing w:val="-74"/>
        </w:rPr>
      </w:r>
      <w:r>
        <w:rPr/>
        <w:t>损益。</w:t>
      </w:r>
    </w:p>
    <w:p>
      <w:pPr>
        <w:spacing w:line="240" w:lineRule="auto" w:before="7"/>
        <w:rPr>
          <w:rFonts w:ascii="宋体" w:hAnsi="宋体" w:cs="宋体" w:eastAsia="宋体" w:hint="default"/>
          <w:sz w:val="16"/>
          <w:szCs w:val="16"/>
        </w:rPr>
      </w:pPr>
    </w:p>
    <w:p>
      <w:pPr>
        <w:pStyle w:val="BodyText"/>
        <w:spacing w:line="312" w:lineRule="exact"/>
        <w:ind w:right="1141"/>
        <w:jc w:val="both"/>
      </w:pPr>
      <w:r>
        <w:rPr/>
        <w:t>②不属于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的，作为权益性交易计入资本公积。在丧失控制权时不得转入丧失控</w:t>
      </w:r>
      <w:r>
        <w:rPr>
          <w:spacing w:val="-74"/>
        </w:rPr>
        <w:t> </w:t>
      </w:r>
      <w:r>
        <w:rPr>
          <w:spacing w:val="-74"/>
        </w:rPr>
      </w:r>
      <w:r>
        <w:rPr/>
        <w:t>制权当期的损益。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7、合营安排分类及共同经营会计处理方法" w:id="179"/>
      <w:bookmarkEnd w:id="17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6"/>
        <w:jc w:val="both"/>
      </w:pPr>
      <w:r>
        <w:rPr/>
        <w:t>合营安排，是指一项由两个或两个以上的参与方共同控制的安排。本公司合营安排分为共同</w:t>
      </w:r>
      <w:r>
        <w:rPr>
          <w:spacing w:val="-93"/>
        </w:rPr>
        <w:t> </w:t>
      </w:r>
      <w:r>
        <w:rPr>
          <w:spacing w:val="-93"/>
        </w:rPr>
      </w:r>
      <w:r>
        <w:rPr/>
        <w:t>经营和合营企业。</w:t>
      </w:r>
    </w:p>
    <w:p>
      <w:pPr>
        <w:pStyle w:val="BodyText"/>
        <w:spacing w:line="381" w:lineRule="auto" w:before="185"/>
        <w:ind w:right="1136"/>
        <w:jc w:val="both"/>
      </w:pPr>
      <w:r>
        <w:rPr/>
        <w:t>（</w:t>
      </w:r>
      <w:r>
        <w:rPr>
          <w:rFonts w:ascii="Times New Roman" w:hAnsi="Times New Roman" w:cs="Times New Roman" w:eastAsia="Times New Roman" w:hint="default"/>
        </w:rPr>
        <w:t>1</w:t>
      </w:r>
      <w:r>
        <w:rPr/>
        <w:t>）共同经营 共同经营是指本公司享有该安排相关资产且承担该安排相关负债的合营安排。</w:t>
      </w:r>
    </w:p>
    <w:p>
      <w:pPr>
        <w:pStyle w:val="BodyText"/>
        <w:spacing w:line="312" w:lineRule="exact" w:before="103"/>
        <w:ind w:right="1136"/>
        <w:jc w:val="both"/>
      </w:pPr>
      <w:r>
        <w:rPr/>
        <w:t>本公司确认与共同经营中利益份额相关的下列项目，并按照相关企业会计准则的规定进行会</w:t>
      </w:r>
      <w:r>
        <w:rPr>
          <w:spacing w:val="-93"/>
        </w:rPr>
        <w:t> </w:t>
      </w:r>
      <w:r>
        <w:rPr>
          <w:spacing w:val="-93"/>
        </w:rPr>
      </w:r>
      <w:r>
        <w:rPr/>
        <w:t>计处理：</w:t>
      </w:r>
    </w:p>
    <w:p>
      <w:pPr>
        <w:pStyle w:val="BodyText"/>
        <w:spacing w:line="381" w:lineRule="auto" w:before="185"/>
        <w:ind w:right="3404"/>
        <w:jc w:val="left"/>
      </w:pP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81" w:lineRule="auto" w:before="39"/>
        <w:ind w:right="4031"/>
        <w:jc w:val="left"/>
      </w:pPr>
      <w:r>
        <w:rPr/>
        <w:t>（</w:t>
      </w:r>
      <w:r>
        <w:rPr>
          <w:rFonts w:ascii="Times New Roman" w:hAnsi="Times New Roman" w:cs="Times New Roman" w:eastAsia="Times New Roman" w:hint="default"/>
        </w:rPr>
        <w:t>2</w:t>
      </w:r>
      <w:r>
        <w:rPr/>
        <w:t>）合营企业 合营企业是指本公司仅对该安排的净资产享有权利的合营安排。</w:t>
      </w:r>
    </w:p>
    <w:p>
      <w:pPr>
        <w:pStyle w:val="BodyText"/>
        <w:spacing w:line="240" w:lineRule="auto" w:before="72"/>
        <w:ind w:right="0"/>
        <w:jc w:val="both"/>
      </w:pPr>
      <w:r>
        <w:rPr/>
        <w:t>本公司按照长期股权投资有关权益法核算的规定对合营企业的投资进行会计处理。</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8、现金及现金等价物的确定标准" w:id="180"/>
      <w:bookmarkEnd w:id="1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jc w:val="both"/>
      </w:pPr>
      <w:r>
        <w:rPr/>
        <w:t>现金是指库存现金以及可以随时用于支付的存款。现金等价物，是指本公司持有的期限短、</w:t>
      </w:r>
      <w:r>
        <w:rPr>
          <w:spacing w:val="-93"/>
        </w:rPr>
        <w:t> </w:t>
      </w:r>
      <w:r>
        <w:rPr>
          <w:spacing w:val="-93"/>
        </w:rPr>
      </w:r>
      <w:r>
        <w:rPr/>
        <w:t>流动性强、易于转换为已知金额现金、价值变动风险很小的投资。</w:t>
      </w:r>
    </w:p>
    <w:p>
      <w:pPr>
        <w:spacing w:after="0" w:line="312" w:lineRule="exact"/>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9、外币业务和外币报表折算" w:id="181"/>
      <w:bookmarkEnd w:id="18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）外币业务</w:t>
      </w:r>
    </w:p>
    <w:p>
      <w:pPr>
        <w:spacing w:line="240" w:lineRule="auto" w:before="5"/>
        <w:rPr>
          <w:rFonts w:ascii="宋体" w:hAnsi="宋体" w:cs="宋体" w:eastAsia="宋体" w:hint="default"/>
          <w:sz w:val="17"/>
          <w:szCs w:val="17"/>
        </w:rPr>
      </w:pPr>
    </w:p>
    <w:p>
      <w:pPr>
        <w:pStyle w:val="BodyText"/>
        <w:spacing w:line="312" w:lineRule="exact"/>
        <w:ind w:right="0"/>
        <w:jc w:val="left"/>
      </w:pPr>
      <w:r>
        <w:rPr/>
        <w:t>本公司发生外币业务，采用按照系统合理的方法确定的、与交易发生日即期汇率近似的汇率</w:t>
      </w:r>
      <w:r>
        <w:rPr>
          <w:spacing w:val="-93"/>
        </w:rPr>
        <w:t> </w:t>
      </w:r>
      <w:r>
        <w:rPr>
          <w:spacing w:val="-93"/>
        </w:rPr>
      </w:r>
      <w:r>
        <w:rPr/>
        <w:t>折算为记账本位币金额。</w:t>
      </w:r>
    </w:p>
    <w:p>
      <w:pPr>
        <w:pStyle w:val="BodyText"/>
        <w:spacing w:line="237" w:lineRule="auto" w:before="188"/>
        <w:ind w:right="1136"/>
        <w:jc w:val="both"/>
      </w:pPr>
      <w:r>
        <w:rPr/>
        <w:t>资产负债表日，对外币货币性项目，采用资产负债表日即期汇率折算。因资产负债表日即期</w:t>
      </w:r>
      <w:r>
        <w:rPr>
          <w:spacing w:val="-93"/>
        </w:rPr>
        <w:t> </w:t>
      </w:r>
      <w:r>
        <w:rPr>
          <w:spacing w:val="-93"/>
        </w:rPr>
      </w:r>
      <w:r>
        <w:rPr/>
        <w:t>汇率与初始确认时或者前一资产负债表日即期汇率不同而产生的汇兑差额，计入当期损益；</w:t>
      </w:r>
      <w:r>
        <w:rPr>
          <w:spacing w:val="-93"/>
        </w:rPr>
        <w:t> </w:t>
      </w:r>
      <w:r>
        <w:rPr>
          <w:spacing w:val="-93"/>
        </w:rPr>
      </w:r>
      <w:r>
        <w:rPr/>
        <w:t>对以历史成本计量的外币非货币性项目，仍采用交易发生日的即期汇率折算；对以公允价值</w:t>
      </w:r>
      <w:r>
        <w:rPr>
          <w:spacing w:val="-93"/>
        </w:rPr>
        <w:t> </w:t>
      </w:r>
      <w:r>
        <w:rPr>
          <w:spacing w:val="-93"/>
        </w:rPr>
      </w:r>
      <w:r>
        <w:rPr/>
        <w:t>计量的外币非货币性项目，采用公允价值确定日的即期汇率折算，折算后的记账本位币金额</w:t>
      </w:r>
      <w:r>
        <w:rPr>
          <w:spacing w:val="-93"/>
        </w:rPr>
        <w:t> </w:t>
      </w:r>
      <w:r>
        <w:rPr>
          <w:spacing w:val="-93"/>
        </w:rPr>
      </w:r>
      <w:r>
        <w:rPr/>
        <w:t>与原记账本位币金额的差额，计入当期损益。</w:t>
      </w:r>
    </w:p>
    <w:p>
      <w:pPr>
        <w:pStyle w:val="BodyText"/>
        <w:spacing w:line="240" w:lineRule="auto" w:before="214"/>
        <w:ind w:right="0"/>
        <w:jc w:val="both"/>
      </w:pPr>
      <w:r>
        <w:rPr/>
        <w:t>（</w:t>
      </w:r>
      <w:r>
        <w:rPr>
          <w:rFonts w:ascii="Times New Roman" w:hAnsi="Times New Roman" w:cs="Times New Roman" w:eastAsia="Times New Roman" w:hint="default"/>
        </w:rPr>
        <w:t>2</w:t>
      </w:r>
      <w:r>
        <w:rPr/>
        <w:t>）外币财务报表的折算</w:t>
      </w:r>
    </w:p>
    <w:p>
      <w:pPr>
        <w:spacing w:line="240" w:lineRule="auto" w:before="5"/>
        <w:rPr>
          <w:rFonts w:ascii="宋体" w:hAnsi="宋体" w:cs="宋体" w:eastAsia="宋体" w:hint="default"/>
          <w:sz w:val="17"/>
          <w:szCs w:val="17"/>
        </w:rPr>
      </w:pPr>
    </w:p>
    <w:p>
      <w:pPr>
        <w:pStyle w:val="BodyText"/>
        <w:spacing w:line="312" w:lineRule="exact"/>
        <w:ind w:right="1133"/>
        <w:jc w:val="both"/>
      </w:pPr>
      <w:r>
        <w:rPr/>
        <w:t>资产负债表日，对境外子公司外币财务报表进行折算时，资产负债表中的资产和负债项目，</w:t>
      </w:r>
      <w:r>
        <w:rPr>
          <w:spacing w:val="-92"/>
        </w:rPr>
        <w:t> </w:t>
      </w:r>
      <w:r>
        <w:rPr>
          <w:spacing w:val="-92"/>
        </w:rPr>
      </w:r>
      <w:r>
        <w:rPr/>
        <w:t>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w:t>
      </w:r>
      <w:r>
        <w:rPr>
          <w:spacing w:val="-66"/>
        </w:rPr>
        <w:t> </w:t>
      </w:r>
      <w:r>
        <w:rPr>
          <w:spacing w:val="-66"/>
        </w:rPr>
      </w:r>
      <w:r>
        <w:rPr/>
        <w:t>的即期汇率折算。</w:t>
      </w:r>
    </w:p>
    <w:p>
      <w:pPr>
        <w:pStyle w:val="BodyText"/>
        <w:spacing w:line="240" w:lineRule="auto" w:before="185"/>
        <w:ind w:right="0"/>
        <w:jc w:val="both"/>
      </w:pPr>
      <w:r>
        <w:rPr/>
        <w:t>利润表中的收入和费用项目，采用交易发生日的当期平均汇率折算。</w:t>
      </w:r>
    </w:p>
    <w:p>
      <w:pPr>
        <w:spacing w:line="240" w:lineRule="auto" w:before="10"/>
        <w:rPr>
          <w:rFonts w:ascii="宋体" w:hAnsi="宋体" w:cs="宋体" w:eastAsia="宋体" w:hint="default"/>
          <w:sz w:val="18"/>
          <w:szCs w:val="18"/>
        </w:rPr>
      </w:pPr>
    </w:p>
    <w:p>
      <w:pPr>
        <w:pStyle w:val="BodyText"/>
        <w:spacing w:line="312" w:lineRule="exact"/>
        <w:ind w:right="0"/>
        <w:jc w:val="left"/>
      </w:pPr>
      <w:r>
        <w:rPr/>
        <w:t>现金流量表所有项目均按照现金流量发生日的当期平均汇率折算。汇率变动对现金的影响额</w:t>
      </w:r>
      <w:r>
        <w:rPr>
          <w:spacing w:val="-93"/>
        </w:rPr>
        <w:t> </w:t>
      </w:r>
      <w:r>
        <w:rPr>
          <w:spacing w:val="-93"/>
        </w:rPr>
      </w:r>
      <w:r>
        <w:rPr/>
        <w:t>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项目反映。</w:t>
      </w:r>
    </w:p>
    <w:p>
      <w:pPr>
        <w:pStyle w:val="BodyText"/>
        <w:spacing w:line="240" w:lineRule="auto" w:before="185"/>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pStyle w:val="BodyText"/>
        <w:spacing w:line="240" w:lineRule="auto" w:before="195"/>
        <w:ind w:right="0"/>
        <w:jc w:val="left"/>
      </w:pPr>
      <w:r>
        <w:rPr/>
        <w:t>处置境外经营并丧失控制权时，将资产负债表中股东权益项目下列示的、与该境外经营相关</w:t>
      </w:r>
      <w:r>
        <w:rPr>
          <w:spacing w:val="-91"/>
        </w:rPr>
        <w:t> </w:t>
      </w:r>
      <w:r>
        <w:rPr>
          <w:spacing w:val="-91"/>
        </w:rPr>
      </w:r>
      <w:r>
        <w:rPr/>
        <w:t>的外币报表折算差额，全部或按处置该境外经营的比例转入处置当期损益。</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0、金融工具" w:id="182"/>
      <w:bookmarkEnd w:id="18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金融工具是指形成一方的金融资产，并形成其他方的金融负债或权益工具的合同。</w:t>
      </w:r>
    </w:p>
    <w:p>
      <w:pPr>
        <w:pStyle w:val="BodyText"/>
        <w:spacing w:line="393" w:lineRule="auto" w:before="214"/>
        <w:ind w:right="3551"/>
        <w:jc w:val="left"/>
      </w:pPr>
      <w:r>
        <w:rPr/>
        <w:t>（</w:t>
      </w:r>
      <w:r>
        <w:rPr>
          <w:rFonts w:ascii="Times New Roman" w:hAnsi="Times New Roman" w:cs="Times New Roman" w:eastAsia="Times New Roman"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60"/>
        <w:ind w:right="0"/>
        <w:jc w:val="both"/>
      </w:pPr>
      <w:r>
        <w:rPr/>
        <w:t>①</w:t>
      </w:r>
      <w:r>
        <w:rPr>
          <w:spacing w:val="-20"/>
        </w:rPr>
        <w:t> </w:t>
      </w:r>
      <w:r>
        <w:rPr/>
        <w:t>收取该金融资产现金流量的合同权利终止；</w:t>
      </w:r>
    </w:p>
    <w:p>
      <w:pPr>
        <w:pStyle w:val="BodyText"/>
        <w:spacing w:line="240" w:lineRule="auto" w:before="214"/>
        <w:ind w:right="0"/>
        <w:jc w:val="both"/>
      </w:pPr>
      <w:r>
        <w:rPr/>
        <w:t>②</w:t>
      </w:r>
      <w:r>
        <w:rPr>
          <w:spacing w:val="-25"/>
        </w:rPr>
        <w:t> </w:t>
      </w:r>
      <w:r>
        <w:rPr/>
        <w:t>该金融资产已转移，且符合下述金融资产转移的终止确认条件。</w:t>
      </w:r>
    </w:p>
    <w:p>
      <w:pPr>
        <w:spacing w:line="240" w:lineRule="auto" w:before="7"/>
        <w:rPr>
          <w:rFonts w:ascii="宋体" w:hAnsi="宋体" w:cs="宋体" w:eastAsia="宋体" w:hint="default"/>
          <w:sz w:val="16"/>
          <w:szCs w:val="16"/>
        </w:rPr>
      </w:pPr>
    </w:p>
    <w:p>
      <w:pPr>
        <w:pStyle w:val="BodyText"/>
        <w:spacing w:line="237" w:lineRule="auto"/>
        <w:ind w:right="1136"/>
        <w:jc w:val="both"/>
      </w:pPr>
      <w:r>
        <w:rPr/>
        <w:t>金融负债的现时义务全部或部分已经解除的，终止确认该金融负债或其一部分。本公司（债</w:t>
      </w:r>
      <w:r>
        <w:rPr>
          <w:spacing w:val="-93"/>
        </w:rPr>
        <w:t> </w:t>
      </w:r>
      <w:r>
        <w:rPr>
          <w:spacing w:val="-93"/>
        </w:rPr>
      </w:r>
      <w:r>
        <w:rPr/>
        <w:t>务人）与债权人之间签订协议，以承担新金融负债方式替换现存金融负债，且新金融负债与</w:t>
      </w:r>
      <w:r>
        <w:rPr>
          <w:spacing w:val="-93"/>
        </w:rPr>
        <w:t> </w:t>
      </w:r>
      <w:r>
        <w:rPr>
          <w:spacing w:val="-93"/>
        </w:rPr>
      </w:r>
      <w:r>
        <w:rPr/>
        <w:t>现存金融负债的合同条款实质上不同的，终止确认现存金融负债，并同时确认新金融负债。</w:t>
      </w:r>
    </w:p>
    <w:p>
      <w:pPr>
        <w:pStyle w:val="BodyText"/>
        <w:spacing w:line="240" w:lineRule="auto" w:before="214"/>
        <w:ind w:right="0"/>
        <w:jc w:val="both"/>
      </w:pPr>
      <w:r>
        <w:rPr/>
        <w:t>以常规方式买卖金融资产，按交易日进行会计确认和终止确认。</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w:t>
      </w:r>
      <w:r>
        <w:rPr>
          <w:rFonts w:ascii="Times New Roman" w:hAnsi="Times New Roman" w:cs="Times New Roman" w:eastAsia="Times New Roman" w:hint="default"/>
        </w:rPr>
        <w:t>2</w:t>
      </w:r>
      <w:r>
        <w:rPr/>
        <w:t>）金融资产分类和计量</w:t>
      </w:r>
    </w:p>
    <w:p>
      <w:pPr>
        <w:pStyle w:val="BodyText"/>
        <w:spacing w:line="237" w:lineRule="auto" w:before="198"/>
        <w:ind w:right="1136"/>
        <w:jc w:val="both"/>
      </w:pPr>
      <w:r>
        <w:rPr/>
        <w:t>本公司在初始确认时根据管理金融资产的业务模式和金融资产的合同现金流量特征，将金融</w:t>
      </w:r>
      <w:r>
        <w:rPr>
          <w:spacing w:val="-93"/>
        </w:rPr>
        <w:t> </w:t>
      </w:r>
      <w:r>
        <w:rPr>
          <w:spacing w:val="-93"/>
        </w:rPr>
      </w:r>
      <w:r>
        <w:rPr/>
        <w:t>资产分为以下三类：以摊余成本计量的金融资产、以公允价值计量且其变动计入其他综合收</w:t>
      </w:r>
      <w:r>
        <w:rPr>
          <w:spacing w:val="-93"/>
        </w:rPr>
        <w:t> </w:t>
      </w:r>
      <w:r>
        <w:rPr>
          <w:spacing w:val="-93"/>
        </w:rPr>
      </w:r>
      <w:r>
        <w:rPr/>
        <w:t>益的金融资产、以公允价值计量且其变动计入当期损益的金融资产。</w:t>
      </w:r>
    </w:p>
    <w:p>
      <w:pPr>
        <w:pStyle w:val="Heading2"/>
        <w:spacing w:line="240" w:lineRule="auto" w:before="214"/>
        <w:ind w:right="0"/>
        <w:jc w:val="both"/>
        <w:rPr>
          <w:b w:val="0"/>
          <w:bCs w:val="0"/>
        </w:rPr>
      </w:pPr>
      <w:r>
        <w:rPr/>
        <w:t>以摊余成本计量的金融资产</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9"/>
        <w:jc w:val="both"/>
      </w:pPr>
      <w:r>
        <w:rPr>
          <w:spacing w:val="6"/>
        </w:rPr>
        <w:t>本公司将同时符合下列条件且未被指定为以公允价值计量且其变动计入当期损益的金融资</w:t>
      </w:r>
      <w:r>
        <w:rPr>
          <w:spacing w:val="-103"/>
        </w:rPr>
        <w:t> </w:t>
      </w:r>
      <w:r>
        <w:rPr>
          <w:spacing w:val="-103"/>
        </w:rPr>
      </w:r>
      <w:r>
        <w:rPr/>
        <w:t>产，分类为以摊余成本计量的金融资产：</w:t>
      </w:r>
    </w:p>
    <w:p>
      <w:pPr>
        <w:pStyle w:val="BodyText"/>
        <w:spacing w:line="240" w:lineRule="auto" w:before="185"/>
        <w:ind w:left="273" w:right="0"/>
        <w:jc w:val="left"/>
      </w:pPr>
      <w:r>
        <w:rPr/>
        <w:t>· 本公司管理该金融资产的业务模式是以收取合同现金流量为目标；</w:t>
      </w:r>
    </w:p>
    <w:p>
      <w:pPr>
        <w:spacing w:line="240" w:lineRule="auto" w:before="9"/>
        <w:rPr>
          <w:rFonts w:ascii="宋体" w:hAnsi="宋体" w:cs="宋体" w:eastAsia="宋体" w:hint="default"/>
          <w:sz w:val="18"/>
          <w:szCs w:val="18"/>
        </w:rPr>
      </w:pPr>
    </w:p>
    <w:p>
      <w:pPr>
        <w:pStyle w:val="BodyText"/>
        <w:spacing w:line="312" w:lineRule="exact"/>
        <w:ind w:left="633" w:right="1151" w:hanging="360"/>
        <w:jc w:val="left"/>
      </w:pPr>
      <w:r>
        <w:rPr/>
        <w:t>· 该金融资产的合同条款规定，在特定日期产生的现金流量，仅为对本金和以未偿付本金 金额为基础的利息的支付。</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初始确认后，对于该类金融资产采用实际利率法以摊余成本计量。以摊余成本计量且不属于</w:t>
      </w:r>
      <w:r>
        <w:rPr>
          <w:spacing w:val="-93"/>
        </w:rPr>
        <w:t> </w:t>
      </w:r>
      <w:r>
        <w:rPr>
          <w:spacing w:val="-93"/>
        </w:rPr>
      </w:r>
      <w:r>
        <w:rPr/>
        <w:t>任何套期关系的一部分的金融资产所产生的利得或损失，在终止确认、按照实际利率法摊销</w:t>
      </w:r>
      <w:r>
        <w:rPr>
          <w:spacing w:val="-93"/>
        </w:rPr>
        <w:t> </w:t>
      </w:r>
      <w:r>
        <w:rPr>
          <w:spacing w:val="-93"/>
        </w:rPr>
      </w:r>
      <w:r>
        <w:rPr/>
        <w:t>或确认减值时，计入当期损益。</w:t>
      </w:r>
    </w:p>
    <w:p>
      <w:pPr>
        <w:pStyle w:val="Heading2"/>
        <w:spacing w:line="240" w:lineRule="auto" w:before="185"/>
        <w:ind w:right="0"/>
        <w:jc w:val="both"/>
        <w:rPr>
          <w:b w:val="0"/>
          <w:bCs w:val="0"/>
        </w:rPr>
      </w:pPr>
      <w:r>
        <w:rPr/>
        <w:t>以公允价值计量且其变动计入其他综合收益的金融资产</w:t>
      </w:r>
      <w:r>
        <w:rPr>
          <w:b w:val="0"/>
          <w:bCs w:val="0"/>
        </w:rPr>
      </w:r>
    </w:p>
    <w:p>
      <w:pPr>
        <w:spacing w:line="240" w:lineRule="auto" w:before="10"/>
        <w:rPr>
          <w:rFonts w:ascii="宋体" w:hAnsi="宋体" w:cs="宋体" w:eastAsia="宋体" w:hint="default"/>
          <w:b/>
          <w:bCs/>
          <w:sz w:val="18"/>
          <w:szCs w:val="18"/>
        </w:rPr>
      </w:pPr>
    </w:p>
    <w:p>
      <w:pPr>
        <w:pStyle w:val="BodyText"/>
        <w:spacing w:line="312" w:lineRule="exact"/>
        <w:ind w:right="1136"/>
        <w:jc w:val="both"/>
      </w:pPr>
      <w:r>
        <w:rPr/>
        <w:t>①本公司将同时符合下列条件且未被指定为以公允价值计量且其变动计入当期损益的金融资</w:t>
      </w:r>
      <w:r>
        <w:rPr>
          <w:spacing w:val="-93"/>
        </w:rPr>
        <w:t> </w:t>
      </w:r>
      <w:r>
        <w:rPr>
          <w:spacing w:val="-93"/>
        </w:rPr>
      </w:r>
      <w:r>
        <w:rPr/>
        <w:t>产，分类为以公允价值计量且其变动计入其他综合收益的金融资产：</w:t>
      </w:r>
    </w:p>
    <w:p>
      <w:pPr>
        <w:pStyle w:val="BodyText"/>
        <w:spacing w:line="312" w:lineRule="exact" w:before="216"/>
        <w:ind w:left="633" w:right="1151" w:hanging="360"/>
        <w:jc w:val="left"/>
      </w:pPr>
      <w:r>
        <w:rPr/>
        <w:t>· 本公司管理该金融资产的业务模式既以收取合同现金流量为目标又以出售该金融资产为 目标；</w:t>
      </w:r>
    </w:p>
    <w:p>
      <w:pPr>
        <w:spacing w:line="240" w:lineRule="auto" w:before="7"/>
        <w:rPr>
          <w:rFonts w:ascii="宋体" w:hAnsi="宋体" w:cs="宋体" w:eastAsia="宋体" w:hint="default"/>
          <w:sz w:val="16"/>
          <w:szCs w:val="16"/>
        </w:rPr>
      </w:pPr>
    </w:p>
    <w:p>
      <w:pPr>
        <w:pStyle w:val="BodyText"/>
        <w:spacing w:line="312" w:lineRule="exact"/>
        <w:ind w:left="633" w:right="1151" w:hanging="360"/>
        <w:jc w:val="left"/>
      </w:pPr>
      <w:r>
        <w:rPr/>
        <w:t>· 该金融资产的合同条款规定，在特定日期产生的现金流量，仅为对本金和以未偿付本金 金额为基础的利息的支付。</w:t>
      </w:r>
    </w:p>
    <w:p>
      <w:pPr>
        <w:pStyle w:val="BodyText"/>
        <w:spacing w:line="312" w:lineRule="exact" w:before="216"/>
        <w:ind w:right="1136"/>
        <w:jc w:val="both"/>
      </w:pPr>
      <w:r>
        <w:rPr/>
        <w:t>初始确认后，对于该类金融资产以公允价值进行后续计量。采用实际利率法计算的利息、减</w:t>
      </w:r>
      <w:r>
        <w:rPr>
          <w:spacing w:val="-93"/>
        </w:rPr>
        <w:t> </w:t>
      </w:r>
      <w:r>
        <w:rPr>
          <w:spacing w:val="-93"/>
        </w:rPr>
      </w:r>
      <w:r>
        <w:rPr/>
        <w:t>值损失或利得及汇兑损益计入当期损益，其他利得或损失计入其他综合收益。终止确认时，</w:t>
      </w:r>
      <w:r>
        <w:rPr>
          <w:spacing w:val="-93"/>
        </w:rPr>
        <w:t> </w:t>
      </w:r>
      <w:r>
        <w:rPr>
          <w:spacing w:val="-93"/>
        </w:rPr>
      </w:r>
      <w:r>
        <w:rPr/>
        <w:t>将之前计入其他综合收益的累计利得或损失从其他综合收益中转出，计入当期损益。</w:t>
      </w:r>
    </w:p>
    <w:p>
      <w:pPr>
        <w:spacing w:line="240" w:lineRule="auto" w:before="7"/>
        <w:rPr>
          <w:rFonts w:ascii="宋体" w:hAnsi="宋体" w:cs="宋体" w:eastAsia="宋体" w:hint="default"/>
          <w:sz w:val="16"/>
          <w:szCs w:val="16"/>
        </w:rPr>
      </w:pPr>
    </w:p>
    <w:p>
      <w:pPr>
        <w:pStyle w:val="BodyText"/>
        <w:spacing w:line="312" w:lineRule="exact"/>
        <w:ind w:right="1136"/>
        <w:jc w:val="both"/>
      </w:pPr>
      <w:r>
        <w:rPr/>
        <w:t>②本公司将部分非交易性权益工具投资指定为以公允价值计量且其变动计入其他综合收益的</w:t>
      </w:r>
      <w:r>
        <w:rPr>
          <w:spacing w:val="-93"/>
        </w:rPr>
        <w:t> </w:t>
      </w:r>
      <w:r>
        <w:rPr>
          <w:spacing w:val="-93"/>
        </w:rPr>
      </w:r>
      <w:r>
        <w:rPr/>
        <w:t>金融资产。本公司将该类金融资产的相关股利收入计入当期损益，公允价值变动计入其他综</w:t>
      </w:r>
      <w:r>
        <w:rPr>
          <w:spacing w:val="-93"/>
        </w:rPr>
        <w:t> </w:t>
      </w:r>
      <w:r>
        <w:rPr>
          <w:spacing w:val="-93"/>
        </w:rPr>
      </w:r>
      <w:r>
        <w:rPr/>
        <w:t>合收益。当该金融资产终止确认时，之前计入其他综合收益的累计利得或损失将从其他综合</w:t>
      </w:r>
      <w:r>
        <w:rPr>
          <w:spacing w:val="-93"/>
        </w:rPr>
        <w:t> </w:t>
      </w:r>
      <w:r>
        <w:rPr>
          <w:spacing w:val="-93"/>
        </w:rPr>
      </w:r>
      <w:r>
        <w:rPr/>
        <w:t>收益转入留存收益，不计入当期损益。</w:t>
      </w:r>
    </w:p>
    <w:p>
      <w:pPr>
        <w:pStyle w:val="Heading2"/>
        <w:spacing w:line="240" w:lineRule="auto" w:before="185"/>
        <w:ind w:right="0"/>
        <w:jc w:val="both"/>
        <w:rPr>
          <w:b w:val="0"/>
          <w:bCs w:val="0"/>
        </w:rPr>
      </w:pPr>
      <w:r>
        <w:rPr/>
        <w:t>以公允价值计量且其变动计入当期损益的金融资产</w:t>
      </w:r>
      <w:r>
        <w:rPr>
          <w:b w:val="0"/>
          <w:bCs w:val="0"/>
        </w:rPr>
      </w:r>
    </w:p>
    <w:p>
      <w:pPr>
        <w:spacing w:line="240" w:lineRule="auto" w:before="7"/>
        <w:rPr>
          <w:rFonts w:ascii="宋体" w:hAnsi="宋体" w:cs="宋体" w:eastAsia="宋体" w:hint="default"/>
          <w:b/>
          <w:bCs/>
          <w:sz w:val="16"/>
          <w:szCs w:val="16"/>
        </w:rPr>
      </w:pPr>
    </w:p>
    <w:p>
      <w:pPr>
        <w:pStyle w:val="BodyText"/>
        <w:spacing w:line="237" w:lineRule="auto"/>
        <w:ind w:right="1134"/>
        <w:jc w:val="both"/>
      </w:pPr>
      <w:r>
        <w:rPr/>
        <w:t>除上述以摊余成本计量和以公允价值计量且其变动计入其他综合收益的金融资产外，本公司</w:t>
      </w:r>
      <w:r>
        <w:rPr>
          <w:spacing w:val="-93"/>
        </w:rPr>
        <w:t> </w:t>
      </w:r>
      <w:r>
        <w:rPr>
          <w:spacing w:val="-93"/>
        </w:rPr>
      </w:r>
      <w:r>
        <w:rPr/>
        <w:t>将其余所有的金融资产分类为以公允价值计量且其变动计入当期损益的金融资产。在初始确</w:t>
      </w:r>
      <w:r>
        <w:rPr>
          <w:spacing w:val="-93"/>
        </w:rPr>
        <w:t> </w:t>
      </w:r>
      <w:r>
        <w:rPr>
          <w:spacing w:val="-93"/>
        </w:rPr>
      </w:r>
      <w:r>
        <w:rPr/>
        <w:t>认时，为消除或显著减少会计错配，本公司将部分本应以摊余成本计量或以公允价值计量且</w:t>
      </w:r>
      <w:r>
        <w:rPr>
          <w:spacing w:val="-91"/>
        </w:rPr>
        <w:t> </w:t>
      </w:r>
      <w:r>
        <w:rPr>
          <w:spacing w:val="-91"/>
        </w:rPr>
      </w:r>
      <w:r>
        <w:rPr/>
        <w:t>其变动计入其他综合收益的金融资产不可撤销地指定为以公允价值计量且其变动计入当期损</w:t>
      </w:r>
      <w:r>
        <w:rPr>
          <w:spacing w:val="-93"/>
        </w:rPr>
        <w:t> </w:t>
      </w:r>
      <w:r>
        <w:rPr>
          <w:spacing w:val="-93"/>
        </w:rPr>
      </w:r>
      <w:r>
        <w:rPr/>
        <w:t>益的金融资产。</w:t>
      </w:r>
    </w:p>
    <w:p>
      <w:pPr>
        <w:pStyle w:val="BodyText"/>
        <w:spacing w:line="240" w:lineRule="auto" w:before="214"/>
        <w:ind w:right="0"/>
        <w:jc w:val="both"/>
      </w:pPr>
      <w:r>
        <w:rPr/>
        <w:t>初始确认后，对于该类金融资产以公允价值进行后续计量，产生的利得或损失（包括利息和</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股利收入）计入当期损益，除非该金融资产属于套期关系的一部分。</w:t>
      </w:r>
    </w:p>
    <w:p>
      <w:pPr>
        <w:spacing w:line="240" w:lineRule="auto" w:before="7"/>
        <w:rPr>
          <w:rFonts w:ascii="宋体" w:hAnsi="宋体" w:cs="宋体" w:eastAsia="宋体" w:hint="default"/>
          <w:sz w:val="16"/>
          <w:szCs w:val="16"/>
        </w:rPr>
      </w:pPr>
    </w:p>
    <w:p>
      <w:pPr>
        <w:pStyle w:val="BodyText"/>
        <w:spacing w:line="237" w:lineRule="auto"/>
        <w:ind w:right="993"/>
        <w:jc w:val="left"/>
      </w:pPr>
      <w:r>
        <w:rPr/>
        <w:t>管理金融资产的业务模式，是指本公司如何管理金融资产以产生现金流量。业务模式决定本</w:t>
      </w:r>
      <w:r>
        <w:rPr>
          <w:spacing w:val="-93"/>
        </w:rPr>
        <w:t> </w:t>
      </w:r>
      <w:r>
        <w:rPr>
          <w:spacing w:val="-93"/>
        </w:rPr>
      </w:r>
      <w:r>
        <w:rPr/>
        <w:t>公司所管理金融资产现金流量的来源是收取合同现金流量、出售金融资产还是两者兼有。本</w:t>
      </w:r>
      <w:r>
        <w:rPr>
          <w:spacing w:val="-93"/>
        </w:rPr>
        <w:t> </w:t>
      </w:r>
      <w:r>
        <w:rPr>
          <w:spacing w:val="-93"/>
        </w:rPr>
      </w:r>
      <w:r>
        <w:rPr>
          <w:spacing w:val="-2"/>
        </w:rPr>
        <w:t>公司以客观事实为依据、以关键管理人员决定的对金融资产进行管理的特定业务目标为基础，</w:t>
      </w:r>
      <w:r>
        <w:rPr>
          <w:spacing w:val="-118"/>
        </w:rPr>
        <w:t> </w:t>
      </w:r>
      <w:r>
        <w:rPr>
          <w:spacing w:val="-118"/>
        </w:rPr>
      </w:r>
      <w:r>
        <w:rPr/>
        <w:t>确定管理金融资产的业务模式。</w:t>
      </w:r>
    </w:p>
    <w:p>
      <w:pPr>
        <w:spacing w:line="240" w:lineRule="auto" w:before="8"/>
        <w:rPr>
          <w:rFonts w:ascii="宋体" w:hAnsi="宋体" w:cs="宋体" w:eastAsia="宋体" w:hint="default"/>
          <w:sz w:val="16"/>
          <w:szCs w:val="16"/>
        </w:rPr>
      </w:pPr>
    </w:p>
    <w:p>
      <w:pPr>
        <w:pStyle w:val="BodyText"/>
        <w:spacing w:line="237" w:lineRule="auto"/>
        <w:ind w:right="1134"/>
        <w:jc w:val="both"/>
      </w:pPr>
      <w:r>
        <w:rPr/>
        <w:t>本公司对金融资产的合同现金流量特征进行评估，以确定相关金融资产在特定日期产生的合</w:t>
      </w:r>
      <w:r>
        <w:rPr>
          <w:spacing w:val="-93"/>
        </w:rPr>
        <w:t> </w:t>
      </w:r>
      <w:r>
        <w:rPr>
          <w:spacing w:val="-93"/>
        </w:rPr>
      </w:r>
      <w:r>
        <w:rPr/>
        <w:t>同现金流量是否仅为对本金和以未偿付本金金额为基础的利息的支付。其中，本金是指金融</w:t>
      </w:r>
      <w:r>
        <w:rPr>
          <w:spacing w:val="-93"/>
        </w:rPr>
        <w:t> </w:t>
      </w:r>
      <w:r>
        <w:rPr>
          <w:spacing w:val="-93"/>
        </w:rPr>
      </w:r>
      <w:r>
        <w:rPr/>
        <w:t>资产在初始确认时的公允价值；利息包括对货币时间价值、与特定时期未偿付本金金额相关</w:t>
      </w:r>
      <w:r>
        <w:rPr>
          <w:spacing w:val="-93"/>
        </w:rPr>
        <w:t> </w:t>
      </w:r>
      <w:r>
        <w:rPr>
          <w:spacing w:val="-93"/>
        </w:rPr>
      </w:r>
      <w:r>
        <w:rPr/>
        <w:t>的信用风险、以及其他基本借贷风险、成本和利润的对价。此外，本公司对可能导致金融资</w:t>
      </w:r>
      <w:r>
        <w:rPr>
          <w:spacing w:val="-93"/>
        </w:rPr>
        <w:t> </w:t>
      </w:r>
      <w:r>
        <w:rPr>
          <w:spacing w:val="-93"/>
        </w:rPr>
      </w:r>
      <w:r>
        <w:rPr/>
        <w:t>产合同现金流量的时间分布或金额发生变更的合同条款进行评估，以确定其是否满足上述合</w:t>
      </w:r>
      <w:r>
        <w:rPr>
          <w:spacing w:val="-93"/>
        </w:rPr>
        <w:t> </w:t>
      </w:r>
      <w:r>
        <w:rPr>
          <w:spacing w:val="-93"/>
        </w:rPr>
      </w:r>
      <w:r>
        <w:rPr/>
        <w:t>同现金流量特征的要求。</w:t>
      </w:r>
    </w:p>
    <w:p>
      <w:pPr>
        <w:pStyle w:val="BodyText"/>
        <w:spacing w:line="240" w:lineRule="auto" w:before="214"/>
        <w:ind w:right="0"/>
        <w:jc w:val="left"/>
      </w:pPr>
      <w:r>
        <w:rPr/>
        <w:t>仅在本公司改变管理金融资产的业务模式时，所有受影响的相关金融资产在业务模式发生变</w:t>
      </w:r>
      <w:r>
        <w:rPr>
          <w:spacing w:val="-91"/>
        </w:rPr>
        <w:t> </w:t>
      </w:r>
      <w:r>
        <w:rPr>
          <w:spacing w:val="-91"/>
        </w:rPr>
      </w:r>
      <w:r>
        <w:rPr/>
        <w:t>更后的首个报告期间的第一天进行重分类，否则金融资产在初始确认后不得进行重分类。</w:t>
      </w:r>
    </w:p>
    <w:p>
      <w:pPr>
        <w:spacing w:line="240" w:lineRule="auto" w:before="9"/>
        <w:rPr>
          <w:rFonts w:ascii="宋体" w:hAnsi="宋体" w:cs="宋体" w:eastAsia="宋体" w:hint="default"/>
          <w:sz w:val="18"/>
          <w:szCs w:val="18"/>
        </w:rPr>
      </w:pPr>
    </w:p>
    <w:p>
      <w:pPr>
        <w:pStyle w:val="BodyText"/>
        <w:spacing w:line="312" w:lineRule="exact"/>
        <w:ind w:right="1136"/>
        <w:jc w:val="both"/>
      </w:pPr>
      <w:r>
        <w:rPr/>
        <w:t>金融资产在初始确认时以公允价值计量。对于以公允价值计量且其变动计入当期损益的金融</w:t>
      </w:r>
      <w:r>
        <w:rPr>
          <w:spacing w:val="-93"/>
        </w:rPr>
        <w:t> </w:t>
      </w:r>
      <w:r>
        <w:rPr>
          <w:spacing w:val="-93"/>
        </w:rPr>
      </w:r>
      <w:r>
        <w:rPr/>
        <w:t>资产，相关交易费用直接计入当期损益；对于其他类别的金融资产，相关交易费用计入初始</w:t>
      </w:r>
      <w:r>
        <w:rPr>
          <w:spacing w:val="-93"/>
        </w:rPr>
        <w:t> </w:t>
      </w:r>
      <w:r>
        <w:rPr>
          <w:spacing w:val="-93"/>
        </w:rPr>
      </w:r>
      <w:r>
        <w:rPr/>
        <w:t>确认金额。因销售产品或提供劳务而产生的、未包含或不考虑重大融资成分的应收账款，本</w:t>
      </w:r>
      <w:r>
        <w:rPr>
          <w:spacing w:val="-93"/>
        </w:rPr>
        <w:t> </w:t>
      </w:r>
      <w:r>
        <w:rPr>
          <w:spacing w:val="-93"/>
        </w:rPr>
      </w:r>
      <w:r>
        <w:rPr/>
        <w:t>公司按照预期有权收取的对价金额作为初始确认金额。</w:t>
      </w:r>
    </w:p>
    <w:p>
      <w:pPr>
        <w:pStyle w:val="BodyText"/>
        <w:spacing w:line="240" w:lineRule="auto" w:before="185"/>
        <w:ind w:right="0"/>
        <w:jc w:val="both"/>
      </w:pPr>
      <w:r>
        <w:rPr/>
        <w:t>（</w:t>
      </w:r>
      <w:r>
        <w:rPr>
          <w:rFonts w:ascii="Times New Roman" w:hAnsi="Times New Roman" w:cs="Times New Roman" w:eastAsia="Times New Roman" w:hint="default"/>
        </w:rPr>
        <w:t>3</w:t>
      </w:r>
      <w:r>
        <w:rPr/>
        <w:t>）金融负债分类和计量</w:t>
      </w:r>
    </w:p>
    <w:p>
      <w:pPr>
        <w:spacing w:line="240" w:lineRule="auto" w:before="4"/>
        <w:rPr>
          <w:rFonts w:ascii="宋体" w:hAnsi="宋体" w:cs="宋体" w:eastAsia="宋体" w:hint="default"/>
          <w:sz w:val="17"/>
          <w:szCs w:val="17"/>
        </w:rPr>
      </w:pPr>
    </w:p>
    <w:p>
      <w:pPr>
        <w:pStyle w:val="BodyText"/>
        <w:spacing w:line="312" w:lineRule="exact"/>
        <w:ind w:right="993"/>
        <w:jc w:val="left"/>
      </w:pPr>
      <w:r>
        <w:rPr>
          <w:spacing w:val="-2"/>
        </w:rPr>
        <w:t>本公司的金融负债于初始确认时分类为：以公允价值计量且其变动计入当期损益的金融负债、</w:t>
      </w:r>
      <w:r>
        <w:rPr>
          <w:spacing w:val="-118"/>
        </w:rPr>
        <w:t> </w:t>
      </w:r>
      <w:r>
        <w:rPr>
          <w:spacing w:val="-118"/>
        </w:rPr>
      </w:r>
      <w:r>
        <w:rPr/>
        <w:t>以摊余成本计量的金融负债。对于未划分为以公允价值计量且其变动计入当期损益的金融负</w:t>
      </w:r>
      <w:r>
        <w:rPr>
          <w:spacing w:val="-93"/>
        </w:rPr>
        <w:t> </w:t>
      </w:r>
      <w:r>
        <w:rPr>
          <w:spacing w:val="-93"/>
        </w:rPr>
      </w:r>
      <w:r>
        <w:rPr/>
        <w:t>债的，相关交易费用计入其初始确认金额。</w:t>
      </w:r>
    </w:p>
    <w:p>
      <w:pPr>
        <w:pStyle w:val="Heading2"/>
        <w:spacing w:line="240" w:lineRule="auto" w:before="185"/>
        <w:ind w:right="0"/>
        <w:jc w:val="both"/>
        <w:rPr>
          <w:b w:val="0"/>
          <w:bCs w:val="0"/>
        </w:rPr>
      </w:pPr>
      <w:r>
        <w:rPr/>
        <w:t>以公允价值计量且其变动计入当期损益的金融负债</w:t>
      </w:r>
      <w:r>
        <w:rPr>
          <w:b w:val="0"/>
          <w:bCs w:val="0"/>
        </w:rPr>
      </w:r>
    </w:p>
    <w:p>
      <w:pPr>
        <w:spacing w:line="240" w:lineRule="auto" w:before="7"/>
        <w:rPr>
          <w:rFonts w:ascii="宋体" w:hAnsi="宋体" w:cs="宋体" w:eastAsia="宋体" w:hint="default"/>
          <w:b/>
          <w:bCs/>
          <w:sz w:val="16"/>
          <w:szCs w:val="16"/>
        </w:rPr>
      </w:pPr>
    </w:p>
    <w:p>
      <w:pPr>
        <w:pStyle w:val="BodyText"/>
        <w:spacing w:line="237" w:lineRule="auto"/>
        <w:ind w:right="1136"/>
        <w:jc w:val="both"/>
      </w:pPr>
      <w:r>
        <w:rPr/>
        <w:t>以公允价值计量且其变动计入当期损益的金融负债，包括交易性金融负债和初始确认时指定</w:t>
      </w:r>
      <w:r>
        <w:rPr>
          <w:spacing w:val="-93"/>
        </w:rPr>
        <w:t> </w:t>
      </w:r>
      <w:r>
        <w:rPr>
          <w:spacing w:val="-93"/>
        </w:rPr>
      </w:r>
      <w:r>
        <w:rPr/>
        <w:t>为以公允价值计量且其变动计入当期损益的金融负债。对于此类金融负债，按照公允价值进</w:t>
      </w:r>
      <w:r>
        <w:rPr>
          <w:spacing w:val="-93"/>
        </w:rPr>
        <w:t> </w:t>
      </w:r>
      <w:r>
        <w:rPr>
          <w:spacing w:val="-93"/>
        </w:rPr>
      </w:r>
      <w:r>
        <w:rPr/>
        <w:t>行后续计量，公允价值变动形成的利得或损失以及与该等金融负债相关的股利和利息支出计</w:t>
      </w:r>
      <w:r>
        <w:rPr>
          <w:spacing w:val="-93"/>
        </w:rPr>
        <w:t> </w:t>
      </w:r>
      <w:r>
        <w:rPr>
          <w:spacing w:val="-93"/>
        </w:rPr>
      </w:r>
      <w:r>
        <w:rPr/>
        <w:t>入当期损益。</w:t>
      </w:r>
    </w:p>
    <w:p>
      <w:pPr>
        <w:pStyle w:val="Heading2"/>
        <w:spacing w:line="240" w:lineRule="auto" w:before="214"/>
        <w:ind w:right="0"/>
        <w:jc w:val="both"/>
        <w:rPr>
          <w:b w:val="0"/>
          <w:bCs w:val="0"/>
        </w:rPr>
      </w:pPr>
      <w:r>
        <w:rPr/>
        <w:t>以摊余成本计量的金融负债</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0"/>
        <w:jc w:val="left"/>
      </w:pPr>
      <w:r>
        <w:rPr/>
        <w:t>其他金融负债采用实际利率法，按摊余成本进行后续计量，终止确认或摊销产生的利得或损</w:t>
      </w:r>
      <w:r>
        <w:rPr>
          <w:spacing w:val="-90"/>
        </w:rPr>
        <w:t> </w:t>
      </w:r>
      <w:r>
        <w:rPr>
          <w:spacing w:val="-90"/>
        </w:rPr>
      </w:r>
      <w:r>
        <w:rPr/>
        <w:t>失计入当期损益。</w:t>
      </w:r>
    </w:p>
    <w:p>
      <w:pPr>
        <w:spacing w:line="403" w:lineRule="auto" w:before="185"/>
        <w:ind w:left="153" w:right="6191" w:firstLine="0"/>
        <w:jc w:val="left"/>
        <w:rPr>
          <w:rFonts w:ascii="宋体" w:hAnsi="宋体" w:cs="宋体" w:eastAsia="宋体" w:hint="default"/>
          <w:sz w:val="24"/>
          <w:szCs w:val="24"/>
        </w:rPr>
      </w:pPr>
      <w:r>
        <w:rPr>
          <w:rFonts w:ascii="宋体" w:hAnsi="宋体" w:cs="宋体" w:eastAsia="宋体" w:hint="default"/>
          <w:b/>
          <w:bCs/>
          <w:sz w:val="24"/>
          <w:szCs w:val="24"/>
        </w:rPr>
        <w:t>金融负债与权益工具的区分</w:t>
      </w:r>
      <w:r>
        <w:rPr>
          <w:rFonts w:ascii="宋体" w:hAnsi="宋体" w:cs="宋体" w:eastAsia="宋体" w:hint="default"/>
          <w:b/>
          <w:bCs/>
          <w:w w:val="99"/>
          <w:sz w:val="24"/>
          <w:szCs w:val="24"/>
        </w:rPr>
        <w:t> </w:t>
      </w:r>
      <w:r>
        <w:rPr>
          <w:rFonts w:ascii="宋体" w:hAnsi="宋体" w:cs="宋体" w:eastAsia="宋体" w:hint="default"/>
          <w:sz w:val="24"/>
          <w:szCs w:val="24"/>
        </w:rPr>
        <w:t>金融负债，是指符合下列条件之一的负债：</w:t>
      </w:r>
    </w:p>
    <w:p>
      <w:pPr>
        <w:pStyle w:val="BodyText"/>
        <w:spacing w:line="240" w:lineRule="auto" w:before="50"/>
        <w:ind w:right="0"/>
        <w:jc w:val="both"/>
      </w:pPr>
      <w:r>
        <w:rPr/>
        <w:t>①向其他方交付现金或其他金融资产的合同义务。</w:t>
      </w:r>
    </w:p>
    <w:p>
      <w:pPr>
        <w:pStyle w:val="BodyText"/>
        <w:spacing w:line="240" w:lineRule="auto" w:before="214"/>
        <w:ind w:right="0"/>
        <w:jc w:val="both"/>
      </w:pPr>
      <w:r>
        <w:rPr/>
        <w:t>②在潜在不利条件下，与其他方交换金融资产或金融负债的合同义务。</w:t>
      </w:r>
    </w:p>
    <w:p>
      <w:pPr>
        <w:pStyle w:val="BodyText"/>
        <w:spacing w:line="240" w:lineRule="auto" w:before="214"/>
        <w:ind w:right="0"/>
        <w:jc w:val="both"/>
      </w:pPr>
      <w:r>
        <w:rPr/>
        <w:t>③将来须用或可用企业自身权益工具进行结算的非衍生工具合同，且企业根据该合同将交付</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可变数量的自身权益工具。</w:t>
      </w:r>
    </w:p>
    <w:p>
      <w:pPr>
        <w:spacing w:line="240" w:lineRule="auto" w:before="9"/>
        <w:rPr>
          <w:rFonts w:ascii="宋体" w:hAnsi="宋体" w:cs="宋体" w:eastAsia="宋体" w:hint="default"/>
          <w:sz w:val="18"/>
          <w:szCs w:val="18"/>
        </w:rPr>
      </w:pPr>
    </w:p>
    <w:p>
      <w:pPr>
        <w:pStyle w:val="BodyText"/>
        <w:spacing w:line="312" w:lineRule="exact"/>
        <w:ind w:right="1136"/>
        <w:jc w:val="both"/>
      </w:pPr>
      <w:r>
        <w:rPr/>
        <w:t>④将来须用或可用企业自身权益工具进行结算的衍生工具合同，但以固定数量的自身权益工</w:t>
      </w:r>
      <w:r>
        <w:rPr>
          <w:spacing w:val="-93"/>
        </w:rPr>
        <w:t> </w:t>
      </w:r>
      <w:r>
        <w:rPr>
          <w:spacing w:val="-93"/>
        </w:rPr>
      </w:r>
      <w:r>
        <w:rPr/>
        <w:t>具交换固定金额的现金或其他金融资产的衍生工具合同除外。</w:t>
      </w:r>
    </w:p>
    <w:p>
      <w:pPr>
        <w:pStyle w:val="BodyText"/>
        <w:spacing w:line="240" w:lineRule="auto" w:before="186"/>
        <w:ind w:right="0"/>
        <w:jc w:val="both"/>
      </w:pPr>
      <w:r>
        <w:rPr/>
        <w:t>权益工具，是指能证明拥有某个企业在扣除所有负债后的资产中剩余权益的合同。</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如果本公司不能无条件地避免以交付现金或其他金融资产来履行一项合同义务，则该合同义</w:t>
      </w:r>
      <w:r>
        <w:rPr>
          <w:spacing w:val="-93"/>
        </w:rPr>
        <w:t> </w:t>
      </w:r>
      <w:r>
        <w:rPr>
          <w:spacing w:val="-93"/>
        </w:rPr>
      </w:r>
      <w:r>
        <w:rPr/>
        <w:t>务符合金融负债的定义。</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如果一项金融工具须用或可用本公司自身权益工具进行结算，需要考虑用于结算该工具的本</w:t>
      </w:r>
      <w:r>
        <w:rPr>
          <w:spacing w:val="-93"/>
        </w:rPr>
        <w:t> </w:t>
      </w:r>
      <w:r>
        <w:rPr>
          <w:spacing w:val="-93"/>
        </w:rPr>
      </w:r>
      <w:r>
        <w:rPr/>
        <w:t>公司自身权益工具，是作为现金或其他金融资产的替代品，还是为了使该工具持有方享有在</w:t>
      </w:r>
      <w:r>
        <w:rPr>
          <w:spacing w:val="-93"/>
        </w:rPr>
        <w:t> </w:t>
      </w:r>
      <w:r>
        <w:rPr>
          <w:spacing w:val="-93"/>
        </w:rPr>
      </w:r>
      <w:r>
        <w:rPr/>
        <w:t>发行方扣除所有负债后的资产中的剩余权益。如果是前者，该工具是本公司的金融负债；如</w:t>
      </w:r>
      <w:r>
        <w:rPr>
          <w:spacing w:val="-93"/>
        </w:rPr>
        <w:t> </w:t>
      </w:r>
      <w:r>
        <w:rPr>
          <w:spacing w:val="-93"/>
        </w:rPr>
      </w:r>
      <w:r>
        <w:rPr/>
        <w:t>果是后者，该工具是本公司的权益工具。</w:t>
      </w:r>
    </w:p>
    <w:p>
      <w:pPr>
        <w:pStyle w:val="BodyText"/>
        <w:spacing w:line="240" w:lineRule="auto" w:before="185"/>
        <w:ind w:right="0"/>
        <w:jc w:val="both"/>
      </w:pPr>
      <w:r>
        <w:rPr/>
        <w:t>（</w:t>
      </w:r>
      <w:r>
        <w:rPr>
          <w:rFonts w:ascii="Times New Roman" w:hAnsi="Times New Roman" w:cs="Times New Roman" w:eastAsia="Times New Roman" w:hint="default"/>
        </w:rPr>
        <w:t>4</w:t>
      </w:r>
      <w:r>
        <w:rPr/>
        <w:t>）金融工具的公允价值</w:t>
      </w:r>
    </w:p>
    <w:p>
      <w:pPr>
        <w:spacing w:line="240" w:lineRule="auto" w:before="5"/>
        <w:rPr>
          <w:rFonts w:ascii="宋体" w:hAnsi="宋体" w:cs="宋体" w:eastAsia="宋体" w:hint="default"/>
          <w:sz w:val="17"/>
          <w:szCs w:val="17"/>
        </w:rPr>
      </w:pPr>
    </w:p>
    <w:p>
      <w:pPr>
        <w:pStyle w:val="BodyText"/>
        <w:spacing w:line="312" w:lineRule="exact"/>
        <w:ind w:right="1136"/>
        <w:jc w:val="both"/>
      </w:pPr>
      <w:r>
        <w:rPr/>
        <w:t>公允价值是指市场参与者在计量日发生的有序交易中，出售一项资产所能收到或者转移一项</w:t>
      </w:r>
      <w:r>
        <w:rPr>
          <w:spacing w:val="-93"/>
        </w:rPr>
        <w:t> </w:t>
      </w:r>
      <w:r>
        <w:rPr>
          <w:spacing w:val="-93"/>
        </w:rPr>
      </w:r>
      <w:r>
        <w:rPr/>
        <w:t>负债所需支付的价格。</w:t>
      </w:r>
    </w:p>
    <w:p>
      <w:pPr>
        <w:pStyle w:val="BodyText"/>
        <w:spacing w:line="237" w:lineRule="auto" w:before="188"/>
        <w:ind w:right="1136"/>
        <w:jc w:val="both"/>
      </w:pPr>
      <w:r>
        <w:rPr/>
        <w:t>本公司以公允价值计量相关资产或负债，假定出售资产或者转移负债的有序交易在相关资产</w:t>
      </w:r>
      <w:r>
        <w:rPr>
          <w:spacing w:val="-93"/>
        </w:rPr>
        <w:t> </w:t>
      </w:r>
      <w:r>
        <w:rPr>
          <w:spacing w:val="-93"/>
        </w:rPr>
      </w:r>
      <w:r>
        <w:rPr/>
        <w:t>或负债的主要市场进行；不存在主要市场的，本公司假定该交易在相关资产或负债的最有利</w:t>
      </w:r>
      <w:r>
        <w:rPr>
          <w:spacing w:val="-93"/>
        </w:rPr>
        <w:t> </w:t>
      </w:r>
      <w:r>
        <w:rPr>
          <w:spacing w:val="-93"/>
        </w:rPr>
      </w:r>
      <w:r>
        <w:rPr/>
        <w:t>市场进行。主要市场（或最有利市场）是本公司在计量日能够进入的交易市场。本公司采用</w:t>
      </w:r>
      <w:r>
        <w:rPr>
          <w:spacing w:val="-93"/>
        </w:rPr>
        <w:t> </w:t>
      </w:r>
      <w:r>
        <w:rPr>
          <w:spacing w:val="-93"/>
        </w:rPr>
      </w:r>
      <w:r>
        <w:rPr/>
        <w:t>市场参与者在对该资产或负债定价时为实现其经济利益最大化所使用的假设。</w:t>
      </w:r>
    </w:p>
    <w:p>
      <w:pPr>
        <w:spacing w:line="240" w:lineRule="auto" w:before="9"/>
        <w:rPr>
          <w:rFonts w:ascii="宋体" w:hAnsi="宋体" w:cs="宋体" w:eastAsia="宋体" w:hint="default"/>
          <w:sz w:val="18"/>
          <w:szCs w:val="18"/>
        </w:rPr>
      </w:pPr>
    </w:p>
    <w:p>
      <w:pPr>
        <w:pStyle w:val="BodyText"/>
        <w:spacing w:line="312" w:lineRule="exact"/>
        <w:ind w:right="0"/>
        <w:jc w:val="left"/>
      </w:pPr>
      <w:r>
        <w:rPr/>
        <w:t>存在活跃市场的金融资产或金融负债，本公司采用活跃市场中的报价确定其公允价值。金融</w:t>
      </w:r>
      <w:r>
        <w:rPr>
          <w:spacing w:val="-93"/>
        </w:rPr>
        <w:t> </w:t>
      </w:r>
      <w:r>
        <w:rPr>
          <w:spacing w:val="-93"/>
        </w:rPr>
      </w:r>
      <w:r>
        <w:rPr/>
        <w:t>工具不存在活跃市场的，本公司采用估值技术确定其公允价值。</w:t>
      </w:r>
    </w:p>
    <w:p>
      <w:pPr>
        <w:spacing w:line="240" w:lineRule="auto" w:before="7"/>
        <w:rPr>
          <w:rFonts w:ascii="宋体" w:hAnsi="宋体" w:cs="宋体" w:eastAsia="宋体" w:hint="default"/>
          <w:sz w:val="16"/>
          <w:szCs w:val="16"/>
        </w:rPr>
      </w:pPr>
    </w:p>
    <w:p>
      <w:pPr>
        <w:pStyle w:val="BodyText"/>
        <w:spacing w:line="312" w:lineRule="exact"/>
        <w:ind w:right="993"/>
        <w:jc w:val="left"/>
      </w:pPr>
      <w:r>
        <w:rPr>
          <w:spacing w:val="-2"/>
        </w:rPr>
        <w:t>但在有限的情况下，本公司利用初始确认日后可获得的关于被投资方业绩和经营的所有信息，</w:t>
      </w:r>
      <w:r>
        <w:rPr/>
        <w:t> 判断成本能否代表公允价值。成本可代表相关金融资产在该分布范围内对公允价值的最佳估</w:t>
      </w:r>
      <w:r>
        <w:rPr>
          <w:spacing w:val="-93"/>
        </w:rPr>
        <w:t> </w:t>
      </w:r>
      <w:r>
        <w:rPr>
          <w:spacing w:val="-93"/>
        </w:rPr>
      </w:r>
      <w:r>
        <w:rPr/>
        <w:t>计的，以该成本代表其在该分布范围内对公允价值的恰当估计。对于成本不能代表相关金融</w:t>
      </w:r>
      <w:r>
        <w:rPr>
          <w:spacing w:val="-93"/>
        </w:rPr>
        <w:t> </w:t>
      </w:r>
      <w:r>
        <w:rPr>
          <w:spacing w:val="-93"/>
        </w:rPr>
      </w:r>
      <w:r>
        <w:rPr/>
        <w:t>资产的公允价值，采用估值技术确定其公允价值。</w:t>
      </w:r>
    </w:p>
    <w:p>
      <w:pPr>
        <w:spacing w:line="240" w:lineRule="auto" w:before="7"/>
        <w:rPr>
          <w:rFonts w:ascii="宋体" w:hAnsi="宋体" w:cs="宋体" w:eastAsia="宋体" w:hint="default"/>
          <w:sz w:val="16"/>
          <w:szCs w:val="16"/>
        </w:rPr>
      </w:pPr>
    </w:p>
    <w:p>
      <w:pPr>
        <w:pStyle w:val="BodyText"/>
        <w:spacing w:line="312" w:lineRule="exact"/>
        <w:ind w:right="993"/>
        <w:jc w:val="left"/>
      </w:pPr>
      <w:r>
        <w:rPr>
          <w:spacing w:val="-2"/>
        </w:rPr>
        <w:t>以公允价值计量非金融资产的，考虑市场参与者将该资产用于最佳用途产生经济利益的能力，</w:t>
      </w:r>
      <w:r>
        <w:rPr/>
        <w:t> 或者将该资产出售给能够用于最佳用途的其他市场参与者产生经济利益的能力。</w:t>
      </w:r>
    </w:p>
    <w:p>
      <w:pPr>
        <w:spacing w:line="240" w:lineRule="auto" w:before="7"/>
        <w:rPr>
          <w:rFonts w:ascii="宋体" w:hAnsi="宋体" w:cs="宋体" w:eastAsia="宋体" w:hint="default"/>
          <w:sz w:val="16"/>
          <w:szCs w:val="16"/>
        </w:rPr>
      </w:pPr>
    </w:p>
    <w:p>
      <w:pPr>
        <w:pStyle w:val="BodyText"/>
        <w:spacing w:line="312" w:lineRule="exact"/>
        <w:ind w:right="1134"/>
        <w:jc w:val="both"/>
      </w:pPr>
      <w:r>
        <w:rPr/>
        <w:t>本公司采用在当前情况下适用并且有足够可利用数据和其他信息支持的估值技术，优先使用</w:t>
      </w:r>
      <w:r>
        <w:rPr>
          <w:spacing w:val="-91"/>
        </w:rPr>
        <w:t> </w:t>
      </w:r>
      <w:r>
        <w:rPr>
          <w:spacing w:val="-91"/>
        </w:rPr>
      </w:r>
      <w:r>
        <w:rPr/>
        <w:t>相关可观察输入值，只有在可观察输入值无法取得或取得不切实可行的情况下，才使用不可</w:t>
      </w:r>
      <w:r>
        <w:rPr>
          <w:spacing w:val="-93"/>
        </w:rPr>
        <w:t> </w:t>
      </w:r>
      <w:r>
        <w:rPr>
          <w:spacing w:val="-93"/>
        </w:rPr>
      </w:r>
      <w:r>
        <w:rPr/>
        <w:t>观察输入值。</w:t>
      </w:r>
    </w:p>
    <w:p>
      <w:pPr>
        <w:pStyle w:val="BodyText"/>
        <w:spacing w:line="237" w:lineRule="auto" w:before="188"/>
        <w:ind w:right="1133"/>
        <w:jc w:val="both"/>
      </w:pPr>
      <w:r>
        <w:rPr/>
        <w:t>在财务报表中以公允价值计量或披露的资产和负债，根据对公允价值计量整体而言具有重要</w:t>
      </w:r>
      <w:r>
        <w:rPr>
          <w:spacing w:val="-93"/>
        </w:rPr>
        <w:t> </w:t>
      </w:r>
      <w:r>
        <w:rPr>
          <w:spacing w:val="-93"/>
        </w:rPr>
      </w:r>
      <w:r>
        <w:rPr/>
        <w:t>意义的最低层次输入值，确定所属的公允价值层次：第一层次输入值，是在计量日能够取得</w:t>
      </w:r>
      <w:r>
        <w:rPr>
          <w:spacing w:val="-93"/>
        </w:rPr>
        <w:t> </w:t>
      </w:r>
      <w:r>
        <w:rPr>
          <w:spacing w:val="-93"/>
        </w:rPr>
      </w:r>
      <w:r>
        <w:rPr/>
        <w:t>的相同资产或负债在活跃市场上未经调整的报价；第二层次输入值，是除第一层次输入值外</w:t>
      </w:r>
      <w:r>
        <w:rPr>
          <w:spacing w:val="-93"/>
        </w:rPr>
        <w:t> </w:t>
      </w:r>
      <w:r>
        <w:rPr>
          <w:spacing w:val="-93"/>
        </w:rPr>
      </w:r>
      <w:r>
        <w:rPr/>
        <w:t>相关资产或负债直接或间接可观察的输入值；第三层次输入值，是相关资产或负债的不可观</w:t>
      </w:r>
      <w:r>
        <w:rPr>
          <w:spacing w:val="-93"/>
        </w:rPr>
        <w:t> </w:t>
      </w:r>
      <w:r>
        <w:rPr>
          <w:spacing w:val="-93"/>
        </w:rPr>
      </w:r>
      <w:r>
        <w:rPr/>
        <w:t>察输入值。每个资产负债表日，本公司对在财务报表中确认的持续以公允价值计量的资产和</w:t>
      </w:r>
      <w:r>
        <w:rPr>
          <w:spacing w:val="-90"/>
        </w:rPr>
        <w:t> </w:t>
      </w:r>
      <w:r>
        <w:rPr>
          <w:spacing w:val="-90"/>
        </w:rPr>
      </w:r>
      <w:r>
        <w:rPr/>
        <w:t>负债进行重新评估，以确定是否在公允价值计量层次之间发生转换。</w:t>
      </w:r>
    </w:p>
    <w:p>
      <w:pPr>
        <w:pStyle w:val="BodyText"/>
        <w:spacing w:line="240" w:lineRule="auto" w:before="214"/>
        <w:ind w:right="0"/>
        <w:jc w:val="both"/>
      </w:pPr>
      <w:r>
        <w:rPr/>
        <w:t>（</w:t>
      </w:r>
      <w:r>
        <w:rPr>
          <w:rFonts w:ascii="Times New Roman" w:hAnsi="Times New Roman" w:cs="Times New Roman" w:eastAsia="Times New Roman" w:hint="default"/>
        </w:rPr>
        <w:t>5</w:t>
      </w:r>
      <w:r>
        <w:rPr/>
        <w:t>）金融资产减值</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本公司以预期信用损失为基础，对下列项目进行减值会计处理并确认损失准备：</w:t>
      </w:r>
    </w:p>
    <w:p>
      <w:pPr>
        <w:pStyle w:val="BodyText"/>
        <w:spacing w:line="240" w:lineRule="auto" w:before="214"/>
        <w:ind w:left="273" w:right="0"/>
        <w:jc w:val="left"/>
      </w:pPr>
      <w:r>
        <w:rPr/>
        <w:t>· 以摊余成本计量的金融资产；</w:t>
      </w:r>
    </w:p>
    <w:p>
      <w:pPr>
        <w:pStyle w:val="BodyText"/>
        <w:spacing w:line="240" w:lineRule="auto" w:before="214"/>
        <w:ind w:left="273" w:right="0"/>
        <w:jc w:val="left"/>
      </w:pPr>
      <w:r>
        <w:rPr/>
        <w:t>· 以公允价值计量且其变动计入其他综合收益的应收款项和债权投资；</w:t>
      </w:r>
    </w:p>
    <w:p>
      <w:pPr>
        <w:spacing w:line="403" w:lineRule="auto" w:before="214"/>
        <w:ind w:left="153" w:right="8582" w:firstLine="120"/>
        <w:jc w:val="left"/>
        <w:rPr>
          <w:rFonts w:ascii="宋体" w:hAnsi="宋体" w:cs="宋体" w:eastAsia="宋体" w:hint="default"/>
          <w:sz w:val="24"/>
          <w:szCs w:val="24"/>
        </w:rPr>
      </w:pPr>
      <w:r>
        <w:rPr>
          <w:rFonts w:ascii="宋体" w:hAnsi="宋体" w:cs="宋体" w:eastAsia="宋体" w:hint="default"/>
          <w:sz w:val="24"/>
          <w:szCs w:val="24"/>
        </w:rPr>
        <w:t>· 租赁应收款。 </w:t>
      </w:r>
      <w:r>
        <w:rPr>
          <w:rFonts w:ascii="宋体" w:hAnsi="宋体" w:cs="宋体" w:eastAsia="宋体" w:hint="default"/>
          <w:b/>
          <w:bCs/>
          <w:sz w:val="24"/>
          <w:szCs w:val="24"/>
        </w:rPr>
        <w:t>预期信用损失的计量</w:t>
      </w:r>
      <w:r>
        <w:rPr>
          <w:rFonts w:ascii="宋体" w:hAnsi="宋体" w:cs="宋体" w:eastAsia="宋体" w:hint="default"/>
          <w:sz w:val="24"/>
          <w:szCs w:val="24"/>
        </w:rPr>
      </w:r>
    </w:p>
    <w:p>
      <w:pPr>
        <w:pStyle w:val="BodyText"/>
        <w:spacing w:line="312" w:lineRule="exact" w:before="82"/>
        <w:ind w:right="0"/>
        <w:jc w:val="left"/>
      </w:pPr>
      <w:r>
        <w:rPr>
          <w:spacing w:val="-3"/>
        </w:rPr>
        <w:t>预期信用损失，是指以发生违约的风险为权重的金融工具信用损失的加权平均值。信用损失，</w:t>
      </w:r>
      <w:r>
        <w:rPr>
          <w:spacing w:val="-85"/>
        </w:rPr>
        <w:t> </w:t>
      </w:r>
      <w:r>
        <w:rPr>
          <w:spacing w:val="-85"/>
        </w:rPr>
      </w:r>
      <w:r>
        <w:rPr/>
        <w:t>是指本公司按照原实际利率折现的、根据合同应收的所有合同现金流量与预期收取的所有现</w:t>
      </w:r>
      <w:r>
        <w:rPr>
          <w:spacing w:val="-93"/>
        </w:rPr>
        <w:t> </w:t>
      </w:r>
      <w:r>
        <w:rPr>
          <w:spacing w:val="-93"/>
        </w:rPr>
      </w:r>
      <w:r>
        <w:rPr/>
        <w:t>金流量之间的差额，即全部现金短缺的现值。</w:t>
      </w:r>
    </w:p>
    <w:p>
      <w:pPr>
        <w:pStyle w:val="BodyText"/>
        <w:spacing w:line="235" w:lineRule="auto" w:before="191"/>
        <w:ind w:right="1010"/>
        <w:jc w:val="both"/>
      </w:pPr>
      <w:r>
        <w:rPr/>
        <w:t>本公司对于处于不同阶段的金融工具的预期信用损失分别进行计量。金融工具自初始确认后</w:t>
      </w:r>
      <w:r>
        <w:rPr>
          <w:spacing w:val="-93"/>
        </w:rPr>
        <w:t> </w:t>
      </w:r>
      <w:r>
        <w:rPr>
          <w:spacing w:val="-93"/>
        </w:rPr>
      </w:r>
      <w:r>
        <w:rPr/>
        <w:t>信用风险未显著增加的，处于第一阶段，本公司按照未来</w:t>
      </w:r>
      <w:r>
        <w:rPr>
          <w:rFonts w:ascii="Times New Roman" w:hAnsi="Times New Roman" w:cs="Times New Roman" w:eastAsia="Times New Roman" w:hint="default"/>
        </w:rPr>
        <w:t>12</w:t>
      </w:r>
      <w:r>
        <w:rPr/>
        <w:t>个月内的预期信用损失计量损失</w:t>
      </w:r>
      <w:r>
        <w:rPr>
          <w:spacing w:val="-90"/>
        </w:rPr>
        <w:t> </w:t>
      </w:r>
      <w:r>
        <w:rPr>
          <w:spacing w:val="-90"/>
        </w:rPr>
      </w:r>
      <w:r>
        <w:rPr/>
        <w:t>准备；金融工具自初始确认后信用风险已显著增加但尚未发生信用减值的，处于第二阶段，</w:t>
      </w:r>
      <w:r>
        <w:rPr>
          <w:spacing w:val="-93"/>
        </w:rPr>
        <w:t> </w:t>
      </w:r>
      <w:r>
        <w:rPr>
          <w:spacing w:val="-93"/>
        </w:rPr>
      </w:r>
      <w:r>
        <w:rPr/>
        <w:t>本公司按照该工具整个存续期的预期信用损失计量损失准备；金融工具自初始确认后已经发</w:t>
      </w:r>
      <w:r>
        <w:rPr>
          <w:spacing w:val="-93"/>
        </w:rPr>
        <w:t> </w:t>
      </w:r>
      <w:r>
        <w:rPr>
          <w:spacing w:val="-93"/>
        </w:rPr>
      </w:r>
      <w:r>
        <w:rPr>
          <w:spacing w:val="-3"/>
        </w:rPr>
        <w:t>生信用减值的，处于第三阶段，本公司按照该工具整个存续期的预期信用损失计量损失准备。</w:t>
      </w:r>
    </w:p>
    <w:p>
      <w:pPr>
        <w:spacing w:line="240" w:lineRule="auto" w:before="10"/>
        <w:rPr>
          <w:rFonts w:ascii="宋体" w:hAnsi="宋体" w:cs="宋体" w:eastAsia="宋体" w:hint="default"/>
          <w:sz w:val="18"/>
          <w:szCs w:val="18"/>
        </w:rPr>
      </w:pPr>
    </w:p>
    <w:p>
      <w:pPr>
        <w:pStyle w:val="BodyText"/>
        <w:spacing w:line="312" w:lineRule="exact"/>
        <w:ind w:right="1136"/>
        <w:jc w:val="both"/>
      </w:pPr>
      <w:r>
        <w:rPr/>
        <w:t>对于在资产负债表日具有较低信用风险的金融工具，本公司假设其信用风险自初始确认后并</w:t>
      </w:r>
      <w:r>
        <w:rPr>
          <w:spacing w:val="-93"/>
        </w:rPr>
        <w:t> </w:t>
      </w:r>
      <w:r>
        <w:rPr>
          <w:spacing w:val="-93"/>
        </w:rPr>
      </w:r>
      <w:r>
        <w:rPr/>
        <w:t>未显著增加，按照未来</w:t>
      </w:r>
      <w:r>
        <w:rPr>
          <w:rFonts w:ascii="Times New Roman" w:hAnsi="Times New Roman" w:cs="Times New Roman" w:eastAsia="Times New Roman" w:hint="default"/>
        </w:rPr>
        <w:t>12</w:t>
      </w:r>
      <w:r>
        <w:rPr/>
        <w:t>个月内的预期信用损失计量损失准备。</w:t>
      </w:r>
    </w:p>
    <w:p>
      <w:pPr>
        <w:spacing w:line="240" w:lineRule="auto" w:before="7"/>
        <w:rPr>
          <w:rFonts w:ascii="宋体" w:hAnsi="宋体" w:cs="宋体" w:eastAsia="宋体" w:hint="default"/>
          <w:sz w:val="16"/>
          <w:szCs w:val="16"/>
        </w:rPr>
      </w:pPr>
    </w:p>
    <w:p>
      <w:pPr>
        <w:pStyle w:val="BodyText"/>
        <w:spacing w:line="312" w:lineRule="exact"/>
        <w:ind w:right="1132"/>
        <w:jc w:val="both"/>
      </w:pPr>
      <w:r>
        <w:rPr/>
        <w:t>整个存续期预期信用损失，是指因金融工具整个预计存续期内所有可能发生的违约事件而导</w:t>
      </w:r>
      <w:r>
        <w:rPr>
          <w:spacing w:val="-93"/>
        </w:rPr>
        <w:t> </w:t>
      </w:r>
      <w:r>
        <w:rPr>
          <w:spacing w:val="-93"/>
        </w:rPr>
      </w:r>
      <w:r>
        <w:rPr/>
        <w:t>致的预期信用损失。未来</w:t>
      </w:r>
      <w:r>
        <w:rPr>
          <w:rFonts w:ascii="Times New Roman" w:hAnsi="Times New Roman" w:cs="Times New Roman" w:eastAsia="Times New Roman" w:hint="default"/>
        </w:rPr>
        <w:t>12</w:t>
      </w:r>
      <w:r>
        <w:rPr/>
        <w:t>个月内预期信用损失，是指因资产负债表日后</w:t>
      </w:r>
      <w:r>
        <w:rPr>
          <w:rFonts w:ascii="Times New Roman" w:hAnsi="Times New Roman" w:cs="Times New Roman" w:eastAsia="Times New Roman" w:hint="default"/>
        </w:rPr>
        <w:t>12</w:t>
      </w:r>
      <w:r>
        <w:rPr/>
        <w:t>个月内（若金融</w:t>
      </w:r>
      <w:r>
        <w:rPr>
          <w:spacing w:val="-90"/>
        </w:rPr>
        <w:t> </w:t>
      </w:r>
      <w:r>
        <w:rPr>
          <w:spacing w:val="-90"/>
        </w:rPr>
      </w:r>
      <w:r>
        <w:rPr/>
        <w:t>工具的预计存续期少于</w:t>
      </w:r>
      <w:r>
        <w:rPr>
          <w:rFonts w:ascii="Times New Roman" w:hAnsi="Times New Roman" w:cs="Times New Roman" w:eastAsia="Times New Roman" w:hint="default"/>
        </w:rPr>
        <w:t>12</w:t>
      </w:r>
      <w:r>
        <w:rPr/>
        <w:t>个月，则为预计存续期）可能发生的金融工具违约事件而导致的预</w:t>
      </w:r>
      <w:r>
        <w:rPr>
          <w:spacing w:val="-92"/>
        </w:rPr>
        <w:t> </w:t>
      </w:r>
      <w:r>
        <w:rPr>
          <w:spacing w:val="-92"/>
        </w:rPr>
      </w:r>
      <w:r>
        <w:rPr/>
        <w:t>期信用损失，是整个存续期预期信用损失的一部分。</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在计量预期信用损失时，本公司需考虑的最长期限为企业面临信用风险的最长合同期限（包</w:t>
      </w:r>
      <w:r>
        <w:rPr>
          <w:spacing w:val="-93"/>
        </w:rPr>
        <w:t> </w:t>
      </w:r>
      <w:r>
        <w:rPr>
          <w:spacing w:val="-93"/>
        </w:rPr>
      </w:r>
      <w:r>
        <w:rPr/>
        <w:t>括考虑续约选择权）。</w:t>
      </w:r>
    </w:p>
    <w:p>
      <w:pPr>
        <w:pStyle w:val="BodyText"/>
        <w:spacing w:line="237" w:lineRule="auto" w:before="188"/>
        <w:ind w:right="1136"/>
        <w:jc w:val="both"/>
      </w:pPr>
      <w:r>
        <w:rPr/>
        <w:t>本公司对于处于第一阶段和第二阶段、以及较低信用风险的金融工具，按照其未扣除减值准</w:t>
      </w:r>
      <w:r>
        <w:rPr>
          <w:spacing w:val="-93"/>
        </w:rPr>
        <w:t> </w:t>
      </w:r>
      <w:r>
        <w:rPr>
          <w:spacing w:val="-93"/>
        </w:rPr>
      </w:r>
      <w:r>
        <w:rPr/>
        <w:t>备的账面余额和实际利率计算利息收入。对于处于第三阶段的金融工具，按照其账面余额减</w:t>
      </w:r>
      <w:r>
        <w:rPr>
          <w:spacing w:val="-93"/>
        </w:rPr>
        <w:t> </w:t>
      </w:r>
      <w:r>
        <w:rPr>
          <w:spacing w:val="-93"/>
        </w:rPr>
      </w:r>
      <w:r>
        <w:rPr/>
        <w:t>已计提减值准备后的摊余成本和实际利率计算利息收入。</w:t>
      </w:r>
    </w:p>
    <w:p>
      <w:pPr>
        <w:spacing w:line="240" w:lineRule="auto" w:before="9"/>
        <w:rPr>
          <w:rFonts w:ascii="宋体" w:hAnsi="宋体" w:cs="宋体" w:eastAsia="宋体" w:hint="default"/>
          <w:sz w:val="18"/>
          <w:szCs w:val="18"/>
        </w:rPr>
      </w:pPr>
    </w:p>
    <w:p>
      <w:pPr>
        <w:pStyle w:val="BodyText"/>
        <w:spacing w:line="312" w:lineRule="exact"/>
        <w:ind w:right="0"/>
        <w:jc w:val="left"/>
      </w:pPr>
      <w:r>
        <w:rPr/>
        <w:t>对于应收票据、应收账款，无论是否存在重大融资成分，本公司始终按照相当于整个存续期</w:t>
      </w:r>
      <w:r>
        <w:rPr>
          <w:spacing w:val="-93"/>
        </w:rPr>
        <w:t> </w:t>
      </w:r>
      <w:r>
        <w:rPr>
          <w:spacing w:val="-93"/>
        </w:rPr>
      </w:r>
      <w:r>
        <w:rPr/>
        <w:t>内预期信用损失的金额计量其损失准备。</w:t>
      </w:r>
    </w:p>
    <w:p>
      <w:pPr>
        <w:pStyle w:val="BodyText"/>
        <w:spacing w:line="240" w:lineRule="auto" w:before="185"/>
        <w:ind w:right="993"/>
        <w:jc w:val="left"/>
      </w:pPr>
      <w:r>
        <w:rPr>
          <w:spacing w:val="-2"/>
        </w:rPr>
        <w:t>本公司依据信用风险特征对应收票据和应收账款划分组合，在组合基础上计算预期信用损失，</w:t>
      </w:r>
      <w:r>
        <w:rPr/>
        <w:t> 确定组合的依据如下：</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Heading2"/>
        <w:spacing w:line="240" w:lineRule="auto"/>
        <w:ind w:right="0"/>
        <w:jc w:val="both"/>
        <w:rPr>
          <w:b w:val="0"/>
          <w:bCs w:val="0"/>
        </w:rPr>
      </w:pPr>
      <w:r>
        <w:rPr/>
        <w:t>信用风险显著增加的评估</w:t>
      </w:r>
      <w:r>
        <w:rPr>
          <w:b w:val="0"/>
          <w:bCs w:val="0"/>
        </w:rPr>
      </w:r>
    </w:p>
    <w:p>
      <w:pPr>
        <w:spacing w:line="240" w:lineRule="auto" w:before="7"/>
        <w:rPr>
          <w:rFonts w:ascii="宋体" w:hAnsi="宋体" w:cs="宋体" w:eastAsia="宋体" w:hint="default"/>
          <w:b/>
          <w:bCs/>
          <w:sz w:val="16"/>
          <w:szCs w:val="16"/>
        </w:rPr>
      </w:pPr>
    </w:p>
    <w:p>
      <w:pPr>
        <w:pStyle w:val="BodyText"/>
        <w:spacing w:line="237" w:lineRule="auto"/>
        <w:ind w:right="1136"/>
        <w:jc w:val="both"/>
      </w:pPr>
      <w:r>
        <w:rPr/>
        <w:t>本公司通过比较金融工具在资产负债表日发生违约的风险与在初始确认日发生违约的风险，</w:t>
      </w:r>
      <w:r>
        <w:rPr>
          <w:spacing w:val="-93"/>
        </w:rPr>
        <w:t> </w:t>
      </w:r>
      <w:r>
        <w:rPr>
          <w:spacing w:val="-93"/>
        </w:rPr>
      </w:r>
      <w:r>
        <w:rPr/>
        <w:t>以确定金融工具预计存续期内发生违约风险的相对变化，以评估金融工具的信用风险自初始</w:t>
      </w:r>
      <w:r>
        <w:rPr>
          <w:spacing w:val="-93"/>
        </w:rPr>
        <w:t> </w:t>
      </w:r>
      <w:r>
        <w:rPr>
          <w:spacing w:val="-93"/>
        </w:rPr>
      </w:r>
      <w:r>
        <w:rPr/>
        <w:t>确认后是否已显著增加。</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在确定信用风险自初始确认后是否显著增加时，本公司考虑无须付出不必要的额外成本或努</w:t>
      </w:r>
      <w:r>
        <w:rPr>
          <w:spacing w:val="-93"/>
        </w:rPr>
        <w:t> </w:t>
      </w:r>
      <w:r>
        <w:rPr>
          <w:spacing w:val="-93"/>
        </w:rPr>
      </w:r>
      <w:r>
        <w:rPr/>
        <w:t>力即可获得的合理且有依据的信息，包括前瞻性信息。本公司考虑的信息包括：</w:t>
      </w:r>
    </w:p>
    <w:p>
      <w:pPr>
        <w:pStyle w:val="BodyText"/>
        <w:spacing w:line="240" w:lineRule="auto" w:before="185"/>
        <w:ind w:left="273" w:right="0"/>
        <w:jc w:val="left"/>
      </w:pPr>
      <w:r>
        <w:rPr/>
        <w:t>· 债务人未能按合同到期日支付本金和利息的情况；</w:t>
      </w:r>
    </w:p>
    <w:p>
      <w:pPr>
        <w:pStyle w:val="BodyText"/>
        <w:spacing w:line="240" w:lineRule="auto" w:before="214"/>
        <w:ind w:left="273" w:right="0"/>
        <w:jc w:val="left"/>
      </w:pPr>
      <w:r>
        <w:rPr/>
        <w:t>· 已发生的或预期的金融工具的外部或内部信用评级（如有）的严重恶化；</w:t>
      </w:r>
    </w:p>
    <w:p>
      <w:pPr>
        <w:pStyle w:val="BodyText"/>
        <w:spacing w:line="240" w:lineRule="auto" w:before="214"/>
        <w:ind w:left="273" w:right="0"/>
        <w:jc w:val="left"/>
      </w:pPr>
      <w:r>
        <w:rPr/>
        <w:t>· 已发生的或预期的债务人经营成果的严重恶化；</w:t>
      </w:r>
    </w:p>
    <w:p>
      <w:pPr>
        <w:pStyle w:val="BodyText"/>
        <w:spacing w:line="240" w:lineRule="auto" w:before="214"/>
        <w:ind w:left="633" w:right="1151" w:hanging="360"/>
        <w:jc w:val="left"/>
      </w:pPr>
      <w:r>
        <w:rPr/>
        <w:t>· 现存的或预期的技术、市场、经济或法律环境变化，并将对债务人对本公司的还款能力 产生重大不利影响。</w:t>
      </w:r>
    </w:p>
    <w:p>
      <w:pPr>
        <w:spacing w:line="240" w:lineRule="auto" w:before="9"/>
        <w:rPr>
          <w:rFonts w:ascii="宋体" w:hAnsi="宋体" w:cs="宋体" w:eastAsia="宋体" w:hint="default"/>
          <w:sz w:val="18"/>
          <w:szCs w:val="18"/>
        </w:rPr>
      </w:pPr>
    </w:p>
    <w:p>
      <w:pPr>
        <w:pStyle w:val="BodyText"/>
        <w:spacing w:line="312" w:lineRule="exact"/>
        <w:ind w:right="1136"/>
        <w:jc w:val="both"/>
      </w:pPr>
      <w:r>
        <w:rPr/>
        <w:t>根据金融工具的性质，本公司以单项金融工具或金融工具组合为基础评估信用风险是否显著</w:t>
      </w:r>
      <w:r>
        <w:rPr>
          <w:spacing w:val="-93"/>
        </w:rPr>
        <w:t> </w:t>
      </w:r>
      <w:r>
        <w:rPr>
          <w:spacing w:val="-93"/>
        </w:rPr>
      </w:r>
      <w:r>
        <w:rPr/>
        <w:t>增加。以金融工具组合为基础进行评估时，本公司可基于共同信用风险特征对金融工具进行</w:t>
      </w:r>
      <w:r>
        <w:rPr>
          <w:spacing w:val="-93"/>
        </w:rPr>
        <w:t> </w:t>
      </w:r>
      <w:r>
        <w:rPr>
          <w:spacing w:val="-93"/>
        </w:rPr>
      </w:r>
      <w:r>
        <w:rPr/>
        <w:t>分类，例如逾期信息和信用风险评级。</w:t>
      </w:r>
    </w:p>
    <w:p>
      <w:pPr>
        <w:pStyle w:val="Heading2"/>
        <w:spacing w:line="240" w:lineRule="auto" w:before="186"/>
        <w:ind w:right="0"/>
        <w:jc w:val="both"/>
        <w:rPr>
          <w:b w:val="0"/>
          <w:bCs w:val="0"/>
        </w:rPr>
      </w:pPr>
      <w:r>
        <w:rPr/>
        <w:t>已发生信用减值的金融资产</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3"/>
        <w:jc w:val="both"/>
      </w:pPr>
      <w:r>
        <w:rPr/>
        <w:t>本公司在资产负债表日评估以摊余成本计量的金融资产和以公允价值计量且其变动计入其他</w:t>
      </w:r>
      <w:r>
        <w:rPr>
          <w:spacing w:val="-93"/>
        </w:rPr>
        <w:t> </w:t>
      </w:r>
      <w:r>
        <w:rPr>
          <w:spacing w:val="-93"/>
        </w:rPr>
      </w:r>
      <w:r>
        <w:rPr/>
        <w:t>综合收益的债权投资是否已发生信用减值。当对金融资产预期未来现金流量具有不利影响的</w:t>
      </w:r>
      <w:r>
        <w:rPr>
          <w:spacing w:val="-93"/>
        </w:rPr>
        <w:t> </w:t>
      </w:r>
      <w:r>
        <w:rPr>
          <w:spacing w:val="-93"/>
        </w:rPr>
      </w:r>
      <w:r>
        <w:rPr/>
        <w:t>一项或多项事件发生时，该金融资产成为已发生信用减值的金融资产。金融资产已发生信用</w:t>
      </w:r>
      <w:r>
        <w:rPr>
          <w:spacing w:val="-91"/>
        </w:rPr>
        <w:t> </w:t>
      </w:r>
      <w:r>
        <w:rPr>
          <w:spacing w:val="-91"/>
        </w:rPr>
      </w:r>
      <w:r>
        <w:rPr/>
        <w:t>减值的证据包括下列可观察信息：</w:t>
      </w:r>
    </w:p>
    <w:p>
      <w:pPr>
        <w:pStyle w:val="BodyText"/>
        <w:spacing w:line="240" w:lineRule="auto" w:before="185"/>
        <w:ind w:left="273" w:right="0"/>
        <w:jc w:val="left"/>
      </w:pPr>
      <w:r>
        <w:rPr/>
        <w:t>· 发行方或债务人发生重大财务困难；</w:t>
      </w:r>
    </w:p>
    <w:p>
      <w:pPr>
        <w:pStyle w:val="BodyText"/>
        <w:spacing w:line="240" w:lineRule="auto" w:before="214"/>
        <w:ind w:left="273" w:right="0"/>
        <w:jc w:val="left"/>
      </w:pPr>
      <w:r>
        <w:rPr/>
        <w:t>· 债务人违反合同，如偿付利息或本金违约或逾期等；</w:t>
      </w:r>
    </w:p>
    <w:p>
      <w:pPr>
        <w:pStyle w:val="BodyText"/>
        <w:spacing w:line="240" w:lineRule="auto" w:before="214"/>
        <w:ind w:left="633" w:right="1151" w:hanging="360"/>
        <w:jc w:val="left"/>
      </w:pPr>
      <w:r>
        <w:rPr/>
        <w:t>· 本公司出于与债务人财务困难有关的经济或合同考虑，给予债务人在任何其他情况下都 不会做出的让步；</w:t>
      </w:r>
    </w:p>
    <w:p>
      <w:pPr>
        <w:pStyle w:val="BodyText"/>
        <w:spacing w:line="240" w:lineRule="auto" w:before="214"/>
        <w:ind w:left="273" w:right="0"/>
        <w:jc w:val="left"/>
      </w:pPr>
      <w:r>
        <w:rPr/>
        <w:t>· 债务人很可能破产或进行其他财务重组；</w:t>
      </w:r>
    </w:p>
    <w:p>
      <w:pPr>
        <w:spacing w:line="403" w:lineRule="auto" w:before="214"/>
        <w:ind w:left="153" w:right="4031" w:firstLine="120"/>
        <w:jc w:val="left"/>
        <w:rPr>
          <w:rFonts w:ascii="宋体" w:hAnsi="宋体" w:cs="宋体" w:eastAsia="宋体" w:hint="default"/>
          <w:sz w:val="24"/>
          <w:szCs w:val="24"/>
        </w:rPr>
      </w:pPr>
      <w:r>
        <w:rPr>
          <w:rFonts w:ascii="宋体" w:hAnsi="宋体" w:cs="宋体" w:eastAsia="宋体" w:hint="default"/>
          <w:sz w:val="24"/>
          <w:szCs w:val="24"/>
        </w:rPr>
        <w:t>· 发行方或债务人财务困难导致该金融资产的活跃市场消失。 </w:t>
      </w:r>
      <w:r>
        <w:rPr>
          <w:rFonts w:ascii="宋体" w:hAnsi="宋体" w:cs="宋体" w:eastAsia="宋体" w:hint="default"/>
          <w:b/>
          <w:bCs/>
          <w:sz w:val="24"/>
          <w:szCs w:val="24"/>
        </w:rPr>
        <w:t>预期信用损失准备的列报</w:t>
      </w:r>
      <w:r>
        <w:rPr>
          <w:rFonts w:ascii="宋体" w:hAnsi="宋体" w:cs="宋体" w:eastAsia="宋体" w:hint="default"/>
          <w:sz w:val="24"/>
          <w:szCs w:val="24"/>
        </w:rPr>
      </w:r>
    </w:p>
    <w:p>
      <w:pPr>
        <w:pStyle w:val="BodyText"/>
        <w:spacing w:line="237" w:lineRule="auto" w:before="53"/>
        <w:ind w:right="993"/>
        <w:jc w:val="left"/>
      </w:pPr>
      <w:r>
        <w:rPr/>
        <w:t>为反映金融工具的信用风险自初始确认后的变化，本公司在每个资产负债表日重新计量预期</w:t>
      </w:r>
      <w:r>
        <w:rPr>
          <w:spacing w:val="-93"/>
        </w:rPr>
        <w:t> </w:t>
      </w:r>
      <w:r>
        <w:rPr>
          <w:spacing w:val="-93"/>
        </w:rPr>
      </w:r>
      <w:r>
        <w:rPr>
          <w:spacing w:val="-3"/>
        </w:rPr>
        <w:t>信用损失，由此形成的损失准备的增加或转回金额，应当作为减值损失或利得计入当期损益。</w:t>
      </w:r>
      <w:r>
        <w:rPr>
          <w:spacing w:val="-83"/>
        </w:rPr>
        <w:t> </w:t>
      </w:r>
      <w:r>
        <w:rPr>
          <w:spacing w:val="-83"/>
        </w:rPr>
      </w:r>
      <w:r>
        <w:rPr>
          <w:spacing w:val="-2"/>
        </w:rPr>
        <w:t>对于以摊余成本计量的金融资产，损失准备抵减该金融资产在资产负债表中列示的账面价值；</w:t>
      </w:r>
      <w:r>
        <w:rPr/>
        <w:t> 对于以公允价值计量且其变动计入其他综合收益的债权投资，本公司在其他综合收益中确认</w:t>
      </w:r>
      <w:r>
        <w:rPr>
          <w:spacing w:val="-93"/>
        </w:rPr>
        <w:t> </w:t>
      </w:r>
      <w:r>
        <w:rPr>
          <w:spacing w:val="-93"/>
        </w:rPr>
      </w:r>
      <w:r>
        <w:rPr/>
        <w:t>其损失准备，不抵减该金融资产的账面价值。</w:t>
      </w:r>
    </w:p>
    <w:p>
      <w:pPr>
        <w:pStyle w:val="Heading2"/>
        <w:spacing w:line="240" w:lineRule="auto" w:before="214"/>
        <w:ind w:right="0"/>
        <w:jc w:val="both"/>
        <w:rPr>
          <w:b w:val="0"/>
          <w:bCs w:val="0"/>
        </w:rPr>
      </w:pPr>
      <w:r>
        <w:rPr/>
        <w:t>核销</w:t>
      </w:r>
      <w:r>
        <w:rPr>
          <w:b w:val="0"/>
          <w:bCs w:val="0"/>
        </w:rPr>
      </w:r>
    </w:p>
    <w:p>
      <w:pPr>
        <w:spacing w:line="240" w:lineRule="auto" w:before="7"/>
        <w:rPr>
          <w:rFonts w:ascii="宋体" w:hAnsi="宋体" w:cs="宋体" w:eastAsia="宋体" w:hint="default"/>
          <w:b/>
          <w:bCs/>
          <w:sz w:val="16"/>
          <w:szCs w:val="16"/>
        </w:rPr>
      </w:pPr>
    </w:p>
    <w:p>
      <w:pPr>
        <w:pStyle w:val="BodyText"/>
        <w:spacing w:line="237" w:lineRule="auto"/>
        <w:ind w:right="1136"/>
        <w:jc w:val="both"/>
      </w:pPr>
      <w:r>
        <w:rPr/>
        <w:t>如果本公司不再合理预期金融资产合同现金流量能够全部或部分收回，则直接减记该金融资</w:t>
      </w:r>
      <w:r>
        <w:rPr>
          <w:spacing w:val="-93"/>
        </w:rPr>
        <w:t> </w:t>
      </w:r>
      <w:r>
        <w:rPr>
          <w:spacing w:val="-93"/>
        </w:rPr>
      </w:r>
      <w:r>
        <w:rPr/>
        <w:t>产的账面余额。这种减记构成相关金融资产的终止确认。这种情况通常发生在本公司确定债</w:t>
      </w:r>
      <w:r>
        <w:rPr>
          <w:spacing w:val="-93"/>
        </w:rPr>
        <w:t> </w:t>
      </w:r>
      <w:r>
        <w:rPr>
          <w:spacing w:val="-93"/>
        </w:rPr>
      </w:r>
      <w:r>
        <w:rPr/>
        <w:t>务人没有资产或收入来源可产生足够的现金流量以偿还将被减记的金额。但是，按照本公司</w:t>
      </w:r>
      <w:r>
        <w:rPr>
          <w:spacing w:val="-93"/>
        </w:rPr>
        <w:t> </w:t>
      </w:r>
      <w:r>
        <w:rPr>
          <w:spacing w:val="-93"/>
        </w:rPr>
      </w:r>
      <w:r>
        <w:rPr/>
        <w:t>收回到期款项的程序，被减记的金融资产仍可能受到执行活动的影响。</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已减记的金融资产以后又收回的，作为减值损失的转回计入收回当期的损益。</w:t>
      </w:r>
    </w:p>
    <w:p>
      <w:pPr>
        <w:pStyle w:val="BodyText"/>
        <w:spacing w:line="240" w:lineRule="auto" w:before="214"/>
        <w:ind w:right="0"/>
        <w:jc w:val="both"/>
      </w:pPr>
      <w:r>
        <w:rPr/>
        <w:t>（</w:t>
      </w:r>
      <w:r>
        <w:rPr>
          <w:rFonts w:ascii="Times New Roman" w:hAnsi="Times New Roman" w:cs="Times New Roman" w:eastAsia="Times New Roman" w:hint="default"/>
        </w:rPr>
        <w:t>6</w:t>
      </w:r>
      <w:r>
        <w:rPr/>
        <w:t>）金融资产转移</w:t>
      </w:r>
    </w:p>
    <w:p>
      <w:pPr>
        <w:pStyle w:val="BodyText"/>
        <w:spacing w:line="240" w:lineRule="auto" w:before="196"/>
        <w:ind w:right="0"/>
        <w:jc w:val="both"/>
      </w:pPr>
      <w:r>
        <w:rPr/>
        <w:t>金融资产转移，是指将金融资产让与或交付给该金融资产发行方以外的另一方（转入方）。</w:t>
      </w:r>
    </w:p>
    <w:p>
      <w:pPr>
        <w:spacing w:line="240" w:lineRule="auto" w:before="9"/>
        <w:rPr>
          <w:rFonts w:ascii="宋体" w:hAnsi="宋体" w:cs="宋体" w:eastAsia="宋体" w:hint="default"/>
          <w:sz w:val="18"/>
          <w:szCs w:val="18"/>
        </w:rPr>
      </w:pPr>
    </w:p>
    <w:p>
      <w:pPr>
        <w:pStyle w:val="BodyText"/>
        <w:spacing w:line="312" w:lineRule="exact"/>
        <w:ind w:right="993"/>
        <w:jc w:val="left"/>
      </w:pPr>
      <w:r>
        <w:rPr>
          <w:spacing w:val="-2"/>
        </w:rPr>
        <w:t>本公司已将金融资产所有权上几乎所有的风险和报酬转移给转入方的，终止确认该金融资产；</w:t>
      </w:r>
      <w:r>
        <w:rPr/>
        <w:t> 保留了金融资产所有权上几乎所有的风险和报酬的，不终止确认该金融资产。</w:t>
      </w:r>
    </w:p>
    <w:p>
      <w:pPr>
        <w:pStyle w:val="BodyText"/>
        <w:spacing w:line="237" w:lineRule="auto" w:before="188"/>
        <w:ind w:right="1136"/>
        <w:jc w:val="both"/>
      </w:pPr>
      <w:r>
        <w:rPr/>
        <w:t>本公司既没有转移也没有保留金融资产所有权上几乎所有的风险和报酬的，分别下列情况处</w:t>
      </w:r>
      <w:r>
        <w:rPr>
          <w:spacing w:val="-93"/>
        </w:rPr>
        <w:t> </w:t>
      </w:r>
      <w:r>
        <w:rPr>
          <w:spacing w:val="-93"/>
        </w:rPr>
      </w:r>
      <w:r>
        <w:rPr/>
        <w:t>理：放弃了对该金融资产控制的，终止确认该金融资产并确认产生的资产和负债；未放弃对</w:t>
      </w:r>
      <w:r>
        <w:rPr>
          <w:spacing w:val="-93"/>
        </w:rPr>
        <w:t> </w:t>
      </w:r>
      <w:r>
        <w:rPr>
          <w:spacing w:val="-93"/>
        </w:rPr>
      </w:r>
      <w:r>
        <w:rPr/>
        <w:t>该金融资产控制的，按照其继续涉入所转移金融资产的程度确认有关金融资产，并相应确认</w:t>
      </w:r>
      <w:r>
        <w:rPr>
          <w:spacing w:val="-93"/>
        </w:rPr>
        <w:t> </w:t>
      </w:r>
      <w:r>
        <w:rPr>
          <w:spacing w:val="-93"/>
        </w:rPr>
      </w:r>
      <w:r>
        <w:rPr/>
        <w:t>有关负债。</w:t>
      </w:r>
    </w:p>
    <w:p>
      <w:pPr>
        <w:pStyle w:val="BodyText"/>
        <w:spacing w:line="240" w:lineRule="auto" w:before="214"/>
        <w:ind w:right="0"/>
        <w:jc w:val="both"/>
      </w:pPr>
      <w:r>
        <w:rPr/>
        <w:t>（</w:t>
      </w:r>
      <w:r>
        <w:rPr>
          <w:rFonts w:ascii="Times New Roman" w:hAnsi="Times New Roman" w:cs="Times New Roman" w:eastAsia="Times New Roman" w:hint="default"/>
        </w:rPr>
        <w:t>7</w:t>
      </w:r>
      <w:r>
        <w:rPr/>
        <w:t>）金融资产和金融负债的抵销</w:t>
      </w:r>
    </w:p>
    <w:p>
      <w:pPr>
        <w:spacing w:line="240" w:lineRule="auto" w:before="5"/>
        <w:rPr>
          <w:rFonts w:ascii="宋体" w:hAnsi="宋体" w:cs="宋体" w:eastAsia="宋体" w:hint="default"/>
          <w:sz w:val="17"/>
          <w:szCs w:val="17"/>
        </w:rPr>
      </w:pPr>
    </w:p>
    <w:p>
      <w:pPr>
        <w:pStyle w:val="BodyText"/>
        <w:spacing w:line="312" w:lineRule="exact"/>
        <w:ind w:right="1132"/>
        <w:jc w:val="both"/>
      </w:pPr>
      <w:r>
        <w:rPr/>
        <w:t>当本公司具有抵销已确认金融资产和金融负债的法定权利，且目前可执行该种法定权利，同</w:t>
      </w:r>
      <w:r>
        <w:rPr>
          <w:spacing w:val="-93"/>
        </w:rPr>
        <w:t> </w:t>
      </w:r>
      <w:r>
        <w:rPr>
          <w:spacing w:val="-93"/>
        </w:rPr>
      </w:r>
      <w:r>
        <w:rPr/>
        <w:t>时本公司计划以净额结算或同时变现该金融资产和清偿该金融负债时，金融资产和金融负债</w:t>
      </w:r>
      <w:r>
        <w:rPr>
          <w:spacing w:val="-93"/>
        </w:rPr>
        <w:t> </w:t>
      </w:r>
      <w:r>
        <w:rPr>
          <w:spacing w:val="-93"/>
        </w:rPr>
      </w:r>
      <w:r>
        <w:rPr/>
        <w:t>以相互抵销后的金额在资产负债表内列示。除此以外，金融资产和金融负债在资产负债表内</w:t>
      </w:r>
      <w:r>
        <w:rPr>
          <w:spacing w:val="-89"/>
        </w:rPr>
        <w:t> </w:t>
      </w:r>
      <w:r>
        <w:rPr>
          <w:spacing w:val="-89"/>
        </w:rPr>
      </w:r>
      <w:r>
        <w:rPr/>
        <w:t>分别列示，不予相互抵销。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0" w:firstLine="0"/>
        <w:jc w:val="both"/>
        <w:rPr>
          <w:rFonts w:ascii="宋体" w:hAnsi="宋体" w:cs="宋体" w:eastAsia="宋体" w:hint="default"/>
          <w:sz w:val="21"/>
          <w:szCs w:val="21"/>
        </w:rPr>
      </w:pPr>
      <w:bookmarkStart w:name="11、应收票据" w:id="183"/>
      <w:bookmarkEnd w:id="1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0"/>
        <w:jc w:val="left"/>
      </w:pPr>
      <w:r>
        <w:rPr/>
        <w:t>对于应收票据，无论是否存在重大融资成分，本公司始终按照相当于整个存续期内预期信用</w:t>
      </w:r>
      <w:r>
        <w:rPr>
          <w:spacing w:val="-93"/>
        </w:rPr>
        <w:t> </w:t>
      </w:r>
      <w:r>
        <w:rPr>
          <w:spacing w:val="-93"/>
        </w:rPr>
      </w:r>
      <w:r>
        <w:rPr/>
        <w:t>损失的金额计量其损失准备。</w:t>
      </w:r>
    </w:p>
    <w:p>
      <w:pPr>
        <w:pStyle w:val="BodyText"/>
        <w:spacing w:line="312" w:lineRule="exact" w:before="216"/>
        <w:ind w:right="0"/>
        <w:jc w:val="left"/>
      </w:pPr>
      <w:r>
        <w:rPr/>
        <w:t>本公司依据信用风险特征对应收票据划分组合，在组合基础上计算预期信用损失，确定组合</w:t>
      </w:r>
      <w:r>
        <w:rPr>
          <w:spacing w:val="-93"/>
        </w:rPr>
        <w:t> </w:t>
      </w:r>
      <w:r>
        <w:rPr>
          <w:spacing w:val="-93"/>
        </w:rPr>
      </w:r>
      <w:r>
        <w:rPr/>
        <w:t>的依据如下：</w:t>
      </w:r>
    </w:p>
    <w:p>
      <w:pPr>
        <w:pStyle w:val="BodyText"/>
        <w:spacing w:line="240" w:lineRule="auto" w:before="186"/>
        <w:ind w:left="273" w:right="0"/>
        <w:jc w:val="left"/>
      </w:pPr>
      <w:r>
        <w:rPr/>
        <w:t>· 应收票据组合</w:t>
      </w:r>
      <w:r>
        <w:rPr>
          <w:rFonts w:ascii="Times New Roman" w:hAnsi="Times New Roman" w:cs="Times New Roman" w:eastAsia="Times New Roman" w:hint="default"/>
        </w:rPr>
        <w:t>1</w:t>
      </w:r>
      <w:r>
        <w:rPr/>
        <w:t>：银行承兑汇票</w:t>
      </w:r>
    </w:p>
    <w:p>
      <w:pPr>
        <w:pStyle w:val="BodyText"/>
        <w:spacing w:line="240" w:lineRule="auto" w:before="195"/>
        <w:ind w:left="273" w:right="0"/>
        <w:jc w:val="left"/>
      </w:pPr>
      <w:r>
        <w:rPr/>
        <w:t>· 应收票据组合</w:t>
      </w:r>
      <w:r>
        <w:rPr>
          <w:rFonts w:ascii="Times New Roman" w:hAnsi="Times New Roman" w:cs="Times New Roman" w:eastAsia="Times New Roman" w:hint="default"/>
        </w:rPr>
        <w:t>2</w:t>
      </w:r>
      <w:r>
        <w:rPr/>
        <w:t>：商业承兑汇票</w:t>
      </w:r>
    </w:p>
    <w:p>
      <w:pPr>
        <w:spacing w:line="240" w:lineRule="auto" w:before="4"/>
        <w:rPr>
          <w:rFonts w:ascii="宋体" w:hAnsi="宋体" w:cs="宋体" w:eastAsia="宋体" w:hint="default"/>
          <w:sz w:val="17"/>
          <w:szCs w:val="17"/>
        </w:rPr>
      </w:pPr>
    </w:p>
    <w:p>
      <w:pPr>
        <w:pStyle w:val="BodyText"/>
        <w:spacing w:line="312" w:lineRule="exact"/>
        <w:ind w:right="1151"/>
        <w:jc w:val="left"/>
      </w:pPr>
      <w:r>
        <w:rPr/>
        <w:t>对于划分为组合的应收票据，本公司参考历史信用损失经验，结合当前状况以及对未来经济 状况的预测，通过违约风险敞口和整个存续期预期信用损失率，计算预期信用损失。</w:t>
      </w:r>
    </w:p>
    <w:p>
      <w:pPr>
        <w:spacing w:line="240" w:lineRule="auto" w:before="10"/>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2、应收账款" w:id="184"/>
      <w:bookmarkEnd w:id="18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0"/>
        <w:jc w:val="left"/>
      </w:pPr>
      <w:r>
        <w:rPr/>
        <w:t>对于应收账款，无论是否存在重大融资成分，本公司始终按照相当于整个存续期内预期信用</w:t>
      </w:r>
      <w:r>
        <w:rPr>
          <w:spacing w:val="-92"/>
        </w:rPr>
        <w:t> </w:t>
      </w:r>
      <w:r>
        <w:rPr>
          <w:spacing w:val="-92"/>
        </w:rPr>
      </w:r>
      <w:r>
        <w:rPr/>
        <w:t>损失的金额计量其损失准备。</w:t>
      </w:r>
    </w:p>
    <w:p>
      <w:pPr>
        <w:spacing w:line="240" w:lineRule="auto" w:before="7"/>
        <w:rPr>
          <w:rFonts w:ascii="宋体" w:hAnsi="宋体" w:cs="宋体" w:eastAsia="宋体" w:hint="default"/>
          <w:sz w:val="16"/>
          <w:szCs w:val="16"/>
        </w:rPr>
      </w:pPr>
    </w:p>
    <w:p>
      <w:pPr>
        <w:pStyle w:val="BodyText"/>
        <w:spacing w:line="312" w:lineRule="exact"/>
        <w:ind w:right="0"/>
        <w:jc w:val="left"/>
      </w:pPr>
      <w:r>
        <w:rPr/>
        <w:t>本公司依据信用风险特征对应收账款划分组合，在组合基础上计算预期信用损失，确定组合</w:t>
      </w:r>
      <w:r>
        <w:rPr>
          <w:spacing w:val="-93"/>
        </w:rPr>
        <w:t> </w:t>
      </w:r>
      <w:r>
        <w:rPr>
          <w:spacing w:val="-93"/>
        </w:rPr>
      </w:r>
      <w:r>
        <w:rPr/>
        <w:t>的依据如下：</w:t>
      </w:r>
    </w:p>
    <w:p>
      <w:pPr>
        <w:pStyle w:val="BodyText"/>
        <w:spacing w:line="240" w:lineRule="auto" w:before="185"/>
        <w:ind w:left="215" w:right="0"/>
        <w:jc w:val="both"/>
      </w:pPr>
      <w:r>
        <w:rPr/>
        <w:t>· 应收账款组合</w:t>
      </w:r>
      <w:r>
        <w:rPr>
          <w:rFonts w:ascii="Times New Roman" w:hAnsi="Times New Roman" w:cs="Times New Roman" w:eastAsia="Times New Roman" w:hint="default"/>
        </w:rPr>
        <w:t>1</w:t>
      </w:r>
      <w:r>
        <w:rPr/>
        <w:t>：应收合并范围内关联方</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left="215" w:right="0"/>
        <w:jc w:val="both"/>
      </w:pPr>
      <w:r>
        <w:rPr/>
        <w:t>· 应收账款组合</w:t>
      </w:r>
      <w:r>
        <w:rPr>
          <w:rFonts w:ascii="Times New Roman" w:hAnsi="Times New Roman" w:cs="Times New Roman" w:eastAsia="Times New Roman" w:hint="default"/>
        </w:rPr>
        <w:t>2</w:t>
      </w:r>
      <w:r>
        <w:rPr/>
        <w:t>：应收其他客户</w:t>
      </w:r>
    </w:p>
    <w:p>
      <w:pPr>
        <w:spacing w:line="240" w:lineRule="auto" w:before="4"/>
        <w:rPr>
          <w:rFonts w:ascii="宋体" w:hAnsi="宋体" w:cs="宋体" w:eastAsia="宋体" w:hint="default"/>
          <w:sz w:val="17"/>
          <w:szCs w:val="17"/>
        </w:rPr>
      </w:pPr>
    </w:p>
    <w:p>
      <w:pPr>
        <w:pStyle w:val="BodyText"/>
        <w:spacing w:line="312" w:lineRule="exact"/>
        <w:ind w:right="0"/>
        <w:jc w:val="left"/>
      </w:pPr>
      <w:r>
        <w:rPr/>
        <w:t>对于划分为组合的应收账款，本公司参考历史信用损失经验，结合当前状况以及对未来经济</w:t>
      </w:r>
      <w:r>
        <w:rPr>
          <w:spacing w:val="-93"/>
        </w:rPr>
        <w:t> </w:t>
      </w:r>
      <w:r>
        <w:rPr>
          <w:spacing w:val="-93"/>
        </w:rPr>
      </w:r>
      <w:r>
        <w:rPr/>
        <w:t>状况的预测，编制应收账款账龄与整个存续期预期信用损失率对照表，计算预期信用损失。</w:t>
      </w:r>
    </w:p>
    <w:p>
      <w:pPr>
        <w:spacing w:line="240" w:lineRule="auto" w:before="10"/>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3、应收款项融资" w:id="185"/>
      <w:bookmarkEnd w:id="18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3" w:right="0" w:firstLine="0"/>
        <w:jc w:val="both"/>
        <w:rPr>
          <w:rFonts w:ascii="宋体" w:hAnsi="宋体" w:cs="宋体" w:eastAsia="宋体" w:hint="default"/>
          <w:sz w:val="21"/>
          <w:szCs w:val="21"/>
        </w:rPr>
      </w:pPr>
      <w:bookmarkStart w:name="14、其他应收款" w:id="186"/>
      <w:bookmarkEnd w:id="186"/>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pStyle w:val="BodyText"/>
        <w:spacing w:line="312" w:lineRule="exact" w:before="90"/>
        <w:ind w:right="0"/>
        <w:jc w:val="left"/>
      </w:pPr>
      <w:r>
        <w:rPr/>
        <w:t>本公司依据信用风险特征将其他应收款划分为若干组合，在组合基础上计算预期信用损失，</w:t>
      </w:r>
      <w:r>
        <w:rPr>
          <w:spacing w:val="-93"/>
        </w:rPr>
        <w:t> </w:t>
      </w:r>
      <w:r>
        <w:rPr>
          <w:spacing w:val="-93"/>
        </w:rPr>
      </w:r>
      <w:r>
        <w:rPr/>
        <w:t>确定组合的依据如下：</w:t>
      </w:r>
    </w:p>
    <w:p>
      <w:pPr>
        <w:pStyle w:val="BodyText"/>
        <w:spacing w:line="240" w:lineRule="auto" w:before="186"/>
        <w:ind w:left="215" w:right="0"/>
        <w:jc w:val="both"/>
      </w:pPr>
      <w:r>
        <w:rPr/>
        <w:t>· 其他应收款组合</w:t>
      </w:r>
      <w:r>
        <w:rPr>
          <w:rFonts w:ascii="Times New Roman" w:hAnsi="Times New Roman" w:cs="Times New Roman" w:eastAsia="Times New Roman" w:hint="default"/>
        </w:rPr>
        <w:t>1</w:t>
      </w:r>
      <w:r>
        <w:rPr/>
        <w:t>：应收合并范围内关联方</w:t>
      </w:r>
    </w:p>
    <w:p>
      <w:pPr>
        <w:pStyle w:val="BodyText"/>
        <w:spacing w:line="240" w:lineRule="auto" w:before="195"/>
        <w:ind w:left="215" w:right="0"/>
        <w:jc w:val="both"/>
      </w:pPr>
      <w:r>
        <w:rPr/>
        <w:t>· 其他应收款组合</w:t>
      </w:r>
      <w:r>
        <w:rPr>
          <w:rFonts w:ascii="Times New Roman" w:hAnsi="Times New Roman" w:cs="Times New Roman" w:eastAsia="Times New Roman" w:hint="default"/>
        </w:rPr>
        <w:t>2</w:t>
      </w:r>
      <w:r>
        <w:rPr/>
        <w:t>：应收其他款项</w:t>
      </w:r>
    </w:p>
    <w:p>
      <w:pPr>
        <w:spacing w:line="240" w:lineRule="auto" w:before="4"/>
        <w:rPr>
          <w:rFonts w:ascii="宋体" w:hAnsi="宋体" w:cs="宋体" w:eastAsia="宋体" w:hint="default"/>
          <w:sz w:val="17"/>
          <w:szCs w:val="17"/>
        </w:rPr>
      </w:pPr>
    </w:p>
    <w:p>
      <w:pPr>
        <w:pStyle w:val="BodyText"/>
        <w:spacing w:line="312" w:lineRule="exact"/>
        <w:ind w:right="0"/>
        <w:jc w:val="left"/>
      </w:pPr>
      <w:r>
        <w:rPr/>
        <w:t>对划分为组合的其他应收款，本公司通过违约风险敞口和未来</w:t>
      </w:r>
      <w:r>
        <w:rPr>
          <w:rFonts w:ascii="Times New Roman" w:hAnsi="Times New Roman" w:cs="Times New Roman" w:eastAsia="Times New Roman" w:hint="default"/>
        </w:rPr>
        <w:t>12</w:t>
      </w:r>
      <w:r>
        <w:rPr/>
        <w:t>个月内或整个存续期预期信</w:t>
      </w:r>
      <w:r>
        <w:rPr>
          <w:spacing w:val="-90"/>
        </w:rPr>
        <w:t> </w:t>
      </w:r>
      <w:r>
        <w:rPr>
          <w:spacing w:val="-90"/>
        </w:rPr>
      </w:r>
      <w:r>
        <w:rPr/>
        <w:t>用损失率，计算预期信用损失。</w:t>
      </w:r>
    </w:p>
    <w:p>
      <w:pPr>
        <w:spacing w:line="240" w:lineRule="auto" w:before="10"/>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5、存货" w:id="187"/>
      <w:bookmarkEnd w:id="18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81" w:lineRule="auto"/>
        <w:ind w:right="3071"/>
        <w:jc w:val="left"/>
      </w:pPr>
      <w:r>
        <w:rPr/>
        <w:t>（</w:t>
      </w:r>
      <w:r>
        <w:rPr>
          <w:rFonts w:ascii="Times New Roman" w:hAnsi="Times New Roman" w:cs="Times New Roman" w:eastAsia="Times New Roman" w:hint="default"/>
        </w:rPr>
        <w:t>1</w:t>
      </w:r>
      <w:r>
        <w:rPr/>
        <w:t>）存货的分类 本公司存货分为原材料、在产品、库存商品、发出商品、低值易耗品等。</w:t>
      </w:r>
    </w:p>
    <w:p>
      <w:pPr>
        <w:pStyle w:val="BodyText"/>
        <w:spacing w:line="240" w:lineRule="auto" w:before="72"/>
        <w:ind w:right="0"/>
        <w:jc w:val="both"/>
      </w:pPr>
      <w:r>
        <w:rPr/>
        <w:t>（</w:t>
      </w:r>
      <w:r>
        <w:rPr>
          <w:rFonts w:ascii="Times New Roman" w:hAnsi="Times New Roman" w:cs="Times New Roman" w:eastAsia="Times New Roman" w:hint="default"/>
        </w:rPr>
        <w:t>2</w:t>
      </w:r>
      <w:r>
        <w:rPr/>
        <w:t>）发出存货的计价方法</w:t>
      </w:r>
    </w:p>
    <w:p>
      <w:pPr>
        <w:spacing w:line="240" w:lineRule="auto" w:before="4"/>
        <w:rPr>
          <w:rFonts w:ascii="宋体" w:hAnsi="宋体" w:cs="宋体" w:eastAsia="宋体" w:hint="default"/>
          <w:sz w:val="17"/>
          <w:szCs w:val="17"/>
        </w:rPr>
      </w:pPr>
    </w:p>
    <w:p>
      <w:pPr>
        <w:pStyle w:val="BodyText"/>
        <w:spacing w:line="312" w:lineRule="exact"/>
        <w:ind w:right="0"/>
        <w:jc w:val="left"/>
      </w:pPr>
      <w:r>
        <w:rPr/>
        <w:t>本公司存货在取得时按实际成本计价，系统集成项目的硬件采购成本发出采用个别认定法，</w:t>
      </w:r>
      <w:r>
        <w:rPr>
          <w:spacing w:val="-93"/>
        </w:rPr>
        <w:t> </w:t>
      </w:r>
      <w:r>
        <w:rPr>
          <w:spacing w:val="-93"/>
        </w:rPr>
      </w:r>
      <w:r>
        <w:rPr/>
        <w:t>其他存货发出采用加权平均法核算</w:t>
      </w:r>
    </w:p>
    <w:p>
      <w:pPr>
        <w:pStyle w:val="BodyText"/>
        <w:spacing w:line="240" w:lineRule="auto" w:before="186"/>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17"/>
          <w:szCs w:val="17"/>
        </w:rPr>
      </w:pPr>
    </w:p>
    <w:p>
      <w:pPr>
        <w:pStyle w:val="BodyText"/>
        <w:spacing w:line="312" w:lineRule="exact"/>
        <w:ind w:right="1136"/>
        <w:jc w:val="both"/>
      </w:pPr>
      <w:r>
        <w:rPr/>
        <w:t>存货可变现净值是按存货的估计售价减去至完工时估计将要发生的成本、估计的销售费用以</w:t>
      </w:r>
      <w:r>
        <w:rPr>
          <w:spacing w:val="-93"/>
        </w:rPr>
        <w:t> </w:t>
      </w:r>
      <w:r>
        <w:rPr>
          <w:spacing w:val="-93"/>
        </w:rPr>
      </w:r>
      <w:r>
        <w:rPr/>
        <w:t>及相关税费后的金额。在确定存货的可变现净值时，以取得的确凿证据为基础，同时考虑持</w:t>
      </w:r>
      <w:r>
        <w:rPr>
          <w:spacing w:val="-93"/>
        </w:rPr>
        <w:t> </w:t>
      </w:r>
      <w:r>
        <w:rPr>
          <w:spacing w:val="-93"/>
        </w:rPr>
      </w:r>
      <w:r>
        <w:rPr/>
        <w:t>有存货的目的以及资产负债表日后事项的影响。</w:t>
      </w:r>
    </w:p>
    <w:p>
      <w:pPr>
        <w:spacing w:line="240" w:lineRule="auto" w:before="7"/>
        <w:rPr>
          <w:rFonts w:ascii="宋体" w:hAnsi="宋体" w:cs="宋体" w:eastAsia="宋体" w:hint="default"/>
          <w:sz w:val="16"/>
          <w:szCs w:val="16"/>
        </w:rPr>
      </w:pPr>
    </w:p>
    <w:p>
      <w:pPr>
        <w:pStyle w:val="BodyText"/>
        <w:spacing w:line="312" w:lineRule="exact"/>
        <w:ind w:right="1136"/>
        <w:jc w:val="both"/>
      </w:pPr>
      <w:r>
        <w:rPr/>
        <w:t>资产负债表日，存货成本高于其可变现净值的，计提存货跌价准备。本公司通常按照单个存</w:t>
      </w:r>
      <w:r>
        <w:rPr>
          <w:spacing w:val="-93"/>
        </w:rPr>
        <w:t> </w:t>
      </w:r>
      <w:r>
        <w:rPr>
          <w:spacing w:val="-93"/>
        </w:rPr>
      </w:r>
      <w:r>
        <w:rPr/>
        <w:t>货项目计提存货跌价准备，资产负债表日，以前减记存货价值的影响因素已经消失的，存货</w:t>
      </w:r>
      <w:r>
        <w:rPr>
          <w:spacing w:val="-93"/>
        </w:rPr>
        <w:t> </w:t>
      </w:r>
      <w:r>
        <w:rPr>
          <w:spacing w:val="-93"/>
        </w:rPr>
      </w:r>
      <w:r>
        <w:rPr/>
        <w:t>跌价准备在原已计提的金额内转回。</w:t>
      </w:r>
    </w:p>
    <w:p>
      <w:pPr>
        <w:pStyle w:val="BodyText"/>
        <w:spacing w:line="381" w:lineRule="auto" w:before="185"/>
        <w:ind w:right="6671"/>
        <w:jc w:val="left"/>
      </w:pPr>
      <w:r>
        <w:rPr/>
        <w:t>（</w:t>
      </w:r>
      <w:r>
        <w:rPr>
          <w:rFonts w:ascii="Times New Roman" w:hAnsi="Times New Roman" w:cs="Times New Roman" w:eastAsia="Times New Roman" w:hint="default"/>
        </w:rPr>
        <w:t>4</w:t>
      </w:r>
      <w:r>
        <w:rPr/>
        <w:t>）存货的盘存制度 本公司存货盘存制度采用永续盘存制。</w:t>
      </w:r>
    </w:p>
    <w:p>
      <w:pPr>
        <w:pStyle w:val="BodyText"/>
        <w:spacing w:line="240" w:lineRule="auto" w:before="72"/>
        <w:ind w:right="0"/>
        <w:jc w:val="both"/>
      </w:pPr>
      <w:r>
        <w:rPr/>
        <w:t>（</w:t>
      </w:r>
      <w:r>
        <w:rPr>
          <w:rFonts w:ascii="Times New Roman" w:hAnsi="Times New Roman" w:cs="Times New Roman" w:eastAsia="Times New Roman" w:hint="default"/>
        </w:rPr>
        <w:t>5</w:t>
      </w:r>
      <w:r>
        <w:rPr/>
        <w:t>）低值易耗品和包装物的摊销方法</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本公司低值易耗品领用时采用一次转销法摊销。</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6、合同资产" w:id="188"/>
      <w:bookmarkEnd w:id="188"/>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3" w:right="0" w:firstLine="0"/>
        <w:jc w:val="both"/>
        <w:rPr>
          <w:rFonts w:ascii="宋体" w:hAnsi="宋体" w:cs="宋体" w:eastAsia="宋体" w:hint="default"/>
          <w:sz w:val="21"/>
          <w:szCs w:val="21"/>
        </w:rPr>
      </w:pPr>
      <w:bookmarkStart w:name="17、合同成本" w:id="189"/>
      <w:bookmarkEnd w:id="189"/>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3" w:right="0" w:firstLine="0"/>
        <w:jc w:val="both"/>
        <w:rPr>
          <w:rFonts w:ascii="宋体" w:hAnsi="宋体" w:cs="宋体" w:eastAsia="宋体" w:hint="default"/>
          <w:sz w:val="21"/>
          <w:szCs w:val="21"/>
        </w:rPr>
      </w:pPr>
      <w:bookmarkStart w:name="18、持有待售资产" w:id="190"/>
      <w:bookmarkEnd w:id="190"/>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9、债权投资" w:id="191"/>
      <w:bookmarkEnd w:id="191"/>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jc w:val="both"/>
      </w:pPr>
      <w:r>
        <w:rPr/>
        <w:t>对于债权投资，本公司按照投资的性质，根据交易对手和风险敞口的各种类型，通过违约风</w:t>
      </w:r>
      <w:r>
        <w:rPr>
          <w:spacing w:val="-93"/>
        </w:rPr>
        <w:t> </w:t>
      </w:r>
      <w:r>
        <w:rPr>
          <w:spacing w:val="-93"/>
        </w:rPr>
      </w:r>
      <w:r>
        <w:rPr/>
        <w:t>险敞口和未来</w:t>
      </w:r>
      <w:r>
        <w:rPr>
          <w:rFonts w:ascii="Times New Roman" w:hAnsi="Times New Roman" w:cs="Times New Roman" w:eastAsia="Times New Roman" w:hint="default"/>
        </w:rPr>
        <w:t>12</w:t>
      </w:r>
      <w:r>
        <w:rPr/>
        <w:t>个月内或整个存续期预期信用损失率，计算预期信用损失。</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0、其他债权投资" w:id="192"/>
      <w:bookmarkEnd w:id="19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168"/>
        <w:jc w:val="both"/>
      </w:pPr>
      <w:r>
        <w:rPr/>
        <w:t>对于其他债权投资，本公司按照投资的性质，根据交易对手和风险敞口的各种类型，通过违 约风险敞口和未来</w:t>
      </w:r>
      <w:r>
        <w:rPr>
          <w:rFonts w:ascii="Times New Roman" w:hAnsi="Times New Roman" w:cs="Times New Roman" w:eastAsia="Times New Roman" w:hint="default"/>
        </w:rPr>
        <w:t>12</w:t>
      </w:r>
      <w:r>
        <w:rPr/>
        <w:t>个月内或整个存续期预期信用损失率，计算预期信用损失。</w:t>
      </w:r>
    </w:p>
    <w:p>
      <w:pPr>
        <w:spacing w:line="240" w:lineRule="auto" w:before="7"/>
        <w:rPr>
          <w:rFonts w:ascii="宋体" w:hAnsi="宋体" w:cs="宋体" w:eastAsia="宋体" w:hint="default"/>
          <w:sz w:val="23"/>
          <w:szCs w:val="23"/>
        </w:rPr>
      </w:pPr>
    </w:p>
    <w:p>
      <w:pPr>
        <w:spacing w:before="0"/>
        <w:ind w:left="153" w:right="0" w:firstLine="0"/>
        <w:jc w:val="both"/>
        <w:rPr>
          <w:rFonts w:ascii="宋体" w:hAnsi="宋体" w:cs="宋体" w:eastAsia="宋体" w:hint="default"/>
          <w:sz w:val="21"/>
          <w:szCs w:val="21"/>
        </w:rPr>
      </w:pPr>
      <w:bookmarkStart w:name="21、长期应收款" w:id="193"/>
      <w:bookmarkEnd w:id="19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2、长期股权投资" w:id="194"/>
      <w:bookmarkEnd w:id="194"/>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jc w:val="both"/>
      </w:pPr>
      <w:r>
        <w:rPr/>
        <w:t>长期股权投资包括对子公司、合营企业和联营企业的权益性投资。本公司能够对被投资单位</w:t>
      </w:r>
      <w:r>
        <w:rPr>
          <w:spacing w:val="-93"/>
        </w:rPr>
        <w:t> </w:t>
      </w:r>
      <w:r>
        <w:rPr>
          <w:spacing w:val="-93"/>
        </w:rPr>
      </w:r>
      <w:r>
        <w:rPr/>
        <w:t>施加重大影响的，为本公司的联营企业。</w:t>
      </w:r>
    </w:p>
    <w:p>
      <w:pPr>
        <w:pStyle w:val="BodyText"/>
        <w:spacing w:line="240" w:lineRule="auto" w:before="185"/>
        <w:ind w:right="0"/>
        <w:jc w:val="both"/>
      </w:pPr>
      <w:r>
        <w:rPr/>
        <w:t>（</w:t>
      </w:r>
      <w:r>
        <w:rPr>
          <w:rFonts w:ascii="Times New Roman" w:hAnsi="Times New Roman" w:cs="Times New Roman" w:eastAsia="Times New Roman" w:hint="default"/>
        </w:rPr>
        <w:t>1</w:t>
      </w:r>
      <w:r>
        <w:rPr/>
        <w:t>）初始投资成本确定</w:t>
      </w:r>
    </w:p>
    <w:p>
      <w:pPr>
        <w:spacing w:line="240" w:lineRule="auto" w:before="5"/>
        <w:rPr>
          <w:rFonts w:ascii="宋体" w:hAnsi="宋体" w:cs="宋体" w:eastAsia="宋体" w:hint="default"/>
          <w:sz w:val="17"/>
          <w:szCs w:val="17"/>
        </w:rPr>
      </w:pPr>
    </w:p>
    <w:p>
      <w:pPr>
        <w:pStyle w:val="BodyText"/>
        <w:spacing w:line="312" w:lineRule="exact"/>
        <w:ind w:right="1136"/>
        <w:jc w:val="both"/>
      </w:pPr>
      <w:r>
        <w:rPr/>
        <w:t>形成企业合并的长期股权投资：同一控制下企业合并取得的长期股权投资，在合并日按照取</w:t>
      </w:r>
      <w:r>
        <w:rPr>
          <w:spacing w:val="-93"/>
        </w:rPr>
        <w:t> </w:t>
      </w:r>
      <w:r>
        <w:rPr>
          <w:spacing w:val="-93"/>
        </w:rPr>
      </w:r>
      <w:r>
        <w:rPr/>
        <w:t>得被合并方所有者权益在最终控制方合并财务报表中的账面价值份额作为投资成本；非同一</w:t>
      </w:r>
      <w:r>
        <w:rPr>
          <w:spacing w:val="-93"/>
        </w:rPr>
        <w:t> </w:t>
      </w:r>
      <w:r>
        <w:rPr>
          <w:spacing w:val="-93"/>
        </w:rPr>
      </w:r>
      <w:r>
        <w:rPr/>
        <w:t>控制下企业合并取得的长期股权投资，按照合并成本作为长期股权投资的投资成本。</w:t>
      </w:r>
    </w:p>
    <w:p>
      <w:pPr>
        <w:pStyle w:val="BodyText"/>
        <w:spacing w:line="237" w:lineRule="auto" w:before="188"/>
        <w:ind w:right="1134"/>
        <w:jc w:val="both"/>
      </w:pPr>
      <w:r>
        <w:rPr/>
        <w:t>对于其他方式取得的长期股权投资：支付现金取得的长期股权投资，按照实际支付的购买价</w:t>
      </w:r>
      <w:r>
        <w:rPr>
          <w:spacing w:val="-93"/>
        </w:rPr>
        <w:t> </w:t>
      </w:r>
      <w:r>
        <w:rPr>
          <w:spacing w:val="-93"/>
        </w:rPr>
      </w:r>
      <w:r>
        <w:rPr/>
        <w:t>款作为初始投资成本；发行权益性证券取得的长期股权投资，以发行权益性证券的公允价值</w:t>
      </w:r>
      <w:r>
        <w:rPr>
          <w:spacing w:val="-91"/>
        </w:rPr>
        <w:t> </w:t>
      </w:r>
      <w:r>
        <w:rPr>
          <w:spacing w:val="-91"/>
        </w:rPr>
      </w:r>
      <w:r>
        <w:rPr/>
        <w:t>作为初始投资成本。</w:t>
      </w:r>
    </w:p>
    <w:p>
      <w:pPr>
        <w:pStyle w:val="BodyText"/>
        <w:spacing w:line="240" w:lineRule="auto" w:before="214"/>
        <w:ind w:right="0"/>
        <w:jc w:val="both"/>
      </w:pPr>
      <w:r>
        <w:rPr/>
        <w:t>（</w:t>
      </w:r>
      <w:r>
        <w:rPr>
          <w:rFonts w:ascii="Times New Roman" w:hAnsi="Times New Roman" w:cs="Times New Roman" w:eastAsia="Times New Roman" w:hint="default"/>
        </w:rPr>
        <w:t>2</w:t>
      </w:r>
      <w:r>
        <w:rPr/>
        <w:t>）后续计量及损益确认方法</w:t>
      </w:r>
    </w:p>
    <w:p>
      <w:pPr>
        <w:spacing w:line="240" w:lineRule="auto" w:before="4"/>
        <w:rPr>
          <w:rFonts w:ascii="宋体" w:hAnsi="宋体" w:cs="宋体" w:eastAsia="宋体" w:hint="default"/>
          <w:sz w:val="17"/>
          <w:szCs w:val="17"/>
        </w:rPr>
      </w:pPr>
    </w:p>
    <w:p>
      <w:pPr>
        <w:pStyle w:val="BodyText"/>
        <w:spacing w:line="312" w:lineRule="exact"/>
        <w:ind w:right="1136"/>
        <w:jc w:val="both"/>
      </w:pPr>
      <w:r>
        <w:rPr/>
        <w:t>对子公司的投资，采用成本法核算，除非投资符合持有待售的条件；对联营企业和合营企业</w:t>
      </w:r>
      <w:r>
        <w:rPr>
          <w:spacing w:val="-93"/>
        </w:rPr>
        <w:t> </w:t>
      </w:r>
      <w:r>
        <w:rPr>
          <w:spacing w:val="-93"/>
        </w:rPr>
      </w:r>
      <w:r>
        <w:rPr/>
        <w:t>的投资，采用权益法核算。</w:t>
      </w:r>
    </w:p>
    <w:p>
      <w:pPr>
        <w:spacing w:line="240" w:lineRule="auto" w:before="7"/>
        <w:rPr>
          <w:rFonts w:ascii="宋体" w:hAnsi="宋体" w:cs="宋体" w:eastAsia="宋体" w:hint="default"/>
          <w:sz w:val="16"/>
          <w:szCs w:val="16"/>
        </w:rPr>
      </w:pPr>
    </w:p>
    <w:p>
      <w:pPr>
        <w:pStyle w:val="BodyText"/>
        <w:spacing w:line="312" w:lineRule="exact"/>
        <w:ind w:right="1136"/>
        <w:jc w:val="both"/>
      </w:pPr>
      <w:r>
        <w:rPr/>
        <w:t>采用成本法核算的长期股权投资，除取得投资时实际支付的价款或对价中包含的已宣告但尚</w:t>
      </w:r>
      <w:r>
        <w:rPr>
          <w:spacing w:val="-93"/>
        </w:rPr>
        <w:t> </w:t>
      </w:r>
      <w:r>
        <w:rPr>
          <w:spacing w:val="-93"/>
        </w:rPr>
      </w:r>
      <w:r>
        <w:rPr/>
        <w:t>未发放的现金股利或利润外，被投资单位宣告分派的现金股利或利润，确认为投资收益计入</w:t>
      </w:r>
      <w:r>
        <w:rPr>
          <w:spacing w:val="-93"/>
        </w:rPr>
        <w:t> </w:t>
      </w:r>
      <w:r>
        <w:rPr>
          <w:spacing w:val="-93"/>
        </w:rPr>
      </w:r>
      <w:r>
        <w:rPr/>
        <w:t>当期损益。</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7" w:lineRule="auto" w:before="28"/>
        <w:ind w:right="1010"/>
        <w:jc w:val="both"/>
      </w:pPr>
      <w:r>
        <w:rPr/>
        <w:t>采用权益法核算的长期股权投资，初始投资成本大于投资时应享有被投资单位可辨认净资产</w:t>
      </w:r>
      <w:r>
        <w:rPr>
          <w:spacing w:val="-93"/>
        </w:rPr>
        <w:t> </w:t>
      </w:r>
      <w:r>
        <w:rPr>
          <w:spacing w:val="-93"/>
        </w:rPr>
      </w:r>
      <w:r>
        <w:rPr/>
        <w:t>公允价值份额的，不调整长期股权投资的投资成本；初始投资成本小于投资时应享有被投资</w:t>
      </w:r>
      <w:r>
        <w:rPr>
          <w:spacing w:val="-93"/>
        </w:rPr>
        <w:t> </w:t>
      </w:r>
      <w:r>
        <w:rPr>
          <w:spacing w:val="-93"/>
        </w:rPr>
      </w:r>
      <w:r>
        <w:rPr/>
        <w:t>单位可辨认净资产公允价值份额的，对长期股权投资的账面价值进行调整，差额计入投资当</w:t>
      </w:r>
      <w:r>
        <w:rPr>
          <w:spacing w:val="-93"/>
        </w:rPr>
        <w:t> </w:t>
      </w:r>
      <w:r>
        <w:rPr>
          <w:spacing w:val="-93"/>
        </w:rPr>
      </w:r>
      <w:r>
        <w:rPr/>
        <w:t>期的损益。</w:t>
      </w:r>
    </w:p>
    <w:p>
      <w:pPr>
        <w:spacing w:line="240" w:lineRule="auto" w:before="8"/>
        <w:rPr>
          <w:rFonts w:ascii="宋体" w:hAnsi="宋体" w:cs="宋体" w:eastAsia="宋体" w:hint="default"/>
          <w:sz w:val="16"/>
          <w:szCs w:val="16"/>
        </w:rPr>
      </w:pPr>
    </w:p>
    <w:p>
      <w:pPr>
        <w:pStyle w:val="BodyText"/>
        <w:spacing w:line="237" w:lineRule="auto"/>
        <w:ind w:right="993"/>
        <w:jc w:val="left"/>
      </w:pPr>
      <w:r>
        <w:rPr>
          <w:spacing w:val="-2"/>
        </w:rPr>
        <w:t>采用权益法核算时，按照应享有或应分担的被投资单位实现的净损益和其他综合收益的份额，</w:t>
      </w:r>
      <w:r>
        <w:rPr/>
        <w:t> 分别确认投资收益和其他综合收益，同时调整长期股权投资的账面价值；按照被投资单位宣</w:t>
      </w:r>
      <w:r>
        <w:rPr>
          <w:spacing w:val="-93"/>
        </w:rPr>
        <w:t> </w:t>
      </w:r>
      <w:r>
        <w:rPr>
          <w:spacing w:val="-93"/>
        </w:rPr>
      </w:r>
      <w:r>
        <w:rPr/>
        <w:t>告分派的利润或现金股利计算应享有的部分，相应减少长期股权投资的账面价值；被投资单</w:t>
      </w:r>
      <w:r>
        <w:rPr>
          <w:spacing w:val="-93"/>
        </w:rPr>
        <w:t> </w:t>
      </w:r>
      <w:r>
        <w:rPr>
          <w:spacing w:val="-93"/>
        </w:rPr>
      </w:r>
      <w:r>
        <w:rPr/>
        <w:t>位除净损益、其他综合收益和利润分配以外所有者权益的其他变动，调整长期股权投资的账</w:t>
      </w:r>
      <w:r>
        <w:rPr>
          <w:spacing w:val="-92"/>
        </w:rPr>
        <w:t> </w:t>
      </w:r>
      <w:r>
        <w:rPr>
          <w:spacing w:val="-92"/>
        </w:rPr>
      </w:r>
      <w:r>
        <w:rPr/>
        <w:t>面价值并计入资本公积（其他资本公积）。在确认应享有被投资单位净损益的份额时，以取</w:t>
      </w:r>
      <w:r>
        <w:rPr>
          <w:spacing w:val="-93"/>
        </w:rPr>
        <w:t> </w:t>
      </w:r>
      <w:r>
        <w:rPr>
          <w:spacing w:val="-93"/>
        </w:rPr>
      </w:r>
      <w:r>
        <w:rPr/>
        <w:t>得投资时被投资单位各项可辨认资产等的公允价值为基础，并按照本公司的会计政策及会计</w:t>
      </w:r>
      <w:r>
        <w:rPr>
          <w:spacing w:val="-93"/>
        </w:rPr>
        <w:t> </w:t>
      </w:r>
      <w:r>
        <w:rPr>
          <w:spacing w:val="-93"/>
        </w:rPr>
      </w:r>
      <w:r>
        <w:rPr/>
        <w:t>期间，对被投资单位的净利润进行调整后确认。</w:t>
      </w:r>
    </w:p>
    <w:p>
      <w:pPr>
        <w:spacing w:line="240" w:lineRule="auto" w:before="8"/>
        <w:rPr>
          <w:rFonts w:ascii="宋体" w:hAnsi="宋体" w:cs="宋体" w:eastAsia="宋体" w:hint="default"/>
          <w:sz w:val="16"/>
          <w:szCs w:val="16"/>
        </w:rPr>
      </w:pPr>
    </w:p>
    <w:p>
      <w:pPr>
        <w:pStyle w:val="BodyText"/>
        <w:spacing w:line="237" w:lineRule="auto"/>
        <w:ind w:right="1136"/>
        <w:jc w:val="both"/>
      </w:pPr>
      <w:r>
        <w:rPr/>
        <w:t>因追加投资等原因能够对被投资单位施加重大影响或实施共同控制但不构成控制的，在转换</w:t>
      </w:r>
      <w:r>
        <w:rPr>
          <w:spacing w:val="-93"/>
        </w:rPr>
        <w:t> </w:t>
      </w:r>
      <w:r>
        <w:rPr>
          <w:spacing w:val="-93"/>
        </w:rPr>
      </w:r>
      <w:r>
        <w:rPr/>
        <w:t>日，按照原股权的公允价值加上新增投资成本之和，作为改按权益法核算的初始投资成本。</w:t>
      </w:r>
      <w:r>
        <w:rPr>
          <w:spacing w:val="-93"/>
        </w:rPr>
        <w:t> </w:t>
      </w:r>
      <w:r>
        <w:rPr>
          <w:spacing w:val="-93"/>
        </w:rPr>
      </w:r>
      <w:r>
        <w:rPr/>
        <w:t>原股权于转换日的公允价值与账面价值之间的差额，以及原计入其他综合收益的累计公允价</w:t>
      </w:r>
      <w:r>
        <w:rPr>
          <w:spacing w:val="-93"/>
        </w:rPr>
        <w:t> </w:t>
      </w:r>
      <w:r>
        <w:rPr>
          <w:spacing w:val="-93"/>
        </w:rPr>
      </w:r>
      <w:r>
        <w:rPr/>
        <w:t>值变动转入改按权益法核算的当期损益。</w:t>
      </w:r>
    </w:p>
    <w:p>
      <w:pPr>
        <w:spacing w:line="240" w:lineRule="auto" w:before="11"/>
        <w:rPr>
          <w:rFonts w:ascii="宋体" w:hAnsi="宋体" w:cs="宋体" w:eastAsia="宋体" w:hint="default"/>
          <w:sz w:val="16"/>
          <w:szCs w:val="16"/>
        </w:rPr>
      </w:pPr>
    </w:p>
    <w:p>
      <w:pPr>
        <w:pStyle w:val="BodyText"/>
        <w:spacing w:line="235" w:lineRule="auto"/>
        <w:ind w:right="1133"/>
        <w:jc w:val="both"/>
      </w:pPr>
      <w:r>
        <w:rPr/>
        <w:t>因处置部分股权投资等原因丧失了对被投资单位的共同控制或重大影响的，处置后的剩余股</w:t>
      </w:r>
      <w:r>
        <w:rPr>
          <w:spacing w:val="-93"/>
        </w:rPr>
        <w:t> </w:t>
      </w:r>
      <w:r>
        <w:rPr>
          <w:spacing w:val="-93"/>
        </w:rPr>
      </w:r>
      <w:r>
        <w:rPr/>
        <w:t>权在丧失共同控制或重大影响之日改按《企业会计准则第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金融工具确认和计量》进行</w:t>
      </w:r>
      <w:r>
        <w:rPr>
          <w:spacing w:val="-90"/>
        </w:rPr>
        <w:t> </w:t>
      </w:r>
      <w:r>
        <w:rPr>
          <w:spacing w:val="-90"/>
        </w:rPr>
      </w:r>
      <w:r>
        <w:rPr/>
        <w:t>会计处理，公允价值与账面价值之间的差额计入当期损益。原股权投资因采用权益法核算而</w:t>
      </w:r>
      <w:r>
        <w:rPr>
          <w:spacing w:val="-93"/>
        </w:rPr>
        <w:t> </w:t>
      </w:r>
      <w:r>
        <w:rPr>
          <w:spacing w:val="-93"/>
        </w:rPr>
      </w:r>
      <w:r>
        <w:rPr/>
        <w:t>确认的其他综合收益，在终止采用权益法核算时采用与被投资单位直接处置相关资产或负债</w:t>
      </w:r>
      <w:r>
        <w:rPr>
          <w:spacing w:val="-93"/>
        </w:rPr>
        <w:t> </w:t>
      </w:r>
      <w:r>
        <w:rPr>
          <w:spacing w:val="-93"/>
        </w:rPr>
      </w:r>
      <w:r>
        <w:rPr/>
        <w:t>相同的基础进行会计处理；原股权投资相关的其他所有者权益变动转入当期损益。</w:t>
      </w:r>
    </w:p>
    <w:p>
      <w:pPr>
        <w:spacing w:line="240" w:lineRule="auto" w:before="11"/>
        <w:rPr>
          <w:rFonts w:ascii="宋体" w:hAnsi="宋体" w:cs="宋体" w:eastAsia="宋体" w:hint="default"/>
          <w:sz w:val="16"/>
          <w:szCs w:val="16"/>
        </w:rPr>
      </w:pPr>
    </w:p>
    <w:p>
      <w:pPr>
        <w:pStyle w:val="BodyText"/>
        <w:spacing w:line="235" w:lineRule="auto"/>
        <w:ind w:right="1134"/>
        <w:jc w:val="both"/>
      </w:pPr>
      <w:r>
        <w:rPr/>
        <w:t>因处置部分股权投资等原因丧失了对被投资单位的控制的，处置后的剩余股权能够对被投资</w:t>
      </w:r>
      <w:r>
        <w:rPr>
          <w:spacing w:val="-93"/>
        </w:rPr>
        <w:t> </w:t>
      </w:r>
      <w:r>
        <w:rPr>
          <w:spacing w:val="-93"/>
        </w:rPr>
      </w:r>
      <w:r>
        <w:rPr/>
        <w:t>单位实施共同控制或施加重大影响的，改按权益法核算，并对该剩余股权视同自取得时即采</w:t>
      </w:r>
      <w:r>
        <w:rPr>
          <w:spacing w:val="-93"/>
        </w:rPr>
        <w:t> </w:t>
      </w:r>
      <w:r>
        <w:rPr>
          <w:spacing w:val="-93"/>
        </w:rPr>
      </w:r>
      <w:r>
        <w:rPr/>
        <w:t>用权益法核算进行调整；处置后的剩余股权不能对被投资单位实施共同控制或施加重大影响</w:t>
      </w:r>
      <w:r>
        <w:rPr>
          <w:spacing w:val="-93"/>
        </w:rPr>
        <w:t> </w:t>
      </w:r>
      <w:r>
        <w:rPr>
          <w:spacing w:val="-93"/>
        </w:rPr>
      </w:r>
      <w:r>
        <w:rPr/>
        <w:t>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金融工具确认和计量》的有关规定进行会计处理，其在丧</w:t>
      </w:r>
      <w:r>
        <w:rPr>
          <w:spacing w:val="-92"/>
        </w:rPr>
        <w:t> </w:t>
      </w:r>
      <w:r>
        <w:rPr>
          <w:spacing w:val="-92"/>
        </w:rPr>
      </w:r>
      <w:r>
        <w:rPr/>
        <w:t>失控制之日的公允价值与账面价值之间的差额计入当期损益。</w:t>
      </w:r>
    </w:p>
    <w:p>
      <w:pPr>
        <w:spacing w:line="240" w:lineRule="auto" w:before="8"/>
        <w:rPr>
          <w:rFonts w:ascii="宋体" w:hAnsi="宋体" w:cs="宋体" w:eastAsia="宋体" w:hint="default"/>
          <w:sz w:val="16"/>
          <w:szCs w:val="16"/>
        </w:rPr>
      </w:pPr>
    </w:p>
    <w:p>
      <w:pPr>
        <w:pStyle w:val="BodyText"/>
        <w:spacing w:line="237" w:lineRule="auto"/>
        <w:ind w:right="1133"/>
        <w:jc w:val="both"/>
      </w:pPr>
      <w:r>
        <w:rPr/>
        <w:t>因其他投资方增资而导致本公司持股比例下降、从而丧失控制权但能对被投资单位实施共同</w:t>
      </w:r>
      <w:r>
        <w:rPr>
          <w:spacing w:val="-93"/>
        </w:rPr>
        <w:t> </w:t>
      </w:r>
      <w:r>
        <w:rPr>
          <w:spacing w:val="-93"/>
        </w:rPr>
      </w:r>
      <w:r>
        <w:rPr/>
        <w:t>控制或施加重大影响的，按照新的持股比例确认本公司应享有的被投资单位因增资扩股而增</w:t>
      </w:r>
      <w:r>
        <w:rPr>
          <w:spacing w:val="-93"/>
        </w:rPr>
        <w:t> </w:t>
      </w:r>
      <w:r>
        <w:rPr>
          <w:spacing w:val="-93"/>
        </w:rPr>
      </w:r>
      <w:r>
        <w:rPr/>
        <w:t>加净资产的份额，与应结转持股比例下降部分所对应的长期股权投资原账面价值之间的差额</w:t>
      </w:r>
      <w:r>
        <w:rPr>
          <w:spacing w:val="-90"/>
        </w:rPr>
        <w:t> </w:t>
      </w:r>
      <w:r>
        <w:rPr>
          <w:spacing w:val="-90"/>
        </w:rPr>
      </w:r>
      <w:r>
        <w:rPr/>
        <w:t>计入当期损益；然后，按照新的持股比例视同自取得投资时即采用权益法核算进行调整。</w:t>
      </w:r>
    </w:p>
    <w:p>
      <w:pPr>
        <w:spacing w:line="240" w:lineRule="auto" w:before="9"/>
        <w:rPr>
          <w:rFonts w:ascii="宋体" w:hAnsi="宋体" w:cs="宋体" w:eastAsia="宋体" w:hint="default"/>
          <w:sz w:val="18"/>
          <w:szCs w:val="18"/>
        </w:rPr>
      </w:pPr>
    </w:p>
    <w:p>
      <w:pPr>
        <w:pStyle w:val="BodyText"/>
        <w:spacing w:line="312" w:lineRule="exact"/>
        <w:ind w:right="0"/>
        <w:jc w:val="left"/>
      </w:pPr>
      <w:r>
        <w:rPr/>
        <w:t>本集团与联营企业及合营企业之间发生的未实现内部交易损益按照持股比例计算归属于本集</w:t>
      </w:r>
      <w:r>
        <w:rPr>
          <w:spacing w:val="-93"/>
        </w:rPr>
        <w:t> </w:t>
      </w:r>
      <w:r>
        <w:rPr>
          <w:spacing w:val="-93"/>
        </w:rPr>
      </w:r>
      <w:r>
        <w:rPr>
          <w:spacing w:val="-3"/>
        </w:rPr>
        <w:t>团的部分，在抵销基础上确认投资损益。但本集团与被投资单位发生的未实现内部交易损失，</w:t>
      </w:r>
      <w:r>
        <w:rPr>
          <w:spacing w:val="-81"/>
        </w:rPr>
        <w:t> </w:t>
      </w:r>
      <w:r>
        <w:rPr>
          <w:spacing w:val="-81"/>
        </w:rPr>
      </w:r>
      <w:r>
        <w:rPr/>
        <w:t>属于所转让资产减值损失的，不予以抵销。</w:t>
      </w:r>
    </w:p>
    <w:p>
      <w:pPr>
        <w:pStyle w:val="BodyText"/>
        <w:spacing w:line="240" w:lineRule="auto" w:before="185"/>
        <w:ind w:right="0"/>
        <w:jc w:val="both"/>
      </w:pPr>
      <w:r>
        <w:rPr/>
        <w:t>（</w:t>
      </w:r>
      <w:r>
        <w:rPr>
          <w:rFonts w:ascii="Times New Roman" w:hAnsi="Times New Roman" w:cs="Times New Roman" w:eastAsia="Times New Roman" w:hint="default"/>
        </w:rPr>
        <w:t>3</w:t>
      </w:r>
      <w:r>
        <w:rPr/>
        <w:t>）确定对被投资单位具有共同控制、重大影响的依据</w:t>
      </w:r>
    </w:p>
    <w:p>
      <w:pPr>
        <w:pStyle w:val="BodyText"/>
        <w:spacing w:line="237" w:lineRule="auto" w:before="198"/>
        <w:ind w:right="1136"/>
        <w:jc w:val="both"/>
      </w:pPr>
      <w:r>
        <w:rPr/>
        <w:t>共同控制，是指按照相关约定对某项安排所共有的控制，并且该安排的相关活动必须经过分</w:t>
      </w:r>
      <w:r>
        <w:rPr>
          <w:spacing w:val="-93"/>
        </w:rPr>
        <w:t> </w:t>
      </w:r>
      <w:r>
        <w:rPr>
          <w:spacing w:val="-93"/>
        </w:rPr>
      </w:r>
      <w:r>
        <w:rPr/>
        <w:t>享控制权的参与方一致同意后才能决策。在判断是否存在共同控制时，首先判断是否由所有</w:t>
      </w:r>
      <w:r>
        <w:rPr>
          <w:spacing w:val="-93"/>
        </w:rPr>
        <w:t> </w:t>
      </w:r>
      <w:r>
        <w:rPr>
          <w:spacing w:val="-93"/>
        </w:rPr>
      </w:r>
      <w:r>
        <w:rPr/>
        <w:t>参与方或参与方组合集体控制该安排，其次再判断该安排相关活动的决策是否必须经过这些</w:t>
      </w:r>
      <w:r>
        <w:rPr>
          <w:spacing w:val="-93"/>
        </w:rPr>
        <w:t> </w:t>
      </w:r>
      <w:r>
        <w:rPr>
          <w:spacing w:val="-93"/>
        </w:rPr>
      </w:r>
      <w:r>
        <w:rPr/>
        <w:t>集体控制该安排的参与方一致同意。如果所有参与方或一组参与方必须一致行动才能决定某</w:t>
      </w:r>
      <w:r>
        <w:rPr>
          <w:spacing w:val="-93"/>
        </w:rPr>
        <w:t> </w:t>
      </w:r>
      <w:r>
        <w:rPr>
          <w:spacing w:val="-93"/>
        </w:rPr>
      </w:r>
      <w:r>
        <w:rPr/>
        <w:t>项安排的相关活动，则认为所有参与方或一组参与方集体控制该安排；如果存在两个或两个</w:t>
      </w:r>
      <w:r>
        <w:rPr>
          <w:spacing w:val="-93"/>
        </w:rPr>
        <w:t> </w:t>
      </w:r>
      <w:r>
        <w:rPr>
          <w:spacing w:val="-93"/>
        </w:rPr>
      </w:r>
      <w:r>
        <w:rPr/>
        <w:t>以上的参与方组合能够集体控制某项安排的，不构成共同控制。判断是否存在共同控制时，</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不考虑享有的保护性权利。</w:t>
      </w:r>
    </w:p>
    <w:p>
      <w:pPr>
        <w:spacing w:line="240" w:lineRule="auto" w:before="7"/>
        <w:rPr>
          <w:rFonts w:ascii="宋体" w:hAnsi="宋体" w:cs="宋体" w:eastAsia="宋体" w:hint="default"/>
          <w:sz w:val="16"/>
          <w:szCs w:val="16"/>
        </w:rPr>
      </w:pPr>
    </w:p>
    <w:p>
      <w:pPr>
        <w:pStyle w:val="BodyText"/>
        <w:spacing w:line="237" w:lineRule="auto"/>
        <w:ind w:right="1136"/>
        <w:jc w:val="both"/>
      </w:pPr>
      <w:r>
        <w:rPr/>
        <w:t>重大影响，是指投资方对被投资单位的财务和经营政策有参与决策的权力，但并不能够控制</w:t>
      </w:r>
      <w:r>
        <w:rPr>
          <w:spacing w:val="-93"/>
        </w:rPr>
        <w:t> </w:t>
      </w:r>
      <w:r>
        <w:rPr>
          <w:spacing w:val="-93"/>
        </w:rPr>
      </w:r>
      <w:r>
        <w:rPr/>
        <w:t>或者与其他方一起共同控制这些政策的制定。在确定能否对被投资单位施加重大影响时，考</w:t>
      </w:r>
      <w:r>
        <w:rPr>
          <w:spacing w:val="-93"/>
        </w:rPr>
        <w:t> </w:t>
      </w:r>
      <w:r>
        <w:rPr>
          <w:spacing w:val="-93"/>
        </w:rPr>
      </w:r>
      <w:r>
        <w:rPr/>
        <w:t>虑投资方直接或间接持有被投资单位的表决权股份以及投资方及其他方持有的当期可执行潜</w:t>
      </w:r>
      <w:r>
        <w:rPr>
          <w:spacing w:val="-93"/>
        </w:rPr>
        <w:t> </w:t>
      </w:r>
      <w:r>
        <w:rPr>
          <w:spacing w:val="-93"/>
        </w:rPr>
      </w:r>
      <w:r>
        <w:rPr/>
        <w:t>在表决权在假定转换为对被投资方单位的股权后产生的影响，包括被投资单位发行的当期可</w:t>
      </w:r>
      <w:r>
        <w:rPr>
          <w:spacing w:val="-93"/>
        </w:rPr>
        <w:t> </w:t>
      </w:r>
      <w:r>
        <w:rPr>
          <w:spacing w:val="-93"/>
        </w:rPr>
      </w:r>
      <w:r>
        <w:rPr/>
        <w:t>转换的认股权证、股份期权及可转换公司债券等的影响。</w:t>
      </w:r>
    </w:p>
    <w:p>
      <w:pPr>
        <w:pStyle w:val="BodyText"/>
        <w:spacing w:line="381" w:lineRule="auto" w:before="214"/>
        <w:ind w:right="2351"/>
        <w:jc w:val="left"/>
      </w:pPr>
      <w:r>
        <w:rPr/>
        <w:t>（</w:t>
      </w:r>
      <w:r>
        <w:rPr>
          <w:rFonts w:ascii="Times New Roman" w:hAnsi="Times New Roman" w:cs="Times New Roman" w:eastAsia="Times New Roman" w:hint="default"/>
        </w:rPr>
        <w:t>4</w:t>
      </w:r>
      <w:r>
        <w:rPr/>
        <w:t>）减值测试方法及减值准备计提方法 对子公司、联营企业及合营企业的投资，计提资产减值的方法见本附注五、</w:t>
      </w:r>
      <w:r>
        <w:rPr>
          <w:rFonts w:ascii="Times New Roman" w:hAnsi="Times New Roman" w:cs="Times New Roman" w:eastAsia="Times New Roman" w:hint="default"/>
        </w:rPr>
        <w:t>31</w:t>
      </w:r>
      <w:r>
        <w:rPr/>
        <w:t>。</w:t>
      </w:r>
    </w:p>
    <w:p>
      <w:pPr>
        <w:spacing w:before="151"/>
        <w:ind w:left="153" w:right="0" w:firstLine="0"/>
        <w:jc w:val="both"/>
        <w:rPr>
          <w:rFonts w:ascii="宋体" w:hAnsi="宋体" w:cs="宋体" w:eastAsia="宋体" w:hint="default"/>
          <w:sz w:val="21"/>
          <w:szCs w:val="21"/>
        </w:rPr>
      </w:pPr>
      <w:bookmarkStart w:name="23、投资性房地产" w:id="195"/>
      <w:bookmarkEnd w:id="195"/>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53" w:right="8854"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312" w:lineRule="exact" w:before="81"/>
        <w:ind w:right="0"/>
        <w:jc w:val="left"/>
      </w:pPr>
      <w:r>
        <w:rPr/>
        <w:t>投资性房地产是指为赚取租金或资本增值，或两者兼有而持有的房地产。本公司投资性房地</w:t>
      </w:r>
      <w:r>
        <w:rPr>
          <w:spacing w:val="-93"/>
        </w:rPr>
        <w:t> </w:t>
      </w:r>
      <w:r>
        <w:rPr>
          <w:spacing w:val="-93"/>
        </w:rPr>
      </w:r>
      <w:r>
        <w:rPr/>
        <w:t>产包括已出租的土地使用权、持有并准备增值后转让的土地使用权、已出租的建筑物。</w:t>
      </w:r>
    </w:p>
    <w:p>
      <w:pPr>
        <w:spacing w:line="240" w:lineRule="auto" w:before="7"/>
        <w:rPr>
          <w:rFonts w:ascii="宋体" w:hAnsi="宋体" w:cs="宋体" w:eastAsia="宋体" w:hint="default"/>
          <w:sz w:val="16"/>
          <w:szCs w:val="16"/>
        </w:rPr>
      </w:pPr>
    </w:p>
    <w:p>
      <w:pPr>
        <w:pStyle w:val="BodyText"/>
        <w:spacing w:line="312" w:lineRule="exact"/>
        <w:ind w:right="0"/>
        <w:jc w:val="left"/>
      </w:pPr>
      <w:r>
        <w:rPr/>
        <w:t>本公司投资性房地产按照取得时的成本进行初始计量，并按照固定资产或无形资产的有关规</w:t>
      </w:r>
      <w:r>
        <w:rPr>
          <w:spacing w:val="-93"/>
        </w:rPr>
        <w:t> </w:t>
      </w:r>
      <w:r>
        <w:rPr>
          <w:spacing w:val="-93"/>
        </w:rPr>
      </w:r>
      <w:r>
        <w:rPr/>
        <w:t>定，按期计提折旧或摊销。</w:t>
      </w:r>
    </w:p>
    <w:p>
      <w:pPr>
        <w:pStyle w:val="BodyText"/>
        <w:spacing w:line="240" w:lineRule="auto" w:before="185"/>
        <w:ind w:right="0"/>
        <w:jc w:val="both"/>
      </w:pPr>
      <w:r>
        <w:rPr/>
        <w:t>采用成本模式进行后续计量的投资性房地产，计提资产减值方法见本附注五、</w:t>
      </w:r>
      <w:r>
        <w:rPr>
          <w:rFonts w:ascii="Times New Roman" w:hAnsi="Times New Roman" w:cs="Times New Roman" w:eastAsia="Times New Roman" w:hint="default"/>
        </w:rPr>
        <w:t>31</w:t>
      </w:r>
      <w:r>
        <w:rPr/>
        <w:t>。</w:t>
      </w:r>
    </w:p>
    <w:p>
      <w:pPr>
        <w:pStyle w:val="BodyText"/>
        <w:spacing w:line="240" w:lineRule="auto" w:before="195"/>
        <w:ind w:right="0"/>
        <w:jc w:val="left"/>
      </w:pPr>
      <w:r>
        <w:rPr/>
        <w:t>投资性房地产出售、转让、报废或毁损的处置收入扣除其账面价值和相关税费后的差额计入</w:t>
      </w:r>
      <w:r>
        <w:rPr>
          <w:spacing w:val="-93"/>
        </w:rPr>
        <w:t> </w:t>
      </w:r>
      <w:r>
        <w:rPr>
          <w:spacing w:val="-93"/>
        </w:rPr>
      </w:r>
      <w:r>
        <w:rPr/>
        <w:t>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7"/>
          <w:szCs w:val="17"/>
        </w:rPr>
      </w:pPr>
    </w:p>
    <w:p>
      <w:pPr>
        <w:spacing w:before="0"/>
        <w:ind w:left="153" w:right="0" w:firstLine="0"/>
        <w:jc w:val="both"/>
        <w:rPr>
          <w:rFonts w:ascii="宋体" w:hAnsi="宋体" w:cs="宋体" w:eastAsia="宋体" w:hint="default"/>
          <w:sz w:val="21"/>
          <w:szCs w:val="21"/>
        </w:rPr>
      </w:pPr>
      <w:bookmarkStart w:name="24、固定资产" w:id="196"/>
      <w:bookmarkEnd w:id="196"/>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确认条件"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9" w:lineRule="auto" w:before="0"/>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本公司固定资产是指为生产商品、提供劳务、出租或经营管理而持有的，使用寿命超过一个会计年度的有形资产。与该固定</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资产有关的经济利益很可能流入企业，并且该固定资产的成本能够可靠地计量时，固定资产才能予以确认。本公司固定资产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按照取得时的实际成本进行初始计量。</w:t>
      </w:r>
    </w:p>
    <w:p>
      <w:pPr>
        <w:spacing w:line="240" w:lineRule="auto" w:before="10"/>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折旧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3.23%</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光伏电站设备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32.33%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918"/>
        <w:gridCol w:w="1916"/>
        <w:gridCol w:w="1911"/>
        <w:gridCol w:w="1916"/>
        <w:gridCol w:w="1916"/>
      </w:tblGrid>
      <w:tr>
        <w:trPr>
          <w:trHeight w:val="40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3）融资租入固定资产的认定依据、计价和折旧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当本公司租入的固定资产符合下列一项或数项标准时，确认为融资租入固定资产：①在租赁期届满时，租赁资产的所有权转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移给本公司。②本公司有购买租赁资产的选择权，所订立的购买价款预计将远低于行使选择权时租赁资产的公允价值，因而</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在租赁开始日就可以合理确定本公司将会行使这种选择权。③即使资产的所有权不转移，但租赁期占租赁资产使用寿命的大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部分。④本公司在租赁开始日的最低租赁付款额现值，几乎相当于租赁开始日租赁资产公允价值。⑤租赁资产性质特殊，如</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果不作较大改造，只有本公司才能使用。融资租赁租入的固定资产，按租赁开始日租赁资产公允价值与最低租赁付款额的现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值两者中较低者，作为入账价值。最低租赁付款额作为长期应付款的入账价值，其差额作为未确认融资费用。在租赁谈判和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签订租赁合同过程中发生的，可归属于租赁项目的手续费、律师费、差旅费、印花税等初始直接费用，计入租入资产价值。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w w:val="101"/>
          <w:sz w:val="18"/>
          <w:szCs w:val="18"/>
        </w:rPr>
        <w:t>未确认融资费用在租赁期内各个期间采用实际利率法进行分摊。融资租入的固定资产采用与自有固定资产一致的政策计提租</w:t>
      </w:r>
      <w:r>
        <w:rPr>
          <w:rFonts w:ascii="宋体" w:hAnsi="宋体" w:cs="宋体" w:eastAsia="宋体" w:hint="default"/>
          <w:w w:val="101"/>
          <w:sz w:val="18"/>
          <w:szCs w:val="18"/>
        </w:rPr>
        <w:t> </w:t>
      </w:r>
      <w:r>
        <w:rPr>
          <w:rFonts w:ascii="宋体" w:hAnsi="宋体" w:cs="宋体" w:eastAsia="宋体" w:hint="default"/>
          <w:spacing w:val="-4"/>
          <w:sz w:val="18"/>
          <w:szCs w:val="18"/>
        </w:rPr>
        <w:t>赁资产折旧。能够合理确定租赁期届满时将会取得租赁资产所有权的，在租赁资产尚可使用年限内计提折旧；无法合理确定</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租赁期届满时能够取得租赁资产所有权的，在租赁期与租赁资产尚可使用年限两者中较短的期间内计提折旧。</w:t>
      </w: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5、在建工程" w:id="200"/>
      <w:bookmarkEnd w:id="200"/>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0"/>
        <w:jc w:val="left"/>
      </w:pPr>
      <w:r>
        <w:rPr/>
        <w:t>本公司在建工程成本按实际工程支出确定，包括在建期间发生的各项必要工程支出、工程达</w:t>
      </w:r>
      <w:r>
        <w:rPr>
          <w:spacing w:val="-93"/>
        </w:rPr>
        <w:t> </w:t>
      </w:r>
      <w:r>
        <w:rPr>
          <w:spacing w:val="-93"/>
        </w:rPr>
      </w:r>
      <w:r>
        <w:rPr/>
        <w:t>到预定可使用状态前的应予资本化的借款费用以及其他相关费用等。</w:t>
      </w:r>
    </w:p>
    <w:p>
      <w:pPr>
        <w:pStyle w:val="BodyText"/>
        <w:spacing w:line="403" w:lineRule="auto" w:before="185"/>
        <w:ind w:right="5471"/>
        <w:jc w:val="left"/>
      </w:pPr>
      <w:r>
        <w:rPr/>
        <w:t>在建工程在达到预定可使用状态时转入固定资产。 在建工程计提资产减值方法见本附注五、</w:t>
      </w:r>
      <w:r>
        <w:rPr>
          <w:rFonts w:ascii="Times New Roman" w:hAnsi="Times New Roman" w:cs="Times New Roman" w:eastAsia="Times New Roman" w:hint="default"/>
        </w:rPr>
        <w:t>31</w:t>
      </w:r>
      <w:r>
        <w:rPr/>
        <w:t>。</w:t>
      </w:r>
    </w:p>
    <w:p>
      <w:pPr>
        <w:spacing w:line="240" w:lineRule="auto" w:before="7"/>
        <w:rPr>
          <w:rFonts w:ascii="宋体" w:hAnsi="宋体" w:cs="宋体" w:eastAsia="宋体" w:hint="default"/>
          <w:sz w:val="33"/>
          <w:szCs w:val="33"/>
        </w:rPr>
      </w:pPr>
    </w:p>
    <w:p>
      <w:pPr>
        <w:spacing w:before="0"/>
        <w:ind w:left="153" w:right="0" w:firstLine="0"/>
        <w:jc w:val="left"/>
        <w:rPr>
          <w:rFonts w:ascii="宋体" w:hAnsi="宋体" w:cs="宋体" w:eastAsia="宋体" w:hint="default"/>
          <w:sz w:val="21"/>
          <w:szCs w:val="21"/>
        </w:rPr>
      </w:pPr>
      <w:bookmarkStart w:name="26、借款费用" w:id="201"/>
      <w:bookmarkEnd w:id="201"/>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w:t>
      </w:r>
      <w:r>
        <w:rPr>
          <w:rFonts w:ascii="Times New Roman" w:hAnsi="Times New Roman" w:cs="Times New Roman" w:eastAsia="Times New Roman" w:hint="default"/>
        </w:rPr>
        <w:t>1</w:t>
      </w:r>
      <w:r>
        <w:rPr/>
        <w:t>）借款费用资本化的确认原则</w:t>
      </w:r>
    </w:p>
    <w:p>
      <w:pPr>
        <w:pStyle w:val="BodyText"/>
        <w:spacing w:line="237" w:lineRule="auto" w:before="198"/>
        <w:ind w:right="0"/>
        <w:jc w:val="left"/>
      </w:pPr>
      <w:r>
        <w:rPr/>
        <w:t>本公司发生的借款费用，可直接归属于符合资本化条件的资产的购建或者生产的，予以资本</w:t>
      </w:r>
      <w:r>
        <w:rPr>
          <w:spacing w:val="-93"/>
        </w:rPr>
        <w:t> </w:t>
      </w:r>
      <w:r>
        <w:rPr>
          <w:spacing w:val="-93"/>
        </w:rPr>
      </w:r>
      <w:r>
        <w:rPr>
          <w:spacing w:val="-3"/>
        </w:rPr>
        <w:t>化，计入相关资产成本；其他借款费用，在发生时根据其发生额确认为费用，计入当期损益。</w:t>
      </w:r>
      <w:r>
        <w:rPr>
          <w:spacing w:val="-82"/>
        </w:rPr>
        <w:t> </w:t>
      </w:r>
      <w:r>
        <w:rPr>
          <w:spacing w:val="-82"/>
        </w:rPr>
      </w:r>
      <w:r>
        <w:rPr/>
        <w:t>借款费用同时满足下列条件的，开始资本化：</w:t>
      </w:r>
    </w:p>
    <w:p>
      <w:pPr>
        <w:spacing w:line="240" w:lineRule="auto" w:before="9"/>
        <w:rPr>
          <w:rFonts w:ascii="宋体" w:hAnsi="宋体" w:cs="宋体" w:eastAsia="宋体" w:hint="default"/>
          <w:sz w:val="18"/>
          <w:szCs w:val="18"/>
        </w:rPr>
      </w:pPr>
    </w:p>
    <w:p>
      <w:pPr>
        <w:pStyle w:val="BodyText"/>
        <w:spacing w:line="312" w:lineRule="exact"/>
        <w:ind w:right="1056"/>
        <w:jc w:val="left"/>
      </w:pPr>
      <w:r>
        <w:rPr/>
        <w:t>①</w:t>
      </w:r>
      <w:r>
        <w:rPr>
          <w:spacing w:val="-25"/>
        </w:rPr>
        <w:t> </w:t>
      </w:r>
      <w:r>
        <w:rPr/>
        <w:t>资产支出已经发生，资产支出包括为购建或者生产符合资本化条件的资产而以支付现金、</w:t>
      </w:r>
      <w:r>
        <w:rPr/>
        <w:t> 转移非现金资产或者承担带息债务形式发生的支出；</w:t>
      </w:r>
    </w:p>
    <w:p>
      <w:pPr>
        <w:pStyle w:val="BodyText"/>
        <w:spacing w:line="240" w:lineRule="auto" w:before="185"/>
        <w:ind w:right="0"/>
        <w:jc w:val="left"/>
      </w:pPr>
      <w:r>
        <w:rPr/>
        <w:t>②</w:t>
      </w:r>
      <w:r>
        <w:rPr>
          <w:spacing w:val="-20"/>
        </w:rPr>
        <w:t> </w:t>
      </w:r>
      <w:r>
        <w:rPr/>
        <w:t>借款费用已经发生；</w:t>
      </w:r>
    </w:p>
    <w:p>
      <w:pPr>
        <w:pStyle w:val="BodyText"/>
        <w:spacing w:line="240" w:lineRule="auto" w:before="214"/>
        <w:ind w:right="0"/>
        <w:jc w:val="left"/>
      </w:pPr>
      <w:r>
        <w:rPr/>
        <w:t>③</w:t>
      </w:r>
      <w:r>
        <w:rPr>
          <w:spacing w:val="-25"/>
        </w:rPr>
        <w:t> </w:t>
      </w:r>
      <w:r>
        <w:rPr/>
        <w:t>为使资产达到预定可使用或者可销售状态所必要的购建或者生产活动已经开始。</w:t>
      </w:r>
    </w:p>
    <w:p>
      <w:pPr>
        <w:pStyle w:val="BodyText"/>
        <w:spacing w:line="240" w:lineRule="auto" w:before="214"/>
        <w:ind w:right="0"/>
        <w:jc w:val="left"/>
      </w:pPr>
      <w:r>
        <w:rPr/>
        <w:t>（</w:t>
      </w:r>
      <w:r>
        <w:rPr>
          <w:rFonts w:ascii="Times New Roman" w:hAnsi="Times New Roman" w:cs="Times New Roman" w:eastAsia="Times New Roman" w:hint="default"/>
        </w:rPr>
        <w:t>2</w:t>
      </w:r>
      <w:r>
        <w:rPr/>
        <w:t>）借款费用资本化期间</w:t>
      </w:r>
    </w:p>
    <w:p>
      <w:pPr>
        <w:pStyle w:val="BodyText"/>
        <w:spacing w:line="237" w:lineRule="auto" w:before="198"/>
        <w:ind w:right="993"/>
        <w:jc w:val="left"/>
      </w:pPr>
      <w:r>
        <w:rPr/>
        <w:t>本公司购建或者生产符合资本化条件的资产达到预定可使用或者可销售状态时，借款费用停</w:t>
      </w:r>
      <w:r>
        <w:rPr>
          <w:spacing w:val="-93"/>
        </w:rPr>
        <w:t> </w:t>
      </w:r>
      <w:r>
        <w:rPr>
          <w:spacing w:val="-93"/>
        </w:rPr>
      </w:r>
      <w:r>
        <w:rPr>
          <w:spacing w:val="-2"/>
        </w:rPr>
        <w:t>止资本化。在符合资本化条件的资产达到预定可使用或者可销售状态之后所发生的借款费用，</w:t>
      </w:r>
      <w:r>
        <w:rPr/>
        <w:t> 在发生时根据其发生额确认为费用，计入当期损益。</w:t>
      </w:r>
    </w:p>
    <w:p>
      <w:pPr>
        <w:pStyle w:val="BodyText"/>
        <w:spacing w:line="240" w:lineRule="auto" w:before="214"/>
        <w:ind w:right="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w:t>
      </w:r>
      <w:r>
        <w:rPr/>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的，暂停借款费用的资本化；正常中断期间的借款费用继续资本化。</w:t>
      </w:r>
    </w:p>
    <w:p>
      <w:pPr>
        <w:pStyle w:val="BodyText"/>
        <w:spacing w:line="240" w:lineRule="auto" w:before="214"/>
        <w:ind w:right="0"/>
        <w:jc w:val="both"/>
      </w:pPr>
      <w:r>
        <w:rPr/>
        <w:t>（</w:t>
      </w:r>
      <w:r>
        <w:rPr>
          <w:rFonts w:ascii="Times New Roman" w:hAnsi="Times New Roman" w:cs="Times New Roman" w:eastAsia="Times New Roman" w:hint="default"/>
        </w:rPr>
        <w:t>3</w:t>
      </w:r>
      <w:r>
        <w:rPr/>
        <w:t>）借款费用资本化率以及资本化金额的计算方法</w:t>
      </w:r>
    </w:p>
    <w:p>
      <w:pPr>
        <w:spacing w:line="240" w:lineRule="auto" w:before="5"/>
        <w:rPr>
          <w:rFonts w:ascii="宋体" w:hAnsi="宋体" w:cs="宋体" w:eastAsia="宋体" w:hint="default"/>
          <w:sz w:val="17"/>
          <w:szCs w:val="17"/>
        </w:rPr>
      </w:pPr>
    </w:p>
    <w:p>
      <w:pPr>
        <w:pStyle w:val="BodyText"/>
        <w:spacing w:line="312" w:lineRule="exact"/>
        <w:ind w:right="1134"/>
        <w:jc w:val="both"/>
      </w:pPr>
      <w:r>
        <w:rPr/>
        <w:t>专门借款当期实际发生的利息费用，减去尚未动用的借款资金存入银行取得的利息收入或进</w:t>
      </w:r>
      <w:r>
        <w:rPr>
          <w:spacing w:val="-93"/>
        </w:rPr>
        <w:t> </w:t>
      </w:r>
      <w:r>
        <w:rPr>
          <w:spacing w:val="-93"/>
        </w:rPr>
      </w:r>
      <w:r>
        <w:rPr/>
        <w:t>行暂时性投资取得的投资收益后的金额予以资本化；一般借款根据累计资产支出超过专门借</w:t>
      </w:r>
      <w:r>
        <w:rPr>
          <w:spacing w:val="-91"/>
        </w:rPr>
        <w:t> </w:t>
      </w:r>
      <w:r>
        <w:rPr>
          <w:spacing w:val="-91"/>
        </w:rPr>
      </w:r>
      <w:r>
        <w:rPr/>
        <w:t>款部分的资产支出加权平均数乘以所占用一般借款的资本化率，确定资本化金额。资本化率</w:t>
      </w:r>
      <w:r>
        <w:rPr>
          <w:spacing w:val="-93"/>
        </w:rPr>
        <w:t> </w:t>
      </w:r>
      <w:r>
        <w:rPr>
          <w:spacing w:val="-93"/>
        </w:rPr>
      </w:r>
      <w:r>
        <w:rPr/>
        <w:t>根据一般借款的加权平均利率计算确定。</w:t>
      </w:r>
    </w:p>
    <w:p>
      <w:pPr>
        <w:pStyle w:val="BodyText"/>
        <w:spacing w:line="240" w:lineRule="auto" w:before="185"/>
        <w:ind w:right="1136"/>
        <w:jc w:val="both"/>
      </w:pPr>
      <w:r>
        <w:rPr/>
        <w:t>资本化期间内，外币专门借款的汇兑差额全部予以资本化；外币一般借款的汇兑差额计入当</w:t>
      </w:r>
      <w:r>
        <w:rPr>
          <w:spacing w:val="-93"/>
        </w:rPr>
        <w:t> </w:t>
      </w:r>
      <w:r>
        <w:rPr>
          <w:spacing w:val="-93"/>
        </w:rPr>
      </w:r>
      <w:r>
        <w:rPr/>
        <w:t>期损益。</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7、生物资产" w:id="202"/>
      <w:bookmarkEnd w:id="202"/>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8、油气资产" w:id="203"/>
      <w:bookmarkEnd w:id="203"/>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9、使用权资产" w:id="204"/>
      <w:bookmarkEnd w:id="20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30、无形资产" w:id="205"/>
      <w:bookmarkEnd w:id="20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计价方法、使用寿命、减值测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本公司无形资产包括土地使用权、研发资本化及外购软件等。</w:t>
      </w:r>
    </w:p>
    <w:p>
      <w:pPr>
        <w:spacing w:line="240" w:lineRule="auto" w:before="7"/>
        <w:rPr>
          <w:rFonts w:ascii="宋体" w:hAnsi="宋体" w:cs="宋体" w:eastAsia="宋体" w:hint="default"/>
          <w:sz w:val="16"/>
          <w:szCs w:val="16"/>
        </w:rPr>
      </w:pPr>
    </w:p>
    <w:p>
      <w:pPr>
        <w:pStyle w:val="BodyText"/>
        <w:spacing w:line="237" w:lineRule="auto"/>
        <w:ind w:right="1135"/>
        <w:jc w:val="both"/>
      </w:pPr>
      <w:r>
        <w:rPr/>
        <w:t>无形资产按照成本进行初始计量，并于取得无形资产时分析判断其使用寿命。使用寿命为有</w:t>
      </w:r>
      <w:r>
        <w:rPr>
          <w:spacing w:val="-93"/>
        </w:rPr>
        <w:t> </w:t>
      </w:r>
      <w:r>
        <w:rPr>
          <w:spacing w:val="-93"/>
        </w:rPr>
      </w:r>
      <w:r>
        <w:rPr/>
        <w:t>限的，自无形资产可供使用时起，采用能反映与该资产有关的经济利益的预期实现方式的摊</w:t>
      </w:r>
      <w:r>
        <w:rPr>
          <w:spacing w:val="-92"/>
        </w:rPr>
        <w:t> </w:t>
      </w:r>
      <w:r>
        <w:rPr>
          <w:spacing w:val="-92"/>
        </w:rPr>
      </w:r>
      <w:r>
        <w:rPr/>
        <w:t>销方法，在预计使用年限内摊销；无法可靠确定预期实现方式的，采用直线法摊销；使用寿</w:t>
      </w:r>
      <w:r>
        <w:rPr>
          <w:spacing w:val="-93"/>
        </w:rPr>
        <w:t> </w:t>
      </w:r>
      <w:r>
        <w:rPr>
          <w:spacing w:val="-93"/>
        </w:rPr>
      </w:r>
      <w:r>
        <w:rPr/>
        <w:t>命不确定的无形资产，不作摊销。</w:t>
      </w:r>
    </w:p>
    <w:p>
      <w:pPr>
        <w:spacing w:line="240" w:lineRule="auto" w:before="9"/>
        <w:rPr>
          <w:rFonts w:ascii="宋体" w:hAnsi="宋体" w:cs="宋体" w:eastAsia="宋体" w:hint="default"/>
          <w:sz w:val="18"/>
          <w:szCs w:val="18"/>
        </w:rPr>
      </w:pPr>
    </w:p>
    <w:p>
      <w:pPr>
        <w:pStyle w:val="BodyText"/>
        <w:spacing w:line="312" w:lineRule="exact"/>
        <w:ind w:right="1136"/>
        <w:jc w:val="both"/>
      </w:pPr>
      <w:r>
        <w:rPr/>
        <w:t>本公司于每年年度终了，对使用寿命有限的无形资产的使用寿命及摊销方法进行复核，与以</w:t>
      </w:r>
      <w:r>
        <w:rPr>
          <w:spacing w:val="-93"/>
        </w:rPr>
        <w:t> </w:t>
      </w:r>
      <w:r>
        <w:rPr>
          <w:spacing w:val="-93"/>
        </w:rPr>
      </w:r>
      <w:r>
        <w:rPr/>
        <w:t>前估计不同的，调整原先估计数，并按会计估计变更处理。</w:t>
      </w:r>
    </w:p>
    <w:p>
      <w:pPr>
        <w:spacing w:line="240" w:lineRule="auto" w:before="7"/>
        <w:rPr>
          <w:rFonts w:ascii="宋体" w:hAnsi="宋体" w:cs="宋体" w:eastAsia="宋体" w:hint="default"/>
          <w:sz w:val="16"/>
          <w:szCs w:val="16"/>
        </w:rPr>
      </w:pPr>
    </w:p>
    <w:p>
      <w:pPr>
        <w:pStyle w:val="BodyText"/>
        <w:spacing w:line="312" w:lineRule="exact"/>
        <w:ind w:right="1136"/>
        <w:jc w:val="both"/>
      </w:pPr>
      <w:r>
        <w:rPr/>
        <w:t>资产负债表日预计某项无形资产已经不能给企业带来未来经济利益的，将该项无形资产的账</w:t>
      </w:r>
      <w:r>
        <w:rPr>
          <w:spacing w:val="-93"/>
        </w:rPr>
        <w:t> </w:t>
      </w:r>
      <w:r>
        <w:rPr>
          <w:spacing w:val="-93"/>
        </w:rPr>
      </w:r>
      <w:r>
        <w:rPr/>
        <w:t>面价值全部转入当期损益。</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内部研究开发支出会计政策"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both"/>
      </w:pPr>
      <w:r>
        <w:rPr/>
        <w:t>本公司将内部研究开发项目的支出，区分为研究阶段支出和开发阶段支出。</w:t>
      </w:r>
    </w:p>
    <w:p>
      <w:pPr>
        <w:spacing w:line="240" w:lineRule="auto" w:before="10"/>
        <w:rPr>
          <w:rFonts w:ascii="宋体" w:hAnsi="宋体" w:cs="宋体" w:eastAsia="宋体" w:hint="default"/>
          <w:sz w:val="18"/>
          <w:szCs w:val="18"/>
        </w:rPr>
      </w:pPr>
    </w:p>
    <w:p>
      <w:pPr>
        <w:pStyle w:val="BodyText"/>
        <w:spacing w:line="312" w:lineRule="exact"/>
        <w:ind w:right="1129"/>
        <w:jc w:val="both"/>
      </w:pPr>
      <w:r>
        <w:rPr/>
        <w:t>研究阶段为项目前期</w:t>
      </w:r>
      <w:r>
        <w:rPr>
          <w:rFonts w:ascii="Times New Roman" w:hAnsi="Times New Roman" w:cs="Times New Roman" w:eastAsia="Times New Roman" w:hint="default"/>
        </w:rPr>
        <w:t>“</w:t>
      </w:r>
      <w:r>
        <w:rPr/>
        <w:t>市场调研－可行性论证</w:t>
      </w:r>
      <w:r>
        <w:rPr>
          <w:rFonts w:ascii="Times New Roman" w:hAnsi="Times New Roman" w:cs="Times New Roman" w:eastAsia="Times New Roman" w:hint="default"/>
        </w:rPr>
        <w:t>”</w:t>
      </w:r>
      <w:r>
        <w:rPr/>
        <w:t>的阶段，按照公司研发业务流程，具体归集范</w:t>
      </w:r>
      <w:r>
        <w:rPr>
          <w:spacing w:val="-72"/>
        </w:rPr>
        <w:t> </w:t>
      </w:r>
      <w:r>
        <w:rPr>
          <w:spacing w:val="-72"/>
        </w:rPr>
      </w:r>
      <w:r>
        <w:rPr>
          <w:spacing w:val="-2"/>
        </w:rPr>
        <w:t>围包括</w:t>
      </w:r>
      <w:r>
        <w:rPr>
          <w:rFonts w:ascii="Times New Roman" w:hAnsi="Times New Roman" w:cs="Times New Roman" w:eastAsia="Times New Roman" w:hint="default"/>
          <w:spacing w:val="-2"/>
        </w:rPr>
        <w:t>“</w:t>
      </w:r>
      <w:r>
        <w:rPr>
          <w:spacing w:val="-2"/>
        </w:rPr>
        <w:t>市场调研－产品储备及可研立项（可行性论证）</w:t>
      </w:r>
      <w:r>
        <w:rPr>
          <w:rFonts w:ascii="Times New Roman" w:hAnsi="Times New Roman" w:cs="Times New Roman" w:eastAsia="Times New Roman" w:hint="default"/>
          <w:spacing w:val="-2"/>
        </w:rPr>
        <w:t>”</w:t>
      </w:r>
      <w:r>
        <w:rPr>
          <w:spacing w:val="-2"/>
        </w:rPr>
        <w:t>二个阶段，核算实务上，以</w:t>
      </w:r>
      <w:r>
        <w:rPr>
          <w:rFonts w:ascii="Times New Roman" w:hAnsi="Times New Roman" w:cs="Times New Roman" w:eastAsia="Times New Roman" w:hint="default"/>
          <w:spacing w:val="-2"/>
        </w:rPr>
        <w:t>“</w:t>
      </w:r>
      <w:r>
        <w:rPr>
          <w:spacing w:val="-2"/>
        </w:rPr>
        <w:t>产品储</w:t>
      </w:r>
      <w:r>
        <w:rPr>
          <w:spacing w:val="-82"/>
        </w:rPr>
        <w:t> </w:t>
      </w:r>
      <w:r>
        <w:rPr>
          <w:spacing w:val="-2"/>
        </w:rPr>
        <w:t>备立项审批通过的时间</w:t>
      </w:r>
      <w:r>
        <w:rPr>
          <w:rFonts w:ascii="Times New Roman" w:hAnsi="Times New Roman" w:cs="Times New Roman" w:eastAsia="Times New Roman" w:hint="default"/>
          <w:spacing w:val="-2"/>
        </w:rPr>
        <w:t>”</w:t>
      </w:r>
      <w:r>
        <w:rPr>
          <w:spacing w:val="-2"/>
        </w:rPr>
        <w:t>作为项目进入研发阶段的标准，以</w:t>
      </w:r>
      <w:r>
        <w:rPr>
          <w:rFonts w:ascii="Times New Roman" w:hAnsi="Times New Roman" w:cs="Times New Roman" w:eastAsia="Times New Roman" w:hint="default"/>
          <w:spacing w:val="-2"/>
        </w:rPr>
        <w:t>“</w:t>
      </w:r>
      <w:r>
        <w:rPr>
          <w:spacing w:val="-2"/>
        </w:rPr>
        <w:t>产品规划评审通过时间</w:t>
      </w:r>
      <w:r>
        <w:rPr>
          <w:rFonts w:ascii="Times New Roman" w:hAnsi="Times New Roman" w:cs="Times New Roman" w:eastAsia="Times New Roman" w:hint="default"/>
          <w:spacing w:val="-2"/>
        </w:rPr>
        <w:t>”</w:t>
      </w:r>
      <w:r>
        <w:rPr>
          <w:spacing w:val="-2"/>
        </w:rPr>
        <w:t>作为项目</w:t>
      </w:r>
      <w:r>
        <w:rPr>
          <w:spacing w:val="-82"/>
        </w:rPr>
        <w:t> </w:t>
      </w:r>
      <w:r>
        <w:rPr/>
        <w:t>完成阶段的标准。</w:t>
      </w:r>
    </w:p>
    <w:p>
      <w:pPr>
        <w:spacing w:line="240" w:lineRule="auto" w:before="7"/>
        <w:rPr>
          <w:rFonts w:ascii="宋体" w:hAnsi="宋体" w:cs="宋体" w:eastAsia="宋体" w:hint="default"/>
          <w:sz w:val="16"/>
          <w:szCs w:val="16"/>
        </w:rPr>
      </w:pPr>
    </w:p>
    <w:p>
      <w:pPr>
        <w:pStyle w:val="BodyText"/>
        <w:spacing w:line="312" w:lineRule="exact"/>
        <w:ind w:right="1129"/>
        <w:jc w:val="both"/>
      </w:pPr>
      <w:r>
        <w:rPr/>
        <w:t>开发阶段为项目</w:t>
      </w:r>
      <w:r>
        <w:rPr>
          <w:rFonts w:ascii="Times New Roman" w:hAnsi="Times New Roman" w:cs="Times New Roman" w:eastAsia="Times New Roman" w:hint="default"/>
        </w:rPr>
        <w:t>“</w:t>
      </w:r>
      <w:r>
        <w:rPr/>
        <w:t>需求分析－程序设计－代码编写、功能测试</w:t>
      </w:r>
      <w:r>
        <w:rPr>
          <w:rFonts w:ascii="Times New Roman" w:hAnsi="Times New Roman" w:cs="Times New Roman" w:eastAsia="Times New Roman" w:hint="default"/>
        </w:rPr>
        <w:t>”</w:t>
      </w:r>
      <w:r>
        <w:rPr/>
        <w:t>的阶段，按照公司研发立务流</w:t>
      </w:r>
      <w:r>
        <w:rPr>
          <w:spacing w:val="-62"/>
        </w:rPr>
        <w:t> </w:t>
      </w:r>
      <w:r>
        <w:rPr>
          <w:spacing w:val="-62"/>
        </w:rPr>
      </w:r>
      <w:r>
        <w:rPr/>
        <w:t>程，项目经审批确认开发立项后即进入开发阶段，核算实务上，以</w:t>
      </w:r>
      <w:r>
        <w:rPr>
          <w:rFonts w:ascii="Times New Roman" w:hAnsi="Times New Roman" w:cs="Times New Roman" w:eastAsia="Times New Roman" w:hint="default"/>
        </w:rPr>
        <w:t>“</w:t>
      </w:r>
      <w:r>
        <w:rPr/>
        <w:t>产品规划评审通过时间</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即规划立项经公司评审会议通过作为项目进入开发阶段的标准，以</w:t>
      </w:r>
      <w:r>
        <w:rPr>
          <w:rFonts w:ascii="Times New Roman" w:hAnsi="Times New Roman" w:cs="Times New Roman" w:eastAsia="Times New Roman" w:hint="default"/>
        </w:rPr>
        <w:t>“</w:t>
      </w:r>
      <w:r>
        <w:rPr/>
        <w:t>产品规划验收时间</w:t>
      </w:r>
      <w:r>
        <w:rPr>
          <w:rFonts w:ascii="Times New Roman" w:hAnsi="Times New Roman" w:cs="Times New Roman" w:eastAsia="Times New Roman" w:hint="default"/>
        </w:rPr>
        <w:t>”</w:t>
      </w:r>
      <w:r>
        <w:rPr/>
        <w:t>作为</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403" w:lineRule="auto" w:before="26"/>
        <w:ind w:right="6191"/>
        <w:jc w:val="left"/>
      </w:pPr>
      <w:r>
        <w:rPr/>
        <w:t>项目完成开发阶段的标准。 研究阶段的支出，于发生时计入当期损益。</w:t>
      </w:r>
    </w:p>
    <w:p>
      <w:pPr>
        <w:pStyle w:val="BodyText"/>
        <w:spacing w:line="237" w:lineRule="auto" w:before="54"/>
        <w:ind w:right="1015"/>
        <w:jc w:val="both"/>
      </w:pPr>
      <w:r>
        <w:rPr/>
        <w:t>开发阶段的支出，同时满足下列条件的，才能予以资本化，即：完成该无形资产以使其能够</w:t>
      </w:r>
      <w:r>
        <w:rPr>
          <w:spacing w:val="-93"/>
        </w:rPr>
        <w:t> </w:t>
      </w:r>
      <w:r>
        <w:rPr>
          <w:spacing w:val="-93"/>
        </w:rPr>
      </w:r>
      <w:r>
        <w:rPr/>
        <w:t>使用或出售在技术上具有可行性；具有完成该无形资产并使用或出售的意图；无形资产产生</w:t>
      </w:r>
      <w:r>
        <w:rPr>
          <w:spacing w:val="-93"/>
        </w:rPr>
        <w:t> </w:t>
      </w:r>
      <w:r>
        <w:rPr>
          <w:spacing w:val="-93"/>
        </w:rPr>
      </w:r>
      <w:r>
        <w:rPr/>
        <w:t>经济利益的方式，包括能够证明运用该无形资产生产的产品存在市场或无形资产自身存在市</w:t>
      </w:r>
      <w:r>
        <w:rPr>
          <w:spacing w:val="-93"/>
        </w:rPr>
        <w:t> </w:t>
      </w:r>
      <w:r>
        <w:rPr>
          <w:spacing w:val="-93"/>
        </w:rPr>
      </w:r>
      <w:r>
        <w:rPr/>
        <w:t>场，无形资产将在内部使用的，能够证明其有用性；有足够的技术、财务资源和其他资源支</w:t>
      </w:r>
      <w:r>
        <w:rPr>
          <w:spacing w:val="-93"/>
        </w:rPr>
        <w:t> </w:t>
      </w:r>
      <w:r>
        <w:rPr>
          <w:spacing w:val="-93"/>
        </w:rPr>
      </w:r>
      <w:r>
        <w:rPr/>
        <w:t>持，以完成该无形资产的开发，并有能力使用或出售该无形资产；归属于该无形资产开发阶</w:t>
      </w:r>
      <w:r>
        <w:rPr>
          <w:spacing w:val="-93"/>
        </w:rPr>
        <w:t> </w:t>
      </w:r>
      <w:r>
        <w:rPr>
          <w:spacing w:val="-93"/>
        </w:rPr>
      </w:r>
      <w:r>
        <w:rPr/>
        <w:t>段的支出能够可靠地计量。不满足上述条件的开发支出计入当期损益。</w:t>
      </w:r>
    </w:p>
    <w:p>
      <w:pPr>
        <w:spacing w:line="240" w:lineRule="auto" w:before="9"/>
        <w:rPr>
          <w:rFonts w:ascii="宋体" w:hAnsi="宋体" w:cs="宋体" w:eastAsia="宋体" w:hint="default"/>
          <w:sz w:val="18"/>
          <w:szCs w:val="18"/>
        </w:rPr>
      </w:pPr>
    </w:p>
    <w:p>
      <w:pPr>
        <w:pStyle w:val="BodyText"/>
        <w:spacing w:line="312" w:lineRule="exact"/>
        <w:ind w:right="0"/>
        <w:jc w:val="left"/>
      </w:pPr>
      <w:r>
        <w:rPr>
          <w:spacing w:val="-3"/>
        </w:rPr>
        <w:t>本公司研究开发项目在满足上述条件，通过技术可行性及经济可行性研究，形成项目立项后，</w:t>
      </w:r>
      <w:r>
        <w:rPr>
          <w:spacing w:val="-85"/>
        </w:rPr>
        <w:t> </w:t>
      </w:r>
      <w:r>
        <w:rPr>
          <w:spacing w:val="-85"/>
        </w:rPr>
      </w:r>
      <w:r>
        <w:rPr/>
        <w:t>进入开发阶段。</w:t>
      </w:r>
    </w:p>
    <w:p>
      <w:pPr>
        <w:pStyle w:val="BodyText"/>
        <w:spacing w:line="240" w:lineRule="auto" w:before="185"/>
        <w:ind w:right="1136"/>
        <w:jc w:val="both"/>
      </w:pPr>
      <w:r>
        <w:rPr/>
        <w:t>已资本化的开发阶段的支出在资产负债表上列示为开发支出，自该项目达到预定用途之日转</w:t>
      </w:r>
      <w:r>
        <w:rPr>
          <w:spacing w:val="-93"/>
        </w:rPr>
        <w:t> </w:t>
      </w:r>
      <w:r>
        <w:rPr>
          <w:spacing w:val="-93"/>
        </w:rPr>
      </w:r>
      <w:r>
        <w:rPr/>
        <w:t>为无形资产。</w:t>
      </w:r>
    </w:p>
    <w:p>
      <w:pPr>
        <w:pStyle w:val="BodyText"/>
        <w:spacing w:line="381" w:lineRule="auto" w:before="214"/>
        <w:ind w:right="5351"/>
        <w:jc w:val="left"/>
      </w:pPr>
      <w:r>
        <w:rPr/>
        <w:t>（</w:t>
      </w:r>
      <w:r>
        <w:rPr>
          <w:rFonts w:ascii="Times New Roman" w:hAnsi="Times New Roman" w:cs="Times New Roman" w:eastAsia="Times New Roman" w:hint="default"/>
        </w:rPr>
        <w:t>3</w:t>
      </w:r>
      <w:r>
        <w:rPr/>
        <w:t>）无形资产的减值测试方法及减值准备计提方法 无形资产计提资产减值方法见本附注五、</w:t>
      </w:r>
      <w:r>
        <w:rPr>
          <w:rFonts w:ascii="Times New Roman" w:hAnsi="Times New Roman" w:cs="Times New Roman" w:eastAsia="Times New Roman" w:hint="default"/>
        </w:rPr>
        <w:t>31</w:t>
      </w:r>
      <w:r>
        <w:rPr/>
        <w:t>。</w:t>
      </w:r>
    </w:p>
    <w:p>
      <w:pPr>
        <w:spacing w:before="151"/>
        <w:ind w:left="153" w:right="0" w:firstLine="0"/>
        <w:jc w:val="both"/>
        <w:rPr>
          <w:rFonts w:ascii="宋体" w:hAnsi="宋体" w:cs="宋体" w:eastAsia="宋体" w:hint="default"/>
          <w:sz w:val="21"/>
          <w:szCs w:val="21"/>
        </w:rPr>
      </w:pPr>
      <w:bookmarkStart w:name="31、长期资产减值" w:id="208"/>
      <w:bookmarkEnd w:id="208"/>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0"/>
        <w:jc w:val="left"/>
      </w:pPr>
      <w:r>
        <w:rPr/>
        <w:t>对子公司、联营企业和合营企业的长期股权投资、采用成本模式进行后续计量的投资性房地</w:t>
      </w:r>
      <w:r>
        <w:rPr>
          <w:spacing w:val="-93"/>
        </w:rPr>
        <w:t> </w:t>
      </w:r>
      <w:r>
        <w:rPr>
          <w:spacing w:val="-93"/>
        </w:rPr>
      </w:r>
      <w:r>
        <w:rPr>
          <w:spacing w:val="-3"/>
        </w:rPr>
        <w:t>产、固定资产、在建工程、无形资产、商誉等（存货、按公允价值模式计量的投资性房地产、</w:t>
      </w:r>
      <w:r>
        <w:rPr>
          <w:spacing w:val="-87"/>
        </w:rPr>
        <w:t> </w:t>
      </w:r>
      <w:r>
        <w:rPr>
          <w:spacing w:val="-87"/>
        </w:rPr>
      </w:r>
      <w:r>
        <w:rPr/>
        <w:t>递延所得税资产、金融资产除外）的资产减值，按以下方法确定：</w:t>
      </w:r>
    </w:p>
    <w:p>
      <w:pPr>
        <w:spacing w:line="240" w:lineRule="auto" w:before="7"/>
        <w:rPr>
          <w:rFonts w:ascii="宋体" w:hAnsi="宋体" w:cs="宋体" w:eastAsia="宋体" w:hint="default"/>
          <w:sz w:val="16"/>
          <w:szCs w:val="16"/>
        </w:rPr>
      </w:pPr>
    </w:p>
    <w:p>
      <w:pPr>
        <w:pStyle w:val="BodyText"/>
        <w:spacing w:line="312" w:lineRule="exact"/>
        <w:ind w:right="1136"/>
        <w:jc w:val="both"/>
      </w:pPr>
      <w:r>
        <w:rPr/>
        <w:t>于资产负债表日判断资产是否存在可能发生减值的迹象，存在减值迹象的，本公司将估计其</w:t>
      </w:r>
      <w:r>
        <w:rPr>
          <w:spacing w:val="-93"/>
        </w:rPr>
        <w:t> </w:t>
      </w:r>
      <w:r>
        <w:rPr>
          <w:spacing w:val="-93"/>
        </w:rPr>
      </w:r>
      <w:r>
        <w:rPr/>
        <w:t>可收回金额，进行减值测试。对因企业合并所形成的商誉、使用寿命不确定的无形资产和尚</w:t>
      </w:r>
      <w:r>
        <w:rPr>
          <w:spacing w:val="-93"/>
        </w:rPr>
        <w:t> </w:t>
      </w:r>
      <w:r>
        <w:rPr>
          <w:spacing w:val="-93"/>
        </w:rPr>
      </w:r>
      <w:r>
        <w:rPr/>
        <w:t>未达到可使用状态的无形资产无论是否存在减值迹象，每年都进行减值测试。</w:t>
      </w:r>
    </w:p>
    <w:p>
      <w:pPr>
        <w:pStyle w:val="BodyText"/>
        <w:spacing w:line="237" w:lineRule="auto" w:before="188"/>
        <w:ind w:right="1136"/>
        <w:jc w:val="both"/>
      </w:pPr>
      <w:r>
        <w:rPr/>
        <w:t>可收回金额根据资产的公允价值减去处置费用后的净额与资产预计未来现金流量的现值两者</w:t>
      </w:r>
      <w:r>
        <w:rPr>
          <w:spacing w:val="-93"/>
        </w:rPr>
        <w:t> </w:t>
      </w:r>
      <w:r>
        <w:rPr>
          <w:spacing w:val="-93"/>
        </w:rPr>
      </w:r>
      <w:r>
        <w:rPr/>
        <w:t>之间较高者确定。本公司以单项资产为基础估计其可收回金额；难以对单项资产的可收回金</w:t>
      </w:r>
      <w:r>
        <w:rPr>
          <w:spacing w:val="-93"/>
        </w:rPr>
        <w:t> </w:t>
      </w:r>
      <w:r>
        <w:rPr>
          <w:spacing w:val="-93"/>
        </w:rPr>
      </w:r>
      <w:r>
        <w:rPr/>
        <w:t>额进行估计的，以该资产所属的资产组为基础确定资产组的可收回金额。资产组的认定，以</w:t>
      </w:r>
      <w:r>
        <w:rPr>
          <w:spacing w:val="-93"/>
        </w:rPr>
        <w:t> </w:t>
      </w:r>
      <w:r>
        <w:rPr>
          <w:spacing w:val="-93"/>
        </w:rPr>
      </w:r>
      <w:r>
        <w:rPr/>
        <w:t>资产组产生的主要现金流入是否独立于其他资产或者资产组的现金流入为依据。</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当资产或资产组的可收回金额低于其账面价值时，本公司将其账面价值减记至可收回金额，</w:t>
      </w:r>
      <w:r>
        <w:rPr>
          <w:spacing w:val="-93"/>
        </w:rPr>
        <w:t> </w:t>
      </w:r>
      <w:r>
        <w:rPr>
          <w:spacing w:val="-93"/>
        </w:rPr>
      </w:r>
      <w:r>
        <w:rPr/>
        <w:t>减记的金额计入当期损益，同时计提相应的资产减值准备。</w:t>
      </w:r>
    </w:p>
    <w:p>
      <w:pPr>
        <w:spacing w:line="240" w:lineRule="auto" w:before="7"/>
        <w:rPr>
          <w:rFonts w:ascii="宋体" w:hAnsi="宋体" w:cs="宋体" w:eastAsia="宋体" w:hint="default"/>
          <w:sz w:val="16"/>
          <w:szCs w:val="16"/>
        </w:rPr>
      </w:pPr>
    </w:p>
    <w:p>
      <w:pPr>
        <w:pStyle w:val="BodyText"/>
        <w:spacing w:line="312" w:lineRule="exact"/>
        <w:ind w:right="1133"/>
        <w:jc w:val="both"/>
      </w:pPr>
      <w:r>
        <w:rPr/>
        <w:t>就商誉的减值测试而言，对于因企业合并形成的商誉的账面价值，自购买日起按照合理的方</w:t>
      </w:r>
      <w:r>
        <w:rPr>
          <w:spacing w:val="-93"/>
        </w:rPr>
        <w:t> </w:t>
      </w:r>
      <w:r>
        <w:rPr>
          <w:spacing w:val="-93"/>
        </w:rPr>
      </w:r>
      <w:r>
        <w:rPr/>
        <w:t>法分摊至相关的资产组；难以分摊至相关的资产组的，将其分摊至相关的资产组组合。相关</w:t>
      </w:r>
      <w:r>
        <w:rPr>
          <w:spacing w:val="-93"/>
        </w:rPr>
        <w:t> </w:t>
      </w:r>
      <w:r>
        <w:rPr>
          <w:spacing w:val="-93"/>
        </w:rPr>
      </w:r>
      <w:r>
        <w:rPr/>
        <w:t>的资产组或资产组组合，是能够从企业合并的协同效应中受益的资产组或者资产组组合，且</w:t>
      </w:r>
      <w:r>
        <w:rPr>
          <w:spacing w:val="-93"/>
        </w:rPr>
        <w:t> </w:t>
      </w:r>
      <w:r>
        <w:rPr>
          <w:spacing w:val="-93"/>
        </w:rPr>
      </w:r>
      <w:r>
        <w:rPr/>
        <w:t>不大于本公司确定的报告分部。</w:t>
      </w:r>
    </w:p>
    <w:p>
      <w:pPr>
        <w:spacing w:line="240" w:lineRule="auto" w:before="7"/>
        <w:rPr>
          <w:rFonts w:ascii="宋体" w:hAnsi="宋体" w:cs="宋体" w:eastAsia="宋体" w:hint="default"/>
          <w:sz w:val="16"/>
          <w:szCs w:val="16"/>
        </w:rPr>
      </w:pPr>
    </w:p>
    <w:p>
      <w:pPr>
        <w:pStyle w:val="BodyText"/>
        <w:spacing w:line="312" w:lineRule="exact"/>
        <w:ind w:right="1133"/>
        <w:jc w:val="both"/>
      </w:pPr>
      <w:r>
        <w:rPr/>
        <w:t>减值测试时，如与商誉相关的资产组或者资产组组合存在减值迹象的，首先对不包含商誉的</w:t>
      </w:r>
      <w:r>
        <w:rPr>
          <w:spacing w:val="-91"/>
        </w:rPr>
        <w:t> </w:t>
      </w:r>
      <w:r>
        <w:rPr>
          <w:spacing w:val="-91"/>
        </w:rPr>
      </w:r>
      <w:r>
        <w:rPr/>
        <w:t>资产组或者资产组组合进行减值测试，计算可收回金额，确认相应的减值损失。然后对包含</w:t>
      </w:r>
      <w:r>
        <w:rPr>
          <w:spacing w:val="-93"/>
        </w:rPr>
        <w:t> </w:t>
      </w:r>
      <w:r>
        <w:rPr>
          <w:spacing w:val="-93"/>
        </w:rPr>
      </w:r>
      <w:r>
        <w:rPr/>
        <w:t>商誉的资产组或者资产组组合进行减值测试，比较其账面价值与可收回金额，如可收回金额</w:t>
      </w:r>
      <w:r>
        <w:rPr>
          <w:spacing w:val="-93"/>
        </w:rPr>
        <w:t> </w:t>
      </w:r>
      <w:r>
        <w:rPr>
          <w:spacing w:val="-93"/>
        </w:rPr>
      </w:r>
      <w:r>
        <w:rPr/>
        <w:t>低于账面价值的，确认商誉的减值损失。</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资产减值损失一经确认，在以后会计期间不再转回。</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2、长期待摊费用" w:id="209"/>
      <w:bookmarkEnd w:id="209"/>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0"/>
        <w:jc w:val="left"/>
      </w:pPr>
      <w:r>
        <w:rPr/>
        <w:t>本公司发生的长期待摊费用按实际成本计价，并按预计受益期限平均摊销。对不能使以后会</w:t>
      </w:r>
      <w:r>
        <w:rPr>
          <w:spacing w:val="-93"/>
        </w:rPr>
        <w:t> </w:t>
      </w:r>
      <w:r>
        <w:rPr>
          <w:spacing w:val="-93"/>
        </w:rPr>
      </w:r>
      <w:r>
        <w:rPr/>
        <w:t>计期间受益的长期待摊费用项目，其摊余价值全部计入当期损益。</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3、合同负债" w:id="210"/>
      <w:bookmarkEnd w:id="210"/>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34、职工薪酬" w:id="211"/>
      <w:bookmarkEnd w:id="21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短期薪酬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37" w:lineRule="auto"/>
        <w:ind w:right="0"/>
        <w:jc w:val="left"/>
      </w:pPr>
      <w:r>
        <w:rPr/>
        <w:t>本公司在职工提供服务的会计期间，将实际发生的职工工资、奖金、按规定的基准和比例为</w:t>
      </w:r>
      <w:r>
        <w:rPr>
          <w:spacing w:val="-93"/>
        </w:rPr>
        <w:t> </w:t>
      </w:r>
      <w:r>
        <w:rPr>
          <w:spacing w:val="-93"/>
        </w:rPr>
      </w:r>
      <w:r>
        <w:rPr>
          <w:spacing w:val="-3"/>
        </w:rPr>
        <w:t>职工缴纳的医疗保险费、工伤保险费和生育保险费等社会保险费和住房公积金，确认为负债，</w:t>
      </w:r>
      <w:r>
        <w:rPr>
          <w:spacing w:val="-85"/>
        </w:rPr>
        <w:t> </w:t>
      </w:r>
      <w:r>
        <w:rPr>
          <w:spacing w:val="-85"/>
        </w:rPr>
      </w:r>
      <w:r>
        <w:rPr/>
        <w:t>并计入当期损益或相关资产成本。如果该负债预期在职工提供相关服务的年度报告期结束后</w:t>
      </w:r>
      <w:r>
        <w:rPr>
          <w:spacing w:val="-93"/>
        </w:rPr>
        <w:t> </w:t>
      </w:r>
      <w:r>
        <w:rPr>
          <w:spacing w:val="-93"/>
        </w:rPr>
      </w:r>
      <w:r>
        <w:rPr/>
        <w:t>十二个月内不能完全支付，且财务影响重大的，则该负债将以折现后的金额计量。</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离职后福利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36"/>
        <w:jc w:val="both"/>
      </w:pPr>
      <w:r>
        <w:rPr/>
        <w:t>离职后福利计划包括设定提存计划和设定受益计划。其中，设定提存计划，是指向独立的基</w:t>
      </w:r>
      <w:r>
        <w:rPr>
          <w:spacing w:val="-93"/>
        </w:rPr>
        <w:t> </w:t>
      </w:r>
      <w:r>
        <w:rPr>
          <w:spacing w:val="-93"/>
        </w:rPr>
      </w:r>
      <w:r>
        <w:rPr/>
        <w:t>金缴存固定费用后，企业不再承担进一步支付义务的离职后福利计划；设定受益计划，是指</w:t>
      </w:r>
      <w:r>
        <w:rPr>
          <w:spacing w:val="-93"/>
        </w:rPr>
        <w:t> </w:t>
      </w:r>
      <w:r>
        <w:rPr>
          <w:spacing w:val="-93"/>
        </w:rPr>
      </w:r>
      <w:r>
        <w:rPr/>
        <w:t>除设定提存计划以外的离职后福利计划。</w:t>
      </w:r>
    </w:p>
    <w:p>
      <w:pPr>
        <w:pStyle w:val="BodyText"/>
        <w:spacing w:line="403" w:lineRule="auto" w:before="185"/>
        <w:ind w:right="5711"/>
        <w:jc w:val="left"/>
      </w:pPr>
      <w:r>
        <w:rPr/>
        <w:t>设定提存计划 设定提存计划包括基本养老保险、失业保险等。</w:t>
      </w:r>
    </w:p>
    <w:p>
      <w:pPr>
        <w:pStyle w:val="BodyText"/>
        <w:spacing w:line="312" w:lineRule="exact" w:before="81"/>
        <w:ind w:right="0"/>
        <w:jc w:val="left"/>
      </w:pPr>
      <w:r>
        <w:rPr/>
        <w:t>在职工提供服务的会计期间，根据设定提存计划计算的应缴存金额确认为负债，并计入当期</w:t>
      </w:r>
      <w:r>
        <w:rPr>
          <w:spacing w:val="-93"/>
        </w:rPr>
        <w:t> </w:t>
      </w:r>
      <w:r>
        <w:rPr>
          <w:spacing w:val="-93"/>
        </w:rPr>
      </w:r>
      <w:r>
        <w:rPr/>
        <w:t>损益或相关资产成本。</w:t>
      </w:r>
    </w:p>
    <w:p>
      <w:pPr>
        <w:pStyle w:val="BodyText"/>
        <w:spacing w:line="240" w:lineRule="auto" w:before="185"/>
        <w:ind w:right="0"/>
        <w:jc w:val="both"/>
      </w:pPr>
      <w:r>
        <w:rPr/>
        <w:t>设定受益计划</w:t>
      </w:r>
    </w:p>
    <w:p>
      <w:pPr>
        <w:spacing w:line="240" w:lineRule="auto" w:before="10"/>
        <w:rPr>
          <w:rFonts w:ascii="宋体" w:hAnsi="宋体" w:cs="宋体" w:eastAsia="宋体" w:hint="default"/>
          <w:sz w:val="18"/>
          <w:szCs w:val="18"/>
        </w:rPr>
      </w:pPr>
    </w:p>
    <w:p>
      <w:pPr>
        <w:pStyle w:val="BodyText"/>
        <w:spacing w:line="312" w:lineRule="exact"/>
        <w:ind w:right="0"/>
        <w:jc w:val="left"/>
      </w:pPr>
      <w:r>
        <w:rPr/>
        <w:t>对于设定受益计划，在年度资产负债表日由独立精算师进行精算估值，以预期累积福利单位</w:t>
      </w:r>
      <w:r>
        <w:rPr>
          <w:spacing w:val="-93"/>
        </w:rPr>
        <w:t> </w:t>
      </w:r>
      <w:r>
        <w:rPr>
          <w:spacing w:val="-93"/>
        </w:rPr>
      </w:r>
      <w:r>
        <w:rPr/>
        <w:t>法确定提供福利的成本。本公司设定受益计划导致的职工薪酬成本包括下列组成部分：</w:t>
      </w:r>
    </w:p>
    <w:p>
      <w:pPr>
        <w:pStyle w:val="BodyText"/>
        <w:spacing w:line="237" w:lineRule="auto" w:before="188"/>
        <w:ind w:right="1136"/>
        <w:jc w:val="both"/>
      </w:pPr>
      <w:r>
        <w:rPr/>
        <w:t>①服务成本，包括当期服务成本、过去服务成本和结算利得或损失。其中，当期服务成本，</w:t>
      </w:r>
      <w:r>
        <w:rPr>
          <w:spacing w:val="-93"/>
        </w:rPr>
        <w:t> </w:t>
      </w:r>
      <w:r>
        <w:rPr>
          <w:spacing w:val="-93"/>
        </w:rPr>
      </w:r>
      <w:r>
        <w:rPr/>
        <w:t>是指职工当期提供服务所导致的设定受益计划义务现值的增加额；过去服务成本，是指设定</w:t>
      </w:r>
      <w:r>
        <w:rPr>
          <w:spacing w:val="-93"/>
        </w:rPr>
        <w:t> </w:t>
      </w:r>
      <w:r>
        <w:rPr>
          <w:spacing w:val="-93"/>
        </w:rPr>
      </w:r>
      <w:r>
        <w:rPr/>
        <w:t>受益计划修改所导致的与以前期间职工服务相关的设定受益计划义务现值的增加或减少。</w:t>
      </w:r>
    </w:p>
    <w:p>
      <w:pPr>
        <w:spacing w:line="240" w:lineRule="auto" w:before="9"/>
        <w:rPr>
          <w:rFonts w:ascii="宋体" w:hAnsi="宋体" w:cs="宋体" w:eastAsia="宋体" w:hint="default"/>
          <w:sz w:val="18"/>
          <w:szCs w:val="18"/>
        </w:rPr>
      </w:pPr>
    </w:p>
    <w:p>
      <w:pPr>
        <w:pStyle w:val="BodyText"/>
        <w:spacing w:line="312" w:lineRule="exact"/>
        <w:ind w:right="0"/>
        <w:jc w:val="left"/>
      </w:pPr>
      <w:r>
        <w:rPr/>
        <w:t>②设定受益计划净负债或净资产的利息净额，包括计划资产的利息收益、设定受益计划义务</w:t>
      </w:r>
      <w:r>
        <w:rPr>
          <w:spacing w:val="-93"/>
        </w:rPr>
        <w:t> </w:t>
      </w:r>
      <w:r>
        <w:rPr>
          <w:spacing w:val="-93"/>
        </w:rPr>
      </w:r>
      <w:r>
        <w:rPr/>
        <w:t>的利息费用以及资产上限影响的利息。</w:t>
      </w:r>
    </w:p>
    <w:p>
      <w:pPr>
        <w:pStyle w:val="BodyText"/>
        <w:spacing w:line="240" w:lineRule="auto" w:before="185"/>
        <w:ind w:right="0"/>
        <w:jc w:val="both"/>
      </w:pPr>
      <w:r>
        <w:rPr/>
        <w:t>③重新计量设定受益计划净负债或净资产所产生的变动。</w:t>
      </w:r>
    </w:p>
    <w:p>
      <w:pPr>
        <w:spacing w:line="240" w:lineRule="auto" w:before="10"/>
        <w:rPr>
          <w:rFonts w:ascii="宋体" w:hAnsi="宋体" w:cs="宋体" w:eastAsia="宋体" w:hint="default"/>
          <w:sz w:val="18"/>
          <w:szCs w:val="18"/>
        </w:rPr>
      </w:pPr>
    </w:p>
    <w:p>
      <w:pPr>
        <w:pStyle w:val="BodyText"/>
        <w:spacing w:line="312" w:lineRule="exact"/>
        <w:ind w:right="0"/>
        <w:jc w:val="left"/>
      </w:pPr>
      <w:r>
        <w:rPr/>
        <w:t>除非其他会计准则要求或允许职工福利成本计入资产成本，本公司将上述第①和②项计入当</w:t>
      </w:r>
      <w:r>
        <w:rPr>
          <w:spacing w:val="-93"/>
        </w:rPr>
        <w:t> </w:t>
      </w:r>
      <w:r>
        <w:rPr>
          <w:spacing w:val="-93"/>
        </w:rPr>
      </w:r>
      <w:r>
        <w:rPr/>
        <w:t>期损益；第③项计入其他综合收益且不会在后续会计期间转回至损益，在原设定受益计划终</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止时在权益范围内将原计入其他综合收益的部分全部结转至未分配利润。</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辞退福利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36"/>
        <w:jc w:val="both"/>
      </w:pPr>
      <w:r>
        <w:rPr/>
        <w:t>本公司向职工提供辞退福利的，在下列两者孰早日确认辞退福利产生的职工薪酬负债，并计</w:t>
      </w:r>
      <w:r>
        <w:rPr>
          <w:spacing w:val="-93"/>
        </w:rPr>
        <w:t> </w:t>
      </w:r>
      <w:r>
        <w:rPr>
          <w:spacing w:val="-93"/>
        </w:rPr>
      </w:r>
      <w:r>
        <w:rPr/>
        <w:t>入当期损益：本公司不能单方面撤回因解除劳动关系计划或裁减建议所提供的辞退福利时；</w:t>
      </w:r>
      <w:r>
        <w:rPr>
          <w:spacing w:val="-93"/>
        </w:rPr>
        <w:t> </w:t>
      </w:r>
      <w:r>
        <w:rPr>
          <w:spacing w:val="-93"/>
        </w:rPr>
      </w:r>
      <w:r>
        <w:rPr/>
        <w:t>本公司确认与涉及支付辞退福利的重组相关的成本或费用时。</w:t>
      </w:r>
    </w:p>
    <w:p>
      <w:pPr>
        <w:pStyle w:val="BodyText"/>
        <w:spacing w:line="312" w:lineRule="exact" w:before="216"/>
        <w:ind w:right="1132"/>
        <w:jc w:val="both"/>
      </w:pPr>
      <w:r>
        <w:rPr/>
        <w:t>实行职工内部退休计划的，在正式退休日之前的经济补偿，属于辞退福利，自职工停止提供</w:t>
      </w:r>
      <w:r>
        <w:rPr>
          <w:spacing w:val="-93"/>
        </w:rPr>
        <w:t> </w:t>
      </w:r>
      <w:r>
        <w:rPr>
          <w:spacing w:val="-93"/>
        </w:rPr>
      </w:r>
      <w:r>
        <w:rPr/>
        <w:t>服务日至正常退休日期间，拟支付的内退职工工资和缴纳的社会保险费等一次性计入当期损</w:t>
      </w:r>
      <w:r>
        <w:rPr>
          <w:spacing w:val="-89"/>
        </w:rPr>
        <w:t> </w:t>
      </w:r>
      <w:r>
        <w:rPr>
          <w:spacing w:val="-89"/>
        </w:rPr>
      </w:r>
      <w:r>
        <w:rPr/>
        <w:t>益。正式退休日期之后的经济补偿（如正常养老退休金），按照离职后福利处理。</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其他长期职工福利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22"/>
        <w:jc w:val="both"/>
      </w:pPr>
      <w:r>
        <w:rPr/>
        <w:t>本公司向职工提供的其他长期职工福利，符合设定提存计划条件的，按照上述关于设定提存</w:t>
      </w:r>
      <w:r>
        <w:rPr>
          <w:spacing w:val="-93"/>
        </w:rPr>
        <w:t> </w:t>
      </w:r>
      <w:r>
        <w:rPr>
          <w:spacing w:val="-93"/>
        </w:rPr>
      </w:r>
      <w:r>
        <w:rPr/>
        <w:t>计划的有关规定进行处理。符合设定受益计划的，按照上述关于设定受益计划的有关规定进</w:t>
      </w:r>
      <w:r>
        <w:rPr>
          <w:spacing w:val="-93"/>
        </w:rPr>
        <w:t> </w:t>
      </w:r>
      <w:r>
        <w:rPr>
          <w:spacing w:val="-93"/>
        </w:rPr>
      </w:r>
      <w:r>
        <w:rPr/>
        <w:t>行处理，但相关职工薪酬成本中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w:t>
      </w:r>
      <w:r>
        <w:rPr>
          <w:spacing w:val="-58"/>
        </w:rPr>
        <w:t> </w:t>
      </w:r>
      <w:r>
        <w:rPr/>
        <w:t>计入当期损益或相关资产成本。</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5、租赁负债" w:id="216"/>
      <w:bookmarkEnd w:id="216"/>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36、预计负债" w:id="217"/>
      <w:bookmarkEnd w:id="217"/>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both"/>
      </w:pPr>
      <w:r>
        <w:rPr/>
        <w:t>如果与或有事项相关的义务同时符合以下条件，本公司将其确认为预计负债：</w:t>
      </w:r>
    </w:p>
    <w:p>
      <w:pPr>
        <w:pStyle w:val="BodyText"/>
        <w:spacing w:line="240" w:lineRule="auto" w:before="214"/>
        <w:ind w:right="0"/>
        <w:jc w:val="both"/>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96"/>
        <w:ind w:right="0"/>
        <w:jc w:val="both"/>
      </w:pPr>
      <w:r>
        <w:rPr/>
        <w:t>（</w:t>
      </w: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195"/>
        <w:ind w:right="0"/>
        <w:jc w:val="both"/>
      </w:pPr>
      <w:r>
        <w:rPr/>
        <w:t>（</w:t>
      </w:r>
      <w:r>
        <w:rPr>
          <w:rFonts w:ascii="Times New Roman" w:hAnsi="Times New Roman" w:cs="Times New Roman" w:eastAsia="Times New Roman" w:hint="default"/>
        </w:rPr>
        <w:t>3</w:t>
      </w:r>
      <w:r>
        <w:rPr/>
        <w:t>）该义务的金额能够可靠地计量。</w:t>
      </w:r>
    </w:p>
    <w:p>
      <w:pPr>
        <w:pStyle w:val="BodyText"/>
        <w:spacing w:line="237" w:lineRule="auto" w:before="198"/>
        <w:ind w:right="1136"/>
        <w:jc w:val="both"/>
      </w:pPr>
      <w:r>
        <w:rPr/>
        <w:t>预计负债按照履行相关现时义务所需支出的最佳估计数进行初始计量，并综合考虑与或有事</w:t>
      </w:r>
      <w:r>
        <w:rPr>
          <w:spacing w:val="-93"/>
        </w:rPr>
        <w:t> </w:t>
      </w:r>
      <w:r>
        <w:rPr>
          <w:spacing w:val="-93"/>
        </w:rPr>
      </w:r>
      <w:r>
        <w:rPr/>
        <w:t>项有关的风险、不确定性和货币时间价值等因素。货币时间价值影响重大的，通过对相关未</w:t>
      </w:r>
      <w:r>
        <w:rPr>
          <w:spacing w:val="-93"/>
        </w:rPr>
        <w:t> </w:t>
      </w:r>
      <w:r>
        <w:rPr>
          <w:spacing w:val="-93"/>
        </w:rPr>
      </w:r>
      <w:r>
        <w:rPr/>
        <w:t>来现金流出进行折现后确定最佳估计数。本公司于资产负债表日对预计负债的账面价值进行</w:t>
      </w:r>
      <w:r>
        <w:rPr>
          <w:spacing w:val="-93"/>
        </w:rPr>
        <w:t> </w:t>
      </w:r>
      <w:r>
        <w:rPr>
          <w:spacing w:val="-93"/>
        </w:rPr>
      </w:r>
      <w:r>
        <w:rPr/>
        <w:t>复核，并对账面价值进行调整以反映当前最佳估计数。</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如果清偿已确认预计负债所需支出全部或部分预期由第三方或其他方补偿，则补偿金额只能</w:t>
      </w:r>
      <w:r>
        <w:rPr>
          <w:spacing w:val="-93"/>
        </w:rPr>
        <w:t> </w:t>
      </w:r>
      <w:r>
        <w:rPr>
          <w:spacing w:val="-93"/>
        </w:rPr>
      </w:r>
      <w:r>
        <w:rPr/>
        <w:t>在基本确定能收到时，作为资产单独确认。确认的补偿金额不超过所确认负债的账面价值。</w:t>
      </w:r>
    </w:p>
    <w:p>
      <w:pPr>
        <w:spacing w:line="240" w:lineRule="auto" w:before="10"/>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7、股份支付" w:id="218"/>
      <w:bookmarkEnd w:id="218"/>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381" w:lineRule="auto"/>
        <w:ind w:right="3311"/>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72"/>
        <w:ind w:right="0"/>
        <w:jc w:val="both"/>
      </w:pPr>
      <w:r>
        <w:rPr/>
        <w:t>（</w:t>
      </w:r>
      <w:r>
        <w:rPr>
          <w:rFonts w:ascii="Times New Roman" w:hAnsi="Times New Roman" w:cs="Times New Roman" w:eastAsia="Times New Roman" w:hint="default"/>
        </w:rPr>
        <w:t>2</w:t>
      </w:r>
      <w:r>
        <w:rPr/>
        <w:t>）权益工具公允价值的确定方法</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5" w:lineRule="auto" w:before="31"/>
        <w:ind w:right="993"/>
        <w:jc w:val="left"/>
      </w:pPr>
      <w:r>
        <w:rPr>
          <w:spacing w:val="-2"/>
        </w:rPr>
        <w:t>本公司对于授予的存在活跃市场的期权等权益工具，按照活跃市场中的报价确定其公允价值。</w:t>
      </w:r>
      <w:r>
        <w:rPr/>
        <w:t> 对于授予的不存在活跃市场的期权等权益工具，采用期权定价模型等确定其公允价值。选用</w:t>
      </w:r>
      <w:r>
        <w:rPr>
          <w:spacing w:val="-93"/>
        </w:rPr>
        <w:t> </w:t>
      </w:r>
      <w:r>
        <w:rPr>
          <w:spacing w:val="-93"/>
        </w:rPr>
      </w:r>
      <w:r>
        <w:rPr/>
        <w:t>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w:t>
      </w:r>
      <w:r>
        <w:rPr>
          <w:spacing w:val="-105"/>
        </w:rPr>
        <w:t> </w:t>
      </w:r>
      <w:r>
        <w:rPr>
          <w:spacing w:val="-105"/>
        </w:rPr>
      </w:r>
      <w:r>
        <w:rPr/>
        <w:t>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97"/>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4"/>
        <w:rPr>
          <w:rFonts w:ascii="宋体" w:hAnsi="宋体" w:cs="宋体" w:eastAsia="宋体" w:hint="default"/>
          <w:sz w:val="17"/>
          <w:szCs w:val="17"/>
        </w:rPr>
      </w:pPr>
    </w:p>
    <w:p>
      <w:pPr>
        <w:pStyle w:val="BodyText"/>
        <w:spacing w:line="312" w:lineRule="exact"/>
        <w:ind w:right="1136"/>
        <w:jc w:val="both"/>
      </w:pPr>
      <w:r>
        <w:rPr/>
        <w:t>等待期内每个资产负债表日，本公司根据最新取得的可行权职工人数变动等后续信息作出最</w:t>
      </w:r>
      <w:r>
        <w:rPr>
          <w:spacing w:val="-93"/>
        </w:rPr>
        <w:t> </w:t>
      </w:r>
      <w:r>
        <w:rPr>
          <w:spacing w:val="-93"/>
        </w:rPr>
      </w:r>
      <w:r>
        <w:rPr/>
        <w:t>佳估计，修正预计可行权的权益工具数量。在可行权日，最终预计可行权权益工具的数量应</w:t>
      </w:r>
      <w:r>
        <w:rPr>
          <w:spacing w:val="-93"/>
        </w:rPr>
        <w:t> </w:t>
      </w:r>
      <w:r>
        <w:rPr>
          <w:spacing w:val="-93"/>
        </w:rPr>
      </w:r>
      <w:r>
        <w:rPr/>
        <w:t>当与实际可行权数量一致。</w:t>
      </w:r>
    </w:p>
    <w:p>
      <w:pPr>
        <w:pStyle w:val="BodyText"/>
        <w:spacing w:line="240" w:lineRule="auto" w:before="185"/>
        <w:ind w:right="0"/>
        <w:jc w:val="both"/>
      </w:pPr>
      <w:r>
        <w:rPr/>
        <w:t>（</w:t>
      </w:r>
      <w:r>
        <w:rPr>
          <w:rFonts w:ascii="Times New Roman" w:hAnsi="Times New Roman" w:cs="Times New Roman" w:eastAsia="Times New Roman" w:hint="default"/>
        </w:rPr>
        <w:t>4</w:t>
      </w:r>
      <w:r>
        <w:rPr/>
        <w:t>）实施、修改、终止股份支付计划的相关会计处理</w:t>
      </w:r>
    </w:p>
    <w:p>
      <w:pPr>
        <w:pStyle w:val="BodyText"/>
        <w:spacing w:line="237" w:lineRule="auto" w:before="198"/>
        <w:ind w:right="1133"/>
        <w:jc w:val="both"/>
      </w:pPr>
      <w:r>
        <w:rPr/>
        <w:t>以权益结算的股份支付，按授予职工权益工具的公允价值计量。授予后立即可行权的，在授</w:t>
      </w:r>
      <w:r>
        <w:rPr>
          <w:spacing w:val="-93"/>
        </w:rPr>
        <w:t> </w:t>
      </w:r>
      <w:r>
        <w:rPr>
          <w:spacing w:val="-93"/>
        </w:rPr>
      </w:r>
      <w:r>
        <w:rPr/>
        <w:t>予日按照权益工具的公允价值计入相关成本或费用，相应增加资本公积。在完成等待期内的</w:t>
      </w:r>
      <w:r>
        <w:rPr>
          <w:spacing w:val="-91"/>
        </w:rPr>
        <w:t> </w:t>
      </w:r>
      <w:r>
        <w:rPr>
          <w:spacing w:val="-91"/>
        </w:rPr>
      </w:r>
      <w:r>
        <w:rPr/>
        <w:t>服务或达到规定业绩条件才可行权的，在等待期内的每个资产负债表日，以对可行权权益工</w:t>
      </w:r>
      <w:r>
        <w:rPr>
          <w:spacing w:val="-93"/>
        </w:rPr>
        <w:t> </w:t>
      </w:r>
      <w:r>
        <w:rPr>
          <w:spacing w:val="-93"/>
        </w:rPr>
      </w:r>
      <w:r>
        <w:rPr/>
        <w:t>具数量的最佳估计为基础，按照权益工具授予日的公允价值，将当期取得的服务计入相关成</w:t>
      </w:r>
      <w:r>
        <w:rPr>
          <w:spacing w:val="-93"/>
        </w:rPr>
        <w:t> </w:t>
      </w:r>
      <w:r>
        <w:rPr>
          <w:spacing w:val="-93"/>
        </w:rPr>
      </w:r>
      <w:r>
        <w:rPr/>
        <w:t>本或费用和资本公积。在可行权日之后不再对已确认的相关成本或费用和所有者权益总额进</w:t>
      </w:r>
      <w:r>
        <w:rPr>
          <w:spacing w:val="-93"/>
        </w:rPr>
        <w:t> </w:t>
      </w:r>
      <w:r>
        <w:rPr>
          <w:spacing w:val="-93"/>
        </w:rPr>
      </w:r>
      <w:r>
        <w:rPr/>
        <w:t>行调整。</w:t>
      </w:r>
    </w:p>
    <w:p>
      <w:pPr>
        <w:spacing w:line="240" w:lineRule="auto" w:before="8"/>
        <w:rPr>
          <w:rFonts w:ascii="宋体" w:hAnsi="宋体" w:cs="宋体" w:eastAsia="宋体" w:hint="default"/>
          <w:sz w:val="16"/>
          <w:szCs w:val="16"/>
        </w:rPr>
      </w:pPr>
    </w:p>
    <w:p>
      <w:pPr>
        <w:pStyle w:val="BodyText"/>
        <w:spacing w:line="237" w:lineRule="auto"/>
        <w:ind w:right="1132"/>
        <w:jc w:val="both"/>
      </w:pPr>
      <w:r>
        <w:rPr/>
        <w:t>以现金结算的股份支付，按照本公司承担的以股份或其他权益工具为基础计算确定的负债的</w:t>
      </w:r>
      <w:r>
        <w:rPr>
          <w:spacing w:val="-93"/>
        </w:rPr>
        <w:t> </w:t>
      </w:r>
      <w:r>
        <w:rPr>
          <w:spacing w:val="-93"/>
        </w:rPr>
      </w:r>
      <w:r>
        <w:rPr/>
        <w:t>公允价值计量。授予后立即可行权的，在授予日以本公司承担负债的公允价值计入相关成本</w:t>
      </w:r>
      <w:r>
        <w:rPr>
          <w:spacing w:val="-93"/>
        </w:rPr>
        <w:t> </w:t>
      </w:r>
      <w:r>
        <w:rPr>
          <w:spacing w:val="-93"/>
        </w:rPr>
      </w:r>
      <w:r>
        <w:rPr/>
        <w:t>或费用，相应增加负债。在完成等待期内的服务或达到规定业绩条件以后才可行权的以现金</w:t>
      </w:r>
      <w:r>
        <w:rPr>
          <w:spacing w:val="-89"/>
        </w:rPr>
        <w:t> </w:t>
      </w:r>
      <w:r>
        <w:rPr>
          <w:spacing w:val="-89"/>
        </w:rPr>
      </w:r>
      <w:r>
        <w:rPr/>
        <w:t>结算的股份支付，在等待期内的每个资产负债表日，以对可行权情况的最佳估计为基础，按</w:t>
      </w:r>
      <w:r>
        <w:rPr>
          <w:spacing w:val="-93"/>
        </w:rPr>
        <w:t> </w:t>
      </w:r>
      <w:r>
        <w:rPr>
          <w:spacing w:val="-93"/>
        </w:rPr>
      </w:r>
      <w:r>
        <w:rPr/>
        <w:t>照本公司承担负债的公允价值金额，将当期取得的服务计入成本或费用和相应的负债。在相</w:t>
      </w:r>
      <w:r>
        <w:rPr>
          <w:spacing w:val="-93"/>
        </w:rPr>
        <w:t> </w:t>
      </w:r>
      <w:r>
        <w:rPr>
          <w:spacing w:val="-93"/>
        </w:rPr>
      </w:r>
      <w:r>
        <w:rPr/>
        <w:t>关负债结算前的每个资产负债表日以及结算日，对负债的公允价值重新计量，其变动计入当</w:t>
      </w:r>
      <w:r>
        <w:rPr>
          <w:spacing w:val="-93"/>
        </w:rPr>
        <w:t> </w:t>
      </w:r>
      <w:r>
        <w:rPr>
          <w:spacing w:val="-93"/>
        </w:rPr>
      </w:r>
      <w:r>
        <w:rPr/>
        <w:t>期损益。</w:t>
      </w:r>
    </w:p>
    <w:p>
      <w:pPr>
        <w:spacing w:line="240" w:lineRule="auto" w:before="8"/>
        <w:rPr>
          <w:rFonts w:ascii="宋体" w:hAnsi="宋体" w:cs="宋体" w:eastAsia="宋体" w:hint="default"/>
          <w:sz w:val="16"/>
          <w:szCs w:val="16"/>
        </w:rPr>
      </w:pPr>
    </w:p>
    <w:p>
      <w:pPr>
        <w:pStyle w:val="BodyText"/>
        <w:spacing w:line="237" w:lineRule="auto"/>
        <w:ind w:right="1136"/>
        <w:jc w:val="both"/>
      </w:pPr>
      <w:r>
        <w:rPr/>
        <w:t>本公司对股份支付计划进行修改时，若修改增加了所授予权益工具的公允价值，按照权益工</w:t>
      </w:r>
      <w:r>
        <w:rPr>
          <w:spacing w:val="-93"/>
        </w:rPr>
        <w:t> </w:t>
      </w:r>
      <w:r>
        <w:rPr>
          <w:spacing w:val="-93"/>
        </w:rPr>
      </w:r>
      <w:r>
        <w:rPr/>
        <w:t>具公允价值的增加相应地确认取得服务的增加；若修改增加了所授予权益工具的数量，则将</w:t>
      </w:r>
      <w:r>
        <w:rPr>
          <w:spacing w:val="-93"/>
        </w:rPr>
        <w:t> </w:t>
      </w:r>
      <w:r>
        <w:rPr>
          <w:spacing w:val="-93"/>
        </w:rPr>
      </w:r>
      <w:r>
        <w:rPr/>
        <w:t>增加的权益工具的公允价值相应地确认为取得服务的增加。权益工具公允价值的增加是指修</w:t>
      </w:r>
      <w:r>
        <w:rPr>
          <w:spacing w:val="-93"/>
        </w:rPr>
        <w:t> </w:t>
      </w:r>
      <w:r>
        <w:rPr>
          <w:spacing w:val="-93"/>
        </w:rPr>
      </w:r>
      <w:r>
        <w:rPr/>
        <w:t>改前后的权益工具在修改日的公允价值之间的差额。若修改减少了股份支付公允价值总额或</w:t>
      </w:r>
      <w:r>
        <w:rPr>
          <w:spacing w:val="-93"/>
        </w:rPr>
        <w:t> </w:t>
      </w:r>
      <w:r>
        <w:rPr>
          <w:spacing w:val="-93"/>
        </w:rPr>
      </w:r>
      <w:r>
        <w:rPr/>
        <w:t>采用了其他不利于职工的方式修改股份支付计划的条款和条件，则仍继续对取得的服务进行</w:t>
      </w:r>
      <w:r>
        <w:rPr>
          <w:spacing w:val="-93"/>
        </w:rPr>
        <w:t> </w:t>
      </w:r>
      <w:r>
        <w:rPr>
          <w:spacing w:val="-93"/>
        </w:rPr>
      </w:r>
      <w:r>
        <w:rPr/>
        <w:t>会计处理，视同该变更从未发生，除非本公司取消了部分或全部已授予的权益工具。</w:t>
      </w:r>
    </w:p>
    <w:p>
      <w:pPr>
        <w:spacing w:line="240" w:lineRule="auto" w:before="8"/>
        <w:rPr>
          <w:rFonts w:ascii="宋体" w:hAnsi="宋体" w:cs="宋体" w:eastAsia="宋体" w:hint="default"/>
          <w:sz w:val="16"/>
          <w:szCs w:val="16"/>
        </w:rPr>
      </w:pPr>
    </w:p>
    <w:p>
      <w:pPr>
        <w:pStyle w:val="BodyText"/>
        <w:spacing w:line="237" w:lineRule="auto"/>
        <w:ind w:right="1136"/>
        <w:jc w:val="both"/>
      </w:pPr>
      <w:r>
        <w:rPr/>
        <w:t>在等待期内，如果取消了授予的权益工具（因未满足可行权条件的非市场条件而被取消的除</w:t>
      </w:r>
      <w:r>
        <w:rPr>
          <w:spacing w:val="-93"/>
        </w:rPr>
        <w:t> </w:t>
      </w:r>
      <w:r>
        <w:rPr>
          <w:spacing w:val="-93"/>
        </w:rPr>
      </w:r>
      <w:r>
        <w:rPr/>
        <w:t>外），本公司对取消所授予的权益性工具作为加速行权处理，将剩余等待期内应确认的金额</w:t>
      </w:r>
      <w:r>
        <w:rPr>
          <w:spacing w:val="-93"/>
        </w:rPr>
        <w:t> </w:t>
      </w:r>
      <w:r>
        <w:rPr>
          <w:spacing w:val="-93"/>
        </w:rPr>
      </w:r>
      <w:r>
        <w:rPr/>
        <w:t>立即计入当期损益，同时确认资本公积。职工或其他方能够选择满足非可行权条件但在等待</w:t>
      </w:r>
      <w:r>
        <w:rPr>
          <w:spacing w:val="-93"/>
        </w:rPr>
        <w:t> </w:t>
      </w:r>
      <w:r>
        <w:rPr>
          <w:spacing w:val="-93"/>
        </w:rPr>
      </w:r>
      <w:r>
        <w:rPr/>
        <w:t>期内未满足的，本公司将其作为授予权益工具的取消处理。</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8、优先股、永续债等其他金融工具" w:id="219"/>
      <w:bookmarkEnd w:id="219"/>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39、收入" w:id="220"/>
      <w:bookmarkEnd w:id="220"/>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pStyle w:val="BodyText"/>
        <w:spacing w:line="240" w:lineRule="auto" w:before="45"/>
        <w:ind w:right="0"/>
        <w:jc w:val="both"/>
      </w:pPr>
      <w:r>
        <w:rPr/>
        <w:t>（</w:t>
      </w:r>
      <w:r>
        <w:rPr>
          <w:rFonts w:ascii="Times New Roman" w:hAnsi="Times New Roman" w:cs="Times New Roman" w:eastAsia="Times New Roman" w:hint="default"/>
        </w:rPr>
        <w:t>1</w:t>
      </w:r>
      <w:r>
        <w:rPr/>
        <w:t>）一般原则</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①销售商品</w:t>
      </w:r>
    </w:p>
    <w:p>
      <w:pPr>
        <w:spacing w:line="240" w:lineRule="auto" w:before="7"/>
        <w:rPr>
          <w:rFonts w:ascii="宋体" w:hAnsi="宋体" w:cs="宋体" w:eastAsia="宋体" w:hint="default"/>
          <w:sz w:val="16"/>
          <w:szCs w:val="16"/>
        </w:rPr>
      </w:pPr>
    </w:p>
    <w:p>
      <w:pPr>
        <w:pStyle w:val="BodyText"/>
        <w:spacing w:line="237" w:lineRule="auto"/>
        <w:ind w:right="1136"/>
        <w:jc w:val="both"/>
      </w:pPr>
      <w:r>
        <w:rPr/>
        <w:t>在已将商品所有权上的主要风险和报酬转移给购货方，既没有保留通常与所有权相联系的继</w:t>
      </w:r>
      <w:r>
        <w:rPr>
          <w:spacing w:val="-93"/>
        </w:rPr>
        <w:t> </w:t>
      </w:r>
      <w:r>
        <w:rPr>
          <w:spacing w:val="-93"/>
        </w:rPr>
      </w:r>
      <w:r>
        <w:rPr/>
        <w:t>续管理权，也没有对已售商品实施有效控制，收入的金额能够可靠地计量，相关的经济利益</w:t>
      </w:r>
      <w:r>
        <w:rPr>
          <w:spacing w:val="-93"/>
        </w:rPr>
        <w:t> </w:t>
      </w:r>
      <w:r>
        <w:rPr>
          <w:spacing w:val="-93"/>
        </w:rPr>
      </w:r>
      <w:r>
        <w:rPr/>
        <w:t>很可能流入企业，相关的已发生或将发生的成本能够可靠地计量时，确认商品销售收入的实</w:t>
      </w:r>
      <w:r>
        <w:rPr>
          <w:spacing w:val="-93"/>
        </w:rPr>
        <w:t> </w:t>
      </w:r>
      <w:r>
        <w:rPr>
          <w:spacing w:val="-93"/>
        </w:rPr>
      </w:r>
      <w:r>
        <w:rPr/>
        <w:t>现。</w:t>
      </w:r>
    </w:p>
    <w:p>
      <w:pPr>
        <w:pStyle w:val="BodyText"/>
        <w:spacing w:line="240" w:lineRule="auto" w:before="214"/>
        <w:ind w:right="0"/>
        <w:jc w:val="both"/>
      </w:pPr>
      <w:r>
        <w:rPr/>
        <w:t>②提供劳务</w:t>
      </w:r>
    </w:p>
    <w:p>
      <w:pPr>
        <w:pStyle w:val="BodyText"/>
        <w:spacing w:line="240" w:lineRule="auto" w:before="214"/>
        <w:ind w:right="1136"/>
        <w:jc w:val="both"/>
      </w:pPr>
      <w:r>
        <w:rPr/>
        <w:t>对在提供劳务交易的结果能够可靠估计的情况下，本公司于资产负债表日按完工百分比法确</w:t>
      </w:r>
      <w:r>
        <w:rPr>
          <w:spacing w:val="-93"/>
        </w:rPr>
        <w:t> </w:t>
      </w:r>
      <w:r>
        <w:rPr>
          <w:spacing w:val="-93"/>
        </w:rPr>
      </w:r>
      <w:r>
        <w:rPr/>
        <w:t>认收入。</w:t>
      </w:r>
    </w:p>
    <w:p>
      <w:pPr>
        <w:pStyle w:val="BodyText"/>
        <w:spacing w:line="240" w:lineRule="auto" w:before="214"/>
        <w:ind w:right="0"/>
        <w:jc w:val="both"/>
      </w:pPr>
      <w:r>
        <w:rPr/>
        <w:t>劳务交易的完工进度按完工百分比法（工程完工进度）确定。</w:t>
      </w:r>
    </w:p>
    <w:p>
      <w:pPr>
        <w:spacing w:line="240" w:lineRule="auto" w:before="8"/>
        <w:rPr>
          <w:rFonts w:ascii="宋体" w:hAnsi="宋体" w:cs="宋体" w:eastAsia="宋体" w:hint="default"/>
          <w:sz w:val="17"/>
          <w:szCs w:val="17"/>
        </w:rPr>
      </w:pPr>
    </w:p>
    <w:p>
      <w:pPr>
        <w:pStyle w:val="BodyText"/>
        <w:spacing w:line="225" w:lineRule="auto"/>
        <w:ind w:right="1131"/>
        <w:jc w:val="both"/>
      </w:pPr>
      <w:r>
        <w:rPr>
          <w:spacing w:val="-2"/>
        </w:rPr>
        <w:t>提供劳务交易的结果能够可靠估计是指同时满足：</w:t>
      </w:r>
      <w:r>
        <w:rPr>
          <w:rFonts w:ascii="Times New Roman" w:hAnsi="Times New Roman" w:cs="Times New Roman" w:eastAsia="Times New Roman" w:hint="default"/>
          <w:spacing w:val="-2"/>
        </w:rPr>
        <w:t>A</w:t>
      </w:r>
      <w:r>
        <w:rPr>
          <w:spacing w:val="-2"/>
        </w:rPr>
        <w:t>、收入的金额能够可靠地计量；</w:t>
      </w:r>
      <w:r>
        <w:rPr>
          <w:rFonts w:ascii="Times New Roman" w:hAnsi="Times New Roman" w:cs="Times New Roman" w:eastAsia="Times New Roman" w:hint="default"/>
          <w:spacing w:val="-2"/>
        </w:rPr>
        <w:t>B</w:t>
      </w:r>
      <w:r>
        <w:rPr>
          <w:spacing w:val="-2"/>
        </w:rPr>
        <w:t>、相关</w:t>
      </w:r>
      <w:r>
        <w:rPr>
          <w:spacing w:val="-98"/>
        </w:rPr>
        <w:t> </w:t>
      </w:r>
      <w:r>
        <w:rPr>
          <w:spacing w:val="-98"/>
        </w:rPr>
      </w:r>
      <w:r>
        <w:rPr>
          <w:spacing w:val="-2"/>
        </w:rPr>
        <w:t>的经济利益很可能流入企业；</w:t>
      </w:r>
      <w:r>
        <w:rPr>
          <w:rFonts w:ascii="Times New Roman" w:hAnsi="Times New Roman" w:cs="Times New Roman" w:eastAsia="Times New Roman" w:hint="default"/>
          <w:spacing w:val="-2"/>
        </w:rPr>
        <w:t>C</w:t>
      </w:r>
      <w:r>
        <w:rPr>
          <w:spacing w:val="-2"/>
        </w:rPr>
        <w:t>、交易的完工程度能够可靠地确定；</w:t>
      </w:r>
      <w:r>
        <w:rPr>
          <w:rFonts w:ascii="Times New Roman" w:hAnsi="Times New Roman" w:cs="Times New Roman" w:eastAsia="Times New Roman" w:hint="default"/>
          <w:spacing w:val="-2"/>
        </w:rPr>
        <w:t>D</w:t>
      </w:r>
      <w:r>
        <w:rPr>
          <w:spacing w:val="-2"/>
        </w:rPr>
        <w:t>、交易中已发生和将发</w:t>
      </w:r>
      <w:r>
        <w:rPr>
          <w:spacing w:val="-98"/>
        </w:rPr>
        <w:t> </w:t>
      </w:r>
      <w:r>
        <w:rPr>
          <w:spacing w:val="-98"/>
        </w:rPr>
      </w:r>
      <w:r>
        <w:rPr/>
        <w:t>生的成本能够可靠地计量。</w:t>
      </w:r>
    </w:p>
    <w:p>
      <w:pPr>
        <w:spacing w:line="240" w:lineRule="auto" w:before="11"/>
        <w:rPr>
          <w:rFonts w:ascii="宋体" w:hAnsi="宋体" w:cs="宋体" w:eastAsia="宋体" w:hint="default"/>
          <w:sz w:val="18"/>
          <w:szCs w:val="18"/>
        </w:rPr>
      </w:pPr>
    </w:p>
    <w:p>
      <w:pPr>
        <w:pStyle w:val="BodyText"/>
        <w:spacing w:line="312" w:lineRule="exact"/>
        <w:ind w:right="1136"/>
        <w:jc w:val="both"/>
      </w:pPr>
      <w:r>
        <w:rPr/>
        <w:t>如果提供劳务交易的结果不能够可靠估计，则按已经发生并预计能够得到补偿的劳务成本金</w:t>
      </w:r>
      <w:r>
        <w:rPr>
          <w:spacing w:val="-93"/>
        </w:rPr>
        <w:t> </w:t>
      </w:r>
      <w:r>
        <w:rPr>
          <w:spacing w:val="-93"/>
        </w:rPr>
      </w:r>
      <w:r>
        <w:rPr/>
        <w:t>额确认提供的劳务收入，并将已发生的劳务成本作为当期费用。已经发生的劳务成本如预计</w:t>
      </w:r>
      <w:r>
        <w:rPr>
          <w:spacing w:val="-93"/>
        </w:rPr>
        <w:t> </w:t>
      </w:r>
      <w:r>
        <w:rPr>
          <w:spacing w:val="-93"/>
        </w:rPr>
      </w:r>
      <w:r>
        <w:rPr/>
        <w:t>不能得到补偿的，则不确认收入。</w:t>
      </w:r>
    </w:p>
    <w:p>
      <w:pPr>
        <w:pStyle w:val="BodyText"/>
        <w:spacing w:line="240" w:lineRule="auto" w:before="185"/>
        <w:ind w:right="0"/>
        <w:jc w:val="both"/>
      </w:pPr>
      <w:r>
        <w:rPr/>
        <w:t>③让渡资产使用权</w:t>
      </w:r>
    </w:p>
    <w:p>
      <w:pPr>
        <w:spacing w:line="240" w:lineRule="auto" w:before="9"/>
        <w:rPr>
          <w:rFonts w:ascii="宋体" w:hAnsi="宋体" w:cs="宋体" w:eastAsia="宋体" w:hint="default"/>
          <w:sz w:val="18"/>
          <w:szCs w:val="18"/>
        </w:rPr>
      </w:pPr>
    </w:p>
    <w:p>
      <w:pPr>
        <w:pStyle w:val="BodyText"/>
        <w:spacing w:line="312" w:lineRule="exact"/>
        <w:ind w:right="1136"/>
        <w:jc w:val="both"/>
      </w:pPr>
      <w:r>
        <w:rPr/>
        <w:t>与资产使用权让渡相关的经济利益能够流入及收入的金额能够可靠地计量时，本公司确认收</w:t>
      </w:r>
      <w:r>
        <w:rPr>
          <w:spacing w:val="-93"/>
        </w:rPr>
        <w:t> </w:t>
      </w:r>
      <w:r>
        <w:rPr>
          <w:spacing w:val="-93"/>
        </w:rPr>
      </w:r>
      <w:r>
        <w:rPr/>
        <w:t>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spacing w:line="381" w:lineRule="auto"/>
        <w:ind w:right="7151"/>
        <w:jc w:val="left"/>
      </w:pPr>
      <w:r>
        <w:rPr/>
        <w:t>（</w:t>
      </w:r>
      <w:r>
        <w:rPr>
          <w:rFonts w:ascii="Times New Roman" w:hAnsi="Times New Roman" w:cs="Times New Roman" w:eastAsia="Times New Roman" w:hint="default"/>
        </w:rPr>
        <w:t>2</w:t>
      </w:r>
      <w:r>
        <w:rPr/>
        <w:t>）具体方法 本公司收入确认的具体方法如下：</w:t>
      </w:r>
    </w:p>
    <w:p>
      <w:pPr>
        <w:pStyle w:val="BodyText"/>
        <w:spacing w:line="240" w:lineRule="auto" w:before="72"/>
        <w:ind w:right="0"/>
        <w:jc w:val="both"/>
      </w:pPr>
      <w:r>
        <w:rPr/>
        <w:t>（</w:t>
      </w:r>
      <w:r>
        <w:rPr>
          <w:rFonts w:ascii="Times New Roman" w:hAnsi="Times New Roman" w:cs="Times New Roman" w:eastAsia="Times New Roman" w:hint="default"/>
        </w:rPr>
        <w:t>1</w:t>
      </w:r>
      <w:r>
        <w:rPr/>
        <w:t>）自行开发研制的软件产品销售收入的确认原则及方法：</w:t>
      </w:r>
    </w:p>
    <w:p>
      <w:pPr>
        <w:pStyle w:val="BodyText"/>
        <w:spacing w:line="240" w:lineRule="auto" w:before="196"/>
        <w:ind w:right="0"/>
        <w:jc w:val="both"/>
      </w:pPr>
      <w:r>
        <w:rPr/>
        <w:t>自行开发研制的软件产品是指拥有自主知识产权，无差异化、可批量复制的软件产品。</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其收入确认原则及方法为：软件产品所有权上的重要风险和报酬转移给买方，公司不再对该</w:t>
      </w:r>
      <w:r>
        <w:rPr>
          <w:spacing w:val="-93"/>
        </w:rPr>
        <w:t> </w:t>
      </w:r>
      <w:r>
        <w:rPr>
          <w:spacing w:val="-93"/>
        </w:rPr>
      </w:r>
      <w:r>
        <w:rPr/>
        <w:t>软件产品实施继续管理权和实际控制权，相关的收入已经收到或取得了收款的证据，并且与</w:t>
      </w:r>
      <w:r>
        <w:rPr>
          <w:spacing w:val="-93"/>
        </w:rPr>
        <w:t> </w:t>
      </w:r>
      <w:r>
        <w:rPr>
          <w:spacing w:val="-93"/>
        </w:rPr>
      </w:r>
      <w:r>
        <w:rPr/>
        <w:t>销售该软件产品有关的成本能够可靠地计量时，确认销售收入。</w:t>
      </w:r>
    </w:p>
    <w:p>
      <w:pPr>
        <w:pStyle w:val="BodyText"/>
        <w:spacing w:line="240" w:lineRule="auto" w:before="185"/>
        <w:ind w:right="0"/>
        <w:jc w:val="both"/>
      </w:pPr>
      <w:r>
        <w:rPr/>
        <w:t>（</w:t>
      </w:r>
      <w:r>
        <w:rPr>
          <w:rFonts w:ascii="Times New Roman" w:hAnsi="Times New Roman" w:cs="Times New Roman" w:eastAsia="Times New Roman" w:hint="default"/>
        </w:rPr>
        <w:t>2</w:t>
      </w:r>
      <w:r>
        <w:rPr/>
        <w:t>）技术开发收入的确认原则及方法：</w:t>
      </w:r>
    </w:p>
    <w:p>
      <w:pPr>
        <w:spacing w:line="240" w:lineRule="auto" w:before="4"/>
        <w:rPr>
          <w:rFonts w:ascii="宋体" w:hAnsi="宋体" w:cs="宋体" w:eastAsia="宋体" w:hint="default"/>
          <w:sz w:val="17"/>
          <w:szCs w:val="17"/>
        </w:rPr>
      </w:pPr>
    </w:p>
    <w:p>
      <w:pPr>
        <w:pStyle w:val="BodyText"/>
        <w:spacing w:line="312" w:lineRule="exact"/>
        <w:ind w:right="0"/>
        <w:jc w:val="left"/>
      </w:pPr>
      <w:r>
        <w:rPr>
          <w:spacing w:val="-3"/>
        </w:rPr>
        <w:t>技术开发是指根据与客户签订的技术开发、技术转让合同，对用户的业务进行充分实地调查，</w:t>
      </w:r>
      <w:r>
        <w:rPr>
          <w:spacing w:val="-85"/>
        </w:rPr>
        <w:t> </w:t>
      </w:r>
      <w:r>
        <w:rPr>
          <w:spacing w:val="-85"/>
        </w:rPr>
      </w:r>
      <w:r>
        <w:rPr/>
        <w:t>并根据用户的实际需求进行专门的软件设计与开发及硬件安装，由此开发出来的项目不具有</w:t>
      </w:r>
      <w:r>
        <w:rPr>
          <w:spacing w:val="-93"/>
        </w:rPr>
        <w:t> </w:t>
      </w:r>
      <w:r>
        <w:rPr>
          <w:spacing w:val="-93"/>
        </w:rPr>
      </w:r>
      <w:r>
        <w:rPr/>
        <w:t>通用性。其收入确认原则及方法为：</w:t>
      </w:r>
    </w:p>
    <w:p>
      <w:pPr>
        <w:spacing w:line="240" w:lineRule="auto" w:before="7"/>
        <w:rPr>
          <w:rFonts w:ascii="宋体" w:hAnsi="宋体" w:cs="宋体" w:eastAsia="宋体" w:hint="default"/>
          <w:sz w:val="16"/>
          <w:szCs w:val="16"/>
        </w:rPr>
      </w:pPr>
    </w:p>
    <w:p>
      <w:pPr>
        <w:pStyle w:val="BodyText"/>
        <w:spacing w:line="312" w:lineRule="exact"/>
        <w:ind w:right="1136"/>
        <w:jc w:val="both"/>
      </w:pPr>
      <w:r>
        <w:rPr/>
        <w:t>①技术开发项目在同一会计年度内开始并完成的，在技术开发成果的使用权已经提供，收到</w:t>
      </w:r>
      <w:r>
        <w:rPr>
          <w:spacing w:val="-93"/>
        </w:rPr>
        <w:t> </w:t>
      </w:r>
      <w:r>
        <w:rPr>
          <w:spacing w:val="-93"/>
        </w:rPr>
      </w:r>
      <w:r>
        <w:rPr/>
        <w:t>价款或取得收取款项的证据时，确认收入。</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37" w:lineRule="auto" w:before="28"/>
        <w:ind w:right="0"/>
        <w:jc w:val="left"/>
      </w:pPr>
      <w:r>
        <w:rPr/>
        <w:t>②技术开发项目的开始和完成分属不同的会计年度的，在合同的总收入、项目的完成程度能</w:t>
      </w:r>
      <w:r>
        <w:rPr>
          <w:spacing w:val="-93"/>
        </w:rPr>
        <w:t> </w:t>
      </w:r>
      <w:r>
        <w:rPr>
          <w:spacing w:val="-93"/>
        </w:rPr>
      </w:r>
      <w:r>
        <w:rPr/>
        <w:t>够可靠地确定，与项目有关的价款能够流入</w:t>
      </w:r>
      <w:r>
        <w:rPr>
          <w:spacing w:val="-47"/>
        </w:rPr>
        <w:t> </w:t>
      </w:r>
      <w:r>
        <w:rPr/>
        <w:t>，已经发生的成本和完成该项技术开发将要发生</w:t>
      </w:r>
      <w:r>
        <w:rPr/>
        <w:t> </w:t>
      </w:r>
      <w:r>
        <w:rPr>
          <w:spacing w:val="-3"/>
        </w:rPr>
        <w:t>的成本能够可靠地计量时，在资产负债表日按完工百分比法（工程完工进度）确认软件收入。</w:t>
      </w:r>
      <w:r>
        <w:rPr>
          <w:spacing w:val="-84"/>
        </w:rPr>
        <w:t> </w:t>
      </w:r>
      <w:r>
        <w:rPr>
          <w:spacing w:val="-84"/>
        </w:rPr>
      </w:r>
      <w:r>
        <w:rPr/>
        <w:t>公司完工进度是按客户认可的进度确认的。</w:t>
      </w:r>
    </w:p>
    <w:p>
      <w:pPr>
        <w:spacing w:line="240" w:lineRule="auto" w:before="8"/>
        <w:rPr>
          <w:rFonts w:ascii="宋体" w:hAnsi="宋体" w:cs="宋体" w:eastAsia="宋体" w:hint="default"/>
          <w:sz w:val="16"/>
          <w:szCs w:val="16"/>
        </w:rPr>
      </w:pPr>
    </w:p>
    <w:p>
      <w:pPr>
        <w:pStyle w:val="BodyText"/>
        <w:spacing w:line="237" w:lineRule="auto"/>
        <w:ind w:right="1122"/>
        <w:jc w:val="both"/>
      </w:pPr>
      <w:r>
        <w:rPr/>
        <w:t>③对在资产负债表日劳务交易结果不能可靠估计的技术开发项目，</w:t>
      </w:r>
      <w:r>
        <w:rPr>
          <w:spacing w:val="-75"/>
        </w:rPr>
        <w:t> </w:t>
      </w:r>
      <w:r>
        <w:rPr/>
        <w:t>如果已经发生的成本预计</w:t>
      </w:r>
      <w:r>
        <w:rPr/>
        <w:t> 能够得到补偿，应按能够得到补偿的收入金额确认收入，并按相同的金额结转成本；</w:t>
      </w:r>
      <w:r>
        <w:rPr>
          <w:spacing w:val="-72"/>
        </w:rPr>
        <w:t> </w:t>
      </w:r>
      <w:r>
        <w:rPr/>
        <w:t>如果已</w:t>
      </w:r>
      <w:r>
        <w:rPr/>
        <w:t> 经发生的成本预计不能全部得到补偿，应按能够得到补偿的收入金额确认收入，并按已发生</w:t>
      </w:r>
      <w:r>
        <w:rPr>
          <w:spacing w:val="-93"/>
        </w:rPr>
        <w:t> </w:t>
      </w:r>
      <w:r>
        <w:rPr>
          <w:spacing w:val="-93"/>
        </w:rPr>
      </w:r>
      <w:r>
        <w:rPr/>
        <w:t>的成本结转成本，确认的收入金额小于已经发生的成本的差额，确认为损失；</w:t>
      </w:r>
      <w:r>
        <w:rPr>
          <w:spacing w:val="-72"/>
        </w:rPr>
        <w:t> </w:t>
      </w:r>
      <w:r>
        <w:rPr/>
        <w:t>如果已发生的</w:t>
      </w:r>
      <w:r>
        <w:rPr/>
        <w:t> 成本全部不能得到补偿，则不应确认收入，但应将已发生的成本确认为费用。</w:t>
      </w:r>
    </w:p>
    <w:p>
      <w:pPr>
        <w:pStyle w:val="BodyText"/>
        <w:spacing w:line="240" w:lineRule="auto" w:before="214"/>
        <w:ind w:right="0"/>
        <w:jc w:val="both"/>
      </w:pPr>
      <w:r>
        <w:rPr/>
        <w:t>（</w:t>
      </w:r>
      <w:r>
        <w:rPr>
          <w:rFonts w:ascii="Times New Roman" w:hAnsi="Times New Roman" w:cs="Times New Roman" w:eastAsia="Times New Roman" w:hint="default"/>
        </w:rPr>
        <w:t>3</w:t>
      </w:r>
      <w:r>
        <w:rPr/>
        <w:t>）软件服务收入的确认原则及方法：</w:t>
      </w:r>
    </w:p>
    <w:p>
      <w:pPr>
        <w:pStyle w:val="BodyText"/>
        <w:spacing w:line="237" w:lineRule="auto" w:before="198"/>
        <w:ind w:right="1136"/>
        <w:jc w:val="both"/>
      </w:pPr>
      <w:r>
        <w:rPr/>
        <w:t>软件服务是指公司为客户提供软件应用等技术服务实现的收入。包括但不限于：免费服务期</w:t>
      </w:r>
      <w:r>
        <w:rPr>
          <w:spacing w:val="-93"/>
        </w:rPr>
        <w:t> </w:t>
      </w:r>
      <w:r>
        <w:rPr>
          <w:spacing w:val="-93"/>
        </w:rPr>
      </w:r>
      <w:r>
        <w:rPr/>
        <w:t>后的系统维护、数据修复、技术业务咨询服务、技术支持、应用培训等技术服务；二次开发</w:t>
      </w:r>
      <w:r>
        <w:rPr>
          <w:spacing w:val="-93"/>
        </w:rPr>
        <w:t> </w:t>
      </w:r>
      <w:r>
        <w:rPr>
          <w:spacing w:val="-93"/>
        </w:rPr>
      </w:r>
      <w:r>
        <w:rPr/>
        <w:t>服务业务；其他为客户（包括使用非公司产品）进行的技术支持、技术应用及技术咨询等服</w:t>
      </w:r>
      <w:r>
        <w:rPr>
          <w:spacing w:val="-93"/>
        </w:rPr>
        <w:t> </w:t>
      </w:r>
      <w:r>
        <w:rPr>
          <w:spacing w:val="-93"/>
        </w:rPr>
      </w:r>
      <w:r>
        <w:rPr/>
        <w:t>务。</w:t>
      </w:r>
    </w:p>
    <w:p>
      <w:pPr>
        <w:spacing w:line="240" w:lineRule="auto" w:before="9"/>
        <w:rPr>
          <w:rFonts w:ascii="宋体" w:hAnsi="宋体" w:cs="宋体" w:eastAsia="宋体" w:hint="default"/>
          <w:sz w:val="18"/>
          <w:szCs w:val="18"/>
        </w:rPr>
      </w:pPr>
    </w:p>
    <w:p>
      <w:pPr>
        <w:pStyle w:val="BodyText"/>
        <w:spacing w:line="312" w:lineRule="exact"/>
        <w:ind w:right="1136"/>
        <w:jc w:val="both"/>
      </w:pPr>
      <w:r>
        <w:rPr/>
        <w:t>软件服务收入的确认原则及方法为：在劳务已经提供，收到价款或取得收取款项的证据时，</w:t>
      </w:r>
      <w:r>
        <w:rPr>
          <w:spacing w:val="-93"/>
        </w:rPr>
        <w:t> </w:t>
      </w:r>
      <w:r>
        <w:rPr>
          <w:spacing w:val="-93"/>
        </w:rPr>
      </w:r>
      <w:r>
        <w:rPr/>
        <w:t>确认劳务收入。</w:t>
      </w:r>
    </w:p>
    <w:p>
      <w:pPr>
        <w:pStyle w:val="BodyText"/>
        <w:spacing w:line="381" w:lineRule="auto" w:before="185"/>
        <w:ind w:right="993"/>
        <w:jc w:val="left"/>
      </w:pPr>
      <w:r>
        <w:rPr/>
        <w:t>（</w:t>
      </w:r>
      <w:r>
        <w:rPr>
          <w:rFonts w:ascii="Times New Roman" w:hAnsi="Times New Roman" w:cs="Times New Roman" w:eastAsia="Times New Roman" w:hint="default"/>
        </w:rPr>
        <w:t>4</w:t>
      </w:r>
      <w:r>
        <w:rPr/>
        <w:t>）系统集成收入的确认原则及方法： </w:t>
      </w:r>
      <w:r>
        <w:rPr>
          <w:spacing w:val="-2"/>
        </w:rPr>
        <w:t>系统集成收入是公司为客户实施软件项目时，应客户要求代其外购软硬件系统所获得的收入。</w:t>
      </w:r>
    </w:p>
    <w:p>
      <w:pPr>
        <w:pStyle w:val="BodyText"/>
        <w:spacing w:line="312" w:lineRule="exact" w:before="103"/>
        <w:ind w:right="1136"/>
        <w:jc w:val="both"/>
      </w:pPr>
      <w:r>
        <w:rPr/>
        <w:t>系统集成收入的确认原则及方法：系统集成项目软硬件系统所有权上的重要风险和报酬转移</w:t>
      </w:r>
      <w:r>
        <w:rPr>
          <w:spacing w:val="-93"/>
        </w:rPr>
        <w:t> </w:t>
      </w:r>
      <w:r>
        <w:rPr>
          <w:spacing w:val="-93"/>
        </w:rPr>
      </w:r>
      <w:r>
        <w:rPr/>
        <w:t>给买方，公司不再对其实施继续管理权和实际控制权，相关的收入已经收到或取得了收款的</w:t>
      </w:r>
      <w:r>
        <w:rPr>
          <w:spacing w:val="-93"/>
        </w:rPr>
        <w:t> </w:t>
      </w:r>
      <w:r>
        <w:rPr>
          <w:spacing w:val="-93"/>
        </w:rPr>
      </w:r>
      <w:r>
        <w:rPr/>
        <w:t>证据，与销售该软硬件系统有关的成本能够可靠地计量时，确认销售收入。</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0、政府补助" w:id="221"/>
      <w:bookmarkEnd w:id="221"/>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政府补助在满足政府补助所附条件并能够收到时确认。</w:t>
      </w:r>
    </w:p>
    <w:p>
      <w:pPr>
        <w:spacing w:line="240" w:lineRule="auto" w:before="10"/>
        <w:rPr>
          <w:rFonts w:ascii="宋体" w:hAnsi="宋体" w:cs="宋体" w:eastAsia="宋体" w:hint="default"/>
          <w:sz w:val="18"/>
          <w:szCs w:val="18"/>
        </w:rPr>
      </w:pPr>
    </w:p>
    <w:p>
      <w:pPr>
        <w:pStyle w:val="BodyText"/>
        <w:spacing w:line="312" w:lineRule="exact"/>
        <w:ind w:right="1136"/>
        <w:jc w:val="both"/>
      </w:pPr>
      <w:r>
        <w:rPr/>
        <w:t>对于货币性资产的政府补助，按照收到或应收的金额计量。对于非货币性资产的政府补助，</w:t>
      </w:r>
      <w:r>
        <w:rPr>
          <w:spacing w:val="-93"/>
        </w:rPr>
        <w:t> </w:t>
      </w:r>
      <w:r>
        <w:rPr>
          <w:spacing w:val="-93"/>
        </w:rPr>
      </w:r>
      <w:r>
        <w:rPr/>
        <w:t>按照公允价值计量；公允价值不能够可靠取得的，按照名义金额</w:t>
      </w:r>
      <w:r>
        <w:rPr>
          <w:rFonts w:ascii="Times New Roman" w:hAnsi="Times New Roman" w:cs="Times New Roman" w:eastAsia="Times New Roman" w:hint="default"/>
        </w:rPr>
        <w:t>1</w:t>
      </w:r>
      <w:r>
        <w:rPr/>
        <w:t>元计量。</w:t>
      </w:r>
    </w:p>
    <w:p>
      <w:pPr>
        <w:spacing w:line="240" w:lineRule="auto" w:before="7"/>
        <w:rPr>
          <w:rFonts w:ascii="宋体" w:hAnsi="宋体" w:cs="宋体" w:eastAsia="宋体" w:hint="default"/>
          <w:sz w:val="16"/>
          <w:szCs w:val="16"/>
        </w:rPr>
      </w:pPr>
    </w:p>
    <w:p>
      <w:pPr>
        <w:pStyle w:val="BodyText"/>
        <w:spacing w:line="312" w:lineRule="exact"/>
        <w:ind w:right="1136"/>
        <w:jc w:val="both"/>
      </w:pPr>
      <w:r>
        <w:rPr/>
        <w:t>与资产相关的政府补助，是指本公司取得的、用于购建或以其他方式形成长期资产的政府补</w:t>
      </w:r>
      <w:r>
        <w:rPr>
          <w:spacing w:val="-93"/>
        </w:rPr>
        <w:t> </w:t>
      </w:r>
      <w:r>
        <w:rPr>
          <w:spacing w:val="-93"/>
        </w:rPr>
      </w:r>
      <w:r>
        <w:rPr/>
        <w:t>助；除此之外，作为与收益相关的政府补助。</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对于政府文件未明确规定补助对象的，能够形成长期资产的，与资产价值相对应的政府补助</w:t>
      </w:r>
      <w:r>
        <w:rPr>
          <w:spacing w:val="-93"/>
        </w:rPr>
        <w:t> </w:t>
      </w:r>
      <w:r>
        <w:rPr>
          <w:spacing w:val="-93"/>
        </w:rPr>
      </w:r>
      <w:r>
        <w:rPr/>
        <w:t>部分作为与资产相关的政府补助，其余部分作为与收益相关的政府补助；难以区分的，将政</w:t>
      </w:r>
      <w:r>
        <w:rPr>
          <w:spacing w:val="-93"/>
        </w:rPr>
        <w:t> </w:t>
      </w:r>
      <w:r>
        <w:rPr>
          <w:spacing w:val="-93"/>
        </w:rPr>
      </w:r>
      <w:r>
        <w:rPr/>
        <w:t>府补助整体作为与收益相关的政府补助。</w:t>
      </w:r>
    </w:p>
    <w:p>
      <w:pPr>
        <w:pStyle w:val="BodyText"/>
        <w:spacing w:line="237" w:lineRule="auto" w:before="188"/>
        <w:ind w:right="1135"/>
        <w:jc w:val="both"/>
      </w:pPr>
      <w:r>
        <w:rPr/>
        <w:t>与资产相关的政府补助，确认为递延收益在相关资产使用期限内按照合理、系统的方法分期</w:t>
      </w:r>
      <w:r>
        <w:rPr>
          <w:spacing w:val="-93"/>
        </w:rPr>
        <w:t> </w:t>
      </w:r>
      <w:r>
        <w:rPr>
          <w:spacing w:val="-93"/>
        </w:rPr>
      </w:r>
      <w:r>
        <w:rPr/>
        <w:t>计入损益。与收益相关的政府补助，用于补偿已发生的相关成本费用或损失的，计入当期损</w:t>
      </w:r>
      <w:r>
        <w:rPr>
          <w:spacing w:val="-93"/>
        </w:rPr>
        <w:t> </w:t>
      </w:r>
      <w:r>
        <w:rPr>
          <w:spacing w:val="-93"/>
        </w:rPr>
      </w:r>
      <w:r>
        <w:rPr/>
        <w:t>益；用于补偿以后期间的相关成本费用或损失的，则计入递延收益，于相关成本费用或损失</w:t>
      </w:r>
      <w:r>
        <w:rPr>
          <w:spacing w:val="-92"/>
        </w:rPr>
        <w:t> </w:t>
      </w:r>
      <w:r>
        <w:rPr>
          <w:spacing w:val="-92"/>
        </w:rPr>
      </w:r>
      <w:r>
        <w:rPr/>
        <w:t>确认期间计入当期损益。按照名义金额计量的政府补助，直接计入当期损益。本公司对相同</w:t>
      </w:r>
      <w:r>
        <w:rPr>
          <w:spacing w:val="-93"/>
        </w:rPr>
        <w:t> </w:t>
      </w:r>
      <w:r>
        <w:rPr>
          <w:spacing w:val="-93"/>
        </w:rPr>
      </w:r>
      <w:r>
        <w:rPr/>
        <w:t>或类似的政府补助业务，采用一致的方法处理。</w:t>
      </w:r>
    </w:p>
    <w:p>
      <w:pPr>
        <w:spacing w:after="0" w:line="23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与日常活动相关的政府补助，按照经济业务实质，计入其他收益。与日常活动无关的政府补</w:t>
      </w:r>
      <w:r>
        <w:rPr>
          <w:spacing w:val="-93"/>
        </w:rPr>
        <w:t> </w:t>
      </w:r>
      <w:r>
        <w:rPr>
          <w:spacing w:val="-93"/>
        </w:rPr>
      </w:r>
      <w:r>
        <w:rPr/>
        <w:t>助，计入营业外收支。</w:t>
      </w:r>
    </w:p>
    <w:p>
      <w:pPr>
        <w:pStyle w:val="BodyText"/>
        <w:spacing w:line="240" w:lineRule="auto" w:before="185"/>
        <w:ind w:right="1136"/>
        <w:jc w:val="both"/>
      </w:pPr>
      <w:r>
        <w:rPr/>
        <w:t>存在相关递延收益余额的，冲减相关递延收益账面余额，超出部分计入当期损益；属于其他</w:t>
      </w:r>
      <w:r>
        <w:rPr>
          <w:spacing w:val="-93"/>
        </w:rPr>
        <w:t> </w:t>
      </w:r>
      <w:r>
        <w:rPr>
          <w:spacing w:val="-93"/>
        </w:rPr>
      </w:r>
      <w:r>
        <w:rPr/>
        <w:t>情况的，直接计入当期损益。</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1、递延所得税资产/递延所得税负债" w:id="222"/>
      <w:bookmarkEnd w:id="222"/>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1"/>
        <w:jc w:val="both"/>
      </w:pPr>
      <w:r>
        <w:rPr/>
        <w:t>所得税包括当期所得税和递延所得税。除由于企业合并产生的调整商誉，或与直接计入所有</w:t>
      </w:r>
      <w:r>
        <w:rPr>
          <w:spacing w:val="-88"/>
        </w:rPr>
        <w:t> </w:t>
      </w:r>
      <w:r>
        <w:rPr>
          <w:spacing w:val="-88"/>
        </w:rPr>
      </w:r>
      <w:r>
        <w:rPr/>
        <w:t>者权益的交易或者事项相关的递延所得税计入所有者权益外，均作为所得税费用计入当期损</w:t>
      </w:r>
      <w:r>
        <w:rPr>
          <w:spacing w:val="-93"/>
        </w:rPr>
        <w:t> </w:t>
      </w:r>
      <w:r>
        <w:rPr>
          <w:spacing w:val="-93"/>
        </w:rPr>
      </w:r>
      <w:r>
        <w:rPr/>
        <w:t>益。</w:t>
      </w:r>
    </w:p>
    <w:p>
      <w:pPr>
        <w:pStyle w:val="BodyText"/>
        <w:spacing w:line="312" w:lineRule="exact" w:before="216"/>
        <w:ind w:right="1136"/>
        <w:jc w:val="both"/>
      </w:pPr>
      <w:r>
        <w:rPr/>
        <w:t>本公司根据资产、负债于资产负债表日的账面价值与计税基础之间的暂时性差异，采用资产</w:t>
      </w:r>
      <w:r>
        <w:rPr>
          <w:spacing w:val="-93"/>
        </w:rPr>
        <w:t> </w:t>
      </w:r>
      <w:r>
        <w:rPr>
          <w:spacing w:val="-93"/>
        </w:rPr>
      </w:r>
      <w:r>
        <w:rPr/>
        <w:t>负债表债务法确认递延所得税。</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各项应纳税暂时性差异均确认相关的递延所得税负债，除非该应纳税暂时性差异是在以下交</w:t>
      </w:r>
      <w:r>
        <w:rPr>
          <w:spacing w:val="-93"/>
        </w:rPr>
        <w:t> </w:t>
      </w:r>
      <w:r>
        <w:rPr>
          <w:spacing w:val="-93"/>
        </w:rPr>
      </w:r>
      <w:r>
        <w:rPr/>
        <w:t>易中产生的：</w:t>
      </w:r>
    </w:p>
    <w:p>
      <w:pPr>
        <w:pStyle w:val="BodyText"/>
        <w:spacing w:line="312" w:lineRule="exact" w:before="216"/>
        <w:ind w:right="1135"/>
        <w:jc w:val="both"/>
      </w:pPr>
      <w:r>
        <w:rPr>
          <w:spacing w:val="-3"/>
        </w:rPr>
        <w:t>（</w:t>
      </w:r>
      <w:r>
        <w:rPr>
          <w:rFonts w:ascii="Times New Roman" w:hAnsi="Times New Roman" w:cs="Times New Roman" w:eastAsia="Times New Roman" w:hint="default"/>
          <w:spacing w:val="-3"/>
        </w:rPr>
        <w:t>1</w:t>
      </w:r>
      <w:r>
        <w:rPr>
          <w:spacing w:val="-3"/>
        </w:rPr>
        <w:t>）商誉的初始确认，或者具有以下特征的交易中产生的资产或负债的初始确认：该交易不</w:t>
      </w:r>
      <w:r>
        <w:rPr>
          <w:spacing w:val="-84"/>
        </w:rPr>
        <w:t> </w:t>
      </w:r>
      <w:r>
        <w:rPr>
          <w:spacing w:val="-84"/>
        </w:rPr>
      </w:r>
      <w:r>
        <w:rPr/>
        <w:t>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right="1131"/>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）对于与子公司、合营企业及联营企业投资相关的应纳税暂时性差异，该暂时性差异转回</w:t>
      </w:r>
      <w:r>
        <w:rPr>
          <w:spacing w:val="-81"/>
        </w:rPr>
        <w:t> </w:t>
      </w:r>
      <w:r>
        <w:rPr>
          <w:spacing w:val="-81"/>
        </w:rPr>
      </w:r>
      <w:r>
        <w:rPr/>
        <w:t>的时间能够控制并且该暂时性差异在可预见的未来很可能不会转回。</w:t>
      </w:r>
    </w:p>
    <w:p>
      <w:pPr>
        <w:pStyle w:val="BodyText"/>
        <w:spacing w:line="312" w:lineRule="exact" w:before="216"/>
        <w:ind w:right="1136"/>
        <w:jc w:val="both"/>
      </w:pPr>
      <w:r>
        <w:rPr/>
        <w:t>对于可抵扣暂时性差异、能够结转以后年度的可抵扣亏损和税款抵减，本公司以很可能取得</w:t>
      </w:r>
      <w:r>
        <w:rPr>
          <w:spacing w:val="-93"/>
        </w:rPr>
        <w:t> </w:t>
      </w:r>
      <w:r>
        <w:rPr>
          <w:spacing w:val="-93"/>
        </w:rPr>
      </w:r>
      <w:r>
        <w:rPr/>
        <w:t>用来抵扣可抵扣暂时性差异、可抵扣亏损和税款抵减的未来应纳税所得额为限，确认由此产</w:t>
      </w:r>
      <w:r>
        <w:rPr>
          <w:spacing w:val="-93"/>
        </w:rPr>
        <w:t> </w:t>
      </w:r>
      <w:r>
        <w:rPr>
          <w:spacing w:val="-93"/>
        </w:rPr>
      </w:r>
      <w:r>
        <w:rPr/>
        <w:t>生的递延所得税资产，除非该可抵扣暂时性差异是在以下交易中产生的：</w:t>
      </w:r>
    </w:p>
    <w:p>
      <w:pPr>
        <w:pStyle w:val="BodyText"/>
        <w:spacing w:line="240" w:lineRule="auto" w:before="185"/>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17"/>
          <w:szCs w:val="17"/>
        </w:rPr>
      </w:pPr>
    </w:p>
    <w:p>
      <w:pPr>
        <w:pStyle w:val="BodyText"/>
        <w:spacing w:line="312" w:lineRule="exact"/>
        <w:ind w:right="1135"/>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）对于与子公司、合营企业及联营企业投资相关的可抵扣暂时性差异，同时满足下列条件</w:t>
      </w:r>
      <w:r>
        <w:rPr>
          <w:spacing w:val="-84"/>
        </w:rPr>
        <w:t> </w:t>
      </w:r>
      <w:r>
        <w:rPr>
          <w:spacing w:val="-84"/>
        </w:rPr>
      </w:r>
      <w:r>
        <w:rPr/>
        <w:t>的，确认相应的递延所得税资产：暂时性差异在可预见的未来很可能转回，且未来很可能获</w:t>
      </w:r>
      <w:r>
        <w:rPr>
          <w:spacing w:val="-93"/>
        </w:rPr>
        <w:t> </w:t>
      </w:r>
      <w:r>
        <w:rPr>
          <w:spacing w:val="-93"/>
        </w:rPr>
      </w:r>
      <w:r>
        <w:rPr/>
        <w:t>得用来抵扣可抵扣暂时性差异的应纳税所得额。</w:t>
      </w:r>
    </w:p>
    <w:p>
      <w:pPr>
        <w:spacing w:line="240" w:lineRule="auto" w:before="7"/>
        <w:rPr>
          <w:rFonts w:ascii="宋体" w:hAnsi="宋体" w:cs="宋体" w:eastAsia="宋体" w:hint="default"/>
          <w:sz w:val="16"/>
          <w:szCs w:val="16"/>
        </w:rPr>
      </w:pPr>
    </w:p>
    <w:p>
      <w:pPr>
        <w:pStyle w:val="BodyText"/>
        <w:spacing w:line="312" w:lineRule="exact"/>
        <w:ind w:right="1136"/>
        <w:jc w:val="both"/>
      </w:pPr>
      <w:r>
        <w:rPr/>
        <w:t>于资产负债表日，本公司对递延所得税资产和递延所得税负债，按照预期收回该资产或清偿</w:t>
      </w:r>
      <w:r>
        <w:rPr>
          <w:spacing w:val="-93"/>
        </w:rPr>
        <w:t> </w:t>
      </w:r>
      <w:r>
        <w:rPr>
          <w:spacing w:val="-93"/>
        </w:rPr>
      </w:r>
      <w:r>
        <w:rPr/>
        <w:t>该负债期间的适用税率计量，并反映资产负债表日预期收回资产或清偿负债方式的所得税影</w:t>
      </w:r>
      <w:r>
        <w:rPr>
          <w:spacing w:val="-93"/>
        </w:rPr>
        <w:t> </w:t>
      </w:r>
      <w:r>
        <w:rPr>
          <w:spacing w:val="-93"/>
        </w:rPr>
      </w:r>
      <w:r>
        <w:rPr/>
        <w:t>响。</w:t>
      </w:r>
    </w:p>
    <w:p>
      <w:pPr>
        <w:spacing w:line="240" w:lineRule="auto" w:before="7"/>
        <w:rPr>
          <w:rFonts w:ascii="宋体" w:hAnsi="宋体" w:cs="宋体" w:eastAsia="宋体" w:hint="default"/>
          <w:sz w:val="16"/>
          <w:szCs w:val="16"/>
        </w:rPr>
      </w:pPr>
    </w:p>
    <w:p>
      <w:pPr>
        <w:pStyle w:val="BodyText"/>
        <w:spacing w:line="312" w:lineRule="exact"/>
        <w:ind w:right="993"/>
        <w:jc w:val="left"/>
      </w:pPr>
      <w:r>
        <w:rPr/>
        <w:t>于资产负债表日，本公司对递延所得税资产的账面价值进行复核。如果未来期间很可能无法</w:t>
      </w:r>
      <w:r>
        <w:rPr>
          <w:spacing w:val="-93"/>
        </w:rPr>
        <w:t> </w:t>
      </w:r>
      <w:r>
        <w:rPr>
          <w:spacing w:val="-93"/>
        </w:rPr>
      </w:r>
      <w:r>
        <w:rPr>
          <w:spacing w:val="-2"/>
        </w:rPr>
        <w:t>获得足够的应纳税所得额用以抵扣递延所得税资产的利益，减记递延所得税资产的账面价值。</w:t>
      </w:r>
      <w:r>
        <w:rPr/>
        <w:t> 在很可能获得足够的应纳税所得额时，减记的金额予以转回。</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2、租赁" w:id="223"/>
      <w:bookmarkEnd w:id="223"/>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经营租赁的会计处理方法"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pStyle w:val="BodyText"/>
        <w:spacing w:line="240" w:lineRule="auto"/>
        <w:ind w:right="0"/>
        <w:jc w:val="both"/>
      </w:pPr>
      <w:r>
        <w:rPr/>
        <w:t>本公司将实质上转移了与资产所有权有关的全部风险和报酬的租赁确认为融资租赁，除融资</w:t>
      </w:r>
    </w:p>
    <w:p>
      <w:pPr>
        <w:spacing w:after="0" w:line="240" w:lineRule="auto"/>
        <w:jc w:val="both"/>
        <w:sectPr>
          <w:footerReference w:type="default" r:id="rId19"/>
          <w:pgSz w:w="11910" w:h="16840"/>
          <w:pgMar w:footer="979" w:header="741" w:top="1060" w:bottom="1160" w:left="980" w:right="0"/>
          <w:pgNumType w:start="142"/>
        </w:sectPr>
      </w:pPr>
    </w:p>
    <w:p>
      <w:pPr>
        <w:spacing w:line="240" w:lineRule="auto" w:before="10"/>
        <w:rPr>
          <w:rFonts w:ascii="宋体" w:hAnsi="宋体" w:cs="宋体" w:eastAsia="宋体" w:hint="default"/>
          <w:sz w:val="23"/>
          <w:szCs w:val="23"/>
        </w:rPr>
      </w:pPr>
    </w:p>
    <w:p>
      <w:pPr>
        <w:pStyle w:val="BodyText"/>
        <w:spacing w:line="240" w:lineRule="auto" w:before="26"/>
        <w:ind w:right="0"/>
        <w:jc w:val="both"/>
      </w:pPr>
      <w:r>
        <w:rPr/>
        <w:t>租赁之外的其他租赁确认为经营租赁。</w:t>
      </w:r>
    </w:p>
    <w:p>
      <w:pPr>
        <w:pStyle w:val="BodyText"/>
        <w:spacing w:line="240" w:lineRule="auto" w:before="214"/>
        <w:ind w:right="0"/>
        <w:jc w:val="both"/>
      </w:pPr>
      <w:r>
        <w:rPr/>
        <w:t>（</w:t>
      </w:r>
      <w:r>
        <w:rPr>
          <w:rFonts w:ascii="Times New Roman" w:hAnsi="Times New Roman" w:cs="Times New Roman" w:eastAsia="Times New Roman" w:hint="default"/>
        </w:rPr>
        <w:t>1</w:t>
      </w:r>
      <w:r>
        <w:rPr/>
        <w:t>）本公司作为出租人</w:t>
      </w:r>
    </w:p>
    <w:p>
      <w:pPr>
        <w:spacing w:line="240" w:lineRule="auto" w:before="5"/>
        <w:rPr>
          <w:rFonts w:ascii="宋体" w:hAnsi="宋体" w:cs="宋体" w:eastAsia="宋体" w:hint="default"/>
          <w:sz w:val="17"/>
          <w:szCs w:val="17"/>
        </w:rPr>
      </w:pPr>
    </w:p>
    <w:p>
      <w:pPr>
        <w:pStyle w:val="BodyText"/>
        <w:spacing w:line="312" w:lineRule="exact"/>
        <w:ind w:right="1136"/>
        <w:jc w:val="both"/>
      </w:pPr>
      <w:r>
        <w:rPr/>
        <w:t>经营租赁中的租金，本公司在租赁期内各个期间按照直线法确认当期损益。发生的初始直接</w:t>
      </w:r>
      <w:r>
        <w:rPr>
          <w:spacing w:val="-93"/>
        </w:rPr>
        <w:t> </w:t>
      </w:r>
      <w:r>
        <w:rPr>
          <w:spacing w:val="-93"/>
        </w:rPr>
      </w:r>
      <w:r>
        <w:rPr/>
        <w:t>费用，计入当期损益。</w:t>
      </w:r>
    </w:p>
    <w:p>
      <w:pPr>
        <w:pStyle w:val="BodyText"/>
        <w:spacing w:line="240" w:lineRule="auto" w:before="185"/>
        <w:ind w:right="0"/>
        <w:jc w:val="both"/>
      </w:pPr>
      <w:r>
        <w:rPr/>
        <w:t>（</w:t>
      </w:r>
      <w:r>
        <w:rPr>
          <w:rFonts w:ascii="Times New Roman" w:hAnsi="Times New Roman" w:cs="Times New Roman" w:eastAsia="Times New Roman" w:hint="default"/>
        </w:rPr>
        <w:t>2</w:t>
      </w:r>
      <w:r>
        <w:rPr/>
        <w:t>）本公司作为承租人</w:t>
      </w:r>
    </w:p>
    <w:p>
      <w:pPr>
        <w:pStyle w:val="BodyText"/>
        <w:spacing w:line="240" w:lineRule="auto" w:before="195"/>
        <w:ind w:right="1136"/>
        <w:jc w:val="both"/>
      </w:pPr>
      <w:r>
        <w:rPr/>
        <w:t>经营租赁中的租金，本公司在租赁期内各个期间按照直线法计入相关资产成本或当期损益；</w:t>
      </w:r>
      <w:r>
        <w:rPr>
          <w:spacing w:val="-93"/>
        </w:rPr>
        <w:t> </w:t>
      </w:r>
      <w:r>
        <w:rPr>
          <w:spacing w:val="-93"/>
        </w:rPr>
      </w:r>
      <w:r>
        <w:rPr/>
        <w:t>发生的初始直接费用，计入当期损益。</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融资租赁的会计处理方法"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本公司将实质上转移了与资产所有权有关的全部风险和报酬的租赁确认为融资租赁。</w:t>
      </w:r>
    </w:p>
    <w:p>
      <w:pPr>
        <w:pStyle w:val="BodyText"/>
        <w:spacing w:line="240" w:lineRule="auto" w:before="214"/>
        <w:ind w:right="0"/>
        <w:jc w:val="both"/>
      </w:pPr>
      <w:r>
        <w:rPr/>
        <w:t>（</w:t>
      </w:r>
      <w:r>
        <w:rPr>
          <w:rFonts w:ascii="Times New Roman" w:hAnsi="Times New Roman" w:cs="Times New Roman" w:eastAsia="Times New Roman" w:hint="default"/>
        </w:rPr>
        <w:t>1</w:t>
      </w:r>
      <w:r>
        <w:rPr/>
        <w:t>）本公司作为出租人</w:t>
      </w:r>
    </w:p>
    <w:p>
      <w:pPr>
        <w:pStyle w:val="BodyText"/>
        <w:spacing w:line="237" w:lineRule="auto" w:before="198"/>
        <w:ind w:right="1136"/>
        <w:jc w:val="both"/>
      </w:pPr>
      <w:r>
        <w:rPr/>
        <w:t>融资租赁中，在租赁期开始日本公司按最低租赁收款额与初始直接费用之和作为应收融资租</w:t>
      </w:r>
      <w:r>
        <w:rPr>
          <w:spacing w:val="-93"/>
        </w:rPr>
        <w:t> </w:t>
      </w:r>
      <w:r>
        <w:rPr>
          <w:spacing w:val="-93"/>
        </w:rPr>
      </w:r>
      <w:r>
        <w:rPr/>
        <w:t>赁款的入账价值，同时记录未担保余值；将最低租赁收款额、初始直接费用及未担保余值之</w:t>
      </w:r>
      <w:r>
        <w:rPr>
          <w:spacing w:val="-93"/>
        </w:rPr>
        <w:t> </w:t>
      </w:r>
      <w:r>
        <w:rPr>
          <w:spacing w:val="-93"/>
        </w:rPr>
      </w:r>
      <w:r>
        <w:rPr/>
        <w:t>和与其现值之和的差额确认为未实现融资收益。未实现融资收益在租赁期内各个期间采用实</w:t>
      </w:r>
      <w:r>
        <w:rPr>
          <w:spacing w:val="-93"/>
        </w:rPr>
        <w:t> </w:t>
      </w:r>
      <w:r>
        <w:rPr>
          <w:spacing w:val="-93"/>
        </w:rPr>
      </w:r>
      <w:r>
        <w:rPr/>
        <w:t>际利率法计算确认当期的融资收入。</w:t>
      </w:r>
    </w:p>
    <w:p>
      <w:pPr>
        <w:pStyle w:val="BodyText"/>
        <w:spacing w:line="240" w:lineRule="auto" w:before="214"/>
        <w:ind w:right="0"/>
        <w:jc w:val="both"/>
      </w:pPr>
      <w:r>
        <w:rPr/>
        <w:t>（</w:t>
      </w:r>
      <w:r>
        <w:rPr>
          <w:rFonts w:ascii="Times New Roman" w:hAnsi="Times New Roman" w:cs="Times New Roman" w:eastAsia="Times New Roman" w:hint="default"/>
        </w:rPr>
        <w:t>2</w:t>
      </w:r>
      <w:r>
        <w:rPr/>
        <w:t>）本公司作为承租人</w:t>
      </w:r>
    </w:p>
    <w:p>
      <w:pPr>
        <w:pStyle w:val="BodyText"/>
        <w:spacing w:line="237" w:lineRule="auto" w:before="198"/>
        <w:ind w:right="1136"/>
        <w:jc w:val="both"/>
      </w:pPr>
      <w:r>
        <w:rPr/>
        <w:t>融资租赁中，在租赁期开始日本公司将租赁资产公允价值与最低租赁付款额现值两者中较低</w:t>
      </w:r>
      <w:r>
        <w:rPr>
          <w:spacing w:val="-93"/>
        </w:rPr>
        <w:t> </w:t>
      </w:r>
      <w:r>
        <w:rPr>
          <w:spacing w:val="-93"/>
        </w:rPr>
      </w:r>
      <w:r>
        <w:rPr/>
        <w:t>者作为租入资产的入账价值，将最低租赁付款额作为长期应付款的入账价值，其差额作为未</w:t>
      </w:r>
      <w:r>
        <w:rPr>
          <w:spacing w:val="-93"/>
        </w:rPr>
        <w:t> </w:t>
      </w:r>
      <w:r>
        <w:rPr>
          <w:spacing w:val="-93"/>
        </w:rPr>
      </w:r>
      <w:r>
        <w:rPr/>
        <w:t>确认融资费用。初始直接费用计入租入资产价值。未确认融资费用在租赁期内各个期间采用</w:t>
      </w:r>
      <w:r>
        <w:rPr>
          <w:spacing w:val="-93"/>
        </w:rPr>
        <w:t> </w:t>
      </w:r>
      <w:r>
        <w:rPr>
          <w:spacing w:val="-93"/>
        </w:rPr>
      </w:r>
      <w:r>
        <w:rPr/>
        <w:t>实际利率法计算确认当期的融资费用。本公司采用与自有固定资产相一致的折旧政策计提租</w:t>
      </w:r>
      <w:r>
        <w:rPr>
          <w:spacing w:val="-93"/>
        </w:rPr>
        <w:t> </w:t>
      </w:r>
      <w:r>
        <w:rPr>
          <w:spacing w:val="-93"/>
        </w:rPr>
      </w:r>
      <w:r>
        <w:rPr/>
        <w:t>赁资产折旧。</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3、其他重要的会计政策和会计估计" w:id="226"/>
      <w:bookmarkEnd w:id="226"/>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6"/>
        <w:jc w:val="both"/>
      </w:pPr>
      <w:r>
        <w:rPr/>
        <w:t>本公司根据历史经验和其它因素，包括对未来事项的合理预期，对所采用的重要会计估计和</w:t>
      </w:r>
      <w:r>
        <w:rPr>
          <w:spacing w:val="-93"/>
        </w:rPr>
        <w:t> </w:t>
      </w:r>
      <w:r>
        <w:rPr>
          <w:spacing w:val="-93"/>
        </w:rPr>
      </w:r>
      <w:r>
        <w:rPr/>
        <w:t>关键假设进行持续的评价。很可能导致下一会计年度资产和负债的账面价值出现重大调整风</w:t>
      </w:r>
      <w:r>
        <w:rPr>
          <w:spacing w:val="-93"/>
        </w:rPr>
        <w:t> </w:t>
      </w:r>
      <w:r>
        <w:rPr>
          <w:spacing w:val="-93"/>
        </w:rPr>
      </w:r>
      <w:r>
        <w:rPr/>
        <w:t>险的重要会计估计和关键假设列示如下：</w:t>
      </w:r>
    </w:p>
    <w:p>
      <w:pPr>
        <w:pStyle w:val="BodyText"/>
        <w:spacing w:line="240" w:lineRule="auto" w:before="185"/>
        <w:ind w:right="0"/>
        <w:jc w:val="both"/>
      </w:pPr>
      <w:r>
        <w:rPr/>
        <w:t>（</w:t>
      </w:r>
      <w:r>
        <w:rPr>
          <w:rFonts w:ascii="Times New Roman" w:hAnsi="Times New Roman" w:cs="Times New Roman" w:eastAsia="Times New Roman" w:hint="default"/>
        </w:rPr>
        <w:t>1</w:t>
      </w:r>
      <w:r>
        <w:rPr/>
        <w:t>）金融资产的分类</w:t>
      </w:r>
    </w:p>
    <w:p>
      <w:pPr>
        <w:spacing w:line="240" w:lineRule="auto" w:before="4"/>
        <w:rPr>
          <w:rFonts w:ascii="宋体" w:hAnsi="宋体" w:cs="宋体" w:eastAsia="宋体" w:hint="default"/>
          <w:sz w:val="17"/>
          <w:szCs w:val="17"/>
        </w:rPr>
      </w:pPr>
    </w:p>
    <w:p>
      <w:pPr>
        <w:pStyle w:val="BodyText"/>
        <w:spacing w:line="312" w:lineRule="exact"/>
        <w:ind w:right="1136"/>
        <w:jc w:val="both"/>
      </w:pPr>
      <w:r>
        <w:rPr>
          <w:spacing w:val="6"/>
        </w:rPr>
        <w:t>本公司在确定金融资产的分类时涉及的重大判断包括业务模式及合同现金流量特征的分析</w:t>
      </w:r>
      <w:r>
        <w:rPr>
          <w:spacing w:val="-103"/>
        </w:rPr>
        <w:t> </w:t>
      </w:r>
      <w:r>
        <w:rPr>
          <w:spacing w:val="-103"/>
        </w:rPr>
      </w:r>
      <w:r>
        <w:rPr/>
        <w:t>等。</w:t>
      </w:r>
    </w:p>
    <w:p>
      <w:pPr>
        <w:pStyle w:val="BodyText"/>
        <w:spacing w:line="237" w:lineRule="auto" w:before="188"/>
        <w:ind w:right="1136"/>
        <w:jc w:val="both"/>
      </w:pPr>
      <w:r>
        <w:rPr/>
        <w:t>本公司在金融资产组合的层次上确定管理金融资产的业务模式，考虑的因素包括评价和向关</w:t>
      </w:r>
      <w:r>
        <w:rPr>
          <w:spacing w:val="-93"/>
        </w:rPr>
        <w:t> </w:t>
      </w:r>
      <w:r>
        <w:rPr>
          <w:spacing w:val="-93"/>
        </w:rPr>
      </w:r>
      <w:r>
        <w:rPr/>
        <w:t>键管理人员报告金融资产业绩的方式、影响金融资产业绩的风险及其管理方式、以及相关业</w:t>
      </w:r>
      <w:r>
        <w:rPr>
          <w:spacing w:val="-93"/>
        </w:rPr>
        <w:t> </w:t>
      </w:r>
      <w:r>
        <w:rPr>
          <w:spacing w:val="-93"/>
        </w:rPr>
      </w:r>
      <w:r>
        <w:rPr/>
        <w:t>务管理人员获得报酬的方式等。</w:t>
      </w:r>
    </w:p>
    <w:p>
      <w:pPr>
        <w:spacing w:line="240" w:lineRule="auto" w:before="9"/>
        <w:rPr>
          <w:rFonts w:ascii="宋体" w:hAnsi="宋体" w:cs="宋体" w:eastAsia="宋体" w:hint="default"/>
          <w:sz w:val="18"/>
          <w:szCs w:val="18"/>
        </w:rPr>
      </w:pPr>
    </w:p>
    <w:p>
      <w:pPr>
        <w:pStyle w:val="BodyText"/>
        <w:spacing w:line="312" w:lineRule="exact"/>
        <w:ind w:right="1134"/>
        <w:jc w:val="both"/>
      </w:pPr>
      <w:r>
        <w:rPr/>
        <w:t>本公司在评估金融资产的合同现金流量是否与基本借贷安排相一致时，存在以下主要判断：</w:t>
      </w:r>
      <w:r>
        <w:rPr>
          <w:spacing w:val="-93"/>
        </w:rPr>
        <w:t> </w:t>
      </w:r>
      <w:r>
        <w:rPr>
          <w:spacing w:val="-93"/>
        </w:rPr>
      </w:r>
      <w:r>
        <w:rPr/>
        <w:t>本金是否可能因提前还款等原因导致在存续期内的时间分布或者金额发生变动；利息是否仅</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包括货币时间价值、信用风险、其他基本借贷风险以及与成本和利润的对价。例如，提前偿</w:t>
      </w:r>
      <w:r>
        <w:rPr>
          <w:spacing w:val="-93"/>
        </w:rPr>
        <w:t> </w:t>
      </w:r>
      <w:r>
        <w:rPr>
          <w:spacing w:val="-93"/>
        </w:rPr>
      </w:r>
      <w:r>
        <w:rPr/>
        <w:t>付的金额是否仅反映了尚未支付的本金及以未偿付本金为基础的利息，以及因提前终止合同</w:t>
      </w:r>
      <w:r>
        <w:rPr>
          <w:spacing w:val="-93"/>
        </w:rPr>
        <w:t> </w:t>
      </w:r>
      <w:r>
        <w:rPr>
          <w:spacing w:val="-93"/>
        </w:rPr>
      </w:r>
      <w:r>
        <w:rPr/>
        <w:t>而支付的合理补偿。</w:t>
      </w:r>
    </w:p>
    <w:p>
      <w:pPr>
        <w:pStyle w:val="BodyText"/>
        <w:spacing w:line="240" w:lineRule="auto" w:before="186"/>
        <w:ind w:right="0"/>
        <w:jc w:val="both"/>
      </w:pPr>
      <w:r>
        <w:rPr/>
        <w:t>（</w:t>
      </w:r>
      <w:r>
        <w:rPr>
          <w:rFonts w:ascii="Times New Roman" w:hAnsi="Times New Roman" w:cs="Times New Roman" w:eastAsia="Times New Roman" w:hint="default"/>
        </w:rPr>
        <w:t>2</w:t>
      </w:r>
      <w:r>
        <w:rPr/>
        <w:t>）应收账款预期信用损失的计量</w:t>
      </w:r>
    </w:p>
    <w:p>
      <w:pPr>
        <w:pStyle w:val="BodyText"/>
        <w:spacing w:line="237" w:lineRule="auto" w:before="198"/>
        <w:ind w:right="1136"/>
        <w:jc w:val="both"/>
      </w:pPr>
      <w:r>
        <w:rPr/>
        <w:t>本公司通过应收账款违约风险敞口和预期信用损失率计算应收账款预期信用损失，并基于违</w:t>
      </w:r>
      <w:r>
        <w:rPr>
          <w:spacing w:val="-93"/>
        </w:rPr>
        <w:t> </w:t>
      </w:r>
      <w:r>
        <w:rPr>
          <w:spacing w:val="-93"/>
        </w:rPr>
      </w:r>
      <w:r>
        <w:rPr/>
        <w:t>约概率和违约损失率确定预期信用损失率。在确定预期信用损失率时，本公司使用内部历史</w:t>
      </w:r>
      <w:r>
        <w:rPr>
          <w:spacing w:val="-93"/>
        </w:rPr>
        <w:t> </w:t>
      </w:r>
      <w:r>
        <w:rPr>
          <w:spacing w:val="-93"/>
        </w:rPr>
      </w:r>
      <w:r>
        <w:rPr/>
        <w:t>信用损失经验等数据，并结合当前状况和前瞻性信息对历史数据进行调整。在考虑前瞻性信</w:t>
      </w:r>
      <w:r>
        <w:rPr>
          <w:spacing w:val="-93"/>
        </w:rPr>
        <w:t> </w:t>
      </w:r>
      <w:r>
        <w:rPr>
          <w:spacing w:val="-93"/>
        </w:rPr>
      </w:r>
      <w:r>
        <w:rPr/>
        <w:t>息时，本公司使用的指标包括经济下滑的风险、外部市场环境、技术环境和客户情况的变化</w:t>
      </w:r>
      <w:r>
        <w:rPr>
          <w:spacing w:val="-93"/>
        </w:rPr>
        <w:t> </w:t>
      </w:r>
      <w:r>
        <w:rPr>
          <w:spacing w:val="-93"/>
        </w:rPr>
      </w:r>
      <w:r>
        <w:rPr/>
        <w:t>等。本公司定期监控并复核与预期信用损失计算相关的假设。</w:t>
      </w:r>
    </w:p>
    <w:p>
      <w:pPr>
        <w:pStyle w:val="BodyText"/>
        <w:spacing w:line="240" w:lineRule="auto" w:before="214"/>
        <w:ind w:right="0"/>
        <w:jc w:val="both"/>
      </w:pPr>
      <w:r>
        <w:rPr/>
        <w:t>（</w:t>
      </w:r>
      <w:r>
        <w:rPr>
          <w:rFonts w:ascii="Times New Roman" w:hAnsi="Times New Roman" w:cs="Times New Roman" w:eastAsia="Times New Roman" w:hint="default"/>
        </w:rPr>
        <w:t>3</w:t>
      </w:r>
      <w:r>
        <w:rPr/>
        <w:t>）商誉减值</w:t>
      </w:r>
    </w:p>
    <w:p>
      <w:pPr>
        <w:pStyle w:val="BodyText"/>
        <w:spacing w:line="237" w:lineRule="auto" w:before="198"/>
        <w:ind w:right="993"/>
        <w:jc w:val="left"/>
      </w:pPr>
      <w:r>
        <w:rPr>
          <w:spacing w:val="-2"/>
        </w:rPr>
        <w:t>本公司至少每年评估商誉是否发生减值。这要求对分配了商誉的资产组的使用价值进行估计。</w:t>
      </w:r>
      <w:r>
        <w:rPr/>
        <w:t> 估计使用价值时，本公司需要估计未来来自资产组的现金流量，同时选择恰当的折现率计算</w:t>
      </w:r>
      <w:r>
        <w:rPr>
          <w:spacing w:val="-93"/>
        </w:rPr>
        <w:t> </w:t>
      </w:r>
      <w:r>
        <w:rPr>
          <w:spacing w:val="-93"/>
        </w:rPr>
      </w:r>
      <w:r>
        <w:rPr/>
        <w:t>未来现金流量的现值。</w:t>
      </w:r>
    </w:p>
    <w:p>
      <w:pPr>
        <w:pStyle w:val="BodyText"/>
        <w:spacing w:line="240" w:lineRule="auto" w:before="214"/>
        <w:ind w:right="0"/>
        <w:jc w:val="both"/>
      </w:pPr>
      <w:r>
        <w:rPr/>
        <w:t>（</w:t>
      </w:r>
      <w:r>
        <w:rPr>
          <w:rFonts w:ascii="Times New Roman" w:hAnsi="Times New Roman" w:cs="Times New Roman" w:eastAsia="Times New Roman" w:hint="default"/>
        </w:rPr>
        <w:t>4</w:t>
      </w:r>
      <w:r>
        <w:rPr/>
        <w:t>）开发支出</w:t>
      </w:r>
    </w:p>
    <w:p>
      <w:pPr>
        <w:pStyle w:val="BodyText"/>
        <w:spacing w:line="240" w:lineRule="auto" w:before="195"/>
        <w:ind w:right="1136"/>
        <w:jc w:val="both"/>
      </w:pPr>
      <w:r>
        <w:rPr/>
        <w:t>确定资本化的金额时，管理层必须做出有关资产的预期未来现金流量的产生、应采用的折现</w:t>
      </w:r>
      <w:r>
        <w:rPr>
          <w:spacing w:val="-93"/>
        </w:rPr>
        <w:t> </w:t>
      </w:r>
      <w:r>
        <w:rPr>
          <w:spacing w:val="-93"/>
        </w:rPr>
      </w:r>
      <w:r>
        <w:rPr/>
        <w:t>率以及预计受益期间的假设。</w:t>
      </w:r>
    </w:p>
    <w:p>
      <w:pPr>
        <w:pStyle w:val="BodyText"/>
        <w:spacing w:line="240" w:lineRule="auto" w:before="214"/>
        <w:ind w:right="0"/>
        <w:jc w:val="both"/>
      </w:pPr>
      <w:r>
        <w:rPr/>
        <w:t>（</w:t>
      </w:r>
      <w:r>
        <w:rPr>
          <w:rFonts w:ascii="Times New Roman" w:hAnsi="Times New Roman" w:cs="Times New Roman" w:eastAsia="Times New Roman" w:hint="default"/>
        </w:rPr>
        <w:t>5</w:t>
      </w:r>
      <w:r>
        <w:rPr/>
        <w:t>）递延所得税资产</w:t>
      </w:r>
    </w:p>
    <w:p>
      <w:pPr>
        <w:spacing w:line="240" w:lineRule="auto" w:before="4"/>
        <w:rPr>
          <w:rFonts w:ascii="宋体" w:hAnsi="宋体" w:cs="宋体" w:eastAsia="宋体" w:hint="default"/>
          <w:sz w:val="17"/>
          <w:szCs w:val="17"/>
        </w:rPr>
      </w:pPr>
    </w:p>
    <w:p>
      <w:pPr>
        <w:pStyle w:val="BodyText"/>
        <w:spacing w:line="312" w:lineRule="exact"/>
        <w:ind w:right="1136"/>
        <w:jc w:val="both"/>
      </w:pPr>
      <w:r>
        <w:rPr/>
        <w:t>在很有可能有足够的应纳税利润来抵扣亏损的限度内，应就所有未利用的税务亏损确认递延</w:t>
      </w:r>
      <w:r>
        <w:rPr>
          <w:spacing w:val="-93"/>
        </w:rPr>
        <w:t> </w:t>
      </w:r>
      <w:r>
        <w:rPr>
          <w:spacing w:val="-93"/>
        </w:rPr>
      </w:r>
      <w:r>
        <w:rPr/>
        <w:t>所得税资产。这需要管理层运用大量的判断来估计未来应纳税利润发生的时间和金额，结合</w:t>
      </w:r>
      <w:r>
        <w:rPr>
          <w:spacing w:val="-93"/>
        </w:rPr>
        <w:t> </w:t>
      </w:r>
      <w:r>
        <w:rPr>
          <w:spacing w:val="-93"/>
        </w:rPr>
      </w:r>
      <w:r>
        <w:rPr/>
        <w:t>纳税筹划策略，以决定应确认的递延所得税资产的金额。</w:t>
      </w:r>
    </w:p>
    <w:p>
      <w:pPr>
        <w:pStyle w:val="BodyText"/>
        <w:spacing w:line="240" w:lineRule="auto" w:before="185"/>
        <w:ind w:right="0"/>
        <w:jc w:val="both"/>
      </w:pPr>
      <w:r>
        <w:rPr/>
        <w:t>（</w:t>
      </w:r>
      <w:r>
        <w:rPr>
          <w:rFonts w:ascii="Times New Roman" w:hAnsi="Times New Roman" w:cs="Times New Roman" w:eastAsia="Times New Roman" w:hint="default"/>
        </w:rPr>
        <w:t>6</w:t>
      </w:r>
      <w:r>
        <w:rPr/>
        <w:t>）未上市权益投资的公允价值确定</w:t>
      </w:r>
    </w:p>
    <w:p>
      <w:pPr>
        <w:pStyle w:val="BodyText"/>
        <w:spacing w:line="237" w:lineRule="auto" w:before="198"/>
        <w:ind w:right="1135"/>
        <w:jc w:val="both"/>
      </w:pPr>
      <w:r>
        <w:rPr/>
        <w:t>未上市的权益投资的公允价值是根据具有类似条款和风险特征的项目当前折现率折现的预计</w:t>
      </w:r>
      <w:r>
        <w:rPr>
          <w:spacing w:val="-93"/>
        </w:rPr>
        <w:t> </w:t>
      </w:r>
      <w:r>
        <w:rPr>
          <w:spacing w:val="-93"/>
        </w:rPr>
      </w:r>
      <w:r>
        <w:rPr/>
        <w:t>未来现金流量。这种估价要求本公司估计预期未来现金流量和折现率，因此具有不确定性。</w:t>
      </w:r>
      <w:r>
        <w:rPr>
          <w:spacing w:val="-93"/>
        </w:rPr>
        <w:t> </w:t>
      </w:r>
      <w:r>
        <w:rPr>
          <w:spacing w:val="-93"/>
        </w:rPr>
      </w:r>
      <w:r>
        <w:rPr/>
        <w:t>在有限情况下，如果用以确定公允价值的信息不足，或者公允价值的可能估计金额分布范围</w:t>
      </w:r>
      <w:r>
        <w:rPr>
          <w:spacing w:val="-93"/>
        </w:rPr>
        <w:t> </w:t>
      </w:r>
      <w:r>
        <w:rPr>
          <w:spacing w:val="-93"/>
        </w:rPr>
      </w:r>
      <w:r>
        <w:rPr/>
        <w:t>很广，而成本代表了该范围内对公允价值的最佳估计的，该成本可代表其在该分布范围内对</w:t>
      </w:r>
      <w:r>
        <w:rPr>
          <w:spacing w:val="-92"/>
        </w:rPr>
        <w:t> </w:t>
      </w:r>
      <w:r>
        <w:rPr>
          <w:spacing w:val="-92"/>
        </w:rPr>
      </w:r>
      <w:r>
        <w:rPr/>
        <w:t>公允价值的恰当估计。</w:t>
      </w:r>
    </w:p>
    <w:p>
      <w:pPr>
        <w:spacing w:line="240" w:lineRule="auto" w:before="1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4、重要会计政策和会计估计变更" w:id="227"/>
      <w:bookmarkEnd w:id="227"/>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重要会计政策变更"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0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财政部于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年颁布了《企业会计准则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金融工具确认和计量（修</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5"/>
                <w:w w:val="101"/>
                <w:sz w:val="18"/>
                <w:szCs w:val="18"/>
              </w:rPr>
              <w:t>订）》、《企业会计准则第</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金融</w:t>
            </w:r>
            <w:r>
              <w:rPr>
                <w:rFonts w:ascii="宋体" w:hAnsi="宋体" w:cs="宋体" w:eastAsia="宋体" w:hint="default"/>
                <w:spacing w:val="-89"/>
                <w:w w:val="101"/>
                <w:sz w:val="18"/>
                <w:szCs w:val="18"/>
              </w:rPr>
              <w:t> </w:t>
            </w:r>
            <w:r>
              <w:rPr>
                <w:rFonts w:ascii="宋体" w:hAnsi="宋体" w:cs="宋体" w:eastAsia="宋体" w:hint="default"/>
                <w:spacing w:val="-21"/>
                <w:w w:val="101"/>
                <w:sz w:val="18"/>
                <w:szCs w:val="18"/>
              </w:rPr>
              <w:t>资产转移（修订）》、《企业会计准则第</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公司董事会审批</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0.54393pt;margin-top:72.505981pt;width:165pt;height:79.95pt;mso-position-horizontal-relative:page;mso-position-vertical-relative:page;z-index:-1384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210.526566pt;margin-top:640.995972pt;width:165pt;height:115.95pt;mso-position-horizontal-relative:page;mso-position-vertical-relative:page;z-index:-138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6.550003pt;margin-top:640.995972pt;width:158.950pt;height:115.95pt;mso-position-horizontal-relative:page;mso-position-vertical-relative:page;z-index:-1384744" coordorigin="4331,12820" coordsize="3179,2319">
            <v:shape style="position:absolute;left:4331;top:12820;width:3179;height:2319" coordorigin="4331,12820" coordsize="3179,2319" path="m4331,15139l7510,15139,7510,12820,4331,12820,4331,15139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21"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套</w:t>
            </w:r>
            <w:r>
              <w:rPr>
                <w:rFonts w:ascii="宋体" w:hAnsi="宋体" w:cs="宋体" w:eastAsia="宋体" w:hint="default"/>
                <w:w w:val="101"/>
                <w:sz w:val="18"/>
                <w:szCs w:val="18"/>
              </w:rPr>
              <w:t>期</w:t>
            </w:r>
            <w:r>
              <w:rPr>
                <w:rFonts w:ascii="宋体" w:hAnsi="宋体" w:cs="宋体" w:eastAsia="宋体" w:hint="default"/>
                <w:spacing w:val="-5"/>
                <w:w w:val="101"/>
                <w:sz w:val="18"/>
                <w:szCs w:val="18"/>
              </w:rPr>
              <w:t>会计（</w:t>
            </w:r>
            <w:r>
              <w:rPr>
                <w:rFonts w:ascii="宋体" w:hAnsi="宋体" w:cs="宋体" w:eastAsia="宋体" w:hint="default"/>
                <w:w w:val="101"/>
                <w:sz w:val="18"/>
                <w:szCs w:val="18"/>
              </w:rPr>
              <w:t>修订</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spacing w:val="-10"/>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z w:val="18"/>
                <w:szCs w:val="18"/>
              </w:rPr>
            </w:r>
          </w:p>
        </w:tc>
        <w:tc>
          <w:tcPr>
            <w:tcW w:w="3189" w:type="dxa"/>
            <w:vMerge w:val="restart"/>
            <w:tcBorders>
              <w:top w:val="single" w:sz="4" w:space="0" w:color="000000"/>
              <w:left w:val="single" w:sz="4" w:space="0" w:color="000000"/>
              <w:right w:val="single" w:sz="4" w:space="0" w:color="000000"/>
            </w:tcBorders>
          </w:tcPr>
          <w:p>
            <w:pPr>
              <w:pStyle w:val="TableParagraph"/>
              <w:spacing w:line="159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158.950pt;height:79.95pt;mso-position-horizontal-relative:char;mso-position-vertical-relative:line" coordorigin="0,0" coordsize="3179,1599">
                  <v:group style="position:absolute;left:0;top:0;width:3179;height:1599" coordorigin="0,0" coordsize="3179,1599">
                    <v:shape style="position:absolute;left:0;top:0;width:3179;height:1599" coordorigin="0,0" coordsize="3179,1599" path="m0,1599l3179,1599,3179,0,0,0,0,1599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3193"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金融工具列报（修订）</w:t>
            </w:r>
          </w:p>
        </w:tc>
        <w:tc>
          <w:tcPr>
            <w:tcW w:w="3189"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统</w:t>
            </w:r>
            <w:r>
              <w:rPr>
                <w:rFonts w:ascii="宋体" w:hAnsi="宋体" w:cs="宋体" w:eastAsia="宋体" w:hint="default"/>
                <w:w w:val="101"/>
                <w:sz w:val="18"/>
                <w:szCs w:val="18"/>
              </w:rPr>
              <w:t>称</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新</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公司</w:t>
            </w:r>
            <w:r>
              <w:rPr>
                <w:rFonts w:ascii="宋体" w:hAnsi="宋体" w:cs="宋体" w:eastAsia="宋体" w:hint="default"/>
                <w:sz w:val="18"/>
                <w:szCs w:val="18"/>
              </w:rPr>
            </w:r>
          </w:p>
        </w:tc>
        <w:tc>
          <w:tcPr>
            <w:tcW w:w="3189"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315"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日起执行新金融工具准</w:t>
            </w:r>
          </w:p>
        </w:tc>
        <w:tc>
          <w:tcPr>
            <w:tcW w:w="3189"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349"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则，对会计政策相关内容进行了调整。</w:t>
            </w:r>
          </w:p>
        </w:tc>
        <w:tc>
          <w:tcPr>
            <w:tcW w:w="3189" w:type="dxa"/>
            <w:vMerge/>
            <w:tcBorders>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64"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日发布了《企</w:t>
            </w:r>
          </w:p>
        </w:tc>
        <w:tc>
          <w:tcPr>
            <w:tcW w:w="3189" w:type="dxa"/>
            <w:tcBorders>
              <w:top w:val="single" w:sz="4" w:space="0" w:color="000000"/>
              <w:left w:val="single" w:sz="4" w:space="0" w:color="000000"/>
              <w:bottom w:val="nil" w:sz="6" w:space="0" w:color="auto"/>
              <w:right w:val="single" w:sz="4" w:space="0" w:color="000000"/>
            </w:tcBorders>
          </w:tcPr>
          <w:p>
            <w:pPr/>
          </w:p>
        </w:tc>
        <w:tc>
          <w:tcPr>
            <w:tcW w:w="3193"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债</w:t>
            </w:r>
            <w:r>
              <w:rPr>
                <w:rFonts w:ascii="宋体" w:hAnsi="宋体" w:cs="宋体" w:eastAsia="宋体" w:hint="default"/>
                <w:spacing w:val="-5"/>
                <w:w w:val="101"/>
                <w:sz w:val="18"/>
                <w:szCs w:val="18"/>
              </w:rPr>
              <w:t>务</w:t>
            </w:r>
            <w:r>
              <w:rPr>
                <w:rFonts w:ascii="宋体" w:hAnsi="宋体" w:cs="宋体" w:eastAsia="宋体" w:hint="default"/>
                <w:w w:val="101"/>
                <w:sz w:val="18"/>
                <w:szCs w:val="18"/>
              </w:rPr>
              <w:t>重</w:t>
            </w:r>
            <w:r>
              <w:rPr>
                <w:rFonts w:ascii="宋体" w:hAnsi="宋体" w:cs="宋体" w:eastAsia="宋体" w:hint="default"/>
                <w:spacing w:val="-5"/>
                <w:w w:val="101"/>
                <w:sz w:val="18"/>
                <w:szCs w:val="18"/>
              </w:rPr>
              <w:t>组</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6"/>
                <w:sz w:val="18"/>
                <w:szCs w:val="18"/>
              </w:rPr>
              <w:t> </w:t>
            </w:r>
            <w:r>
              <w:rPr>
                <w:rFonts w:ascii="宋体" w:hAnsi="宋体" w:cs="宋体" w:eastAsia="宋体" w:hint="default"/>
                <w:spacing w:val="-6"/>
                <w:sz w:val="18"/>
                <w:szCs w:val="18"/>
              </w:rPr>
              <w:t>新债务重组准则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，修改了债务</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重组的定义，明确了债务重组中涉及金</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629"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融工具的适用《企业会计准则第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金融工具确认和计量》等准则，明</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公司董事会审批</w:t>
            </w: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确了债权人受让金融资产以外的资产初</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始按成本计量，明确债务人以资产清偿</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5"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债务时不再区分资产处置损益与债务重</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54"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组损益。</w:t>
            </w:r>
          </w:p>
        </w:tc>
        <w:tc>
          <w:tcPr>
            <w:tcW w:w="3189" w:type="dxa"/>
            <w:tcBorders>
              <w:top w:val="nil" w:sz="6" w:space="0" w:color="auto"/>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64"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日发布了《企</w:t>
            </w:r>
          </w:p>
        </w:tc>
        <w:tc>
          <w:tcPr>
            <w:tcW w:w="3189" w:type="dxa"/>
            <w:tcBorders>
              <w:top w:val="single" w:sz="4" w:space="0" w:color="000000"/>
              <w:left w:val="single" w:sz="4" w:space="0" w:color="000000"/>
              <w:bottom w:val="nil" w:sz="6" w:space="0" w:color="auto"/>
              <w:right w:val="single" w:sz="4" w:space="0" w:color="000000"/>
            </w:tcBorders>
          </w:tcPr>
          <w:p>
            <w:pPr/>
          </w:p>
        </w:tc>
        <w:tc>
          <w:tcPr>
            <w:tcW w:w="3193"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非货币性资产交</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换</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下</w:t>
            </w:r>
            <w:r>
              <w:rPr>
                <w:rFonts w:ascii="宋体" w:hAnsi="宋体" w:cs="宋体" w:eastAsia="宋体" w:hint="default"/>
                <w:w w:val="101"/>
                <w:sz w:val="18"/>
                <w:szCs w:val="18"/>
              </w:rPr>
              <w:t>简</w:t>
            </w:r>
            <w:r>
              <w:rPr>
                <w:rFonts w:ascii="宋体" w:hAnsi="宋体" w:cs="宋体" w:eastAsia="宋体" w:hint="default"/>
                <w:spacing w:val="-5"/>
                <w:w w:val="101"/>
                <w:sz w:val="18"/>
                <w:szCs w:val="18"/>
              </w:rPr>
              <w:t>称</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新</w:t>
            </w:r>
            <w:r>
              <w:rPr>
                <w:rFonts w:ascii="宋体" w:hAnsi="宋体" w:cs="宋体" w:eastAsia="宋体" w:hint="default"/>
                <w:w w:val="101"/>
                <w:sz w:val="18"/>
                <w:szCs w:val="18"/>
              </w:rPr>
              <w:t>非</w:t>
            </w:r>
            <w:r>
              <w:rPr>
                <w:rFonts w:ascii="宋体" w:hAnsi="宋体" w:cs="宋体" w:eastAsia="宋体" w:hint="default"/>
                <w:spacing w:val="-5"/>
                <w:w w:val="101"/>
                <w:sz w:val="18"/>
                <w:szCs w:val="18"/>
              </w:rPr>
              <w:t>货</w:t>
            </w:r>
            <w:r>
              <w:rPr>
                <w:rFonts w:ascii="宋体" w:hAnsi="宋体" w:cs="宋体" w:eastAsia="宋体" w:hint="default"/>
                <w:w w:val="101"/>
                <w:sz w:val="18"/>
                <w:szCs w:val="18"/>
              </w:rPr>
              <w:t>币</w:t>
            </w:r>
            <w:r>
              <w:rPr>
                <w:rFonts w:ascii="宋体" w:hAnsi="宋体" w:cs="宋体" w:eastAsia="宋体" w:hint="default"/>
                <w:spacing w:val="-5"/>
                <w:w w:val="101"/>
                <w:sz w:val="18"/>
                <w:szCs w:val="18"/>
              </w:rPr>
              <w:t>性</w:t>
            </w:r>
            <w:r>
              <w:rPr>
                <w:rFonts w:ascii="宋体" w:hAnsi="宋体" w:cs="宋体" w:eastAsia="宋体" w:hint="default"/>
                <w:w w:val="101"/>
                <w:sz w:val="18"/>
                <w:szCs w:val="18"/>
              </w:rPr>
              <w:t>交</w:t>
            </w:r>
            <w:r>
              <w:rPr>
                <w:rFonts w:ascii="宋体" w:hAnsi="宋体" w:cs="宋体" w:eastAsia="宋体" w:hint="default"/>
                <w:spacing w:val="-5"/>
                <w:w w:val="101"/>
                <w:sz w:val="18"/>
                <w:szCs w:val="18"/>
              </w:rPr>
              <w:t>换</w:t>
            </w:r>
            <w:r>
              <w:rPr>
                <w:rFonts w:ascii="宋体" w:hAnsi="宋体" w:cs="宋体" w:eastAsia="宋体" w:hint="default"/>
                <w:w w:val="101"/>
                <w:sz w:val="18"/>
                <w:szCs w:val="18"/>
              </w:rPr>
              <w:t>准</w:t>
            </w:r>
            <w:r>
              <w:rPr>
                <w:rFonts w:ascii="宋体" w:hAnsi="宋体" w:cs="宋体" w:eastAsia="宋体" w:hint="default"/>
                <w:spacing w:val="-5"/>
                <w:w w:val="101"/>
                <w:sz w:val="18"/>
                <w:szCs w:val="18"/>
              </w:rPr>
              <w:t>则</w:t>
            </w:r>
            <w:r>
              <w:rPr>
                <w:rFonts w:ascii="Times New Roman" w:hAnsi="Times New Roman" w:cs="Times New Roman" w:eastAsia="Times New Roman" w:hint="default"/>
                <w:w w:val="101"/>
                <w:sz w:val="18"/>
                <w:szCs w:val="18"/>
              </w:rPr>
              <w:t>”</w:t>
            </w:r>
            <w:r>
              <w:rPr>
                <w:rFonts w:ascii="宋体" w:hAnsi="宋体" w:cs="宋体" w:eastAsia="宋体" w:hint="default"/>
                <w:spacing w:val="-92"/>
                <w:w w:val="101"/>
                <w:sz w:val="18"/>
                <w:szCs w:val="18"/>
              </w:rPr>
              <w:t>），</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明确了货币性资产和非货币性资产的概</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念和准则的适用范围，明确了非货币性</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624"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94"/>
              <w:jc w:val="left"/>
              <w:rPr>
                <w:rFonts w:ascii="宋体" w:hAnsi="宋体" w:cs="宋体" w:eastAsia="宋体" w:hint="default"/>
                <w:sz w:val="18"/>
                <w:szCs w:val="18"/>
              </w:rPr>
            </w:pPr>
            <w:r>
              <w:rPr>
                <w:rFonts w:ascii="宋体" w:hAnsi="宋体" w:cs="宋体" w:eastAsia="宋体" w:hint="default"/>
                <w:spacing w:val="-3"/>
                <w:sz w:val="18"/>
                <w:szCs w:val="18"/>
              </w:rPr>
              <w:t>资产交换的确认时点，明确了不同条件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下非货币交换的价值计量基础和核算方</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公司董事会审批</w:t>
            </w: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法及同时完善了相关信息披露要求。本</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日以后新发生的非</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货币性资产交换交易采用未来适用法处</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9"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5"/>
                <w:sz w:val="18"/>
                <w:szCs w:val="18"/>
              </w:rPr>
              <w:t>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日以前发生的非货</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49"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币性资产交换交易不进行追溯调整。</w:t>
            </w:r>
          </w:p>
        </w:tc>
        <w:tc>
          <w:tcPr>
            <w:tcW w:w="3189" w:type="dxa"/>
            <w:tcBorders>
              <w:top w:val="nil" w:sz="6" w:space="0" w:color="auto"/>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62"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月发布了《财政部关</w:t>
            </w:r>
          </w:p>
        </w:tc>
        <w:tc>
          <w:tcPr>
            <w:tcW w:w="3189" w:type="dxa"/>
            <w:tcBorders>
              <w:top w:val="single" w:sz="4" w:space="0" w:color="000000"/>
              <w:left w:val="single" w:sz="4" w:space="0" w:color="000000"/>
              <w:bottom w:val="nil" w:sz="6" w:space="0" w:color="auto"/>
              <w:right w:val="single" w:sz="4" w:space="0" w:color="000000"/>
            </w:tcBorders>
          </w:tcPr>
          <w:p>
            <w:pPr/>
          </w:p>
        </w:tc>
        <w:tc>
          <w:tcPr>
            <w:tcW w:w="3193" w:type="dxa"/>
            <w:vMerge w:val="restart"/>
            <w:tcBorders>
              <w:top w:val="single" w:sz="4" w:space="0" w:color="000000"/>
              <w:left w:val="single" w:sz="4" w:space="0" w:color="000000"/>
              <w:right w:val="single" w:sz="4" w:space="0" w:color="000000"/>
            </w:tcBorders>
          </w:tcPr>
          <w:p>
            <w:pPr/>
          </w:p>
        </w:tc>
      </w:tr>
      <w:tr>
        <w:trPr>
          <w:trHeight w:val="310"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年度一般企业财务报表</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格</w:t>
            </w:r>
            <w:r>
              <w:rPr>
                <w:rFonts w:ascii="宋体" w:hAnsi="宋体" w:cs="宋体" w:eastAsia="宋体" w:hint="default"/>
                <w:spacing w:val="-5"/>
                <w:w w:val="101"/>
                <w:sz w:val="18"/>
                <w:szCs w:val="18"/>
              </w:rPr>
              <w:t>式</w:t>
            </w:r>
            <w:r>
              <w:rPr>
                <w:rFonts w:ascii="宋体" w:hAnsi="宋体" w:cs="宋体" w:eastAsia="宋体" w:hint="default"/>
                <w:w w:val="101"/>
                <w:sz w:val="18"/>
                <w:szCs w:val="18"/>
              </w:rPr>
              <w:t>的</w:t>
            </w:r>
            <w:r>
              <w:rPr>
                <w:rFonts w:ascii="宋体" w:hAnsi="宋体" w:cs="宋体" w:eastAsia="宋体" w:hint="default"/>
                <w:spacing w:val="-5"/>
                <w:w w:val="101"/>
                <w:sz w:val="18"/>
                <w:szCs w:val="18"/>
              </w:rPr>
              <w:t>通</w:t>
            </w:r>
            <w:r>
              <w:rPr>
                <w:rFonts w:ascii="宋体" w:hAnsi="宋体" w:cs="宋体" w:eastAsia="宋体" w:hint="default"/>
                <w:w w:val="101"/>
                <w:sz w:val="18"/>
                <w:szCs w:val="18"/>
              </w:rPr>
              <w:t>知</w:t>
            </w:r>
            <w:r>
              <w:rPr>
                <w:rFonts w:ascii="宋体" w:hAnsi="宋体" w:cs="宋体" w:eastAsia="宋体" w:hint="default"/>
                <w:spacing w:val="-11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w w:val="101"/>
                <w:sz w:val="18"/>
                <w:szCs w:val="18"/>
              </w:rPr>
              <w:t>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2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月发布的《财政部关于修订印发 </w:t>
            </w:r>
            <w:r>
              <w:rPr>
                <w:rFonts w:ascii="Times New Roman" w:hAnsi="Times New Roman" w:cs="Times New Roman" w:eastAsia="Times New Roman" w:hint="default"/>
                <w:sz w:val="18"/>
                <w:szCs w:val="18"/>
              </w:rPr>
              <w:t>2018</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一</w:t>
            </w:r>
            <w:r>
              <w:rPr>
                <w:rFonts w:ascii="宋体" w:hAnsi="宋体" w:cs="宋体" w:eastAsia="宋体" w:hint="default"/>
                <w:spacing w:val="-5"/>
                <w:w w:val="101"/>
                <w:sz w:val="18"/>
                <w:szCs w:val="18"/>
              </w:rPr>
              <w:t>般</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w:t>
            </w:r>
            <w:r>
              <w:rPr>
                <w:rFonts w:ascii="宋体" w:hAnsi="宋体" w:cs="宋体" w:eastAsia="宋体" w:hint="default"/>
                <w:spacing w:val="-5"/>
                <w:w w:val="101"/>
                <w:sz w:val="18"/>
                <w:szCs w:val="18"/>
              </w:rPr>
              <w:t>表</w:t>
            </w:r>
            <w:r>
              <w:rPr>
                <w:rFonts w:ascii="宋体" w:hAnsi="宋体" w:cs="宋体" w:eastAsia="宋体" w:hint="default"/>
                <w:w w:val="101"/>
                <w:sz w:val="18"/>
                <w:szCs w:val="18"/>
              </w:rPr>
              <w:t>格</w:t>
            </w:r>
            <w:r>
              <w:rPr>
                <w:rFonts w:ascii="宋体" w:hAnsi="宋体" w:cs="宋体" w:eastAsia="宋体" w:hint="default"/>
                <w:spacing w:val="-5"/>
                <w:w w:val="101"/>
                <w:sz w:val="18"/>
                <w:szCs w:val="18"/>
              </w:rPr>
              <w:t>式</w:t>
            </w:r>
            <w:r>
              <w:rPr>
                <w:rFonts w:ascii="宋体" w:hAnsi="宋体" w:cs="宋体" w:eastAsia="宋体" w:hint="default"/>
                <w:w w:val="101"/>
                <w:sz w:val="18"/>
                <w:szCs w:val="18"/>
              </w:rPr>
              <w:t>的</w:t>
            </w:r>
            <w:r>
              <w:rPr>
                <w:rFonts w:ascii="宋体" w:hAnsi="宋体" w:cs="宋体" w:eastAsia="宋体" w:hint="default"/>
                <w:spacing w:val="-5"/>
                <w:w w:val="101"/>
                <w:sz w:val="18"/>
                <w:szCs w:val="18"/>
              </w:rPr>
              <w:t>通</w:t>
            </w:r>
            <w:r>
              <w:rPr>
                <w:rFonts w:ascii="宋体" w:hAnsi="宋体" w:cs="宋体" w:eastAsia="宋体" w:hint="default"/>
                <w:w w:val="101"/>
                <w:sz w:val="18"/>
                <w:szCs w:val="18"/>
              </w:rPr>
              <w:t>知</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时</w:t>
            </w:r>
            <w:r>
              <w:rPr>
                <w:rFonts w:ascii="宋体" w:hAnsi="宋体" w:cs="宋体" w:eastAsia="宋体" w:hint="default"/>
                <w:spacing w:val="-5"/>
                <w:w w:val="101"/>
                <w:sz w:val="18"/>
                <w:szCs w:val="18"/>
              </w:rPr>
              <w:t>废</w:t>
            </w:r>
            <w:r>
              <w:rPr>
                <w:rFonts w:ascii="宋体" w:hAnsi="宋体" w:cs="宋体" w:eastAsia="宋体" w:hint="default"/>
                <w:w w:val="101"/>
                <w:sz w:val="18"/>
                <w:szCs w:val="18"/>
              </w:rPr>
              <w:t>止</w:t>
            </w:r>
            <w:r>
              <w:rPr>
                <w:rFonts w:ascii="宋体" w:hAnsi="宋体" w:cs="宋体" w:eastAsia="宋体" w:hint="default"/>
                <w:spacing w:val="-73"/>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月发布了《财政部关于修订印发合</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624"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17"/>
              <w:jc w:val="left"/>
              <w:rPr>
                <w:rFonts w:ascii="宋体" w:hAnsi="宋体" w:cs="宋体" w:eastAsia="宋体" w:hint="default"/>
                <w:sz w:val="18"/>
                <w:szCs w:val="18"/>
              </w:rPr>
            </w:pPr>
            <w:r>
              <w:rPr>
                <w:rFonts w:ascii="宋体" w:hAnsi="宋体" w:cs="宋体" w:eastAsia="宋体" w:hint="default"/>
                <w:w w:val="101"/>
                <w:sz w:val="18"/>
                <w:szCs w:val="18"/>
              </w:rPr>
              <w:t>并</w:t>
            </w:r>
            <w:r>
              <w:rPr>
                <w:rFonts w:ascii="宋体" w:hAnsi="宋体" w:cs="宋体" w:eastAsia="宋体" w:hint="default"/>
                <w:spacing w:val="-5"/>
                <w:w w:val="101"/>
                <w:sz w:val="18"/>
                <w:szCs w:val="18"/>
              </w:rPr>
              <w:t>财</w:t>
            </w:r>
            <w:r>
              <w:rPr>
                <w:rFonts w:ascii="宋体" w:hAnsi="宋体" w:cs="宋体" w:eastAsia="宋体" w:hint="default"/>
                <w:w w:val="101"/>
                <w:sz w:val="18"/>
                <w:szCs w:val="18"/>
              </w:rPr>
              <w:t>务</w:t>
            </w:r>
            <w:r>
              <w:rPr>
                <w:rFonts w:ascii="宋体" w:hAnsi="宋体" w:cs="宋体" w:eastAsia="宋体" w:hint="default"/>
                <w:spacing w:val="-5"/>
                <w:w w:val="101"/>
                <w:sz w:val="18"/>
                <w:szCs w:val="18"/>
              </w:rPr>
              <w:t>报</w:t>
            </w:r>
            <w:r>
              <w:rPr>
                <w:rFonts w:ascii="宋体" w:hAnsi="宋体" w:cs="宋体" w:eastAsia="宋体" w:hint="default"/>
                <w:w w:val="101"/>
                <w:sz w:val="18"/>
                <w:szCs w:val="18"/>
              </w:rPr>
              <w:t>表</w:t>
            </w:r>
            <w:r>
              <w:rPr>
                <w:rFonts w:ascii="宋体" w:hAnsi="宋体" w:cs="宋体" w:eastAsia="宋体" w:hint="default"/>
                <w:spacing w:val="-5"/>
                <w:w w:val="101"/>
                <w:sz w:val="18"/>
                <w:szCs w:val="18"/>
              </w:rPr>
              <w:t>格</w:t>
            </w:r>
            <w:r>
              <w:rPr>
                <w:rFonts w:ascii="宋体" w:hAnsi="宋体" w:cs="宋体" w:eastAsia="宋体" w:hint="default"/>
                <w:spacing w:val="-20"/>
                <w:w w:val="101"/>
                <w:sz w:val="18"/>
                <w:szCs w:val="18"/>
              </w:rPr>
              <w:t>式</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版</w:t>
            </w:r>
            <w:r>
              <w:rPr>
                <w:rFonts w:ascii="宋体" w:hAnsi="宋体" w:cs="宋体" w:eastAsia="宋体" w:hint="default"/>
                <w:spacing w:val="-25"/>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通</w:t>
            </w:r>
            <w:r>
              <w:rPr>
                <w:rFonts w:ascii="宋体" w:hAnsi="宋体" w:cs="宋体" w:eastAsia="宋体" w:hint="default"/>
                <w:w w:val="101"/>
                <w:sz w:val="18"/>
                <w:szCs w:val="18"/>
              </w:rPr>
              <w:t>知</w:t>
            </w:r>
            <w:r>
              <w:rPr>
                <w:rFonts w:ascii="宋体" w:hAnsi="宋体" w:cs="宋体" w:eastAsia="宋体" w:hint="default"/>
                <w:spacing w:val="-11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w w:val="101"/>
                <w:sz w:val="18"/>
                <w:szCs w:val="18"/>
              </w:rPr>
              <w:t> 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5"/>
                <w:w w:val="101"/>
                <w:sz w:val="18"/>
                <w:szCs w:val="18"/>
              </w:rPr>
              <w:t>印</w:t>
            </w:r>
            <w:r>
              <w:rPr>
                <w:rFonts w:ascii="宋体" w:hAnsi="宋体" w:cs="宋体" w:eastAsia="宋体" w:hint="default"/>
                <w:w w:val="101"/>
                <w:sz w:val="18"/>
                <w:szCs w:val="18"/>
              </w:rPr>
              <w:t>发</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公司董事会审批</w:t>
            </w: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合</w:t>
            </w:r>
            <w:r>
              <w:rPr>
                <w:rFonts w:ascii="宋体" w:hAnsi="宋体" w:cs="宋体" w:eastAsia="宋体" w:hint="default"/>
                <w:w w:val="101"/>
                <w:sz w:val="18"/>
                <w:szCs w:val="18"/>
              </w:rPr>
              <w:t>并</w:t>
            </w:r>
            <w:r>
              <w:rPr>
                <w:rFonts w:ascii="宋体" w:hAnsi="宋体" w:cs="宋体" w:eastAsia="宋体" w:hint="default"/>
                <w:spacing w:val="-5"/>
                <w:w w:val="101"/>
                <w:sz w:val="18"/>
                <w:szCs w:val="18"/>
              </w:rPr>
              <w:t>财</w:t>
            </w:r>
            <w:r>
              <w:rPr>
                <w:rFonts w:ascii="宋体" w:hAnsi="宋体" w:cs="宋体" w:eastAsia="宋体" w:hint="default"/>
                <w:w w:val="101"/>
                <w:sz w:val="18"/>
                <w:szCs w:val="18"/>
              </w:rPr>
              <w:t>务</w:t>
            </w:r>
            <w:r>
              <w:rPr>
                <w:rFonts w:ascii="宋体" w:hAnsi="宋体" w:cs="宋体" w:eastAsia="宋体" w:hint="default"/>
                <w:spacing w:val="-5"/>
                <w:w w:val="101"/>
                <w:sz w:val="18"/>
                <w:szCs w:val="18"/>
              </w:rPr>
              <w:t>报</w:t>
            </w:r>
            <w:r>
              <w:rPr>
                <w:rFonts w:ascii="宋体" w:hAnsi="宋体" w:cs="宋体" w:eastAsia="宋体" w:hint="default"/>
                <w:w w:val="101"/>
                <w:sz w:val="18"/>
                <w:szCs w:val="18"/>
              </w:rPr>
              <w:t>表</w:t>
            </w:r>
            <w:r>
              <w:rPr>
                <w:rFonts w:ascii="宋体" w:hAnsi="宋体" w:cs="宋体" w:eastAsia="宋体" w:hint="default"/>
                <w:spacing w:val="-5"/>
                <w:w w:val="101"/>
                <w:sz w:val="18"/>
                <w:szCs w:val="18"/>
              </w:rPr>
              <w:t>格</w:t>
            </w:r>
            <w:r>
              <w:rPr>
                <w:rFonts w:ascii="宋体" w:hAnsi="宋体" w:cs="宋体" w:eastAsia="宋体" w:hint="default"/>
                <w:w w:val="101"/>
                <w:sz w:val="18"/>
                <w:szCs w:val="18"/>
              </w:rPr>
              <w:t>式</w:t>
            </w:r>
            <w:r>
              <w:rPr>
                <w:rFonts w:ascii="宋体" w:hAnsi="宋体" w:cs="宋体" w:eastAsia="宋体" w:hint="default"/>
                <w:spacing w:val="-5"/>
                <w:w w:val="101"/>
                <w:sz w:val="18"/>
                <w:szCs w:val="18"/>
              </w:rPr>
              <w:t>的</w:t>
            </w:r>
            <w:r>
              <w:rPr>
                <w:rFonts w:ascii="宋体" w:hAnsi="宋体" w:cs="宋体" w:eastAsia="宋体" w:hint="default"/>
                <w:w w:val="101"/>
                <w:sz w:val="18"/>
                <w:szCs w:val="18"/>
              </w:rPr>
              <w:t>通知</w:t>
            </w:r>
            <w:r>
              <w:rPr>
                <w:rFonts w:ascii="宋体" w:hAnsi="宋体" w:cs="宋体" w:eastAsia="宋体" w:hint="default"/>
                <w:spacing w:val="-154"/>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[2019]1</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号）同时废止。根据财会</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 </w:t>
            </w:r>
            <w:r>
              <w:rPr>
                <w:rFonts w:ascii="宋体" w:hAnsi="宋体" w:cs="宋体" w:eastAsia="宋体" w:hint="default"/>
                <w:sz w:val="18"/>
                <w:szCs w:val="18"/>
              </w:rPr>
              <w:t>号和财会</w:t>
            </w:r>
            <w:r>
              <w:rPr>
                <w:rFonts w:ascii="Times New Roman" w:hAnsi="Times New Roman" w:cs="Times New Roman" w:eastAsia="Times New Roman" w:hint="default"/>
                <w:sz w:val="18"/>
                <w:szCs w:val="18"/>
              </w:rPr>
              <w:t>[2019]16 </w:t>
            </w:r>
            <w:r>
              <w:rPr>
                <w:rFonts w:ascii="宋体" w:hAnsi="宋体" w:cs="宋体" w:eastAsia="宋体" w:hint="default"/>
                <w:sz w:val="18"/>
                <w:szCs w:val="18"/>
              </w:rPr>
              <w:t>号，本公司对</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财务报表格式进行了修订：资产负债表</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行项目拆分为</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p>
        </w:tc>
        <w:tc>
          <w:tcPr>
            <w:tcW w:w="3189" w:type="dxa"/>
            <w:tcBorders>
              <w:top w:val="nil" w:sz="6" w:space="0" w:color="auto"/>
              <w:left w:val="single" w:sz="4" w:space="0" w:color="000000"/>
              <w:bottom w:val="nil" w:sz="6" w:space="0" w:color="auto"/>
              <w:right w:val="single" w:sz="4" w:space="0" w:color="000000"/>
            </w:tcBorders>
          </w:tcPr>
          <w:p>
            <w:pPr/>
          </w:p>
        </w:tc>
        <w:tc>
          <w:tcPr>
            <w:tcW w:w="3193" w:type="dxa"/>
            <w:vMerge/>
            <w:tcBorders>
              <w:left w:val="single" w:sz="4" w:space="0" w:color="000000"/>
              <w:right w:val="single" w:sz="4" w:space="0" w:color="000000"/>
            </w:tcBorders>
          </w:tcPr>
          <w:p>
            <w:pPr/>
          </w:p>
        </w:tc>
      </w:tr>
      <w:tr>
        <w:trPr>
          <w:trHeight w:val="313"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p>
        </w:tc>
        <w:tc>
          <w:tcPr>
            <w:tcW w:w="3189" w:type="dxa"/>
            <w:tcBorders>
              <w:top w:val="nil" w:sz="6" w:space="0" w:color="auto"/>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160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17"/>
              <w:jc w:val="left"/>
              <w:rPr>
                <w:rFonts w:ascii="宋体" w:hAnsi="宋体" w:cs="宋体" w:eastAsia="宋体" w:hint="default"/>
                <w:sz w:val="18"/>
                <w:szCs w:val="18"/>
              </w:rPr>
            </w:pP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应付账款</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。本公司对可比期间的比较数</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据按照财会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号文进行调整。财务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报表格式的修订对本公司的资产总额、</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负债总额、净利润、其他综合收益等无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9"/>
        <w:ind w:right="0"/>
        <w:jc w:val="both"/>
      </w:pPr>
      <w:r>
        <w:rPr/>
        <w:t>①新金融工具准则</w:t>
      </w:r>
    </w:p>
    <w:p>
      <w:pPr>
        <w:spacing w:line="240" w:lineRule="auto" w:before="8"/>
        <w:rPr>
          <w:rFonts w:ascii="宋体" w:hAnsi="宋体" w:cs="宋体" w:eastAsia="宋体" w:hint="default"/>
          <w:sz w:val="17"/>
          <w:szCs w:val="17"/>
        </w:rPr>
      </w:pPr>
    </w:p>
    <w:p>
      <w:pPr>
        <w:pStyle w:val="BodyText"/>
        <w:spacing w:line="225" w:lineRule="auto"/>
        <w:ind w:right="0"/>
        <w:jc w:val="left"/>
      </w:pPr>
      <w:r>
        <w:rPr/>
        <w:t>财政部于</w:t>
      </w:r>
      <w:r>
        <w:rPr>
          <w:rFonts w:ascii="Times New Roman" w:hAnsi="Times New Roman" w:cs="Times New Roman" w:eastAsia="Times New Roman" w:hint="default"/>
        </w:rPr>
        <w:t>2017</w:t>
      </w:r>
      <w:r>
        <w:rPr/>
        <w:t>年颁布了《企业会计准则第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金融工具确认和计量（修订）》、《企业</w:t>
      </w:r>
      <w:r>
        <w:rPr>
          <w:spacing w:val="-92"/>
        </w:rPr>
        <w:t> </w:t>
      </w:r>
      <w:r>
        <w:rPr>
          <w:spacing w:val="-92"/>
        </w:rPr>
      </w:r>
      <w:r>
        <w:rPr>
          <w:spacing w:val="-8"/>
        </w:rPr>
        <w:t>会计准则第</w:t>
      </w:r>
      <w:r>
        <w:rPr>
          <w:rFonts w:ascii="Times New Roman" w:hAnsi="Times New Roman" w:cs="Times New Roman" w:eastAsia="Times New Roman" w:hint="default"/>
          <w:spacing w:val="-8"/>
        </w:rPr>
        <w:t>23</w:t>
      </w:r>
      <w:r>
        <w:rPr>
          <w:spacing w:val="-8"/>
        </w:rPr>
        <w:t>号</w:t>
      </w:r>
      <w:r>
        <w:rPr>
          <w:rFonts w:ascii="Times New Roman" w:hAnsi="Times New Roman" w:cs="Times New Roman" w:eastAsia="Times New Roman" w:hint="default"/>
          <w:spacing w:val="-8"/>
        </w:rPr>
        <w:t>——</w:t>
      </w:r>
      <w:r>
        <w:rPr>
          <w:spacing w:val="-8"/>
        </w:rPr>
        <w:t>金融资产转移（修订）》、《企业会计准则第</w:t>
      </w:r>
      <w:r>
        <w:rPr>
          <w:rFonts w:ascii="Times New Roman" w:hAnsi="Times New Roman" w:cs="Times New Roman" w:eastAsia="Times New Roman" w:hint="default"/>
          <w:spacing w:val="-8"/>
        </w:rPr>
        <w:t>24</w:t>
      </w:r>
      <w:r>
        <w:rPr>
          <w:spacing w:val="-8"/>
        </w:rPr>
        <w:t>号</w:t>
      </w:r>
      <w:r>
        <w:rPr>
          <w:rFonts w:ascii="Times New Roman" w:hAnsi="Times New Roman" w:cs="Times New Roman" w:eastAsia="Times New Roman" w:hint="default"/>
          <w:spacing w:val="-8"/>
        </w:rPr>
        <w:t>——</w:t>
      </w:r>
      <w:r>
        <w:rPr>
          <w:spacing w:val="-8"/>
        </w:rPr>
        <w:t>套期会计（修订）》</w:t>
      </w:r>
      <w:r>
        <w:rPr>
          <w:spacing w:val="-95"/>
        </w:rPr>
        <w:t> </w:t>
      </w:r>
      <w:r>
        <w:rPr>
          <w:spacing w:val="-95"/>
        </w:rPr>
      </w:r>
      <w:r>
        <w:rPr/>
        <w:t>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），本</w:t>
      </w:r>
      <w:r>
        <w:rPr>
          <w:spacing w:val="-71"/>
        </w:rPr>
        <w:t> </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日起执行新金融工具准则，对会计政策相关内容进行了调整。变更后的会</w:t>
      </w:r>
      <w:r>
        <w:rPr>
          <w:spacing w:val="-93"/>
        </w:rPr>
        <w:t> </w:t>
      </w:r>
      <w:r>
        <w:rPr>
          <w:spacing w:val="-93"/>
        </w:rPr>
      </w:r>
      <w:r>
        <w:rPr/>
        <w:t>计政策参见附注五、</w:t>
      </w:r>
      <w:r>
        <w:rPr>
          <w:rFonts w:ascii="Times New Roman" w:hAnsi="Times New Roman" w:cs="Times New Roman" w:eastAsia="Times New Roman" w:hint="default"/>
        </w:rPr>
        <w:t>10</w:t>
      </w:r>
      <w:r>
        <w:rPr/>
        <w:t>。</w:t>
      </w:r>
    </w:p>
    <w:p>
      <w:pPr>
        <w:pStyle w:val="BodyText"/>
        <w:spacing w:line="232" w:lineRule="auto" w:before="207"/>
        <w:ind w:right="1128"/>
        <w:jc w:val="both"/>
      </w:pPr>
      <w:r>
        <w:rPr/>
        <w:t>新金融工具准则要求根据管理金融资产的业务模式和金融资产的合同现金流量特征，将金融</w:t>
      </w:r>
      <w:r>
        <w:rPr>
          <w:spacing w:val="-93"/>
        </w:rPr>
        <w:t> </w:t>
      </w:r>
      <w:r>
        <w:rPr>
          <w:spacing w:val="-93"/>
        </w:rPr>
      </w:r>
      <w:r>
        <w:rPr/>
        <w:t>资产划分为以下三类：（</w:t>
      </w:r>
      <w:r>
        <w:rPr>
          <w:rFonts w:ascii="Times New Roman" w:hAnsi="Times New Roman" w:cs="Times New Roman" w:eastAsia="Times New Roman" w:hint="default"/>
        </w:rPr>
        <w:t>1</w:t>
      </w:r>
      <w:r>
        <w:rPr/>
        <w:t>）以摊余成本计量的金融资产；（</w:t>
      </w:r>
      <w:r>
        <w:rPr>
          <w:rFonts w:ascii="Times New Roman" w:hAnsi="Times New Roman" w:cs="Times New Roman" w:eastAsia="Times New Roman" w:hint="default"/>
        </w:rPr>
        <w:t>2</w:t>
      </w:r>
      <w:r>
        <w:rPr/>
        <w:t>）以公允价值计量且其变动计</w:t>
      </w:r>
      <w:r>
        <w:rPr>
          <w:spacing w:val="-86"/>
        </w:rPr>
        <w:t> </w:t>
      </w:r>
      <w:r>
        <w:rPr>
          <w:spacing w:val="-86"/>
        </w:rPr>
      </w:r>
      <w:r>
        <w:rPr>
          <w:spacing w:val="-3"/>
        </w:rPr>
        <w:t>入其他综合收益的金融资产；（</w:t>
      </w:r>
      <w:r>
        <w:rPr>
          <w:rFonts w:ascii="Times New Roman" w:hAnsi="Times New Roman" w:cs="Times New Roman" w:eastAsia="Times New Roman" w:hint="default"/>
          <w:spacing w:val="-3"/>
        </w:rPr>
        <w:t>3</w:t>
      </w:r>
      <w:r>
        <w:rPr>
          <w:spacing w:val="-3"/>
        </w:rPr>
        <w:t>）以公允价值计量且其变动计入当期损益的金融资产。混合</w:t>
      </w:r>
      <w:r>
        <w:rPr>
          <w:spacing w:val="-80"/>
        </w:rPr>
        <w:t> </w:t>
      </w:r>
      <w:r>
        <w:rPr>
          <w:spacing w:val="-80"/>
        </w:rPr>
      </w:r>
      <w:r>
        <w:rPr/>
        <w:t>合同包含的主合同属于金融资产的，不应从该混合合同中分拆嵌入衍生工具，而应当将该混</w:t>
      </w:r>
      <w:r>
        <w:rPr>
          <w:spacing w:val="-93"/>
        </w:rPr>
        <w:t> </w:t>
      </w:r>
      <w:r>
        <w:rPr>
          <w:spacing w:val="-93"/>
        </w:rPr>
      </w:r>
      <w:r>
        <w:rPr/>
        <w:t>合合同作为一个整体适用金融资产分类的相关规定。</w:t>
      </w:r>
    </w:p>
    <w:p>
      <w:pPr>
        <w:spacing w:line="240" w:lineRule="auto" w:before="10"/>
        <w:rPr>
          <w:rFonts w:ascii="宋体" w:hAnsi="宋体" w:cs="宋体" w:eastAsia="宋体" w:hint="default"/>
          <w:sz w:val="18"/>
          <w:szCs w:val="18"/>
        </w:rPr>
      </w:pPr>
    </w:p>
    <w:p>
      <w:pPr>
        <w:pStyle w:val="BodyText"/>
        <w:spacing w:line="312" w:lineRule="exact"/>
        <w:ind w:right="1133"/>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日，本公司没有将任何金融资产或金融负债指定为以公允价值计量且其变动计入</w:t>
      </w:r>
      <w:r>
        <w:rPr>
          <w:spacing w:val="-91"/>
        </w:rPr>
        <w:t> </w:t>
      </w:r>
      <w:r>
        <w:rPr>
          <w:spacing w:val="-91"/>
        </w:rPr>
      </w:r>
      <w:r>
        <w:rPr/>
        <w:t>当期损益的金融资产或金融负债，也没有撤销之前的指定。</w:t>
      </w:r>
    </w:p>
    <w:p>
      <w:pPr>
        <w:pStyle w:val="BodyText"/>
        <w:spacing w:line="312" w:lineRule="exact" w:before="216"/>
        <w:ind w:right="1139"/>
        <w:jc w:val="both"/>
      </w:pPr>
      <w:r>
        <w:rPr/>
        <w:t>新金融工具准则以</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替代了原金融工具准则规定的、根据实际已发生减值损</w:t>
      </w:r>
      <w:r>
        <w:rPr>
          <w:spacing w:val="-73"/>
        </w:rPr>
        <w:t> </w:t>
      </w:r>
      <w:r>
        <w:rPr>
          <w:spacing w:val="-73"/>
        </w:rPr>
      </w:r>
      <w:r>
        <w:rPr/>
        <w:t>失确认减值准备的方法。</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模型要求持续评估金融资产的信用风险，因此在</w:t>
      </w:r>
      <w:r>
        <w:rPr>
          <w:spacing w:val="-73"/>
        </w:rPr>
        <w:t> </w:t>
      </w:r>
      <w:r>
        <w:rPr>
          <w:spacing w:val="-73"/>
        </w:rPr>
      </w:r>
      <w:r>
        <w:rPr/>
        <w:t>新金融工具准则下，本公司信用损失的确认时点早于原金融工具准则。</w:t>
      </w:r>
    </w:p>
    <w:p>
      <w:pPr>
        <w:pStyle w:val="BodyText"/>
        <w:spacing w:line="240" w:lineRule="auto" w:before="185"/>
        <w:ind w:right="0"/>
        <w:jc w:val="both"/>
      </w:pPr>
      <w:r>
        <w:rPr/>
        <w:t>本公司以预期信用损失为基础，对下列项目进行减值会计处理并确认损失准备：</w:t>
      </w:r>
    </w:p>
    <w:p>
      <w:pPr>
        <w:pStyle w:val="BodyText"/>
        <w:spacing w:line="240" w:lineRule="auto" w:before="214"/>
        <w:ind w:left="273" w:right="0"/>
        <w:jc w:val="left"/>
      </w:pPr>
      <w:r>
        <w:rPr/>
        <w:t>· 以摊余成本计量的金融资产；</w:t>
      </w:r>
    </w:p>
    <w:p>
      <w:pPr>
        <w:pStyle w:val="BodyText"/>
        <w:spacing w:line="240" w:lineRule="auto" w:before="214"/>
        <w:ind w:left="273" w:right="0"/>
        <w:jc w:val="left"/>
      </w:pPr>
      <w:r>
        <w:rPr/>
        <w:t>· 以公允价值计量且其变动计入其他综合收益的应收款项和债权投资；</w:t>
      </w:r>
    </w:p>
    <w:p>
      <w:pPr>
        <w:pStyle w:val="BodyText"/>
        <w:spacing w:line="240" w:lineRule="auto" w:before="214"/>
        <w:ind w:left="273" w:right="0"/>
        <w:jc w:val="left"/>
      </w:pPr>
      <w:r>
        <w:rPr/>
        <w:t>· 租赁应收款；</w:t>
      </w:r>
    </w:p>
    <w:p>
      <w:pPr>
        <w:pStyle w:val="BodyText"/>
        <w:spacing w:line="240" w:lineRule="auto" w:before="214"/>
        <w:ind w:right="0"/>
        <w:jc w:val="both"/>
      </w:pPr>
      <w:r>
        <w:rPr/>
        <w:t>②新债务重组准则</w:t>
      </w:r>
    </w:p>
    <w:p>
      <w:pPr>
        <w:spacing w:line="240" w:lineRule="auto" w:before="8"/>
        <w:rPr>
          <w:rFonts w:ascii="宋体" w:hAnsi="宋体" w:cs="宋体" w:eastAsia="宋体" w:hint="default"/>
          <w:sz w:val="17"/>
          <w:szCs w:val="17"/>
        </w:rPr>
      </w:pPr>
    </w:p>
    <w:p>
      <w:pPr>
        <w:pStyle w:val="BodyText"/>
        <w:spacing w:line="225" w:lineRule="auto"/>
        <w:ind w:right="1122"/>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债务重组》（以下简称</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新债务重 组准则</w:t>
      </w:r>
      <w:r>
        <w:rPr>
          <w:rFonts w:ascii="Times New Roman" w:hAnsi="Times New Roman" w:cs="Times New Roman" w:eastAsia="Times New Roman" w:hint="default"/>
        </w:rPr>
        <w:t>”)</w:t>
      </w:r>
      <w:r>
        <w:rPr/>
        <w:t>，修改了债务重组的定义，明确了债务重组中涉及金融工具的适用《企业会计准则</w:t>
      </w:r>
      <w:r>
        <w:rPr>
          <w:spacing w:val="-52"/>
        </w:rPr>
        <w:t> </w:t>
      </w:r>
      <w:r>
        <w:rPr>
          <w:spacing w:val="-52"/>
        </w:rPr>
      </w:r>
      <w:r>
        <w:rPr/>
        <w:t>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金融工具确认和计量》等准则，明确了债权人受让金融资产以外的资产初始按</w:t>
      </w:r>
      <w:r>
        <w:rPr>
          <w:spacing w:val="-101"/>
        </w:rPr>
        <w:t> </w:t>
      </w:r>
      <w:r>
        <w:rPr>
          <w:spacing w:val="-101"/>
        </w:rPr>
      </w:r>
      <w:r>
        <w:rPr/>
        <w:t>成本计量，明确债务人以资产清偿债务时不再区分资产处置损益与债务重组损益。</w:t>
      </w:r>
    </w:p>
    <w:p>
      <w:pPr>
        <w:spacing w:line="240" w:lineRule="auto" w:before="11"/>
        <w:rPr>
          <w:rFonts w:ascii="宋体" w:hAnsi="宋体" w:cs="宋体" w:eastAsia="宋体" w:hint="default"/>
          <w:sz w:val="18"/>
          <w:szCs w:val="18"/>
        </w:rPr>
      </w:pPr>
    </w:p>
    <w:p>
      <w:pPr>
        <w:pStyle w:val="BodyText"/>
        <w:spacing w:line="312" w:lineRule="exact"/>
        <w:ind w:right="1132"/>
        <w:jc w:val="both"/>
      </w:pPr>
      <w:r>
        <w:rPr/>
        <w:t>根据财会</w:t>
      </w:r>
      <w:r>
        <w:rPr>
          <w:rFonts w:ascii="Times New Roman" w:hAnsi="Times New Roman" w:cs="Times New Roman" w:eastAsia="Times New Roman" w:hint="default"/>
        </w:rPr>
        <w:t>[2019]6</w:t>
      </w:r>
      <w:r>
        <w:rPr/>
        <w:t>号文件的规定，</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项目不再包含债务重组中因处</w:t>
      </w:r>
      <w:r>
        <w:rPr>
          <w:spacing w:val="-80"/>
        </w:rPr>
        <w:t> </w:t>
      </w:r>
      <w:r>
        <w:rPr>
          <w:spacing w:val="-80"/>
        </w:rPr>
      </w:r>
      <w:r>
        <w:rPr/>
        <w:t>置非流动资产产生的利得或损失。</w:t>
      </w:r>
    </w:p>
    <w:p>
      <w:pPr>
        <w:spacing w:line="240" w:lineRule="auto" w:before="7"/>
        <w:rPr>
          <w:rFonts w:ascii="宋体" w:hAnsi="宋体" w:cs="宋体" w:eastAsia="宋体" w:hint="default"/>
          <w:sz w:val="16"/>
          <w:szCs w:val="16"/>
        </w:rPr>
      </w:pPr>
    </w:p>
    <w:p>
      <w:pPr>
        <w:pStyle w:val="BodyText"/>
        <w:spacing w:line="312" w:lineRule="exact"/>
        <w:ind w:right="1132"/>
        <w:jc w:val="both"/>
      </w:pPr>
      <w:r>
        <w:rPr/>
        <w:t>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w:t>
      </w:r>
      <w:r>
        <w:rPr>
          <w:spacing w:val="-91"/>
        </w:rPr>
        <w:t> </w:t>
      </w:r>
      <w:r>
        <w:rPr>
          <w:spacing w:val="-91"/>
        </w:rPr>
      </w:r>
      <w:r>
        <w:rPr/>
        <w:t>债务重组不进行追溯调整。</w:t>
      </w:r>
    </w:p>
    <w:p>
      <w:pPr>
        <w:pStyle w:val="BodyText"/>
        <w:spacing w:line="240" w:lineRule="auto" w:before="185"/>
        <w:ind w:right="0"/>
        <w:jc w:val="both"/>
      </w:pPr>
      <w:r>
        <w:rPr/>
        <w:t>③新非货币性交换准则</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28" w:lineRule="auto" w:before="40"/>
        <w:ind w:right="1129"/>
        <w:jc w:val="both"/>
      </w:pP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日发布了《企业会计准则第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非货币性资产交换》（以下简称</w:t>
      </w:r>
      <w:r>
        <w:rPr>
          <w:rFonts w:ascii="Times New Roman" w:hAnsi="Times New Roman" w:cs="Times New Roman" w:eastAsia="Times New Roman" w:hint="default"/>
          <w:spacing w:val="-2"/>
        </w:rPr>
        <w:t>“</w:t>
      </w:r>
      <w:r>
        <w:rPr>
          <w:spacing w:val="-2"/>
        </w:rPr>
        <w:t>新</w:t>
      </w:r>
      <w:r>
        <w:rPr>
          <w:spacing w:val="-102"/>
        </w:rPr>
        <w:t> </w:t>
      </w:r>
      <w:r>
        <w:rPr>
          <w:spacing w:val="-2"/>
        </w:rPr>
        <w:t>非货币性交换准则</w:t>
      </w:r>
      <w:r>
        <w:rPr>
          <w:rFonts w:ascii="Times New Roman" w:hAnsi="Times New Roman" w:cs="Times New Roman" w:eastAsia="Times New Roman" w:hint="default"/>
          <w:spacing w:val="-2"/>
        </w:rPr>
        <w:t>”</w:t>
      </w:r>
      <w:r>
        <w:rPr>
          <w:spacing w:val="-2"/>
        </w:rPr>
        <w:t>），明确了货币性资产和非货币性资产的概念和准则的适用范围，明确了</w:t>
      </w:r>
      <w:r>
        <w:rPr>
          <w:spacing w:val="-107"/>
        </w:rPr>
        <w:t> </w:t>
      </w:r>
      <w:r>
        <w:rPr>
          <w:spacing w:val="-107"/>
        </w:rPr>
      </w:r>
      <w:r>
        <w:rPr/>
        <w:t>非货币性资产交换的确认时点，明确了不同条件下非货币交换的价值计量基础和核算方法及</w:t>
      </w:r>
      <w:r>
        <w:rPr>
          <w:spacing w:val="-93"/>
        </w:rPr>
        <w:t> </w:t>
      </w:r>
      <w:r>
        <w:rPr>
          <w:spacing w:val="-93"/>
        </w:rPr>
      </w:r>
      <w:r>
        <w:rPr/>
        <w:t>同时完善了相关信息披露要求。本公司对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日以后新发生的非货币性资产交换交易</w:t>
      </w:r>
      <w:r>
        <w:rPr>
          <w:spacing w:val="-90"/>
        </w:rPr>
        <w:t> </w:t>
      </w:r>
      <w:r>
        <w:rPr>
          <w:spacing w:val="-90"/>
        </w:rPr>
      </w:r>
      <w:r>
        <w:rPr/>
        <w:t>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日以前发生的非货币性资产交换交易不进行追溯调整。</w:t>
      </w:r>
    </w:p>
    <w:p>
      <w:pPr>
        <w:pStyle w:val="BodyText"/>
        <w:spacing w:line="240" w:lineRule="auto" w:before="198"/>
        <w:ind w:right="0"/>
        <w:jc w:val="left"/>
      </w:pPr>
      <w:r>
        <w:rPr/>
        <w:t>④财务报表格式</w:t>
      </w:r>
    </w:p>
    <w:p>
      <w:pPr>
        <w:spacing w:line="240" w:lineRule="auto" w:before="8"/>
        <w:rPr>
          <w:rFonts w:ascii="宋体" w:hAnsi="宋体" w:cs="宋体" w:eastAsia="宋体" w:hint="default"/>
          <w:sz w:val="17"/>
          <w:szCs w:val="17"/>
        </w:rPr>
      </w:pPr>
    </w:p>
    <w:p>
      <w:pPr>
        <w:pStyle w:val="BodyText"/>
        <w:spacing w:line="225" w:lineRule="auto"/>
        <w:ind w:right="0"/>
        <w:jc w:val="left"/>
      </w:pPr>
      <w:r>
        <w:rPr>
          <w:spacing w:val="-7"/>
        </w:rPr>
        <w:t>财政部于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4</w:t>
      </w:r>
      <w:r>
        <w:rPr>
          <w:spacing w:val="-7"/>
        </w:rPr>
        <w:t>月发布了《财政部关于修订印发</w:t>
      </w:r>
      <w:r>
        <w:rPr>
          <w:rFonts w:ascii="Times New Roman" w:hAnsi="Times New Roman" w:cs="Times New Roman" w:eastAsia="Times New Roman" w:hint="default"/>
          <w:spacing w:val="-7"/>
        </w:rPr>
        <w:t>2019</w:t>
      </w:r>
      <w:r>
        <w:rPr>
          <w:spacing w:val="-7"/>
        </w:rPr>
        <w:t>年度一般企业财务报表格式的通知》（财</w:t>
      </w:r>
      <w:r>
        <w:rPr/>
        <w:t> </w:t>
      </w:r>
      <w:r>
        <w:rPr>
          <w:spacing w:val="2"/>
        </w:rPr>
        <w:t>会</w:t>
      </w:r>
      <w:r>
        <w:rPr>
          <w:rFonts w:ascii="Times New Roman" w:hAnsi="Times New Roman" w:cs="Times New Roman" w:eastAsia="Times New Roman" w:hint="default"/>
          <w:spacing w:val="2"/>
        </w:rPr>
        <w:t>[2019]6</w:t>
      </w:r>
      <w:r>
        <w:rPr>
          <w:spacing w:val="2"/>
        </w:rPr>
        <w:t>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月发布的《财政部关于修订印发</w:t>
      </w:r>
      <w:r>
        <w:rPr>
          <w:rFonts w:ascii="Times New Roman" w:hAnsi="Times New Roman" w:cs="Times New Roman" w:eastAsia="Times New Roman" w:hint="default"/>
          <w:spacing w:val="2"/>
        </w:rPr>
        <w:t>2018</w:t>
      </w:r>
      <w:r>
        <w:rPr>
          <w:spacing w:val="2"/>
        </w:rPr>
        <w:t>年度一般企业财务报表格式的</w:t>
      </w:r>
      <w:r>
        <w:rPr>
          <w:spacing w:val="-114"/>
        </w:rPr>
        <w:t> </w:t>
      </w:r>
      <w:r>
        <w:rPr>
          <w:spacing w:val="-114"/>
        </w:rPr>
      </w:r>
      <w:r>
        <w:rPr/>
        <w:t>通知》（财会</w:t>
      </w:r>
      <w:r>
        <w:rPr>
          <w:rFonts w:ascii="Times New Roman" w:hAnsi="Times New Roman" w:cs="Times New Roman" w:eastAsia="Times New Roman" w:hint="default"/>
        </w:rPr>
        <w:t>[2018]15</w:t>
      </w:r>
      <w:r>
        <w:rPr/>
        <w:t>号）同时废止；财政部于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月发布了《财政部关于修订印发合并 </w:t>
      </w:r>
      <w:r>
        <w:rPr>
          <w:spacing w:val="2"/>
        </w:rPr>
        <w:t>财务报表格式（</w:t>
      </w:r>
      <w:r>
        <w:rPr>
          <w:rFonts w:ascii="Times New Roman" w:hAnsi="Times New Roman" w:cs="Times New Roman" w:eastAsia="Times New Roman" w:hint="default"/>
          <w:spacing w:val="2"/>
        </w:rPr>
        <w:t>2019</w:t>
      </w:r>
      <w:r>
        <w:rPr>
          <w:spacing w:val="2"/>
        </w:rPr>
        <w:t>版）的通知》（财会</w:t>
      </w:r>
      <w:r>
        <w:rPr>
          <w:rFonts w:ascii="Times New Roman" w:hAnsi="Times New Roman" w:cs="Times New Roman" w:eastAsia="Times New Roman" w:hint="default"/>
          <w:spacing w:val="2"/>
        </w:rPr>
        <w:t>[2019]16</w:t>
      </w:r>
      <w:r>
        <w:rPr>
          <w:spacing w:val="2"/>
        </w:rPr>
        <w:t>号），《财政部关于修订印发</w:t>
      </w:r>
      <w:r>
        <w:rPr>
          <w:rFonts w:ascii="Times New Roman" w:hAnsi="Times New Roman" w:cs="Times New Roman" w:eastAsia="Times New Roman" w:hint="default"/>
          <w:spacing w:val="2"/>
        </w:rPr>
        <w:t>2018</w:t>
      </w:r>
      <w:r>
        <w:rPr>
          <w:spacing w:val="2"/>
        </w:rPr>
        <w:t>年度合</w:t>
      </w:r>
      <w:r>
        <w:rPr>
          <w:spacing w:val="-104"/>
        </w:rPr>
        <w:t> </w:t>
      </w:r>
      <w:r>
        <w:rPr>
          <w:spacing w:val="-2"/>
        </w:rPr>
        <w:t>并财务报表格式的通知》（财会</w:t>
      </w:r>
      <w:r>
        <w:rPr>
          <w:rFonts w:ascii="Times New Roman" w:hAnsi="Times New Roman" w:cs="Times New Roman" w:eastAsia="Times New Roman" w:hint="default"/>
          <w:spacing w:val="-2"/>
        </w:rPr>
        <w:t>[2019]1</w:t>
      </w:r>
      <w:r>
        <w:rPr>
          <w:spacing w:val="-2"/>
        </w:rPr>
        <w:t>号）同时废止。根据财会</w:t>
      </w:r>
      <w:r>
        <w:rPr>
          <w:rFonts w:ascii="Times New Roman" w:hAnsi="Times New Roman" w:cs="Times New Roman" w:eastAsia="Times New Roman" w:hint="default"/>
          <w:spacing w:val="-2"/>
        </w:rPr>
        <w:t>[2019]6</w:t>
      </w:r>
      <w:r>
        <w:rPr>
          <w:spacing w:val="-2"/>
        </w:rPr>
        <w:t>号和财会</w:t>
      </w:r>
      <w:r>
        <w:rPr>
          <w:rFonts w:ascii="Times New Roman" w:hAnsi="Times New Roman" w:cs="Times New Roman" w:eastAsia="Times New Roman" w:hint="default"/>
          <w:spacing w:val="-2"/>
        </w:rPr>
        <w:t>[2019]16</w:t>
      </w:r>
      <w:r>
        <w:rPr>
          <w:spacing w:val="-2"/>
        </w:rPr>
        <w:t>号，</w:t>
      </w:r>
      <w:r>
        <w:rPr>
          <w:spacing w:val="-100"/>
        </w:rPr>
        <w:t> </w:t>
      </w:r>
      <w:r>
        <w:rPr/>
        <w:t>本公司对财务报表格式进行了以下修订：</w:t>
      </w:r>
    </w:p>
    <w:p>
      <w:pPr>
        <w:spacing w:line="240" w:lineRule="auto" w:before="12"/>
        <w:rPr>
          <w:rFonts w:ascii="宋体" w:hAnsi="宋体" w:cs="宋体" w:eastAsia="宋体" w:hint="default"/>
          <w:sz w:val="18"/>
          <w:szCs w:val="18"/>
        </w:rPr>
      </w:pPr>
    </w:p>
    <w:p>
      <w:pPr>
        <w:pStyle w:val="BodyText"/>
        <w:spacing w:line="312" w:lineRule="exact"/>
        <w:ind w:right="1125"/>
        <w:jc w:val="left"/>
      </w:pPr>
      <w:r>
        <w:rPr/>
        <w:t>资产负债表，将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 及应付账款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381" w:lineRule="auto" w:before="185"/>
        <w:ind w:right="1391"/>
        <w:jc w:val="left"/>
      </w:pPr>
      <w:r>
        <w:rPr/>
        <w:t>本公司对可比期间的比较数据按照财会</w:t>
      </w:r>
      <w:r>
        <w:rPr>
          <w:rFonts w:ascii="Times New Roman" w:hAnsi="Times New Roman" w:cs="Times New Roman" w:eastAsia="Times New Roman" w:hint="default"/>
        </w:rPr>
        <w:t>[2019]6</w:t>
      </w:r>
      <w:r>
        <w:rPr/>
        <w:t>号文进行调整。 财务报表格式的修订对本公司的资产总额、负债总额、净利润、其他综合收益等无影响。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8"/>
        <w:ind w:left="153" w:right="0" w:firstLine="0"/>
        <w:jc w:val="left"/>
        <w:rPr>
          <w:rFonts w:ascii="宋体" w:hAnsi="宋体" w:cs="宋体" w:eastAsia="宋体" w:hint="default"/>
          <w:sz w:val="21"/>
          <w:szCs w:val="21"/>
        </w:rPr>
      </w:pPr>
      <w:bookmarkStart w:name="（2）重要会计估计变更"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2019年起执行新金融工具准则、新收入准则或新租赁准则调整执行当年年初财务"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7" w:space="7385"/>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1,109,192,603.75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1,109,192,603.75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1,551,334.00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67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1,551,334.00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-1,551,334.00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6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39,369,774.83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39,369,774.83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686,087,606.31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686,087,606.31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17,342,625.43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17,342,625.43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48,791,157.11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48,791,157.11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38,283,762.82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38,283,762.82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1,112,763.91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1,112,763.91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1,941,731,628.16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1,941,731,628.16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176,628,248.72</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-176,628,248.72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115,286,297.87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115,286,297.87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176,628,248.72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170,408,594.84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42,979,523.14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42,979,523.14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165,564,475.83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165,564,475.83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64,733,148.88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64,733,148.88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70,859,278.26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70,859,278.26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54,645,854.35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54,645,854.35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37,715,810.62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37,715,810.62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3,390,411.60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3,390,411.60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20,135,805.82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20,135,805.82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621,965.39</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751,938,855.09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746,341,166.60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2,693,670,483.25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2,688,072,794.76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40,968,387.02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40,968,387.02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110,719,365.87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110,719,365.87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15,823,554.77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15,823,554.77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93,992,786.97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93,992,786.97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31,271,963.51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31,271,963.51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10,675,587.15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10,675,587.15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34,751.67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34,751.67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571,034.20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571,034.20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78"/>
              <w:jc w:val="right"/>
              <w:rPr>
                <w:rFonts w:ascii="宋体" w:hAnsi="宋体" w:cs="宋体" w:eastAsia="宋体" w:hint="default"/>
                <w:sz w:val="18"/>
                <w:szCs w:val="18"/>
              </w:rPr>
            </w:pPr>
            <w:r>
              <w:rPr>
                <w:rFonts w:ascii="宋体" w:hAnsi="宋体" w:cs="宋体" w:eastAsia="宋体" w:hint="default"/>
                <w:spacing w:val="-3"/>
                <w:sz w:val="18"/>
                <w:szCs w:val="18"/>
              </w:rPr>
              <w:t>一年内到期的非流动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6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34,433,729.20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337,885,374.49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337,885,374.49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9,003,457.78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9,003,457.78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13,703,457.78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13,703,457.78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351,588,832.27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351,588,832.27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849,403,251.00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849,403,251.00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150,800,948.80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150,800,948.80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34,433,729.20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-5,601,537.67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231,562,854.16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231,562,854.16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1,056,527,973.91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1,056,527,973.91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2,253,857,449.49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2,248,259,761.00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88,224,201.49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88,224,201.49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2,342,081,650.98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2,336,483,962.49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2,693,670,483.25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2,688,072,794.76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30" w:lineRule="auto" w:before="152"/>
        <w:ind w:left="233" w:right="0"/>
        <w:jc w:val="left"/>
      </w:pPr>
      <w:r>
        <w:rPr>
          <w:spacing w:val="-3"/>
        </w:rPr>
        <w:t>本公司按照新金融工具准则的规定，除某些特定情形外，对金融工具的分类和计量（含减值）</w:t>
      </w:r>
      <w:r>
        <w:rPr>
          <w:spacing w:val="-84"/>
        </w:rPr>
        <w:t> </w:t>
      </w:r>
      <w:r>
        <w:rPr>
          <w:spacing w:val="-84"/>
        </w:rPr>
      </w:r>
      <w:r>
        <w:rPr/>
        <w:t>进行追溯调整，将金融工具原账面价值和在新金融工具准则施行日（即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日）的新</w:t>
      </w:r>
      <w:r>
        <w:rPr>
          <w:spacing w:val="-89"/>
        </w:rPr>
        <w:t> </w:t>
      </w:r>
      <w:r>
        <w:rPr>
          <w:spacing w:val="-89"/>
        </w:rPr>
      </w:r>
      <w:r>
        <w:rPr/>
        <w:t>账面价值之间的差额计入</w:t>
      </w:r>
      <w:r>
        <w:rPr>
          <w:rFonts w:ascii="Times New Roman" w:hAnsi="Times New Roman" w:cs="Times New Roman" w:eastAsia="Times New Roman" w:hint="default"/>
        </w:rPr>
        <w:t>2019</w:t>
      </w:r>
      <w:r>
        <w:rPr/>
        <w:t>年年初留存收益或其他综合收益。同时，本公司未对比较财务</w:t>
      </w:r>
      <w:r>
        <w:rPr>
          <w:spacing w:val="-92"/>
        </w:rPr>
        <w:t> </w:t>
      </w:r>
      <w:r>
        <w:rPr>
          <w:spacing w:val="-92"/>
        </w:rPr>
      </w:r>
      <w:r>
        <w:rPr/>
        <w:t>报表数据进行调整。</w:t>
      </w:r>
    </w:p>
    <w:p>
      <w:pPr>
        <w:spacing w:line="240" w:lineRule="auto" w:before="10"/>
        <w:rPr>
          <w:rFonts w:ascii="宋体" w:hAnsi="宋体" w:cs="宋体" w:eastAsia="宋体" w:hint="default"/>
          <w:sz w:val="18"/>
          <w:szCs w:val="18"/>
        </w:rPr>
      </w:pPr>
    </w:p>
    <w:p>
      <w:pPr>
        <w:pStyle w:val="BodyText"/>
        <w:spacing w:line="312" w:lineRule="exact"/>
        <w:ind w:left="233"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w:t>
      </w:r>
      <w:r>
        <w:rPr>
          <w:spacing w:val="-93"/>
        </w:rPr>
        <w:t> </w:t>
      </w:r>
      <w:r>
        <w:rPr>
          <w:spacing w:val="-93"/>
        </w:rPr>
      </w:r>
      <w:r>
        <w:rPr/>
        <w:t>结果对比如下：</w:t>
      </w:r>
    </w:p>
    <w:p>
      <w:pPr>
        <w:spacing w:line="240" w:lineRule="auto" w:before="3"/>
        <w:rPr>
          <w:rFonts w:ascii="宋体" w:hAnsi="宋体" w:cs="宋体" w:eastAsia="宋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1700"/>
        <w:gridCol w:w="1560"/>
        <w:gridCol w:w="1417"/>
        <w:gridCol w:w="1560"/>
        <w:gridCol w:w="1844"/>
        <w:gridCol w:w="1277"/>
      </w:tblGrid>
      <w:tr>
        <w:trPr>
          <w:trHeight w:val="332" w:hRule="exact"/>
        </w:trPr>
        <w:tc>
          <w:tcPr>
            <w:tcW w:w="467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4681"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31"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54" w:hRule="exact"/>
        </w:trPr>
        <w:tc>
          <w:tcPr>
            <w:tcW w:w="170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0" w:right="132"/>
              <w:jc w:val="both"/>
              <w:rPr>
                <w:rFonts w:ascii="宋体" w:hAnsi="宋体" w:cs="宋体" w:eastAsia="宋体" w:hint="default"/>
                <w:sz w:val="18"/>
                <w:szCs w:val="18"/>
              </w:rPr>
            </w:pPr>
            <w:r>
              <w:rPr>
                <w:rFonts w:ascii="宋体" w:hAnsi="宋体" w:cs="宋体" w:eastAsia="宋体" w:hint="default"/>
                <w:sz w:val="18"/>
                <w:szCs w:val="18"/>
              </w:rPr>
              <w:t>以公允价值计量且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其变动计入当期损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益的金融资产</w:t>
            </w:r>
          </w:p>
        </w:tc>
        <w:tc>
          <w:tcPr>
            <w:tcW w:w="156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0" w:right="175"/>
              <w:jc w:val="both"/>
              <w:rPr>
                <w:rFonts w:ascii="宋体" w:hAnsi="宋体" w:cs="宋体" w:eastAsia="宋体" w:hint="default"/>
                <w:sz w:val="18"/>
                <w:szCs w:val="18"/>
              </w:rPr>
            </w:pPr>
            <w:r>
              <w:rPr>
                <w:rFonts w:ascii="宋体" w:hAnsi="宋体" w:cs="宋体" w:eastAsia="宋体" w:hint="default"/>
                <w:spacing w:val="-3"/>
                <w:sz w:val="18"/>
                <w:szCs w:val="18"/>
              </w:rPr>
              <w:t>以公允价值计量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且其变动计入当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期损益</w:t>
            </w:r>
          </w:p>
        </w:tc>
        <w:tc>
          <w:tcPr>
            <w:tcW w:w="141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sz w:val="18"/>
              </w:rPr>
              <w:t>1,551,334.00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8"/>
              <w:ind w:left="100" w:right="9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变动计入当期损益</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749" w:hRule="exact"/>
        </w:trPr>
        <w:tc>
          <w:tcPr>
            <w:tcW w:w="1700" w:type="dxa"/>
            <w:vMerge/>
            <w:tcBorders>
              <w:left w:val="single" w:sz="8" w:space="0" w:color="000000"/>
              <w:bottom w:val="single" w:sz="8" w:space="0" w:color="000000"/>
              <w:right w:val="single" w:sz="8" w:space="0" w:color="000000"/>
            </w:tcBorders>
          </w:tcPr>
          <w:p>
            <w:pPr/>
          </w:p>
        </w:tc>
        <w:tc>
          <w:tcPr>
            <w:tcW w:w="1560" w:type="dxa"/>
            <w:vMerge/>
            <w:tcBorders>
              <w:left w:val="single" w:sz="8" w:space="0" w:color="000000"/>
              <w:bottom w:val="single" w:sz="8" w:space="0" w:color="000000"/>
              <w:right w:val="single" w:sz="8" w:space="0" w:color="000000"/>
            </w:tcBorders>
          </w:tcPr>
          <w:p>
            <w:pPr/>
          </w:p>
        </w:tc>
        <w:tc>
          <w:tcPr>
            <w:tcW w:w="1417"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63"/>
              <w:ind w:left="100" w:right="9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变动计入当期损益</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49" w:hRule="exact"/>
        </w:trPr>
        <w:tc>
          <w:tcPr>
            <w:tcW w:w="17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100" w:right="175"/>
              <w:jc w:val="left"/>
              <w:rPr>
                <w:rFonts w:ascii="宋体" w:hAnsi="宋体" w:cs="宋体" w:eastAsia="宋体" w:hint="default"/>
                <w:sz w:val="18"/>
                <w:szCs w:val="18"/>
              </w:rPr>
            </w:pPr>
            <w:r>
              <w:rPr>
                <w:rFonts w:ascii="宋体" w:hAnsi="宋体" w:cs="宋体" w:eastAsia="宋体" w:hint="default"/>
                <w:spacing w:val="-3"/>
                <w:sz w:val="18"/>
                <w:szCs w:val="18"/>
              </w:rPr>
              <w:t>以成本计量（权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益工具）</w:t>
            </w:r>
          </w:p>
        </w:tc>
        <w:tc>
          <w:tcPr>
            <w:tcW w:w="141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176,628,248.72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100" w:right="175"/>
              <w:jc w:val="left"/>
              <w:rPr>
                <w:rFonts w:ascii="宋体" w:hAnsi="宋体" w:cs="宋体" w:eastAsia="宋体" w:hint="default"/>
                <w:sz w:val="18"/>
                <w:szCs w:val="18"/>
              </w:rPr>
            </w:pPr>
            <w:r>
              <w:rPr>
                <w:rFonts w:ascii="宋体" w:hAnsi="宋体" w:cs="宋体" w:eastAsia="宋体" w:hint="default"/>
                <w:spacing w:val="-3"/>
                <w:sz w:val="18"/>
                <w:szCs w:val="18"/>
              </w:rPr>
              <w:t>其他非流动金融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3"/>
              <w:ind w:left="100" w:right="9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变动计入当期损益</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56" w:hRule="exact"/>
        </w:trPr>
        <w:tc>
          <w:tcPr>
            <w:tcW w:w="1700" w:type="dxa"/>
            <w:vMerge/>
            <w:tcBorders>
              <w:left w:val="single" w:sz="8" w:space="0" w:color="000000"/>
              <w:bottom w:val="single" w:sz="8" w:space="0" w:color="000000"/>
              <w:right w:val="single" w:sz="8" w:space="0" w:color="000000"/>
            </w:tcBorders>
          </w:tcPr>
          <w:p>
            <w:pPr/>
          </w:p>
        </w:tc>
        <w:tc>
          <w:tcPr>
            <w:tcW w:w="1560" w:type="dxa"/>
            <w:vMerge/>
            <w:tcBorders>
              <w:left w:val="single" w:sz="8" w:space="0" w:color="000000"/>
              <w:bottom w:val="single" w:sz="8" w:space="0" w:color="000000"/>
              <w:right w:val="single" w:sz="8" w:space="0" w:color="000000"/>
            </w:tcBorders>
          </w:tcPr>
          <w:p>
            <w:pPr/>
          </w:p>
        </w:tc>
        <w:tc>
          <w:tcPr>
            <w:tcW w:w="1417"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00" w:right="175"/>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100" w:right="99"/>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变动计入其他综合收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益</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170,408,594.8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pStyle w:val="BodyText"/>
        <w:spacing w:line="240" w:lineRule="auto" w:before="79"/>
        <w:ind w:left="233"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1"/>
        <w:rPr>
          <w:rFonts w:ascii="宋体" w:hAnsi="宋体" w:cs="宋体" w:eastAsia="宋体" w:hint="default"/>
          <w:sz w:val="18"/>
          <w:szCs w:val="18"/>
        </w:rPr>
      </w:pPr>
    </w:p>
    <w:tbl>
      <w:tblPr>
        <w:tblW w:w="0" w:type="auto"/>
        <w:jc w:val="left"/>
        <w:tblInd w:w="223" w:type="dxa"/>
        <w:tblLayout w:type="fixed"/>
        <w:tblCellMar>
          <w:top w:w="0" w:type="dxa"/>
          <w:left w:w="0" w:type="dxa"/>
          <w:bottom w:w="0" w:type="dxa"/>
          <w:right w:w="0" w:type="dxa"/>
        </w:tblCellMar>
        <w:tblLook w:val="01E0"/>
      </w:tblPr>
      <w:tblGrid>
        <w:gridCol w:w="2127"/>
        <w:gridCol w:w="1844"/>
        <w:gridCol w:w="1983"/>
        <w:gridCol w:w="1700"/>
        <w:gridCol w:w="1848"/>
      </w:tblGrid>
      <w:tr>
        <w:trPr>
          <w:trHeight w:val="66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99"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87"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7"/>
              <w:ind w:left="19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计入当期损益的金融资产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1,551,334.00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-1,551,334.00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1,551,334.00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z w:val="18"/>
              </w:rPr>
              <w:t>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176,628,248.72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-176,628,248.72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176,628,248.72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-6,219,653.88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170,408,594.84</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20,135,805.82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621,965.39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20,757,771.21</w:t>
            </w:r>
          </w:p>
        </w:tc>
      </w:tr>
      <w:tr>
        <w:trPr>
          <w:trHeight w:val="3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-3,849.18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-5,597,688.49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-5,601,537.67</w:t>
            </w:r>
          </w:p>
        </w:tc>
      </w:tr>
    </w:tbl>
    <w:p>
      <w:pPr>
        <w:spacing w:line="240" w:lineRule="auto" w:before="13"/>
        <w:rPr>
          <w:rFonts w:ascii="宋体" w:hAnsi="宋体" w:cs="宋体" w:eastAsia="宋体" w:hint="default"/>
          <w:sz w:val="27"/>
          <w:szCs w:val="27"/>
        </w:rPr>
      </w:pPr>
    </w:p>
    <w:p>
      <w:pPr>
        <w:pStyle w:val="BodyText"/>
        <w:spacing w:line="312" w:lineRule="exact" w:before="56"/>
        <w:ind w:left="233" w:right="0"/>
        <w:jc w:val="left"/>
      </w:pPr>
      <w:r>
        <w:rPr/>
        <w:t>本公司将根据原金融工具准则计量的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年年初损失准备之间的调节表列示如下：</w:t>
      </w:r>
    </w:p>
    <w:p>
      <w:pPr>
        <w:spacing w:line="240" w:lineRule="auto" w:before="3"/>
        <w:rPr>
          <w:rFonts w:ascii="宋体" w:hAnsi="宋体" w:cs="宋体" w:eastAsia="宋体" w:hint="default"/>
          <w:sz w:val="17"/>
          <w:szCs w:val="17"/>
        </w:rPr>
      </w:pPr>
    </w:p>
    <w:tbl>
      <w:tblPr>
        <w:tblW w:w="0" w:type="auto"/>
        <w:jc w:val="left"/>
        <w:tblInd w:w="223" w:type="dxa"/>
        <w:tblLayout w:type="fixed"/>
        <w:tblCellMar>
          <w:top w:w="0" w:type="dxa"/>
          <w:left w:w="0" w:type="dxa"/>
          <w:bottom w:w="0" w:type="dxa"/>
          <w:right w:w="0" w:type="dxa"/>
        </w:tblCellMar>
        <w:tblLook w:val="01E0"/>
      </w:tblPr>
      <w:tblGrid>
        <w:gridCol w:w="2415"/>
        <w:gridCol w:w="1983"/>
        <w:gridCol w:w="1417"/>
        <w:gridCol w:w="1277"/>
        <w:gridCol w:w="2084"/>
      </w:tblGrid>
      <w:tr>
        <w:trPr>
          <w:trHeight w:val="65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39"/>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31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44"/>
              <w:jc w:val="center"/>
              <w:rPr>
                <w:rFonts w:ascii="宋体" w:hAnsi="宋体" w:cs="宋体" w:eastAsia="宋体" w:hint="default"/>
                <w:sz w:val="18"/>
                <w:szCs w:val="18"/>
              </w:rPr>
            </w:pPr>
            <w:r>
              <w:rPr>
                <w:rFonts w:ascii="宋体" w:hAnsi="宋体" w:cs="宋体" w:eastAsia="宋体" w:hint="default"/>
                <w:spacing w:val="-2"/>
                <w:sz w:val="18"/>
                <w:szCs w:val="18"/>
              </w:rPr>
              <w:t>应收票据减值准备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44"/>
              <w:jc w:val="center"/>
              <w:rPr>
                <w:rFonts w:ascii="宋体" w:hAnsi="宋体" w:cs="宋体" w:eastAsia="宋体" w:hint="default"/>
                <w:sz w:val="18"/>
                <w:szCs w:val="18"/>
              </w:rPr>
            </w:pPr>
            <w:r>
              <w:rPr>
                <w:rFonts w:ascii="宋体" w:hAnsi="宋体" w:cs="宋体" w:eastAsia="宋体" w:hint="default"/>
                <w:spacing w:val="-2"/>
                <w:sz w:val="18"/>
                <w:szCs w:val="18"/>
              </w:rPr>
              <w:t>应收账款减值准备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102,758,096.64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102,758,096.64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0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415"/>
        <w:gridCol w:w="1983"/>
        <w:gridCol w:w="1417"/>
        <w:gridCol w:w="1277"/>
        <w:gridCol w:w="2084"/>
      </w:tblGrid>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22" w:right="-5"/>
              <w:jc w:val="left"/>
              <w:rPr>
                <w:rFonts w:ascii="Times New Roman" w:hAnsi="Times New Roman" w:cs="Times New Roman" w:eastAsia="Times New Roman" w:hint="default"/>
                <w:sz w:val="18"/>
                <w:szCs w:val="18"/>
              </w:rPr>
            </w:pPr>
            <w:r>
              <w:rPr>
                <w:rFonts w:ascii="Times New Roman"/>
                <w:sz w:val="18"/>
              </w:rPr>
              <w:t>9,921,208.50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23" w:right="-5"/>
              <w:jc w:val="left"/>
              <w:rPr>
                <w:rFonts w:ascii="Times New Roman" w:hAnsi="Times New Roman" w:cs="Times New Roman" w:eastAsia="Times New Roman" w:hint="default"/>
                <w:sz w:val="18"/>
                <w:szCs w:val="18"/>
              </w:rPr>
            </w:pPr>
            <w:r>
              <w:rPr>
                <w:rFonts w:ascii="Times New Roman"/>
                <w:sz w:val="18"/>
              </w:rPr>
              <w:t>9,921,208.50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953,305,512.60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953,305,512.60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1,551,334.00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1,551,334.00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29,286,511.68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29,286,511.68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526,629,105.61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526,629,105.61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9,644,371.37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9,644,371.37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246,752,345.27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246,752,345.27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7,371,502.18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7,371,502.18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1,774,540,682.71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1,774,540,682.71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176,628,248.72</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-176,628,248.72</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375,294,482.19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375,294,482.19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170,408,594.84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170,408,594.84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42,979,523.14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42,979,523.14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65,611,869.59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65,611,869.59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64,428,531.18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64,428,531.18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54,066,956.39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54,066,956.39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54,645,854.35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54,645,854.35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3,280,651.89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3,280,651.89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8,997,777.22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9,619,742.61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621,965.39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845,933,894.67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840,336,206.18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2,620,474,577.38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2,614,876,888.89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169,615,513.56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169,615,513.56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15,270,684.74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15,270,684.74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62,928,493.11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62,928,493.11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11,649,135.83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11,649,135.83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27,293,267.01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27,293,267.01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571,034.20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571,034.20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34,433,729.20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321,190,823.45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321,190,823.45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6,378,711.96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6,378,711.96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11,078,711.96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11,078,711.96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332,269,535.41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332,269,535.41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849,403,251.00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849,403,251.00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153,887,035.90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153,887,035.90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34,433,729.20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-5,597,688.49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231,500,677.14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231,500,677.14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1,087,847,807.13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1,087,847,807.13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2,288,205,041.97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2,282,607,353.48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2,620,474,577.38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2,614,876,888.89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-5,597,688.49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30" w:lineRule="auto" w:before="152"/>
        <w:ind w:right="0"/>
        <w:jc w:val="left"/>
      </w:pPr>
      <w:r>
        <w:rPr>
          <w:spacing w:val="-3"/>
        </w:rPr>
        <w:t>本公司按照新金融工具准则的规定，除某些特定情形外，对金融工具的分类和计量（含减值）</w:t>
      </w:r>
      <w:r>
        <w:rPr>
          <w:spacing w:val="-84"/>
        </w:rPr>
        <w:t> </w:t>
      </w:r>
      <w:r>
        <w:rPr>
          <w:spacing w:val="-84"/>
        </w:rPr>
      </w:r>
      <w:r>
        <w:rPr/>
        <w:t>进行追溯调整，将金融工具原账面价值和在新金融工具准则施行日（即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日）的新</w:t>
      </w:r>
      <w:r>
        <w:rPr>
          <w:spacing w:val="-89"/>
        </w:rPr>
        <w:t> </w:t>
      </w:r>
      <w:r>
        <w:rPr>
          <w:spacing w:val="-89"/>
        </w:rPr>
      </w:r>
      <w:r>
        <w:rPr/>
        <w:t>账面价值之间的差额计入</w:t>
      </w:r>
      <w:r>
        <w:rPr>
          <w:rFonts w:ascii="Times New Roman" w:hAnsi="Times New Roman" w:cs="Times New Roman" w:eastAsia="Times New Roman" w:hint="default"/>
        </w:rPr>
        <w:t>2019</w:t>
      </w:r>
      <w:r>
        <w:rPr/>
        <w:t>年年初留存收益或其他综合收益。同时，本公司未对比较财务</w:t>
      </w:r>
      <w:r>
        <w:rPr>
          <w:spacing w:val="-92"/>
        </w:rPr>
        <w:t> </w:t>
      </w:r>
      <w:r>
        <w:rPr>
          <w:spacing w:val="-92"/>
        </w:rPr>
      </w:r>
      <w:r>
        <w:rPr/>
        <w:t>报表数据进行调整。</w:t>
      </w:r>
    </w:p>
    <w:p>
      <w:pPr>
        <w:spacing w:line="240" w:lineRule="auto" w:before="10"/>
        <w:rPr>
          <w:rFonts w:ascii="宋体" w:hAnsi="宋体" w:cs="宋体" w:eastAsia="宋体" w:hint="default"/>
          <w:sz w:val="18"/>
          <w:szCs w:val="18"/>
        </w:rPr>
      </w:pPr>
    </w:p>
    <w:p>
      <w:pPr>
        <w:pStyle w:val="BodyText"/>
        <w:spacing w:line="312" w:lineRule="exact"/>
        <w:ind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w:t>
      </w:r>
      <w:r>
        <w:rPr>
          <w:spacing w:val="-93"/>
        </w:rPr>
        <w:t> </w:t>
      </w:r>
      <w:r>
        <w:rPr>
          <w:spacing w:val="-93"/>
        </w:rPr>
      </w:r>
      <w:r>
        <w:rPr/>
        <w:t>结果对比如下：</w:t>
      </w:r>
    </w:p>
    <w:p>
      <w:pPr>
        <w:spacing w:line="240" w:lineRule="auto" w:before="3"/>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1541"/>
        <w:gridCol w:w="1704"/>
        <w:gridCol w:w="1417"/>
        <w:gridCol w:w="1560"/>
        <w:gridCol w:w="1844"/>
        <w:gridCol w:w="1272"/>
      </w:tblGrid>
      <w:tr>
        <w:trPr>
          <w:trHeight w:val="346" w:hRule="exact"/>
        </w:trPr>
        <w:tc>
          <w:tcPr>
            <w:tcW w:w="4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59" w:right="0"/>
              <w:jc w:val="left"/>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4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69" w:right="0"/>
              <w:jc w:val="left"/>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50" w:hRule="exact"/>
        </w:trPr>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541"/>
        <w:gridCol w:w="1704"/>
        <w:gridCol w:w="1417"/>
        <w:gridCol w:w="1560"/>
        <w:gridCol w:w="1844"/>
        <w:gridCol w:w="1272"/>
      </w:tblGrid>
      <w:tr>
        <w:trPr>
          <w:trHeight w:val="658" w:hRule="exact"/>
        </w:trPr>
        <w:tc>
          <w:tcPr>
            <w:tcW w:w="1541"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75"/>
              <w:jc w:val="both"/>
              <w:rPr>
                <w:rFonts w:ascii="宋体" w:hAnsi="宋体" w:cs="宋体" w:eastAsia="宋体" w:hint="default"/>
                <w:sz w:val="18"/>
                <w:szCs w:val="18"/>
              </w:rPr>
            </w:pPr>
            <w:r>
              <w:rPr>
                <w:rFonts w:ascii="宋体" w:hAnsi="宋体" w:cs="宋体" w:eastAsia="宋体" w:hint="default"/>
                <w:spacing w:val="-2"/>
                <w:sz w:val="18"/>
                <w:szCs w:val="18"/>
              </w:rPr>
              <w:t>以公允价值计量且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其变动计入当期损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益的金融资产</w:t>
            </w:r>
          </w:p>
        </w:tc>
        <w:tc>
          <w:tcPr>
            <w:tcW w:w="1704"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55"/>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变动计入当期损益</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62"/>
              <w:ind w:left="456" w:right="-5"/>
              <w:jc w:val="left"/>
              <w:rPr>
                <w:rFonts w:ascii="Times New Roman" w:hAnsi="Times New Roman" w:cs="Times New Roman" w:eastAsia="Times New Roman" w:hint="default"/>
                <w:sz w:val="18"/>
                <w:szCs w:val="18"/>
              </w:rPr>
            </w:pPr>
            <w:r>
              <w:rPr>
                <w:rFonts w:ascii="Times New Roman"/>
                <w:sz w:val="18"/>
              </w:rPr>
              <w:t>1,551,334.00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1,551,334.0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63" w:hRule="exact"/>
        </w:trPr>
        <w:tc>
          <w:tcPr>
            <w:tcW w:w="154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z w:val="18"/>
              </w:rPr>
              <w:t>0.00</w:t>
            </w:r>
          </w:p>
        </w:tc>
      </w:tr>
      <w:tr>
        <w:trPr>
          <w:trHeight w:val="658" w:hRule="exact"/>
        </w:trPr>
        <w:tc>
          <w:tcPr>
            <w:tcW w:w="1541"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4"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55"/>
              <w:jc w:val="left"/>
              <w:rPr>
                <w:rFonts w:ascii="宋体" w:hAnsi="宋体" w:cs="宋体" w:eastAsia="宋体" w:hint="default"/>
                <w:sz w:val="18"/>
                <w:szCs w:val="18"/>
              </w:rPr>
            </w:pPr>
            <w:r>
              <w:rPr>
                <w:rFonts w:ascii="宋体" w:hAnsi="宋体" w:cs="宋体" w:eastAsia="宋体" w:hint="default"/>
                <w:spacing w:val="-3"/>
                <w:sz w:val="18"/>
                <w:szCs w:val="18"/>
              </w:rPr>
              <w:t>以成本计量（权益工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具）</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176,628,248.7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4"/>
              <w:jc w:val="left"/>
              <w:rPr>
                <w:rFonts w:ascii="宋体" w:hAnsi="宋体" w:cs="宋体" w:eastAsia="宋体" w:hint="default"/>
                <w:sz w:val="18"/>
                <w:szCs w:val="18"/>
              </w:rPr>
            </w:pPr>
            <w:r>
              <w:rPr>
                <w:rFonts w:ascii="宋体" w:hAnsi="宋体" w:cs="宋体" w:eastAsia="宋体" w:hint="default"/>
                <w:spacing w:val="-2"/>
                <w:sz w:val="18"/>
                <w:szCs w:val="18"/>
              </w:rPr>
              <w:t>其他非流动金融资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动计入当期损益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z w:val="18"/>
              </w:rPr>
              <w:t>0.00</w:t>
            </w:r>
          </w:p>
        </w:tc>
      </w:tr>
      <w:tr>
        <w:trPr>
          <w:trHeight w:val="658" w:hRule="exact"/>
        </w:trPr>
        <w:tc>
          <w:tcPr>
            <w:tcW w:w="154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动计入其他综合收益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170,408,59</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4.84</w:t>
            </w:r>
          </w:p>
        </w:tc>
      </w:tr>
    </w:tbl>
    <w:p>
      <w:pPr>
        <w:pStyle w:val="BodyText"/>
        <w:spacing w:line="240" w:lineRule="auto" w:before="80"/>
        <w:ind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1"/>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2127"/>
        <w:gridCol w:w="1844"/>
        <w:gridCol w:w="1983"/>
        <w:gridCol w:w="1700"/>
        <w:gridCol w:w="1848"/>
      </w:tblGrid>
      <w:tr>
        <w:trPr>
          <w:trHeight w:val="66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1"/>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计入当期损益的金融资产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1,551,334.00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-1,551,334.00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1,551,334.00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z w:val="18"/>
              </w:rPr>
              <w:t>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3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176,628,248.72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-176,628,248.72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176,628,248.72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-6,219,653.88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170,408,594.84</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20,135,805.82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621,965.39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20,757,771.21</w:t>
            </w:r>
          </w:p>
        </w:tc>
      </w:tr>
      <w:tr>
        <w:trPr>
          <w:trHeight w:val="3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-3,849.18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-5,597,688.49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-5,601,537.67</w:t>
            </w:r>
          </w:p>
        </w:tc>
      </w:tr>
    </w:tbl>
    <w:p>
      <w:pPr>
        <w:spacing w:line="240" w:lineRule="auto" w:before="12"/>
        <w:rPr>
          <w:rFonts w:ascii="宋体" w:hAnsi="宋体" w:cs="宋体" w:eastAsia="宋体" w:hint="default"/>
          <w:sz w:val="27"/>
          <w:szCs w:val="27"/>
        </w:rPr>
      </w:pPr>
    </w:p>
    <w:p>
      <w:pPr>
        <w:pStyle w:val="BodyText"/>
        <w:spacing w:line="312" w:lineRule="exact" w:before="56"/>
        <w:ind w:right="0"/>
        <w:jc w:val="left"/>
      </w:pPr>
      <w:r>
        <w:rPr/>
        <w:t>本公司将根据原金融工具准则计量的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年年初损失准备之间的调节表列示如下：</w:t>
      </w:r>
    </w:p>
    <w:p>
      <w:pPr>
        <w:spacing w:line="240" w:lineRule="auto" w:before="3"/>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2415"/>
        <w:gridCol w:w="1983"/>
        <w:gridCol w:w="1417"/>
        <w:gridCol w:w="1277"/>
        <w:gridCol w:w="2084"/>
      </w:tblGrid>
      <w:tr>
        <w:trPr>
          <w:trHeight w:val="65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31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102,758,096.64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102,758,096.64</w:t>
            </w: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9,921,208.50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9,921,208.50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2019年起执行新金融工具准则或新租赁准则追溯调整前期比较数据说明"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487" w:lineRule="auto" w:before="0"/>
        <w:ind w:left="153" w:right="8964" w:firstLine="0"/>
        <w:jc w:val="left"/>
        <w:rPr>
          <w:rFonts w:ascii="宋体" w:hAnsi="宋体" w:cs="宋体" w:eastAsia="宋体" w:hint="default"/>
          <w:sz w:val="21"/>
          <w:szCs w:val="21"/>
        </w:rPr>
      </w:pPr>
      <w:bookmarkStart w:name="45、其他" w:id="232"/>
      <w:bookmarkEnd w:id="232"/>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33"/>
      <w:bookmarkEnd w:id="233"/>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4"/>
      <w:bookmarkEnd w:id="23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远光软件股份有限公司</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南京远光广安信息科技有限公司</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远光软件（北京）有限公司</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远光软件（武汉）有限公司</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长沙远光瑞翔科技有限公司</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珠海远光移动互联科技有限公司</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杭州昊美科技有限公司</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远光信息技术（澳门）有限公司</w:t>
            </w:r>
            <w:r>
              <w:rPr>
                <w:rFonts w:ascii="Times New Roman" w:hAnsi="Times New Roman" w:cs="Times New Roman" w:eastAsia="Times New Roman" w:hint="default"/>
                <w:spacing w:val="-3"/>
                <w:sz w:val="18"/>
                <w:szCs w:val="18"/>
              </w:rPr>
              <w:t>*8</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或</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杭州微能智能科技有限公司</w:t>
            </w:r>
            <w:r>
              <w:rPr>
                <w:rFonts w:ascii="Times New Roman" w:hAnsi="Times New Roman" w:cs="Times New Roman" w:eastAsia="Times New Roman" w:hint="default"/>
                <w:spacing w:val="-3"/>
                <w:sz w:val="18"/>
                <w:szCs w:val="18"/>
              </w:rPr>
              <w:t>*9</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杭州昊美电力工程有限公司</w:t>
            </w:r>
            <w:r>
              <w:rPr>
                <w:rFonts w:ascii="Times New Roman" w:hAnsi="Times New Roman" w:cs="Times New Roman" w:eastAsia="Times New Roman" w:hint="default"/>
                <w:sz w:val="18"/>
                <w:szCs w:val="18"/>
              </w:rPr>
              <w:t>*10</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珠海远光晴天能源科技有限公司</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佛山市晴方太阳能科技有限公司</w:t>
            </w:r>
            <w:r>
              <w:rPr>
                <w:rFonts w:ascii="Times New Roman" w:hAnsi="Times New Roman" w:cs="Times New Roman" w:eastAsia="Times New Roman" w:hint="default"/>
                <w:spacing w:val="-3"/>
                <w:sz w:val="18"/>
                <w:szCs w:val="18"/>
              </w:rPr>
              <w:t>*12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spacing w:before="36"/>
        <w:ind w:left="153" w:right="0" w:firstLine="0"/>
        <w:jc w:val="both"/>
        <w:rPr>
          <w:rFonts w:ascii="宋体" w:hAnsi="宋体" w:cs="宋体" w:eastAsia="宋体" w:hint="default"/>
          <w:sz w:val="21"/>
          <w:szCs w:val="21"/>
        </w:rPr>
      </w:pPr>
      <w:bookmarkStart w:name="2、税收优惠" w:id="235"/>
      <w:bookmarkEnd w:id="2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）增值税</w:t>
      </w:r>
    </w:p>
    <w:p>
      <w:pPr>
        <w:pStyle w:val="BodyText"/>
        <w:spacing w:line="225" w:lineRule="auto" w:before="213"/>
        <w:ind w:right="1127"/>
        <w:jc w:val="both"/>
      </w:pPr>
      <w:r>
        <w:rPr>
          <w:spacing w:val="3"/>
        </w:rPr>
        <w:t>根据《财政部</w:t>
      </w:r>
      <w:r>
        <w:rPr>
          <w:spacing w:val="-1"/>
        </w:rPr>
        <w:t> </w:t>
      </w:r>
      <w:r>
        <w:rPr>
          <w:spacing w:val="2"/>
        </w:rPr>
        <w:t>国家税务总局关于调整增值税税率的通知》（财税</w:t>
      </w:r>
      <w:r>
        <w:rPr>
          <w:rFonts w:ascii="Times New Roman" w:hAnsi="Times New Roman" w:cs="Times New Roman" w:eastAsia="Times New Roman" w:hint="default"/>
          <w:spacing w:val="2"/>
        </w:rPr>
        <w:t>[2018]32</w:t>
      </w:r>
      <w:r>
        <w:rPr>
          <w:spacing w:val="2"/>
        </w:rPr>
        <w:t>号），从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57"/>
        </w:rPr>
        <w:t> </w:t>
      </w:r>
      <w:r>
        <w:rPr/>
        <w:t>月</w:t>
      </w:r>
      <w:r>
        <w:rPr>
          <w:rFonts w:ascii="Times New Roman" w:hAnsi="Times New Roman" w:cs="Times New Roman" w:eastAsia="Times New Roman" w:hint="default"/>
        </w:rPr>
        <w:t>1</w:t>
      </w:r>
      <w:r>
        <w:rPr/>
        <w:t>日起，按</w:t>
      </w:r>
      <w:r>
        <w:rPr>
          <w:rFonts w:ascii="Times New Roman" w:hAnsi="Times New Roman" w:cs="Times New Roman" w:eastAsia="Times New Roman" w:hint="default"/>
        </w:rPr>
        <w:t>16%</w:t>
      </w:r>
      <w:r>
        <w:rPr/>
        <w:t>的法定税率计缴增值税；根据《财政部 国家税务总局</w:t>
      </w:r>
      <w:r>
        <w:rPr>
          <w:spacing w:val="-42"/>
        </w:rPr>
        <w:t> </w:t>
      </w:r>
      <w:r>
        <w:rPr/>
        <w:t>海关总署关于深化增</w:t>
      </w:r>
      <w:r>
        <w:rPr/>
        <w:t> 值税改革有关政策的公告》（财政部</w:t>
      </w:r>
      <w:r>
        <w:rPr>
          <w:spacing w:val="-3"/>
        </w:rPr>
        <w:t> </w:t>
      </w:r>
      <w:r>
        <w:rPr/>
        <w:t>国家税务总局</w:t>
      </w:r>
      <w:r>
        <w:rPr>
          <w:spacing w:val="-5"/>
        </w:rPr>
        <w:t> </w:t>
      </w:r>
      <w:r>
        <w:rPr/>
        <w:t>海关总署公告</w:t>
      </w:r>
      <w:r>
        <w:rPr>
          <w:rFonts w:ascii="Times New Roman" w:hAnsi="Times New Roman" w:cs="Times New Roman" w:eastAsia="Times New Roman" w:hint="default"/>
        </w:rPr>
        <w:t>[2019]39</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58"/>
        </w:rPr>
        <w:t> </w:t>
      </w:r>
      <w:r>
        <w:rPr/>
        <w:t>月</w:t>
      </w:r>
      <w:r>
        <w:rPr>
          <w:rFonts w:ascii="Times New Roman" w:hAnsi="Times New Roman" w:cs="Times New Roman" w:eastAsia="Times New Roman" w:hint="default"/>
        </w:rPr>
        <w:t>1</w:t>
      </w:r>
      <w:r>
        <w:rPr/>
        <w:t>日起，适用税率调整为</w:t>
      </w:r>
      <w:r>
        <w:rPr>
          <w:rFonts w:ascii="Times New Roman" w:hAnsi="Times New Roman" w:cs="Times New Roman" w:eastAsia="Times New Roman" w:hint="default"/>
        </w:rPr>
        <w:t>13%</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1-3</w:t>
      </w:r>
      <w:r>
        <w:rPr/>
        <w:t>月按</w:t>
      </w:r>
      <w:r>
        <w:rPr>
          <w:rFonts w:ascii="Times New Roman" w:hAnsi="Times New Roman" w:cs="Times New Roman" w:eastAsia="Times New Roman" w:hint="default"/>
        </w:rPr>
        <w:t>16%</w:t>
      </w:r>
      <w:r>
        <w:rPr/>
        <w:t>的法定税率计缴增值税，自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2"/>
        </w:rPr>
        <w:t>月</w:t>
      </w:r>
      <w:r>
        <w:rPr>
          <w:rFonts w:ascii="Times New Roman" w:hAnsi="Times New Roman" w:cs="Times New Roman" w:eastAsia="Times New Roman" w:hint="default"/>
          <w:spacing w:val="2"/>
        </w:rPr>
        <w:t>1</w:t>
      </w:r>
      <w:r>
        <w:rPr>
          <w:spacing w:val="2"/>
        </w:rPr>
        <w:t>日起，按</w:t>
      </w:r>
      <w:r>
        <w:rPr>
          <w:rFonts w:ascii="Times New Roman" w:hAnsi="Times New Roman" w:cs="Times New Roman" w:eastAsia="Times New Roman" w:hint="default"/>
          <w:spacing w:val="2"/>
        </w:rPr>
        <w:t>13%</w:t>
      </w:r>
      <w:r>
        <w:rPr>
          <w:spacing w:val="2"/>
        </w:rPr>
        <w:t>的法定税率计缴增值税，实际税负超过</w:t>
      </w:r>
      <w:r>
        <w:rPr>
          <w:rFonts w:ascii="Times New Roman" w:hAnsi="Times New Roman" w:cs="Times New Roman" w:eastAsia="Times New Roman" w:hint="default"/>
          <w:spacing w:val="2"/>
        </w:rPr>
        <w:t>3%</w:t>
      </w:r>
      <w:r>
        <w:rPr>
          <w:spacing w:val="2"/>
        </w:rPr>
        <w:t>部分经主管国家税务局审核后实</w:t>
      </w:r>
      <w:r>
        <w:rPr>
          <w:spacing w:val="-101"/>
        </w:rPr>
        <w:t> </w:t>
      </w:r>
      <w:r>
        <w:rPr>
          <w:spacing w:val="-101"/>
        </w:rPr>
      </w:r>
      <w:r>
        <w:rPr/>
        <w:t>行即征即退政策。</w:t>
      </w:r>
    </w:p>
    <w:p>
      <w:pPr>
        <w:pStyle w:val="BodyText"/>
        <w:spacing w:line="240" w:lineRule="auto" w:before="216"/>
        <w:ind w:right="0"/>
        <w:jc w:val="both"/>
      </w:pPr>
      <w:r>
        <w:rPr/>
        <w:t>（</w:t>
      </w:r>
      <w:r>
        <w:rPr>
          <w:rFonts w:ascii="Times New Roman" w:hAnsi="Times New Roman" w:cs="Times New Roman" w:eastAsia="Times New Roman" w:hint="default"/>
        </w:rPr>
        <w:t>2</w:t>
      </w:r>
      <w:r>
        <w:rPr/>
        <w:t>）企业所得税</w:t>
      </w:r>
    </w:p>
    <w:p>
      <w:pPr>
        <w:pStyle w:val="BodyText"/>
        <w:spacing w:line="232" w:lineRule="auto" w:before="204"/>
        <w:ind w:right="1117"/>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日，经广东省科学技术厅、广东省财政厅、广东省国家税务局、广东省地</w:t>
      </w:r>
      <w:r>
        <w:rPr>
          <w:spacing w:val="-93"/>
        </w:rPr>
        <w:t> </w:t>
      </w:r>
      <w:r>
        <w:rPr>
          <w:spacing w:val="-93"/>
        </w:rPr>
      </w:r>
      <w:r>
        <w:rPr/>
        <w:t>方</w:t>
      </w:r>
      <w:r>
        <w:rPr>
          <w:spacing w:val="-82"/>
        </w:rPr>
        <w:t> </w:t>
      </w:r>
      <w:r>
        <w:rPr/>
        <w:t>税</w:t>
      </w:r>
      <w:r>
        <w:rPr>
          <w:spacing w:val="-82"/>
        </w:rPr>
        <w:t> </w:t>
      </w:r>
      <w:r>
        <w:rPr/>
        <w:t>务</w:t>
      </w:r>
      <w:r>
        <w:rPr>
          <w:spacing w:val="-87"/>
        </w:rPr>
        <w:t> </w:t>
      </w:r>
      <w:r>
        <w:rPr/>
        <w:t>局</w:t>
      </w:r>
      <w:r>
        <w:rPr>
          <w:spacing w:val="-82"/>
        </w:rPr>
        <w:t> </w:t>
      </w:r>
      <w:r>
        <w:rPr/>
        <w:t>批</w:t>
      </w:r>
      <w:r>
        <w:rPr>
          <w:spacing w:val="-87"/>
        </w:rPr>
        <w:t> </w:t>
      </w:r>
      <w:r>
        <w:rPr/>
        <w:t>准</w:t>
      </w:r>
      <w:r>
        <w:rPr>
          <w:spacing w:val="-82"/>
        </w:rPr>
        <w:t> </w:t>
      </w:r>
      <w:r>
        <w:rPr/>
        <w:t>，</w:t>
      </w:r>
      <w:r>
        <w:rPr>
          <w:spacing w:val="-82"/>
        </w:rPr>
        <w:t> </w:t>
      </w:r>
      <w:r>
        <w:rPr/>
        <w:t>本</w:t>
      </w:r>
      <w:r>
        <w:rPr>
          <w:spacing w:val="-87"/>
        </w:rPr>
        <w:t> </w:t>
      </w:r>
      <w:r>
        <w:rPr/>
        <w:t>公</w:t>
      </w:r>
      <w:r>
        <w:rPr>
          <w:spacing w:val="-82"/>
        </w:rPr>
        <w:t> </w:t>
      </w:r>
      <w:r>
        <w:rPr/>
        <w:t>司</w:t>
      </w:r>
      <w:r>
        <w:rPr>
          <w:spacing w:val="-87"/>
        </w:rPr>
        <w:t> </w:t>
      </w:r>
      <w:r>
        <w:rPr/>
        <w:t>被</w:t>
      </w:r>
      <w:r>
        <w:rPr>
          <w:spacing w:val="-82"/>
        </w:rPr>
        <w:t> </w:t>
      </w:r>
      <w:r>
        <w:rPr/>
        <w:t>认</w:t>
      </w:r>
      <w:r>
        <w:rPr>
          <w:spacing w:val="-82"/>
        </w:rPr>
        <w:t> </w:t>
      </w:r>
      <w:r>
        <w:rPr/>
        <w:t>定</w:t>
      </w:r>
      <w:r>
        <w:rPr>
          <w:spacing w:val="-87"/>
        </w:rPr>
        <w:t> </w:t>
      </w:r>
      <w:r>
        <w:rPr/>
        <w:t>为</w:t>
      </w:r>
      <w:r>
        <w:rPr>
          <w:spacing w:val="-82"/>
        </w:rPr>
        <w:t> </w:t>
      </w:r>
      <w:r>
        <w:rPr/>
        <w:t>高</w:t>
      </w:r>
      <w:r>
        <w:rPr>
          <w:spacing w:val="-87"/>
        </w:rPr>
        <w:t> </w:t>
      </w:r>
      <w:r>
        <w:rPr/>
        <w:t>新</w:t>
      </w:r>
      <w:r>
        <w:rPr>
          <w:spacing w:val="-82"/>
        </w:rPr>
        <w:t> </w:t>
      </w:r>
      <w:r>
        <w:rPr/>
        <w:t>技</w:t>
      </w:r>
      <w:r>
        <w:rPr>
          <w:spacing w:val="-87"/>
        </w:rPr>
        <w:t> </w:t>
      </w:r>
      <w:r>
        <w:rPr/>
        <w:t>术</w:t>
      </w:r>
      <w:r>
        <w:rPr>
          <w:spacing w:val="-82"/>
        </w:rPr>
        <w:t> </w:t>
      </w:r>
      <w:r>
        <w:rPr/>
        <w:t>企</w:t>
      </w:r>
      <w:r>
        <w:rPr>
          <w:spacing w:val="-82"/>
        </w:rPr>
        <w:t> </w:t>
      </w:r>
      <w:r>
        <w:rPr/>
        <w:t>业</w:t>
      </w:r>
      <w:r>
        <w:rPr>
          <w:spacing w:val="-87"/>
        </w:rPr>
        <w:t> </w:t>
      </w:r>
      <w:r>
        <w:rPr/>
        <w:t>，</w:t>
      </w:r>
      <w:r>
        <w:rPr>
          <w:spacing w:val="-82"/>
        </w:rPr>
        <w:t> </w:t>
      </w:r>
      <w:r>
        <w:rPr/>
        <w:t>高</w:t>
      </w:r>
      <w:r>
        <w:rPr>
          <w:spacing w:val="-87"/>
        </w:rPr>
        <w:t> </w:t>
      </w:r>
      <w:r>
        <w:rPr/>
        <w:t>新</w:t>
      </w:r>
      <w:r>
        <w:rPr>
          <w:spacing w:val="-82"/>
        </w:rPr>
        <w:t> </w:t>
      </w:r>
      <w:r>
        <w:rPr/>
        <w:t>技</w:t>
      </w:r>
      <w:r>
        <w:rPr>
          <w:spacing w:val="-82"/>
        </w:rPr>
        <w:t> </w:t>
      </w:r>
      <w:r>
        <w:rPr/>
        <w:t>术</w:t>
      </w:r>
      <w:r>
        <w:rPr>
          <w:spacing w:val="-87"/>
        </w:rPr>
        <w:t> </w:t>
      </w:r>
      <w:r>
        <w:rPr/>
        <w:t>企</w:t>
      </w:r>
      <w:r>
        <w:rPr>
          <w:spacing w:val="-82"/>
        </w:rPr>
        <w:t> </w:t>
      </w:r>
      <w:r>
        <w:rPr/>
        <w:t>业</w:t>
      </w:r>
      <w:r>
        <w:rPr>
          <w:spacing w:val="-87"/>
        </w:rPr>
        <w:t> </w:t>
      </w:r>
      <w:r>
        <w:rPr/>
        <w:t>认</w:t>
      </w:r>
      <w:r>
        <w:rPr>
          <w:spacing w:val="-82"/>
        </w:rPr>
        <w:t> </w:t>
      </w:r>
      <w:r>
        <w:rPr/>
        <w:t>定</w:t>
      </w:r>
      <w:r>
        <w:rPr>
          <w:spacing w:val="-87"/>
        </w:rPr>
        <w:t> </w:t>
      </w:r>
      <w:r>
        <w:rPr/>
        <w:t>证</w:t>
      </w:r>
      <w:r>
        <w:rPr>
          <w:spacing w:val="-82"/>
        </w:rPr>
        <w:t> </w:t>
      </w:r>
      <w:r>
        <w:rPr/>
        <w:t>书</w:t>
      </w:r>
      <w:r>
        <w:rPr>
          <w:spacing w:val="-82"/>
        </w:rPr>
        <w:t> </w:t>
      </w:r>
      <w:r>
        <w:rPr/>
        <w:t>编</w:t>
      </w:r>
      <w:r>
        <w:rPr>
          <w:spacing w:val="-87"/>
        </w:rPr>
        <w:t> </w:t>
      </w:r>
      <w:r>
        <w:rPr/>
        <w:t>号</w:t>
      </w:r>
      <w:r>
        <w:rPr>
          <w:spacing w:val="-82"/>
        </w:rPr>
        <w:t> </w:t>
      </w:r>
      <w:r>
        <w:rPr/>
        <w:t>为</w:t>
      </w:r>
      <w:r>
        <w:rPr>
          <w:spacing w:val="-87"/>
        </w:rPr>
        <w:t> </w:t>
      </w:r>
      <w:r>
        <w:rPr/>
        <w:t>：</w:t>
      </w:r>
      <w:r>
        <w:rPr/>
        <w:t> </w:t>
      </w:r>
      <w:r>
        <w:rPr>
          <w:rFonts w:ascii="Times New Roman" w:hAnsi="Times New Roman" w:cs="Times New Roman" w:eastAsia="Times New Roman" w:hint="default"/>
        </w:rPr>
        <w:t>GR201744005295</w:t>
      </w:r>
      <w:r>
        <w:rPr/>
        <w:t>号，证书有效期为</w:t>
      </w:r>
      <w:r>
        <w:rPr>
          <w:rFonts w:ascii="Times New Roman" w:hAnsi="Times New Roman" w:cs="Times New Roman" w:eastAsia="Times New Roman" w:hint="default"/>
        </w:rPr>
        <w:t>3</w:t>
      </w:r>
      <w:r>
        <w:rPr/>
        <w:t>年。</w:t>
      </w:r>
    </w:p>
    <w:p>
      <w:pPr>
        <w:spacing w:line="240" w:lineRule="auto" w:before="6"/>
        <w:rPr>
          <w:rFonts w:ascii="宋体" w:hAnsi="宋体" w:cs="宋体" w:eastAsia="宋体" w:hint="default"/>
          <w:sz w:val="17"/>
          <w:szCs w:val="17"/>
        </w:rPr>
      </w:pPr>
    </w:p>
    <w:p>
      <w:pPr>
        <w:pStyle w:val="BodyText"/>
        <w:spacing w:line="312" w:lineRule="exact"/>
        <w:ind w:right="1117"/>
        <w:jc w:val="both"/>
      </w:pPr>
      <w:r>
        <w:rPr>
          <w:spacing w:val="2"/>
        </w:rPr>
        <w:t>根据《关于软件和集成电路产业企业所得税优惠政策有关问题的通知》（财税</w:t>
      </w:r>
      <w:r>
        <w:rPr>
          <w:rFonts w:ascii="Times New Roman" w:hAnsi="Times New Roman" w:cs="Times New Roman" w:eastAsia="Times New Roman" w:hint="default"/>
          <w:spacing w:val="2"/>
        </w:rPr>
        <w:t>[2016]49</w:t>
      </w:r>
      <w:r>
        <w:rPr>
          <w:spacing w:val="2"/>
        </w:rPr>
        <w:t>号）</w:t>
      </w:r>
      <w:r>
        <w:rPr>
          <w:spacing w:val="-94"/>
        </w:rPr>
        <w:t> </w:t>
      </w:r>
      <w:r>
        <w:rPr>
          <w:spacing w:val="-1"/>
        </w:rPr>
        <w:t>的规定，从</w:t>
      </w:r>
      <w:r>
        <w:rPr>
          <w:rFonts w:ascii="Times New Roman" w:hAnsi="Times New Roman" w:cs="Times New Roman" w:eastAsia="Times New Roman" w:hint="default"/>
          <w:spacing w:val="-1"/>
        </w:rPr>
        <w:t>2015</w:t>
      </w:r>
      <w:r>
        <w:rPr>
          <w:spacing w:val="-1"/>
        </w:rPr>
        <w:t>年开始，</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实行备案制。本公司</w:t>
      </w:r>
      <w:r>
        <w:rPr>
          <w:rFonts w:ascii="Times New Roman" w:hAnsi="Times New Roman" w:cs="Times New Roman" w:eastAsia="Times New Roman" w:hint="default"/>
          <w:spacing w:val="-1"/>
        </w:rPr>
        <w:t>2015-2018</w:t>
      </w:r>
      <w:r>
        <w:rPr>
          <w:spacing w:val="-1"/>
        </w:rPr>
        <w:t>年均</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0"/>
        <w:jc w:val="both"/>
      </w:pPr>
      <w:r>
        <w:rPr/>
        <w:t>符合</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要求，</w:t>
      </w:r>
      <w:r>
        <w:rPr>
          <w:rFonts w:ascii="Times New Roman" w:hAnsi="Times New Roman" w:cs="Times New Roman" w:eastAsia="Times New Roman" w:hint="default"/>
        </w:rPr>
        <w:t>2019</w:t>
      </w:r>
      <w:r>
        <w:rPr/>
        <w:t>年预计符合</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要求。</w:t>
      </w:r>
    </w:p>
    <w:p>
      <w:pPr>
        <w:pStyle w:val="BodyText"/>
        <w:spacing w:line="230" w:lineRule="auto" w:before="196"/>
        <w:ind w:right="1128"/>
        <w:jc w:val="both"/>
      </w:pPr>
      <w:r>
        <w:rPr/>
        <w:t>根据国家税务总局关于发布修订后的《企业所得税优惠政策事项办理办法》（国家税务总局</w:t>
      </w:r>
      <w:r>
        <w:rPr>
          <w:spacing w:val="-93"/>
        </w:rPr>
        <w:t> </w:t>
      </w:r>
      <w:r>
        <w:rPr>
          <w:spacing w:val="-93"/>
        </w:rPr>
      </w:r>
      <w:r>
        <w:rPr>
          <w:spacing w:val="-2"/>
        </w:rPr>
        <w:t>公告</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23</w:t>
      </w:r>
      <w:r>
        <w:rPr>
          <w:spacing w:val="-2"/>
        </w:rPr>
        <w:t>号）的规定，企业享受优惠事项采取</w:t>
      </w:r>
      <w:r>
        <w:rPr>
          <w:rFonts w:ascii="Times New Roman" w:hAnsi="Times New Roman" w:cs="Times New Roman" w:eastAsia="Times New Roman" w:hint="default"/>
          <w:spacing w:val="-2"/>
        </w:rPr>
        <w:t>“</w:t>
      </w:r>
      <w:r>
        <w:rPr>
          <w:spacing w:val="-2"/>
        </w:rPr>
        <w:t>自行判别、申报享受、相关资料留存备</w:t>
      </w:r>
      <w:r>
        <w:rPr>
          <w:spacing w:val="-109"/>
        </w:rPr>
        <w:t> </w:t>
      </w:r>
      <w:r>
        <w:rPr>
          <w:spacing w:val="-109"/>
        </w:rPr>
      </w:r>
      <w:r>
        <w:rPr/>
        <w:t>查</w:t>
      </w:r>
      <w:r>
        <w:rPr>
          <w:rFonts w:ascii="Times New Roman" w:hAnsi="Times New Roman" w:cs="Times New Roman" w:eastAsia="Times New Roman" w:hint="default"/>
        </w:rPr>
        <w:t>”</w:t>
      </w:r>
      <w:r>
        <w:rPr/>
        <w:t>的办理方式，无需再履行备案手续。本公司</w:t>
      </w:r>
      <w:r>
        <w:rPr>
          <w:rFonts w:ascii="Times New Roman" w:hAnsi="Times New Roman" w:cs="Times New Roman" w:eastAsia="Times New Roman" w:hint="default"/>
        </w:rPr>
        <w:t>2019</w:t>
      </w:r>
      <w:r>
        <w:rPr/>
        <w:t>年各项指标均能符合</w:t>
      </w:r>
      <w:r>
        <w:rPr>
          <w:rFonts w:ascii="Times New Roman" w:hAnsi="Times New Roman" w:cs="Times New Roman" w:eastAsia="Times New Roman" w:hint="default"/>
        </w:rPr>
        <w:t>“</w:t>
      </w:r>
      <w:r>
        <w:rPr/>
        <w:t>国家规划布局内重</w:t>
      </w:r>
      <w:r>
        <w:rPr>
          <w:spacing w:val="-63"/>
        </w:rPr>
        <w:t> </w:t>
      </w:r>
      <w:r>
        <w:rPr>
          <w:spacing w:val="-63"/>
        </w:rPr>
      </w:r>
      <w:r>
        <w:rPr/>
        <w:t>点软件企业</w:t>
      </w:r>
      <w:r>
        <w:rPr>
          <w:rFonts w:ascii="Times New Roman" w:hAnsi="Times New Roman" w:cs="Times New Roman" w:eastAsia="Times New Roman" w:hint="default"/>
        </w:rPr>
        <w:t>”</w:t>
      </w:r>
      <w:r>
        <w:rPr/>
        <w:t>的要求，本期按</w:t>
      </w:r>
      <w:r>
        <w:rPr>
          <w:rFonts w:ascii="Times New Roman" w:hAnsi="Times New Roman" w:cs="Times New Roman" w:eastAsia="Times New Roman" w:hint="default"/>
        </w:rPr>
        <w:t>10%</w:t>
      </w:r>
      <w:r>
        <w:rPr/>
        <w:t>的税率计缴企业所得税。</w:t>
      </w:r>
    </w:p>
    <w:p>
      <w:pPr>
        <w:pStyle w:val="BodyText"/>
        <w:spacing w:line="225" w:lineRule="auto" w:before="214"/>
        <w:ind w:right="1127"/>
        <w:jc w:val="both"/>
      </w:pPr>
      <w:r>
        <w:rPr>
          <w:rFonts w:ascii="Times New Roman" w:hAnsi="Times New Roman" w:cs="Times New Roman" w:eastAsia="Times New Roman" w:hint="default"/>
          <w:spacing w:val="-1"/>
        </w:rPr>
        <w:t>*2</w:t>
      </w:r>
      <w:r>
        <w:rPr>
          <w:spacing w:val="-1"/>
        </w:rPr>
        <w:t>、根据《关于软件和集成电路产业企业所得税优惠政策有关问题的通知》</w:t>
      </w:r>
      <w:r>
        <w:rPr>
          <w:rFonts w:ascii="Times New Roman" w:hAnsi="Times New Roman" w:cs="Times New Roman" w:eastAsia="Times New Roman" w:hint="default"/>
          <w:spacing w:val="-1"/>
        </w:rPr>
        <w:t>,</w:t>
      </w:r>
      <w:r>
        <w:rPr>
          <w:spacing w:val="-1"/>
        </w:rPr>
        <w:t>软件企业自获利</w:t>
      </w:r>
      <w:r>
        <w:rPr>
          <w:spacing w:val="-99"/>
        </w:rPr>
        <w:t> </w:t>
      </w:r>
      <w:r>
        <w:rPr/>
        <w:t>年度起计算优惠期</w:t>
      </w:r>
      <w:r>
        <w:rPr>
          <w:rFonts w:ascii="Times New Roman" w:hAnsi="Times New Roman" w:cs="Times New Roman" w:eastAsia="Times New Roman" w:hint="default"/>
        </w:rPr>
        <w:t>,</w:t>
      </w:r>
      <w:r>
        <w:rPr/>
        <w:t>第一年至第二年免征企业所得税，第三年至第五年按照</w:t>
      </w:r>
      <w:r>
        <w:rPr>
          <w:rFonts w:ascii="Times New Roman" w:hAnsi="Times New Roman" w:cs="Times New Roman" w:eastAsia="Times New Roman" w:hint="default"/>
        </w:rPr>
        <w:t>25%</w:t>
      </w:r>
      <w:r>
        <w:rPr/>
        <w:t>的法定税率减</w:t>
      </w:r>
      <w:r>
        <w:rPr>
          <w:spacing w:val="-112"/>
        </w:rPr>
        <w:t> </w:t>
      </w:r>
      <w:r>
        <w:rPr/>
        <w:t>半征收企业所得税。子公司南京远光广安信息科技有限公司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年获评软件企业，</w:t>
      </w:r>
      <w:r>
        <w:rPr>
          <w:spacing w:val="-94"/>
        </w:rPr>
        <w:t> </w:t>
      </w:r>
      <w:r>
        <w:rPr>
          <w:spacing w:val="-94"/>
        </w:rPr>
      </w:r>
      <w:r>
        <w:rPr>
          <w:rFonts w:ascii="Times New Roman" w:hAnsi="Times New Roman" w:cs="Times New Roman" w:eastAsia="Times New Roman" w:hint="default"/>
          <w:spacing w:val="-5"/>
          <w:w w:val="100"/>
        </w:rPr>
        <w:t>2019</w:t>
      </w:r>
      <w:r>
        <w:rPr>
          <w:spacing w:val="-5"/>
          <w:w w:val="100"/>
        </w:rPr>
        <w:t>年各项指标均能符合</w:t>
      </w:r>
      <w:r>
        <w:rPr>
          <w:rFonts w:ascii="Times New Roman" w:hAnsi="Times New Roman" w:cs="Times New Roman" w:eastAsia="Times New Roman" w:hint="default"/>
          <w:spacing w:val="-5"/>
          <w:w w:val="100"/>
        </w:rPr>
        <w:t>“</w:t>
      </w:r>
      <w:r>
        <w:rPr>
          <w:spacing w:val="-5"/>
          <w:w w:val="100"/>
        </w:rPr>
        <w:t>软件企业</w:t>
      </w:r>
      <w:r>
        <w:rPr>
          <w:rFonts w:ascii="Times New Roman" w:hAnsi="Times New Roman" w:cs="Times New Roman" w:eastAsia="Times New Roman" w:hint="default"/>
          <w:spacing w:val="-5"/>
          <w:w w:val="100"/>
        </w:rPr>
        <w:t>”</w:t>
      </w:r>
      <w:r>
        <w:rPr>
          <w:spacing w:val="-5"/>
          <w:w w:val="100"/>
        </w:rPr>
        <w:t>的要求，且本期为自获利年度起的第四个年度，按</w:t>
      </w:r>
      <w:r>
        <w:rPr>
          <w:rFonts w:ascii="Times New Roman" w:hAnsi="Times New Roman" w:cs="Times New Roman" w:eastAsia="Times New Roman" w:hint="default"/>
          <w:spacing w:val="-5"/>
          <w:w w:val="100"/>
        </w:rPr>
        <w:t>12.50%</w:t>
      </w:r>
      <w:r>
        <w:rPr>
          <w:rFonts w:ascii="Times New Roman" w:hAnsi="Times New Roman" w:cs="Times New Roman" w:eastAsia="Times New Roman" w:hint="default"/>
          <w:spacing w:val="-23"/>
          <w:w w:val="100"/>
        </w:rPr>
        <w:t> </w:t>
      </w:r>
      <w:r>
        <w:rPr>
          <w:rFonts w:ascii="Times New Roman" w:hAnsi="Times New Roman" w:cs="Times New Roman" w:eastAsia="Times New Roman" w:hint="default"/>
          <w:spacing w:val="-23"/>
          <w:w w:val="100"/>
        </w:rPr>
      </w:r>
      <w:r>
        <w:rPr/>
        <w:t>的税率计缴企业所得税；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日，全国高新技术企业认定管理工作领导小组办公室</w:t>
      </w:r>
      <w:r>
        <w:rPr>
          <w:spacing w:val="-99"/>
        </w:rPr>
        <w:t> </w:t>
      </w:r>
      <w:r>
        <w:rPr>
          <w:spacing w:val="-99"/>
        </w:rPr>
      </w:r>
      <w:r>
        <w:rPr/>
        <w:t>公示江苏省</w:t>
      </w:r>
      <w:r>
        <w:rPr>
          <w:rFonts w:ascii="Times New Roman" w:hAnsi="Times New Roman" w:cs="Times New Roman" w:eastAsia="Times New Roman" w:hint="default"/>
        </w:rPr>
        <w:t>2019</w:t>
      </w:r>
      <w:r>
        <w:rPr/>
        <w:t>年第四批拟认定高新技术企业名单，公司拟认定高新技术企业。</w:t>
      </w:r>
    </w:p>
    <w:p>
      <w:pPr>
        <w:spacing w:line="240" w:lineRule="auto" w:before="8"/>
        <w:rPr>
          <w:rFonts w:ascii="宋体" w:hAnsi="宋体" w:cs="宋体" w:eastAsia="宋体" w:hint="default"/>
          <w:sz w:val="17"/>
          <w:szCs w:val="17"/>
        </w:rPr>
      </w:pPr>
    </w:p>
    <w:p>
      <w:pPr>
        <w:pStyle w:val="BodyText"/>
        <w:spacing w:line="312" w:lineRule="exact"/>
        <w:ind w:right="1132"/>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日，子公司远光软件（北京）有限公司经北京市科学技术委员会、北京市</w:t>
      </w:r>
      <w:r>
        <w:rPr>
          <w:spacing w:val="-93"/>
        </w:rPr>
        <w:t> </w:t>
      </w:r>
      <w:r>
        <w:rPr>
          <w:spacing w:val="-93"/>
        </w:rPr>
      </w:r>
      <w:r>
        <w:rPr/>
        <w:t>财政局、北京市国家税务局、北京市地方税务局批准，公司被认定为高新技术企业，高新技</w:t>
      </w:r>
      <w:r>
        <w:rPr>
          <w:spacing w:val="-93"/>
        </w:rPr>
        <w:t> </w:t>
      </w:r>
      <w:r>
        <w:rPr>
          <w:spacing w:val="-93"/>
        </w:rPr>
      </w:r>
      <w:r>
        <w:rPr/>
        <w:t>术企业认定证书编号为：</w:t>
      </w:r>
      <w:r>
        <w:rPr>
          <w:rFonts w:ascii="Times New Roman" w:hAnsi="Times New Roman" w:cs="Times New Roman" w:eastAsia="Times New Roman" w:hint="default"/>
        </w:rPr>
        <w:t>GR201711003284</w:t>
      </w:r>
      <w:r>
        <w:rPr/>
        <w:t>号，证书有效期为</w:t>
      </w:r>
      <w:r>
        <w:rPr>
          <w:rFonts w:ascii="Times New Roman" w:hAnsi="Times New Roman" w:cs="Times New Roman" w:eastAsia="Times New Roman" w:hint="default"/>
        </w:rPr>
        <w:t>3</w:t>
      </w:r>
      <w:r>
        <w:rPr/>
        <w:t>年。本期按</w:t>
      </w:r>
      <w:r>
        <w:rPr>
          <w:rFonts w:ascii="Times New Roman" w:hAnsi="Times New Roman" w:cs="Times New Roman" w:eastAsia="Times New Roman" w:hint="default"/>
        </w:rPr>
        <w:t>15%</w:t>
      </w:r>
      <w:r>
        <w:rPr/>
        <w:t>的税率计缴企</w:t>
      </w:r>
      <w:r>
        <w:rPr>
          <w:spacing w:val="-31"/>
        </w:rPr>
        <w:t> </w:t>
      </w:r>
      <w:r>
        <w:rPr>
          <w:spacing w:val="-31"/>
        </w:rPr>
      </w:r>
      <w:r>
        <w:rPr/>
        <w:t>业所得税。</w:t>
      </w:r>
    </w:p>
    <w:p>
      <w:pPr>
        <w:spacing w:line="240" w:lineRule="auto" w:before="7"/>
        <w:rPr>
          <w:rFonts w:ascii="宋体" w:hAnsi="宋体" w:cs="宋体" w:eastAsia="宋体" w:hint="default"/>
          <w:sz w:val="16"/>
          <w:szCs w:val="16"/>
        </w:rPr>
      </w:pPr>
    </w:p>
    <w:p>
      <w:pPr>
        <w:pStyle w:val="BodyText"/>
        <w:spacing w:line="312" w:lineRule="exact"/>
        <w:ind w:right="1136"/>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日，子公司远光软件（武汉）有限公司经湖北省科学技术厅、湖北省财政</w:t>
      </w:r>
      <w:r>
        <w:rPr>
          <w:spacing w:val="-93"/>
        </w:rPr>
        <w:t> </w:t>
      </w:r>
      <w:r>
        <w:rPr>
          <w:spacing w:val="-93"/>
        </w:rPr>
      </w:r>
      <w:r>
        <w:rPr/>
        <w:t>厅、国家税务总局湖北省税务局批准，公司被认定为高新技术企业，高新技术企业认定证书</w:t>
      </w:r>
      <w:r>
        <w:rPr>
          <w:spacing w:val="-93"/>
        </w:rPr>
        <w:t> </w:t>
      </w:r>
      <w:r>
        <w:rPr>
          <w:spacing w:val="-93"/>
        </w:rPr>
      </w:r>
      <w:r>
        <w:rPr/>
        <w:t>编号为：</w:t>
      </w:r>
      <w:r>
        <w:rPr>
          <w:rFonts w:ascii="Times New Roman" w:hAnsi="Times New Roman" w:cs="Times New Roman" w:eastAsia="Times New Roman" w:hint="default"/>
        </w:rPr>
        <w:t>GR201842000448</w:t>
      </w:r>
      <w:r>
        <w:rPr/>
        <w:t>号，证书有效期为</w:t>
      </w:r>
      <w:r>
        <w:rPr>
          <w:rFonts w:ascii="Times New Roman" w:hAnsi="Times New Roman" w:cs="Times New Roman" w:eastAsia="Times New Roman" w:hint="default"/>
        </w:rPr>
        <w:t>3</w:t>
      </w:r>
      <w:r>
        <w:rPr/>
        <w:t>年。本期按</w:t>
      </w:r>
      <w:r>
        <w:rPr>
          <w:rFonts w:ascii="Times New Roman" w:hAnsi="Times New Roman" w:cs="Times New Roman" w:eastAsia="Times New Roman" w:hint="default"/>
        </w:rPr>
        <w:t>15%</w:t>
      </w:r>
      <w:r>
        <w:rPr/>
        <w:t>的税率计缴企业所得税。</w:t>
      </w:r>
    </w:p>
    <w:p>
      <w:pPr>
        <w:pStyle w:val="BodyText"/>
        <w:spacing w:line="230" w:lineRule="auto" w:before="196"/>
        <w:ind w:right="1133"/>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日，子公司长沙远光瑞翔科技有限公司经湖南省科学技术厅、湖南省财政</w:t>
      </w:r>
      <w:r>
        <w:rPr>
          <w:spacing w:val="-93"/>
        </w:rPr>
        <w:t> </w:t>
      </w:r>
      <w:r>
        <w:rPr>
          <w:spacing w:val="-93"/>
        </w:rPr>
      </w:r>
      <w:r>
        <w:rPr/>
        <w:t>厅、湖南省国家税务局、湖南省地方税务局批准，公司被认定为高新技术企业，高新技术企</w:t>
      </w:r>
      <w:r>
        <w:rPr>
          <w:spacing w:val="-93"/>
        </w:rPr>
        <w:t> </w:t>
      </w:r>
      <w:r>
        <w:rPr>
          <w:spacing w:val="-93"/>
        </w:rPr>
      </w:r>
      <w:r>
        <w:rPr/>
        <w:t>业认定证书编号为：</w:t>
      </w:r>
      <w:r>
        <w:rPr>
          <w:rFonts w:ascii="Times New Roman" w:hAnsi="Times New Roman" w:cs="Times New Roman" w:eastAsia="Times New Roman" w:hint="default"/>
        </w:rPr>
        <w:t>GR201843000872</w:t>
      </w:r>
      <w:r>
        <w:rPr/>
        <w:t>号，证书有效期为</w:t>
      </w:r>
      <w:r>
        <w:rPr>
          <w:rFonts w:ascii="Times New Roman" w:hAnsi="Times New Roman" w:cs="Times New Roman" w:eastAsia="Times New Roman" w:hint="default"/>
        </w:rPr>
        <w:t>3</w:t>
      </w:r>
      <w:r>
        <w:rPr/>
        <w:t>年。本期按</w:t>
      </w:r>
      <w:r>
        <w:rPr>
          <w:rFonts w:ascii="Times New Roman" w:hAnsi="Times New Roman" w:cs="Times New Roman" w:eastAsia="Times New Roman" w:hint="default"/>
        </w:rPr>
        <w:t>15%</w:t>
      </w:r>
      <w:r>
        <w:rPr/>
        <w:t>的税率计缴企业所</w:t>
      </w:r>
      <w:r>
        <w:rPr>
          <w:spacing w:val="-32"/>
        </w:rPr>
        <w:t> </w:t>
      </w:r>
      <w:r>
        <w:rPr>
          <w:spacing w:val="-32"/>
        </w:rPr>
      </w:r>
      <w:r>
        <w:rPr/>
        <w:t>得税。</w:t>
      </w:r>
    </w:p>
    <w:p>
      <w:pPr>
        <w:spacing w:line="240" w:lineRule="auto" w:before="4"/>
        <w:rPr>
          <w:rFonts w:ascii="宋体" w:hAnsi="宋体" w:cs="宋体" w:eastAsia="宋体" w:hint="default"/>
          <w:sz w:val="17"/>
          <w:szCs w:val="17"/>
        </w:rPr>
      </w:pPr>
    </w:p>
    <w:p>
      <w:pPr>
        <w:pStyle w:val="BodyText"/>
        <w:spacing w:line="230" w:lineRule="auto"/>
        <w:ind w:right="1132"/>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日，子公司珠海远光移动互联科技有限公司经广东省科学技术厅、广东省</w:t>
      </w:r>
      <w:r>
        <w:rPr>
          <w:spacing w:val="-93"/>
        </w:rPr>
        <w:t> </w:t>
      </w:r>
      <w:r>
        <w:rPr>
          <w:spacing w:val="-93"/>
        </w:rPr>
      </w:r>
      <w:r>
        <w:rPr/>
        <w:t>财政厅、广东省国家税务局、广东省地方税务局批准，公司被认定为高新技术企业，高新技</w:t>
      </w:r>
      <w:r>
        <w:rPr>
          <w:spacing w:val="-93"/>
        </w:rPr>
        <w:t> </w:t>
      </w:r>
      <w:r>
        <w:rPr>
          <w:spacing w:val="-93"/>
        </w:rPr>
      </w:r>
      <w:r>
        <w:rPr/>
        <w:t>术企业认定证书编号为：</w:t>
      </w:r>
      <w:r>
        <w:rPr>
          <w:rFonts w:ascii="Times New Roman" w:hAnsi="Times New Roman" w:cs="Times New Roman" w:eastAsia="Times New Roman" w:hint="default"/>
        </w:rPr>
        <w:t>GR201844001841</w:t>
      </w:r>
      <w:r>
        <w:rPr/>
        <w:t>号，证书有效期为</w:t>
      </w:r>
      <w:r>
        <w:rPr>
          <w:rFonts w:ascii="Times New Roman" w:hAnsi="Times New Roman" w:cs="Times New Roman" w:eastAsia="Times New Roman" w:hint="default"/>
        </w:rPr>
        <w:t>3</w:t>
      </w:r>
      <w:r>
        <w:rPr/>
        <w:t>年。本期按</w:t>
      </w:r>
      <w:r>
        <w:rPr>
          <w:rFonts w:ascii="Times New Roman" w:hAnsi="Times New Roman" w:cs="Times New Roman" w:eastAsia="Times New Roman" w:hint="default"/>
        </w:rPr>
        <w:t>15%</w:t>
      </w:r>
      <w:r>
        <w:rPr/>
        <w:t>的税率计缴企</w:t>
      </w:r>
      <w:r>
        <w:rPr>
          <w:spacing w:val="-31"/>
        </w:rPr>
        <w:t> </w:t>
      </w:r>
      <w:r>
        <w:rPr>
          <w:spacing w:val="-31"/>
        </w:rPr>
      </w:r>
      <w:r>
        <w:rPr/>
        <w:t>业所得税。</w:t>
      </w:r>
    </w:p>
    <w:p>
      <w:pPr>
        <w:spacing w:line="240" w:lineRule="auto" w:before="10"/>
        <w:rPr>
          <w:rFonts w:ascii="宋体" w:hAnsi="宋体" w:cs="宋体" w:eastAsia="宋体" w:hint="default"/>
          <w:sz w:val="18"/>
          <w:szCs w:val="18"/>
        </w:rPr>
      </w:pPr>
    </w:p>
    <w:p>
      <w:pPr>
        <w:pStyle w:val="BodyText"/>
        <w:spacing w:line="312" w:lineRule="exact"/>
        <w:ind w:right="1007"/>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日，子公司杭州昊美科技有限公司经浙江省科学技术厅、浙江省财政厅、</w:t>
      </w:r>
      <w:r>
        <w:rPr>
          <w:spacing w:val="-93"/>
        </w:rPr>
        <w:t> </w:t>
      </w:r>
      <w:r>
        <w:rPr>
          <w:spacing w:val="-93"/>
        </w:rPr>
      </w:r>
      <w:r>
        <w:rPr/>
        <w:t>浙江省国家税务局、浙江省地方税务局批准，公司被认定为高新技术企业，高新技术企业认</w:t>
      </w:r>
      <w:r>
        <w:rPr>
          <w:spacing w:val="-93"/>
        </w:rPr>
        <w:t> </w:t>
      </w:r>
      <w:r>
        <w:rPr>
          <w:spacing w:val="-93"/>
        </w:rPr>
      </w:r>
      <w:r>
        <w:rPr>
          <w:spacing w:val="-1"/>
        </w:rPr>
        <w:t>定证书编号为：</w:t>
      </w:r>
      <w:r>
        <w:rPr>
          <w:rFonts w:ascii="Times New Roman" w:hAnsi="Times New Roman" w:cs="Times New Roman" w:eastAsia="Times New Roman" w:hint="default"/>
          <w:spacing w:val="-1"/>
        </w:rPr>
        <w:t>GR201733003330</w:t>
      </w:r>
      <w:r>
        <w:rPr>
          <w:spacing w:val="-1"/>
        </w:rPr>
        <w:t>号，证书有效期为</w:t>
      </w:r>
      <w:r>
        <w:rPr>
          <w:rFonts w:ascii="Times New Roman" w:hAnsi="Times New Roman" w:cs="Times New Roman" w:eastAsia="Times New Roman" w:hint="default"/>
          <w:spacing w:val="-1"/>
        </w:rPr>
        <w:t>3</w:t>
      </w:r>
      <w:r>
        <w:rPr>
          <w:spacing w:val="-1"/>
        </w:rPr>
        <w:t>年。本期按</w:t>
      </w:r>
      <w:r>
        <w:rPr>
          <w:rFonts w:ascii="Times New Roman" w:hAnsi="Times New Roman" w:cs="Times New Roman" w:eastAsia="Times New Roman" w:hint="default"/>
          <w:spacing w:val="-1"/>
        </w:rPr>
        <w:t>15%</w:t>
      </w:r>
      <w:r>
        <w:rPr>
          <w:spacing w:val="-1"/>
        </w:rPr>
        <w:t>的税率计缴企业所得税。</w:t>
      </w:r>
    </w:p>
    <w:p>
      <w:pPr>
        <w:pStyle w:val="BodyText"/>
        <w:spacing w:line="322" w:lineRule="exact" w:before="185"/>
        <w:ind w:right="0"/>
        <w:jc w:val="both"/>
        <w:rPr>
          <w:rFonts w:ascii="Times New Roman" w:hAnsi="Times New Roman" w:cs="Times New Roman" w:eastAsia="Times New Roman" w:hint="default"/>
        </w:rPr>
      </w:pPr>
      <w:r>
        <w:rPr>
          <w:rFonts w:ascii="Times New Roman" w:hAnsi="Times New Roman" w:cs="Times New Roman" w:eastAsia="Times New Roman" w:hint="default"/>
        </w:rPr>
        <w:t>*8</w:t>
      </w:r>
      <w:r>
        <w:rPr/>
        <w:t>、远光信息技术（澳门）有限公司执行澳门地区的企业所得税政策，课税收益在澳门币</w:t>
      </w:r>
      <w:r>
        <w:rPr>
          <w:rFonts w:ascii="Times New Roman" w:hAnsi="Times New Roman" w:cs="Times New Roman" w:eastAsia="Times New Roman" w:hint="default"/>
        </w:rPr>
        <w:t>60</w:t>
      </w:r>
    </w:p>
    <w:p>
      <w:pPr>
        <w:pStyle w:val="BodyText"/>
        <w:spacing w:line="322" w:lineRule="exact"/>
        <w:ind w:right="0"/>
        <w:jc w:val="both"/>
      </w:pPr>
      <w:r>
        <w:rPr/>
        <w:t>万元以上者，税率为</w:t>
      </w:r>
      <w:r>
        <w:rPr>
          <w:rFonts w:ascii="Times New Roman" w:hAnsi="Times New Roman" w:cs="Times New Roman" w:eastAsia="Times New Roman" w:hint="default"/>
        </w:rPr>
        <w:t>12%</w:t>
      </w:r>
      <w:r>
        <w:rPr/>
        <w:t>，澳门币</w:t>
      </w:r>
      <w:r>
        <w:rPr>
          <w:rFonts w:ascii="Times New Roman" w:hAnsi="Times New Roman" w:cs="Times New Roman" w:eastAsia="Times New Roman" w:hint="default"/>
        </w:rPr>
        <w:t>60</w:t>
      </w:r>
      <w:r>
        <w:rPr/>
        <w:t>万元以下者，免税。</w:t>
      </w:r>
    </w:p>
    <w:p>
      <w:pPr>
        <w:spacing w:line="240" w:lineRule="auto" w:before="4"/>
        <w:rPr>
          <w:rFonts w:ascii="宋体" w:hAnsi="宋体" w:cs="宋体" w:eastAsia="宋体" w:hint="default"/>
          <w:sz w:val="17"/>
          <w:szCs w:val="17"/>
        </w:rPr>
      </w:pPr>
    </w:p>
    <w:p>
      <w:pPr>
        <w:pStyle w:val="BodyText"/>
        <w:spacing w:line="312" w:lineRule="exact"/>
        <w:ind w:right="1136"/>
        <w:jc w:val="both"/>
      </w:pPr>
      <w:r>
        <w:rPr>
          <w:rFonts w:ascii="Times New Roman" w:hAnsi="Times New Roman" w:cs="Times New Roman" w:eastAsia="Times New Roman" w:hint="default"/>
        </w:rPr>
        <w:t>*9</w:t>
      </w:r>
      <w:r>
        <w:rPr/>
        <w:t>、根据小型微利企业的税收优惠政策，杭州微能智能科技有限公司本期年应纳税所得额未</w:t>
      </w:r>
      <w:r>
        <w:rPr>
          <w:spacing w:val="-93"/>
        </w:rPr>
        <w:t> </w:t>
      </w:r>
      <w:r>
        <w:rPr>
          <w:spacing w:val="-93"/>
        </w:rPr>
      </w:r>
      <w:r>
        <w:rPr/>
        <w:t>超过</w:t>
      </w:r>
      <w:r>
        <w:rPr>
          <w:rFonts w:ascii="Times New Roman" w:hAnsi="Times New Roman" w:cs="Times New Roman" w:eastAsia="Times New Roman" w:hint="default"/>
        </w:rPr>
        <w:t>100</w:t>
      </w:r>
      <w:r>
        <w:rPr/>
        <w:t>万元，按</w:t>
      </w:r>
      <w:r>
        <w:rPr>
          <w:rFonts w:ascii="Times New Roman" w:hAnsi="Times New Roman" w:cs="Times New Roman" w:eastAsia="Times New Roman" w:hint="default"/>
        </w:rPr>
        <w:t>5%</w:t>
      </w:r>
      <w:r>
        <w:rPr/>
        <w:t>的税率计缴企业所得税。</w:t>
      </w:r>
    </w:p>
    <w:p>
      <w:pPr>
        <w:spacing w:line="240" w:lineRule="auto" w:before="7"/>
        <w:rPr>
          <w:rFonts w:ascii="宋体" w:hAnsi="宋体" w:cs="宋体" w:eastAsia="宋体" w:hint="default"/>
          <w:sz w:val="16"/>
          <w:szCs w:val="16"/>
        </w:rPr>
      </w:pPr>
    </w:p>
    <w:p>
      <w:pPr>
        <w:pStyle w:val="BodyText"/>
        <w:spacing w:line="312" w:lineRule="exact"/>
        <w:ind w:right="1130"/>
        <w:jc w:val="both"/>
      </w:pPr>
      <w:r>
        <w:rPr>
          <w:rFonts w:ascii="Times New Roman" w:hAnsi="Times New Roman" w:cs="Times New Roman" w:eastAsia="Times New Roman" w:hint="default"/>
          <w:spacing w:val="-2"/>
        </w:rPr>
        <w:t>*10</w:t>
      </w:r>
      <w:r>
        <w:rPr>
          <w:spacing w:val="-2"/>
        </w:rPr>
        <w:t>、根据小型微利企业的税收优惠政策，杭州昊美电力工程有限公司本期年应纳税所得额不</w:t>
      </w:r>
      <w:r>
        <w:rPr/>
        <w:t> 超过</w:t>
      </w:r>
      <w:r>
        <w:rPr>
          <w:rFonts w:ascii="Times New Roman" w:hAnsi="Times New Roman" w:cs="Times New Roman" w:eastAsia="Times New Roman" w:hint="default"/>
        </w:rPr>
        <w:t>100</w:t>
      </w:r>
      <w:r>
        <w:rPr/>
        <w:t>万元的部分按</w:t>
      </w:r>
      <w:r>
        <w:rPr>
          <w:rFonts w:ascii="Times New Roman" w:hAnsi="Times New Roman" w:cs="Times New Roman" w:eastAsia="Times New Roman" w:hint="default"/>
        </w:rPr>
        <w:t>5%</w:t>
      </w:r>
      <w:r>
        <w:rPr/>
        <w:t>计缴企业所得税，年应纳税所得额超过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w:t>
      </w:r>
      <w:r>
        <w:rPr>
          <w:spacing w:val="-56"/>
        </w:rPr>
        <w:t> </w:t>
      </w:r>
      <w:r>
        <w:rPr>
          <w:spacing w:val="-56"/>
        </w:rPr>
      </w:r>
      <w:r>
        <w:rPr/>
        <w:t>部分按</w:t>
      </w:r>
      <w:r>
        <w:rPr>
          <w:rFonts w:ascii="Times New Roman" w:hAnsi="Times New Roman" w:cs="Times New Roman" w:eastAsia="Times New Roman" w:hint="default"/>
        </w:rPr>
        <w:t>10%</w:t>
      </w:r>
      <w:r>
        <w:rPr/>
        <w:t>计缴企业所得税。</w:t>
      </w:r>
    </w:p>
    <w:p>
      <w:pPr>
        <w:spacing w:after="0" w:line="312" w:lineRule="exact"/>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15"/>
        <w:jc w:val="left"/>
      </w:pPr>
      <w:r>
        <w:rPr>
          <w:rFonts w:ascii="Times New Roman" w:hAnsi="Times New Roman" w:cs="Times New Roman" w:eastAsia="Times New Roman" w:hint="default"/>
          <w:spacing w:val="-2"/>
        </w:rPr>
        <w:t>*11</w:t>
      </w:r>
      <w:r>
        <w:rPr>
          <w:spacing w:val="-2"/>
        </w:rPr>
        <w:t>、根据小型微利企业的税收优惠政策，珠海远光晴天能源科技有限公司本期年应纳税所得</w:t>
      </w:r>
      <w:r>
        <w:rPr/>
        <w:t> 额未超过</w:t>
      </w:r>
      <w:r>
        <w:rPr>
          <w:rFonts w:ascii="Times New Roman" w:hAnsi="Times New Roman" w:cs="Times New Roman" w:eastAsia="Times New Roman" w:hint="default"/>
        </w:rPr>
        <w:t>100</w:t>
      </w:r>
      <w:r>
        <w:rPr/>
        <w:t>万元，本期按</w:t>
      </w:r>
      <w:r>
        <w:rPr>
          <w:rFonts w:ascii="Times New Roman" w:hAnsi="Times New Roman" w:cs="Times New Roman" w:eastAsia="Times New Roman" w:hint="default"/>
        </w:rPr>
        <w:t>5%</w:t>
      </w:r>
      <w:r>
        <w:rPr/>
        <w:t>的税率计缴企业所得税。</w:t>
      </w:r>
    </w:p>
    <w:p>
      <w:pPr>
        <w:pStyle w:val="BodyText"/>
        <w:spacing w:line="312" w:lineRule="exact" w:before="216"/>
        <w:ind w:right="1115"/>
        <w:jc w:val="left"/>
      </w:pPr>
      <w:r>
        <w:rPr>
          <w:rFonts w:ascii="Times New Roman" w:hAnsi="Times New Roman" w:cs="Times New Roman" w:eastAsia="Times New Roman" w:hint="default"/>
          <w:spacing w:val="-2"/>
        </w:rPr>
        <w:t>*12</w:t>
      </w:r>
      <w:r>
        <w:rPr>
          <w:spacing w:val="-2"/>
        </w:rPr>
        <w:t>、根据小型微利企业的税收优惠政策，佛山市晴方太阳能科技有限公司本期年应纳税所得</w:t>
      </w:r>
      <w:r>
        <w:rPr/>
        <w:t> 额未超过</w:t>
      </w:r>
      <w:r>
        <w:rPr>
          <w:rFonts w:ascii="Times New Roman" w:hAnsi="Times New Roman" w:cs="Times New Roman" w:eastAsia="Times New Roman" w:hint="default"/>
        </w:rPr>
        <w:t>100</w:t>
      </w:r>
      <w:r>
        <w:rPr/>
        <w:t>万元，本期按</w:t>
      </w:r>
      <w:r>
        <w:rPr>
          <w:rFonts w:ascii="Times New Roman" w:hAnsi="Times New Roman" w:cs="Times New Roman" w:eastAsia="Times New Roman" w:hint="default"/>
        </w:rPr>
        <w:t>5%</w:t>
      </w:r>
      <w:r>
        <w:rPr/>
        <w:t>的税率计缴企业所得税。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spacing w:line="319" w:lineRule="auto" w:before="0"/>
        <w:ind w:left="153" w:right="1547"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报告期公司及其子公司享受软件产品增值税优惠政策，收到软件增值税即征即退款项</w:t>
      </w:r>
      <w:r>
        <w:rPr>
          <w:rFonts w:ascii="Times New Roman" w:hAnsi="Times New Roman" w:cs="Times New Roman" w:eastAsia="Times New Roman" w:hint="default"/>
          <w:spacing w:val="-3"/>
          <w:sz w:val="18"/>
          <w:szCs w:val="18"/>
        </w:rPr>
        <w:t>6,575,333.08</w:t>
      </w:r>
      <w:r>
        <w:rPr>
          <w:rFonts w:ascii="宋体" w:hAnsi="宋体" w:cs="宋体" w:eastAsia="宋体" w:hint="default"/>
          <w:spacing w:val="-3"/>
          <w:sz w:val="18"/>
          <w:szCs w:val="18"/>
        </w:rPr>
        <w:t>元，增加利润总额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6,575,333.08</w:t>
      </w:r>
      <w:r>
        <w:rPr>
          <w:rFonts w:ascii="宋体" w:hAnsi="宋体" w:cs="宋体" w:eastAsia="宋体" w:hint="default"/>
          <w:sz w:val="18"/>
          <w:szCs w:val="18"/>
        </w:rPr>
        <w:t>元；</w:t>
      </w:r>
    </w:p>
    <w:p>
      <w:pPr>
        <w:spacing w:line="246" w:lineRule="exact"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报告期公司及子公司享受研发费加计扣除与企业所得税优惠政策，减少所得税费用</w:t>
      </w:r>
      <w:r>
        <w:rPr>
          <w:rFonts w:ascii="Times New Roman" w:hAnsi="Times New Roman" w:cs="Times New Roman" w:eastAsia="Times New Roman" w:hint="default"/>
          <w:spacing w:val="-3"/>
          <w:sz w:val="18"/>
          <w:szCs w:val="18"/>
        </w:rPr>
        <w:t>51,078,177.88</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26"/>
          <w:szCs w:val="26"/>
        </w:rPr>
      </w:pPr>
    </w:p>
    <w:p>
      <w:pPr>
        <w:spacing w:line="484" w:lineRule="auto" w:before="0"/>
        <w:ind w:left="153" w:right="7859"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7"/>
      <w:bookmarkEnd w:id="237"/>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8"/>
      <w:bookmarkEnd w:id="2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2"/>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103,609.24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76,870.23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280,666,625.09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1,092,906,359.73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13,463,865.45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16,209,373.79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294,234,099.78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1,109,192,603.75</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466,934.14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198,117.67</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8"/>
          <w:szCs w:val="18"/>
        </w:rPr>
      </w:pPr>
    </w:p>
    <w:p>
      <w:pPr>
        <w:pStyle w:val="BodyText"/>
        <w:spacing w:line="312" w:lineRule="exact"/>
        <w:ind w:right="0"/>
        <w:jc w:val="left"/>
      </w:pPr>
      <w:r>
        <w:rPr>
          <w:spacing w:val="-4"/>
        </w:rPr>
        <w:t>其他货币资金为存出投资款、外埠存款、履约保函存款等，其中保函保证金存款</w:t>
      </w:r>
      <w:r>
        <w:rPr>
          <w:rFonts w:ascii="Times New Roman" w:hAnsi="Times New Roman" w:cs="Times New Roman" w:eastAsia="Times New Roman" w:hint="default"/>
          <w:spacing w:val="-4"/>
        </w:rPr>
        <w:t>13,413,607.73</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元，因使用受限从现金流量表的现金及现金等价物中扣除。</w:t>
      </w:r>
    </w:p>
    <w:p>
      <w:pPr>
        <w:spacing w:line="240" w:lineRule="auto" w:before="9"/>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交易性金融资产" w:id="239"/>
      <w:bookmarkEnd w:id="2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指定以公允价值计量且其变动计入当期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损益的金融资产</w:t>
            </w:r>
          </w:p>
        </w:tc>
        <w:tc>
          <w:tcPr>
            <w:tcW w:w="319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1,551,334.00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衍生金融资产" w:id="240"/>
      <w:bookmarkEnd w:id="2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应收票据" w:id="241"/>
      <w:bookmarkEnd w:id="2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票据分类列示"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25,325,031.15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39,085,409.83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11,520,523.51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284,365.00</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36,845,554.66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39,369,774.83</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932"/>
        <w:gridCol w:w="797"/>
        <w:gridCol w:w="792"/>
      </w:tblGrid>
      <w:tr>
        <w:trPr>
          <w:trHeight w:val="398"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7"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37,328,5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82.41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483,027.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36,845,55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39,369,77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39,369,77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4.83</w:t>
            </w: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12,003,5</w:t>
            </w:r>
          </w:p>
          <w:p>
            <w:pPr>
              <w:pStyle w:val="TableParagraph"/>
              <w:spacing w:line="240" w:lineRule="auto" w:before="110"/>
              <w:ind w:left="338" w:right="0"/>
              <w:jc w:val="left"/>
              <w:rPr>
                <w:rFonts w:ascii="Times New Roman" w:hAnsi="Times New Roman" w:cs="Times New Roman" w:eastAsia="Times New Roman" w:hint="default"/>
                <w:sz w:val="18"/>
                <w:szCs w:val="18"/>
              </w:rPr>
            </w:pPr>
            <w:r>
              <w:rPr>
                <w:rFonts w:ascii="Times New Roman"/>
                <w:sz w:val="18"/>
              </w:rPr>
              <w:t>51.26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483,027.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11,520,52</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3.51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284,365.0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284,365.0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25,325,0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31.15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25,325,03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39,085,40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39,085,40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9.83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37,328,5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82.41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483,027.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36,845,55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39,369,77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39,369,77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4.83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w:t>
      </w:r>
      <w:r>
        <w:rPr>
          <w:rFonts w:ascii="Times New Roman" w:hAnsi="Times New Roman" w:cs="Times New Roman" w:eastAsia="Times New Roman" w:hint="default"/>
          <w:spacing w:val="-2"/>
          <w:sz w:val="18"/>
          <w:szCs w:val="18"/>
        </w:rPr>
        <w:t>483,027.75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应收票据坏账准备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12,003,551.26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483,027.75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4.02%</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12,003,551.26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483,027.75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2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商业承兑汇票坏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483,027.75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483,027.75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483,027.75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483,027.75</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期末公司已质押的应收票据"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4）期末公司已背书或贴现且在资产负债表日尚未到期的应收票据"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3,536,541.00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3,536,541.00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期末公司因出票人未履约而将其转应收账款的票据"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本期实际核销的应收票据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应收账款" w:id="248"/>
      <w:bookmarkEnd w:id="24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8"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5,666,94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5,666,94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920,513,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970.84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99.39%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128,987,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579.36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14.01%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791,526,3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91.48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788,845,7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02.95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102,758,0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96.64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686,087,60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6.31</w:t>
            </w:r>
          </w:p>
        </w:tc>
      </w:tr>
      <w:tr>
        <w:trPr>
          <w:trHeight w:val="39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2" w:right="0"/>
              <w:jc w:val="left"/>
              <w:rPr>
                <w:rFonts w:ascii="Times New Roman" w:hAnsi="Times New Roman" w:cs="Times New Roman" w:eastAsia="Times New Roman" w:hint="default"/>
                <w:sz w:val="18"/>
                <w:szCs w:val="18"/>
              </w:rPr>
            </w:pPr>
            <w:r>
              <w:rPr>
                <w:rFonts w:ascii="Times New Roman"/>
                <w:sz w:val="18"/>
              </w:rPr>
              <w:t>920,513,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128,987,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center"/>
              <w:rPr>
                <w:rFonts w:ascii="Times New Roman" w:hAnsi="Times New Roman" w:cs="Times New Roman" w:eastAsia="Times New Roman" w:hint="default"/>
                <w:sz w:val="18"/>
                <w:szCs w:val="18"/>
              </w:rPr>
            </w:pPr>
            <w:r>
              <w:rPr>
                <w:rFonts w:ascii="Times New Roman"/>
                <w:sz w:val="18"/>
              </w:rPr>
              <w:t>14.01%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791,526,3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788,845,7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102,758,0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686,087,60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60" w:hRule="exact"/>
        </w:trPr>
        <w:tc>
          <w:tcPr>
            <w:tcW w:w="163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970.84</w:t>
            </w: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579.36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5" w:right="0"/>
              <w:jc w:val="left"/>
              <w:rPr>
                <w:rFonts w:ascii="Times New Roman" w:hAnsi="Times New Roman" w:cs="Times New Roman" w:eastAsia="Times New Roman" w:hint="default"/>
                <w:sz w:val="18"/>
                <w:szCs w:val="18"/>
              </w:rPr>
            </w:pPr>
            <w:r>
              <w:rPr>
                <w:rFonts w:ascii="Times New Roman"/>
                <w:sz w:val="18"/>
              </w:rPr>
              <w:t>91.48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1" w:right="0"/>
              <w:jc w:val="left"/>
              <w:rPr>
                <w:rFonts w:ascii="Times New Roman" w:hAnsi="Times New Roman" w:cs="Times New Roman" w:eastAsia="Times New Roman" w:hint="default"/>
                <w:sz w:val="18"/>
                <w:szCs w:val="18"/>
              </w:rPr>
            </w:pPr>
            <w:r>
              <w:rPr>
                <w:rFonts w:ascii="Times New Roman"/>
                <w:sz w:val="18"/>
              </w:rPr>
              <w:t>02.95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5" w:right="0"/>
              <w:jc w:val="left"/>
              <w:rPr>
                <w:rFonts w:ascii="Times New Roman" w:hAnsi="Times New Roman" w:cs="Times New Roman" w:eastAsia="Times New Roman" w:hint="default"/>
                <w:sz w:val="18"/>
                <w:szCs w:val="18"/>
              </w:rPr>
            </w:pPr>
            <w:r>
              <w:rPr>
                <w:rFonts w:ascii="Times New Roman"/>
                <w:sz w:val="18"/>
              </w:rPr>
              <w:t>96.64</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5" w:right="0"/>
              <w:jc w:val="left"/>
              <w:rPr>
                <w:rFonts w:ascii="Times New Roman" w:hAnsi="Times New Roman" w:cs="Times New Roman" w:eastAsia="Times New Roman" w:hint="default"/>
                <w:sz w:val="18"/>
                <w:szCs w:val="18"/>
              </w:rPr>
            </w:pPr>
            <w:r>
              <w:rPr>
                <w:rFonts w:ascii="Times New Roman"/>
                <w:sz w:val="18"/>
              </w:rPr>
              <w:t>6.31</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926,180,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915.44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134,654,</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523.96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791,526,3</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91.48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788,845,7</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02.95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102,758,0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96.64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13.03%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686,087,60</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6.31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按单项计提坏账准备：</w:t>
      </w:r>
      <w:r>
        <w:rPr>
          <w:rFonts w:ascii="Times New Roman" w:hAnsi="Times New Roman" w:cs="Times New Roman" w:eastAsia="Times New Roman" w:hint="default"/>
          <w:spacing w:val="-2"/>
          <w:sz w:val="18"/>
          <w:szCs w:val="18"/>
        </w:rPr>
        <w:t>5,666,944.60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远光共创智能科技股份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5,666,944.60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5,666,944.60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8"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5,666,944.60</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5,666,944.60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w:t>
      </w:r>
      <w:r>
        <w:rPr>
          <w:rFonts w:ascii="Times New Roman" w:hAnsi="Times New Roman" w:cs="Times New Roman" w:eastAsia="Times New Roman" w:hint="default"/>
          <w:spacing w:val="-2"/>
          <w:sz w:val="18"/>
          <w:szCs w:val="18"/>
        </w:rPr>
        <w:t>128,987,579.36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654,111,102.90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26,818,949.26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126,530,715.08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16,328,327.46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12.90%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70,521,139.33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16,489,289.11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23.38%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69,351,013.53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69,351,013.53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920,513,970.84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128,987,579.36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本公司根据以往的历史经验对应收款项计提比例作出最佳估计，参考应收款项的账龄进行信用风险组合分类。</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49"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5" w:space="40"/>
            <w:col w:w="2095"/>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43" w:lineRule="auto" w:before="23"/>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37"/>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654,558,265.28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127,417,788.08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74,853,848.55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69,351,013.53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37,418,652.99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14,791,242.87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17,141,117.67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926,180,915.44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公司需要遵守《深圳证券交易所行业信息披露指引第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102,758,096.64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39,110,737.30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-7,305,109.98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134,654,523.96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102,758,096.64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39,110,737.30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-7,305,109.98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134,654,523.96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9"/>
              <w:jc w:val="left"/>
              <w:rPr>
                <w:rFonts w:ascii="宋体" w:hAnsi="宋体" w:cs="宋体" w:eastAsia="宋体" w:hint="default"/>
                <w:sz w:val="18"/>
                <w:szCs w:val="18"/>
              </w:rPr>
            </w:pPr>
            <w:r>
              <w:rPr>
                <w:rFonts w:ascii="宋体" w:hAnsi="宋体" w:cs="宋体" w:eastAsia="宋体" w:hint="default"/>
                <w:spacing w:val="-3"/>
                <w:sz w:val="18"/>
                <w:szCs w:val="18"/>
              </w:rPr>
              <w:t>国电四川发电有限公司南桠河水电分公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国网吉林乾安县供电有限公司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74" w:lineRule="exact"/>
        <w:ind w:right="0"/>
        <w:jc w:val="left"/>
      </w:pPr>
      <w:r>
        <w:rPr/>
        <w:t>收回核销款项</w:t>
      </w:r>
    </w:p>
    <w:p>
      <w:pPr>
        <w:spacing w:line="240" w:lineRule="auto" w:before="1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本期实际核销的应收账款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按欠款方归集的期末余额前五名的应收账款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49,032,472.79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1,956,366.75</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46,814,405.04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9,397,866.51</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25,444,714.50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1,015,229.10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22,367,892.90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892,465.74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22,007,540.00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878,087.87</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165,667,025.23</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17.89%</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因金融资产转移而终止确认的应收账款"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本期无因金融资产转移而终止确认的应收账款情况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0" w:firstLine="0"/>
        <w:jc w:val="left"/>
        <w:rPr>
          <w:rFonts w:ascii="宋体" w:hAnsi="宋体" w:cs="宋体" w:eastAsia="宋体" w:hint="default"/>
          <w:sz w:val="21"/>
          <w:szCs w:val="21"/>
        </w:rPr>
      </w:pPr>
      <w:bookmarkStart w:name="（6）转移应收账款且继续涉入形成的资产、负债金额"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left"/>
      </w:pPr>
      <w:r>
        <w:rPr/>
        <w:t>本期无转移应收账款且继续涉入形成的资产、负债。</w:t>
      </w:r>
    </w:p>
    <w:p>
      <w:pPr>
        <w:spacing w:before="92"/>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应收款项融资" w:id="255"/>
      <w:bookmarkEnd w:id="2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43" w:lineRule="auto" w:before="115"/>
        <w:ind w:left="153" w:right="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38" w:lineRule="auto" w:before="37"/>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7、预付款项" w:id="256"/>
      <w:bookmarkEnd w:id="25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预付款项按账龄列示"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26"/>
        <w:gridCol w:w="1916"/>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9,611,295.86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13,322,010.02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76.82%</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206,915.21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3,042,102.00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978,513.41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9,826,411.07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17,342,625.43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按预付对象归集的期末余额前五名的预付款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4173"/>
        <w:gridCol w:w="2564"/>
        <w:gridCol w:w="2550"/>
      </w:tblGrid>
      <w:tr>
        <w:trPr>
          <w:trHeight w:val="658"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5"/>
              <w:jc w:val="righ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占预付款项期末余额合</w:t>
            </w:r>
            <w:r>
              <w:rPr>
                <w:rFonts w:ascii="宋体" w:hAnsi="宋体" w:cs="宋体" w:eastAsia="宋体" w:hint="default"/>
                <w:sz w:val="24"/>
                <w:szCs w:val="24"/>
              </w:rPr>
            </w:r>
          </w:p>
          <w:p>
            <w:pPr>
              <w:pStyle w:val="TableParagraph"/>
              <w:spacing w:line="313" w:lineRule="exact"/>
              <w:ind w:left="1325" w:right="0"/>
              <w:jc w:val="left"/>
              <w:rPr>
                <w:rFonts w:ascii="宋体" w:hAnsi="宋体" w:cs="宋体" w:eastAsia="宋体" w:hint="default"/>
                <w:sz w:val="24"/>
                <w:szCs w:val="24"/>
              </w:rPr>
            </w:pPr>
            <w:r>
              <w:rPr>
                <w:rFonts w:ascii="宋体" w:hAnsi="宋体" w:cs="宋体" w:eastAsia="宋体" w:hint="default"/>
                <w:b/>
                <w:bCs/>
                <w:sz w:val="24"/>
                <w:szCs w:val="24"/>
              </w:rPr>
              <w:t>计数的比例</w:t>
            </w:r>
            <w:r>
              <w:rPr>
                <w:rFonts w:ascii="宋体" w:hAnsi="宋体" w:cs="宋体" w:eastAsia="宋体" w:hint="default"/>
                <w:sz w:val="24"/>
                <w:szCs w:val="24"/>
              </w:rPr>
            </w:r>
          </w:p>
        </w:tc>
      </w:tr>
      <w:tr>
        <w:trPr>
          <w:trHeight w:val="346"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单位一</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
              <w:jc w:val="right"/>
              <w:rPr>
                <w:rFonts w:ascii="Times New Roman" w:hAnsi="Times New Roman" w:cs="Times New Roman" w:eastAsia="Times New Roman" w:hint="default"/>
                <w:sz w:val="24"/>
                <w:szCs w:val="24"/>
              </w:rPr>
            </w:pPr>
            <w:r>
              <w:rPr>
                <w:rFonts w:ascii="Times New Roman"/>
                <w:b/>
                <w:sz w:val="24"/>
              </w:rPr>
              <w:t>1,065,000.00</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10.84%</w:t>
            </w:r>
            <w:r>
              <w:rPr>
                <w:rFonts w:ascii="Times New Roman"/>
                <w:sz w:val="24"/>
              </w:rPr>
            </w:r>
          </w:p>
        </w:tc>
      </w:tr>
      <w:tr>
        <w:trPr>
          <w:trHeight w:val="350"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单位二</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
              <w:jc w:val="right"/>
              <w:rPr>
                <w:rFonts w:ascii="Times New Roman" w:hAnsi="Times New Roman" w:cs="Times New Roman" w:eastAsia="Times New Roman" w:hint="default"/>
                <w:sz w:val="24"/>
                <w:szCs w:val="24"/>
              </w:rPr>
            </w:pPr>
            <w:r>
              <w:rPr>
                <w:rFonts w:ascii="Times New Roman"/>
                <w:b/>
                <w:sz w:val="24"/>
              </w:rPr>
              <w:t>838,830.00</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8.54%</w:t>
            </w:r>
            <w:r>
              <w:rPr>
                <w:rFonts w:ascii="Times New Roman"/>
                <w:sz w:val="24"/>
              </w:rPr>
            </w:r>
          </w:p>
        </w:tc>
      </w:tr>
      <w:tr>
        <w:trPr>
          <w:trHeight w:val="346"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单位三</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
              <w:jc w:val="right"/>
              <w:rPr>
                <w:rFonts w:ascii="Times New Roman" w:hAnsi="Times New Roman" w:cs="Times New Roman" w:eastAsia="Times New Roman" w:hint="default"/>
                <w:sz w:val="24"/>
                <w:szCs w:val="24"/>
              </w:rPr>
            </w:pPr>
            <w:r>
              <w:rPr>
                <w:rFonts w:ascii="Times New Roman"/>
                <w:b/>
                <w:sz w:val="24"/>
              </w:rPr>
              <w:t>734,400.00</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right"/>
              <w:rPr>
                <w:rFonts w:ascii="Times New Roman" w:hAnsi="Times New Roman" w:cs="Times New Roman" w:eastAsia="Times New Roman" w:hint="default"/>
                <w:sz w:val="24"/>
                <w:szCs w:val="24"/>
              </w:rPr>
            </w:pPr>
            <w:r>
              <w:rPr>
                <w:rFonts w:ascii="Times New Roman"/>
                <w:b/>
                <w:sz w:val="24"/>
              </w:rPr>
              <w:t>7.47%</w:t>
            </w:r>
            <w:r>
              <w:rPr>
                <w:rFonts w:ascii="Times New Roman"/>
                <w:sz w:val="24"/>
              </w:rPr>
            </w:r>
          </w:p>
        </w:tc>
      </w:tr>
      <w:tr>
        <w:trPr>
          <w:trHeight w:val="346"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单位四</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
              <w:jc w:val="right"/>
              <w:rPr>
                <w:rFonts w:ascii="Times New Roman" w:hAnsi="Times New Roman" w:cs="Times New Roman" w:eastAsia="Times New Roman" w:hint="default"/>
                <w:sz w:val="24"/>
                <w:szCs w:val="24"/>
              </w:rPr>
            </w:pPr>
            <w:r>
              <w:rPr>
                <w:rFonts w:ascii="Times New Roman"/>
                <w:b/>
                <w:sz w:val="24"/>
              </w:rPr>
              <w:t>606,590.54</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6.17%</w:t>
            </w:r>
            <w:r>
              <w:rPr>
                <w:rFonts w:ascii="Times New Roman"/>
                <w:sz w:val="24"/>
              </w:rPr>
            </w:r>
          </w:p>
        </w:tc>
      </w:tr>
      <w:tr>
        <w:trPr>
          <w:trHeight w:val="346"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单位五</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
              <w:jc w:val="right"/>
              <w:rPr>
                <w:rFonts w:ascii="Times New Roman" w:hAnsi="Times New Roman" w:cs="Times New Roman" w:eastAsia="Times New Roman" w:hint="default"/>
                <w:sz w:val="24"/>
                <w:szCs w:val="24"/>
              </w:rPr>
            </w:pPr>
            <w:r>
              <w:rPr>
                <w:rFonts w:ascii="Times New Roman"/>
                <w:b/>
                <w:sz w:val="24"/>
              </w:rPr>
              <w:t>465,900.00</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4.74%</w:t>
            </w:r>
            <w:r>
              <w:rPr>
                <w:rFonts w:ascii="Times New Roman"/>
                <w:sz w:val="24"/>
              </w:rPr>
            </w:r>
          </w:p>
        </w:tc>
      </w:tr>
      <w:tr>
        <w:trPr>
          <w:trHeight w:val="350" w:hRule="exact"/>
        </w:trPr>
        <w:tc>
          <w:tcPr>
            <w:tcW w:w="417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
              <w:jc w:val="right"/>
              <w:rPr>
                <w:rFonts w:ascii="Times New Roman" w:hAnsi="Times New Roman" w:cs="Times New Roman" w:eastAsia="Times New Roman" w:hint="default"/>
                <w:sz w:val="24"/>
                <w:szCs w:val="24"/>
              </w:rPr>
            </w:pPr>
            <w:r>
              <w:rPr>
                <w:rFonts w:ascii="Times New Roman"/>
                <w:b/>
                <w:sz w:val="24"/>
              </w:rPr>
              <w:t>3,710,720.54</w:t>
            </w:r>
            <w:r>
              <w:rPr>
                <w:rFonts w:ascii="Times New Roman"/>
                <w:sz w:val="24"/>
              </w:rPr>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4"/>
                <w:szCs w:val="24"/>
              </w:rPr>
            </w:pPr>
            <w:r>
              <w:rPr>
                <w:rFonts w:ascii="Times New Roman"/>
                <w:b/>
                <w:sz w:val="24"/>
              </w:rPr>
              <w:t>37.76%</w:t>
            </w:r>
            <w:r>
              <w:rPr>
                <w:rFonts w:ascii="Times New Roman"/>
                <w:sz w:val="24"/>
              </w:rPr>
            </w:r>
          </w:p>
        </w:tc>
      </w:tr>
    </w:tbl>
    <w:p>
      <w:pPr>
        <w:spacing w:line="240" w:lineRule="auto" w:before="0"/>
        <w:rPr>
          <w:rFonts w:ascii="宋体" w:hAnsi="宋体" w:cs="宋体" w:eastAsia="宋体" w:hint="default"/>
          <w:b/>
          <w:bCs/>
          <w:sz w:val="5"/>
          <w:szCs w:val="5"/>
        </w:rPr>
      </w:pPr>
    </w:p>
    <w:p>
      <w:pPr>
        <w:spacing w:line="247" w:lineRule="auto" w:before="32"/>
        <w:ind w:left="153" w:right="993" w:firstLine="0"/>
        <w:jc w:val="left"/>
        <w:rPr>
          <w:rFonts w:ascii="宋体" w:hAnsi="宋体" w:cs="宋体" w:eastAsia="宋体" w:hint="default"/>
          <w:sz w:val="22"/>
          <w:szCs w:val="22"/>
        </w:rPr>
      </w:pPr>
      <w:r>
        <w:rPr>
          <w:rFonts w:ascii="宋体" w:hAnsi="宋体" w:cs="宋体" w:eastAsia="宋体" w:hint="default"/>
          <w:spacing w:val="-3"/>
          <w:w w:val="100"/>
          <w:sz w:val="22"/>
          <w:szCs w:val="22"/>
        </w:rPr>
        <w:t>本期按预付对象归集的期末余额前五名预付款项汇总金额</w:t>
      </w:r>
      <w:r>
        <w:rPr>
          <w:rFonts w:ascii="Times New Roman" w:hAnsi="Times New Roman" w:cs="Times New Roman" w:eastAsia="Times New Roman" w:hint="default"/>
          <w:spacing w:val="-3"/>
          <w:w w:val="100"/>
          <w:sz w:val="22"/>
          <w:szCs w:val="22"/>
        </w:rPr>
        <w:t>3,710,720.54</w:t>
      </w:r>
      <w:r>
        <w:rPr>
          <w:rFonts w:ascii="宋体" w:hAnsi="宋体" w:cs="宋体" w:eastAsia="宋体" w:hint="default"/>
          <w:spacing w:val="-3"/>
          <w:w w:val="100"/>
          <w:sz w:val="22"/>
          <w:szCs w:val="22"/>
        </w:rPr>
        <w:t>元，占预付款项期末余额合计数</w:t>
      </w:r>
      <w:r>
        <w:rPr>
          <w:rFonts w:ascii="宋体" w:hAnsi="宋体" w:cs="宋体" w:eastAsia="宋体" w:hint="default"/>
          <w:spacing w:val="-90"/>
          <w:w w:val="100"/>
          <w:sz w:val="22"/>
          <w:szCs w:val="22"/>
        </w:rPr>
        <w:t> </w:t>
      </w:r>
      <w:r>
        <w:rPr>
          <w:rFonts w:ascii="宋体" w:hAnsi="宋体" w:cs="宋体" w:eastAsia="宋体" w:hint="default"/>
          <w:spacing w:val="-90"/>
          <w:w w:val="100"/>
          <w:sz w:val="22"/>
          <w:szCs w:val="22"/>
        </w:rPr>
      </w:r>
      <w:r>
        <w:rPr>
          <w:rFonts w:ascii="宋体" w:hAnsi="宋体" w:cs="宋体" w:eastAsia="宋体" w:hint="default"/>
          <w:sz w:val="22"/>
          <w:szCs w:val="22"/>
        </w:rPr>
        <w:t>的比例 </w:t>
      </w:r>
      <w:r>
        <w:rPr>
          <w:rFonts w:ascii="Times New Roman" w:hAnsi="Times New Roman" w:cs="Times New Roman" w:eastAsia="Times New Roman" w:hint="default"/>
          <w:sz w:val="22"/>
          <w:szCs w:val="22"/>
        </w:rPr>
        <w:t>37.76</w:t>
      </w:r>
      <w:r>
        <w:rPr>
          <w:rFonts w:ascii="Times New Roman" w:hAnsi="Times New Roman" w:cs="Times New Roman" w:eastAsia="Times New Roman" w:hint="default"/>
          <w:spacing w:val="-21"/>
          <w:sz w:val="22"/>
          <w:szCs w:val="22"/>
        </w:rPr>
        <w:t> </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line="240" w:lineRule="auto" w:before="5"/>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8、其他应收款" w:id="259"/>
      <w:bookmarkEnd w:id="2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18,804,310.86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33,791,157.11</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33,804,310.86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48,791,157.11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应收利息"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利息分类" w:id="261"/>
      <w:bookmarkEnd w:id="2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逾期利息" w:id="262"/>
      <w:bookmarkEnd w:id="2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坏账准备计提情况" w:id="263"/>
      <w:bookmarkEnd w:id="2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应收股利"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股利分类" w:id="265"/>
      <w:bookmarkEnd w:id="2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的账龄超过1年的应收股利" w:id="266"/>
      <w:bookmarkEnd w:id="2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预计将于下个年度收到</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坏账准备计提情况" w:id="267"/>
      <w:bookmarkEnd w:id="2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pStyle w:val="BodyText"/>
        <w:spacing w:line="323" w:lineRule="exact"/>
        <w:ind w:right="0"/>
        <w:jc w:val="left"/>
        <w:rPr>
          <w:rFonts w:ascii="Times New Roman" w:hAnsi="Times New Roman" w:cs="Times New Roman" w:eastAsia="Times New Roman" w:hint="default"/>
        </w:rPr>
      </w:pPr>
      <w:r>
        <w:rPr/>
        <w:t>应收股利的坏账准备计提情况，详见本附注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p>
    <w:p>
      <w:pPr>
        <w:spacing w:line="240" w:lineRule="auto" w:before="9"/>
        <w:rPr>
          <w:rFonts w:ascii="Times New Roman" w:hAnsi="Times New Roman" w:cs="Times New Roman" w:eastAsia="Times New Roman" w:hint="default"/>
          <w:sz w:val="26"/>
          <w:szCs w:val="26"/>
        </w:rPr>
      </w:pPr>
    </w:p>
    <w:p>
      <w:pPr>
        <w:spacing w:before="0"/>
        <w:ind w:left="153" w:right="0" w:firstLine="0"/>
        <w:jc w:val="left"/>
        <w:rPr>
          <w:rFonts w:ascii="宋体" w:hAnsi="宋体" w:cs="宋体" w:eastAsia="宋体" w:hint="default"/>
          <w:sz w:val="21"/>
          <w:szCs w:val="21"/>
        </w:rPr>
      </w:pPr>
      <w:bookmarkStart w:name="（3）其他应收款"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269"/>
      <w:bookmarkEnd w:id="2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63,169,400.34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7,155,247.72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16,540,710.01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22,842,402.19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1,708,428.17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10,605,515.83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1,854,694.64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3,109,199.87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83,273,233.16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43,712,365.61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坏账准备计提情况" w:id="270"/>
      <w:bookmarkEnd w:id="2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098"/>
        <w:gridCol w:w="2103"/>
        <w:gridCol w:w="1800"/>
      </w:tblGrid>
      <w:tr>
        <w:trPr>
          <w:trHeight w:val="403"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9,921,208.50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9,921,208.50</w:t>
            </w:r>
          </w:p>
        </w:tc>
      </w:tr>
      <w:tr>
        <w:trPr>
          <w:trHeight w:val="158"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6" w:type="dxa"/>
            <w:vMerge/>
            <w:tcBorders>
              <w:left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-677,039.32</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62,013,489.50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61,336,450.18</w:t>
            </w: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-6,788,736.38</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-6,788,736.38</w:t>
            </w: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2,455,432.80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62,013,489.50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64,468,922.30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41,510,928.94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23,082,198.34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16,903,982.04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1,776,123.84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712,879.01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187,046.72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876,198.11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83,273,233.16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271"/>
      <w:bookmarkEnd w:id="2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left"/>
              <w:rPr>
                <w:rFonts w:ascii="宋体" w:hAnsi="宋体" w:cs="宋体" w:eastAsia="宋体" w:hint="default"/>
                <w:sz w:val="18"/>
                <w:szCs w:val="18"/>
              </w:rPr>
            </w:pPr>
            <w:r>
              <w:rPr>
                <w:rFonts w:ascii="宋体" w:hAnsi="宋体" w:cs="宋体" w:eastAsia="宋体" w:hint="default"/>
                <w:spacing w:val="-3"/>
                <w:sz w:val="18"/>
                <w:szCs w:val="18"/>
              </w:rPr>
              <w:t>其他应收款坏账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9,921,208.50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61,336,450.18</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-6,788,736.38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64,468,922.30</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9,921,208.50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 w:right="0"/>
              <w:jc w:val="center"/>
              <w:rPr>
                <w:rFonts w:ascii="Times New Roman" w:hAnsi="Times New Roman" w:cs="Times New Roman" w:eastAsia="Times New Roman" w:hint="default"/>
                <w:sz w:val="18"/>
                <w:szCs w:val="18"/>
              </w:rPr>
            </w:pPr>
            <w:r>
              <w:rPr>
                <w:rFonts w:ascii="Times New Roman"/>
                <w:sz w:val="18"/>
              </w:rPr>
              <w:t>61,336,450.18</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0" w:right="0"/>
              <w:jc w:val="left"/>
              <w:rPr>
                <w:rFonts w:ascii="Times New Roman" w:hAnsi="Times New Roman" w:cs="Times New Roman" w:eastAsia="Times New Roman" w:hint="default"/>
                <w:sz w:val="18"/>
                <w:szCs w:val="18"/>
              </w:rPr>
            </w:pPr>
            <w:r>
              <w:rPr>
                <w:rFonts w:ascii="Times New Roman"/>
                <w:sz w:val="18"/>
              </w:rPr>
              <w:t>-6,788,736.38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64,468,922.30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79"/>
        <w:ind w:right="0"/>
        <w:jc w:val="left"/>
      </w:pPr>
      <w:r>
        <w:rPr/>
        <w:t>本期无转回或收回金额重要的坏账准备。</w:t>
      </w:r>
    </w:p>
    <w:p>
      <w:pPr>
        <w:spacing w:line="240" w:lineRule="auto" w:before="1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4）本期实际核销的其他应收款情况" w:id="272"/>
      <w:bookmarkEnd w:id="27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59"/>
        <w:ind w:right="0"/>
        <w:jc w:val="left"/>
      </w:pPr>
      <w:r>
        <w:rPr/>
        <w:t>本期无实际核销的其他应收款情况。</w:t>
      </w:r>
    </w:p>
    <w:p>
      <w:pPr>
        <w:spacing w:line="240" w:lineRule="auto" w:before="1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5）按欠款方归集的期末余额前五名的其他应收款情况" w:id="273"/>
      <w:bookmarkEnd w:id="2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5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13"/>
              <w:jc w:val="both"/>
              <w:rPr>
                <w:rFonts w:ascii="宋体" w:hAnsi="宋体" w:cs="宋体" w:eastAsia="宋体" w:hint="default"/>
                <w:sz w:val="18"/>
                <w:szCs w:val="18"/>
              </w:rPr>
            </w:pPr>
            <w:r>
              <w:rPr>
                <w:rFonts w:ascii="宋体" w:hAnsi="宋体" w:cs="宋体" w:eastAsia="宋体" w:hint="default"/>
                <w:spacing w:val="-2"/>
                <w:sz w:val="18"/>
                <w:szCs w:val="18"/>
              </w:rPr>
              <w:t>远光共创智能科技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股份有限公司及其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62,013,489.50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25,660,910.07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20,352,579.43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62,013,489.50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90,785.40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1,821,070.00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13,356.60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1,140,672.00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80,759.58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6,538.00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67,358,231.50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62,204,929.08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涉及政府补助的应收款项" w:id="274"/>
      <w:bookmarkEnd w:id="27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pStyle w:val="BodyText"/>
        <w:spacing w:line="274" w:lineRule="exact"/>
        <w:ind w:right="0"/>
        <w:jc w:val="left"/>
      </w:pPr>
      <w:r>
        <w:rPr/>
        <w:t>本期无应收政府补助款。</w:t>
      </w:r>
    </w:p>
    <w:p>
      <w:pPr>
        <w:spacing w:after="0" w:line="274" w:lineRule="exact"/>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line="484" w:lineRule="auto" w:before="36"/>
        <w:ind w:left="153" w:right="4991" w:firstLine="0"/>
        <w:jc w:val="left"/>
        <w:rPr>
          <w:rFonts w:ascii="宋体" w:hAnsi="宋体" w:cs="宋体" w:eastAsia="宋体" w:hint="default"/>
          <w:sz w:val="24"/>
          <w:szCs w:val="24"/>
        </w:rPr>
      </w:pPr>
      <w:bookmarkStart w:name="7）因金融资产转移而终止确认的其他应收款" w:id="275"/>
      <w:bookmarkEnd w:id="27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4"/>
          <w:szCs w:val="24"/>
        </w:rPr>
        <w:t>本期无因金融资产转移而终止确认的其他应收款。 </w:t>
      </w:r>
      <w:bookmarkStart w:name="8）转移其他应收款且继续涉入形成的资产、负债金额" w:id="276"/>
      <w:bookmarkEnd w:id="276"/>
      <w:r>
        <w:rPr>
          <w:rFonts w:ascii="宋体" w:hAnsi="宋体" w:cs="宋体" w:eastAsia="宋体" w:hint="default"/>
          <w:sz w:val="24"/>
          <w:szCs w:val="24"/>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100"/>
          <w:sz w:val="21"/>
          <w:szCs w:val="21"/>
        </w:rPr>
        <w:t> </w:t>
      </w:r>
      <w:r>
        <w:rPr>
          <w:rFonts w:ascii="宋体" w:hAnsi="宋体" w:cs="宋体" w:eastAsia="宋体" w:hint="default"/>
          <w:sz w:val="24"/>
          <w:szCs w:val="24"/>
        </w:rPr>
        <w:t>本期无转移其他应收款且继续涉入形成的资产、负债。</w:t>
      </w: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9、存货" w:id="277"/>
      <w:bookmarkEnd w:id="27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存货分类"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11,457,760.24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11,457,760.24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7,133,399.38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7,133,399.38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17,456,309.07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17,456,309.07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21,855,521.27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21,661,291.87</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1,869,439.30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1,869,439.30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5,506,299.47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5,506,299.47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825,234.54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825,234.54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3,982,772.10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3,982,772.10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31,608,743.15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31,608,743.15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38,477,992.22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38,283,762.82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存货跌价准备"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2"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194,229.40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存货期末余额含有借款费用资本化金额的说明"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期末建造合同形成的已完工未结算资产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0、合同资产" w:id="282"/>
      <w:bookmarkEnd w:id="28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196"/>
        <w:gridCol w:w="1330"/>
        <w:gridCol w:w="1196"/>
        <w:gridCol w:w="1195"/>
        <w:gridCol w:w="1201"/>
        <w:gridCol w:w="1323"/>
      </w:tblGrid>
      <w:tr>
        <w:trPr>
          <w:trHeight w:val="398"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合同资产的账面价值在本期内发生的重大变动金额和原因：</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38" w:lineRule="auto" w:before="120"/>
        <w:ind w:left="153" w:right="79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本期合同资产计提减值准备情况</w:t>
      </w:r>
    </w:p>
    <w:p>
      <w:pPr>
        <w:spacing w:before="4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1、持有待售资产" w:id="283"/>
      <w:bookmarkEnd w:id="2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2、一年内到期的非流动资产" w:id="284"/>
      <w:bookmarkEnd w:id="28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13、其他流动资产" w:id="285"/>
      <w:bookmarkEnd w:id="28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1,426,098.75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1,112,763.91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1,426,098.75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1,112,763.91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4、债权投资" w:id="286"/>
      <w:bookmarkEnd w:id="286"/>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重要的债权投资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15、其他债权投资" w:id="287"/>
      <w:bookmarkEnd w:id="28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97"/>
        <w:gridCol w:w="1037"/>
        <w:gridCol w:w="1033"/>
        <w:gridCol w:w="1032"/>
        <w:gridCol w:w="1037"/>
        <w:gridCol w:w="1032"/>
        <w:gridCol w:w="1037"/>
        <w:gridCol w:w="1032"/>
        <w:gridCol w:w="1037"/>
      </w:tblGrid>
      <w:tr>
        <w:trPr>
          <w:trHeight w:val="1340"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4" w:right="55"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累计公允价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累计在其他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综合收益中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确认的损失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其他说明：</w:t>
      </w:r>
    </w:p>
    <w:p>
      <w:pPr>
        <w:spacing w:line="240" w:lineRule="auto" w:before="9"/>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16、长期应收款" w:id="288"/>
      <w:bookmarkEnd w:id="288"/>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应收款情况"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因金融资产转移而终止确认的长期应收款"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转移长期应收款且继续涉入形成的资产、负债金额"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7、长期股权投资" w:id="292"/>
      <w:bookmarkEnd w:id="292"/>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6386"/>
        <w:gridCol w:w="797"/>
        <w:gridCol w:w="797"/>
      </w:tblGrid>
      <w:tr>
        <w:trPr>
          <w:trHeight w:val="39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3"/>
        <w:gridCol w:w="801"/>
        <w:gridCol w:w="801"/>
        <w:gridCol w:w="794"/>
        <w:gridCol w:w="801"/>
        <w:gridCol w:w="797"/>
        <w:gridCol w:w="798"/>
        <w:gridCol w:w="793"/>
        <w:gridCol w:w="805"/>
        <w:gridCol w:w="797"/>
        <w:gridCol w:w="797"/>
      </w:tblGrid>
      <w:tr>
        <w:trPr>
          <w:trHeight w:val="16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位</w:t>
            </w:r>
            <w:r>
              <w:rPr>
                <w:rFonts w:ascii="宋体" w:hAnsi="宋体" w:cs="宋体" w:eastAsia="宋体" w:hint="default"/>
                <w:sz w:val="18"/>
                <w:szCs w:val="18"/>
              </w:rPr>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10"/>
              <w:ind w:left="273" w:right="85" w:hanging="1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9" w:right="28"/>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304" w:lineRule="auto" w:before="10"/>
              <w:ind w:left="266" w:right="84" w:hanging="17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3"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2"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8"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5" w:right="24"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84" w:hRule="exact"/>
        </w:trPr>
        <w:tc>
          <w:tcPr>
            <w:tcW w:w="797" w:type="dxa"/>
            <w:vMerge w:val="restart"/>
            <w:tcBorders>
              <w:top w:val="nil" w:sz="6" w:space="0" w:color="auto"/>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right="27"/>
              <w:jc w:val="right"/>
              <w:rPr>
                <w:rFonts w:ascii="宋体" w:hAnsi="宋体" w:cs="宋体" w:eastAsia="宋体" w:hint="default"/>
                <w:sz w:val="18"/>
                <w:szCs w:val="18"/>
              </w:rPr>
            </w:pPr>
            <w:r>
              <w:rPr>
                <w:rFonts w:ascii="宋体" w:hAnsi="宋体" w:cs="宋体" w:eastAsia="宋体" w:hint="default"/>
                <w:spacing w:val="-2"/>
                <w:sz w:val="18"/>
                <w:szCs w:val="18"/>
              </w:rPr>
              <w:t>追加投资</w:t>
            </w:r>
          </w:p>
        </w:tc>
        <w:tc>
          <w:tcPr>
            <w:tcW w:w="8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right="30"/>
              <w:jc w:val="right"/>
              <w:rPr>
                <w:rFonts w:ascii="宋体" w:hAnsi="宋体" w:cs="宋体" w:eastAsia="宋体" w:hint="default"/>
                <w:sz w:val="18"/>
                <w:szCs w:val="18"/>
              </w:rPr>
            </w:pPr>
            <w:r>
              <w:rPr>
                <w:rFonts w:ascii="宋体" w:hAnsi="宋体" w:cs="宋体" w:eastAsia="宋体" w:hint="default"/>
                <w:spacing w:val="-2"/>
                <w:sz w:val="18"/>
                <w:szCs w:val="18"/>
              </w:rPr>
              <w:t>减少投资</w:t>
            </w:r>
          </w:p>
        </w:tc>
        <w:tc>
          <w:tcPr>
            <w:tcW w:w="79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4" w:hRule="exact"/>
        </w:trPr>
        <w:tc>
          <w:tcPr>
            <w:tcW w:w="797"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5"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8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北京融和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晟源售电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28,456,11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8.12</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1,018,455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.91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29,474,57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95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绍兴柯桥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天堂硅谷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远光股权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43,866,62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8.23</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-643,056.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69</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43,223,57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深圳市多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禧股权投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资基金管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2,982,293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.19</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pacing w:val="-1"/>
                <w:sz w:val="18"/>
              </w:rPr>
              <w:t>-231,043.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91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2,751,249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深圳市深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远数据技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7,119,574</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.12</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179,159.9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7,298,734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0.00</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合肥启迪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远光区块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链技术合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伙企业</w:t>
            </w:r>
          </w:p>
          <w:p>
            <w:pPr>
              <w:pStyle w:val="TableParagraph"/>
              <w:spacing w:line="321" w:lineRule="auto" w:before="19"/>
              <w:ind w:left="24" w:right="36"/>
              <w:jc w:val="both"/>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32,861,68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4.21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4,436.51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32,866,12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深圳市链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-2,082,65</w:t>
            </w:r>
          </w:p>
          <w:p>
            <w:pPr>
              <w:pStyle w:val="TableParagraph"/>
              <w:spacing w:line="240" w:lineRule="auto" w:before="110"/>
              <w:ind w:left="447" w:right="0"/>
              <w:jc w:val="left"/>
              <w:rPr>
                <w:rFonts w:ascii="Times New Roman" w:hAnsi="Times New Roman" w:cs="Times New Roman" w:eastAsia="Times New Roman" w:hint="default"/>
                <w:sz w:val="18"/>
                <w:szCs w:val="18"/>
              </w:rPr>
            </w:pPr>
            <w:r>
              <w:rPr>
                <w:rFonts w:ascii="Times New Roman"/>
                <w:sz w:val="18"/>
              </w:rPr>
              <w:t>7.37</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1,416,110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5,333,453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远光共创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智能科技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子公司</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115,286,2</w:t>
            </w:r>
          </w:p>
          <w:p>
            <w:pPr>
              <w:pStyle w:val="TableParagraph"/>
              <w:spacing w:line="240" w:lineRule="auto" w:before="109"/>
              <w:ind w:left="360" w:right="0"/>
              <w:jc w:val="left"/>
              <w:rPr>
                <w:rFonts w:ascii="Times New Roman" w:hAnsi="Times New Roman" w:cs="Times New Roman" w:eastAsia="Times New Roman" w:hint="default"/>
                <w:sz w:val="18"/>
                <w:szCs w:val="18"/>
              </w:rPr>
            </w:pPr>
            <w:r>
              <w:rPr>
                <w:rFonts w:ascii="Times New Roman"/>
                <w:sz w:val="18"/>
              </w:rPr>
              <w:t>97.87</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-1,754,70</w:t>
            </w:r>
          </w:p>
          <w:p>
            <w:pPr>
              <w:pStyle w:val="TableParagraph"/>
              <w:spacing w:line="240" w:lineRule="auto" w:before="109"/>
              <w:ind w:left="447" w:right="0"/>
              <w:jc w:val="left"/>
              <w:rPr>
                <w:rFonts w:ascii="Times New Roman" w:hAnsi="Times New Roman" w:cs="Times New Roman" w:eastAsia="Times New Roman" w:hint="default"/>
                <w:sz w:val="18"/>
                <w:szCs w:val="18"/>
              </w:rPr>
            </w:pPr>
            <w:r>
              <w:rPr>
                <w:rFonts w:ascii="Times New Roman"/>
                <w:sz w:val="18"/>
              </w:rPr>
              <w:t>5.58</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1,416,110</w:t>
            </w: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120,947,7</w:t>
            </w:r>
          </w:p>
          <w:p>
            <w:pPr>
              <w:pStyle w:val="TableParagraph"/>
              <w:spacing w:line="240" w:lineRule="auto" w:before="109"/>
              <w:ind w:left="365" w:right="0"/>
              <w:jc w:val="left"/>
              <w:rPr>
                <w:rFonts w:ascii="Times New Roman" w:hAnsi="Times New Roman" w:cs="Times New Roman" w:eastAsia="Times New Roman" w:hint="default"/>
                <w:sz w:val="18"/>
                <w:szCs w:val="18"/>
              </w:rPr>
            </w:pPr>
            <w:r>
              <w:rPr>
                <w:rFonts w:ascii="Times New Roman"/>
                <w:sz w:val="18"/>
              </w:rPr>
              <w:t>02.77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115,286,2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-1,754,70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1,416,110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120,947,7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8、其他权益工具投资" w:id="293"/>
      <w:bookmarkEnd w:id="293"/>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135,988,254.46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124,612,119.69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北京天润坤泽财务管理咨询有限责任公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1,327,354.62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珠海富海铧创信息技术创业投资基金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37,870,967.74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38,516,129.03</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深粮智能物联股权投资基金（深圳）合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伙企业（有限合伙）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12,966,900.00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188,153,476.82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176,628,248.72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545"/>
        <w:gridCol w:w="824"/>
        <w:gridCol w:w="1369"/>
        <w:gridCol w:w="1368"/>
        <w:gridCol w:w="1364"/>
        <w:gridCol w:w="1369"/>
        <w:gridCol w:w="1369"/>
      </w:tblGrid>
      <w:tr>
        <w:trPr>
          <w:trHeight w:val="133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华凯投资集团有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11,376,134.77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非交易性</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北京天润坤泽财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务管理咨询有限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责任公司</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327,354.62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非交易性</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珠海富海铧创信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息技术创业投资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基金（有限合伙</w:t>
            </w:r>
          </w:p>
        </w:tc>
        <w:tc>
          <w:tcPr>
            <w:tcW w:w="545" w:type="dxa"/>
            <w:tcBorders>
              <w:top w:val="single" w:sz="4" w:space="0" w:color="000000"/>
              <w:left w:val="single" w:sz="4" w:space="0" w:color="000000"/>
              <w:bottom w:val="single" w:sz="4" w:space="0" w:color="000000"/>
              <w:right w:val="nil" w:sz="6" w:space="0" w:color="auto"/>
            </w:tcBorders>
          </w:tcPr>
          <w:p>
            <w:pPr/>
          </w:p>
        </w:tc>
        <w:tc>
          <w:tcPr>
            <w:tcW w:w="8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非交易性</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深粮智能物联股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权投资基金（深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9"/>
                <w:sz w:val="18"/>
                <w:szCs w:val="18"/>
              </w:rPr>
              <w:t>圳）合伙企业（有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限合伙）</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非交易性</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pict>
          <v:shape style="position:absolute;margin-left:119.308327pt;margin-top:-83.098282pt;width:74pt;height:15.6pt;mso-position-horizontal-relative:page;mso-position-vertical-relative:paragraph;z-index:-1384720" type="#_x0000_t202" filled="false" stroked="false">
            <v:textbox inset="0,0,0,0">
              <w:txbxContent>
                <w:p>
                  <w:pPr>
                    <w:spacing w:line="213"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25.330002pt;margin-top:-83.098282pt;width:67.95pt;height:15.6pt;mso-position-horizontal-relative:page;mso-position-vertical-relative:paragraph;z-index:-1384696" coordorigin="2507,-1662" coordsize="1359,312">
            <v:shape style="position:absolute;left:2507;top:-1662;width:1359;height:312" coordorigin="2507,-1662" coordsize="1359,312" path="m2507,-1350l3865,-1350,3865,-1662,2507,-1662,2507,-1350xe" filled="true" fillcolor="#ffffff" stroked="false">
              <v:path arrowok="t"/>
              <v:fill type="solid"/>
            </v:shape>
            <w10:wrap type="none"/>
          </v:group>
        </w:pict>
      </w: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19、其他非流动金融资产" w:id="294"/>
      <w:bookmarkEnd w:id="294"/>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0、投资性房地产" w:id="295"/>
      <w:bookmarkEnd w:id="295"/>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投资性房地产"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52,880,885.83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52,880,885.83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2,716,870.00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2,716,870.00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2,716,870.00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2,716,870.00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55,597,755.83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55,597,755.83</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9,901,362.69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9,901,362.69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2,675,849.40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2,675,849.40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1,739,315.42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1,739,315.42</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936,533.98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936,533.98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12,577,212.09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12,577,212.09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43,020,543.74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43,020,543.74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42,979,523.14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42,979,523.14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采用公允价值计量模式的投资性房地产"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未办妥产权证书的投资性房地产情况"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1、固定资产" w:id="299"/>
      <w:bookmarkEnd w:id="299"/>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165,622,751.86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165,564,475.83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165,622,751.86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165,564,475.83</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固定资产情况"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8"/>
              <w:jc w:val="righ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188,669,310.13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8,532,222.16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59,850,152.39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12,126,897.80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269,178,582.48</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341,991.69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244,442.14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6,547,498.38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4,863,387.25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5,050,928.28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17,048,247.74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341,991.69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244,442.14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6,547,498.38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5,050,928.28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12,184,860.49</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4,863,387.25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4,863,387.25</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2,976,390.00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2,100,253.78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13,813,964.75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1,726,139.37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20,616,747.90</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259,520.00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1,519,485.00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11,519,905.09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566,488.48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13,865,398.57</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）转入投资性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房地产</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2,716,870.00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2,716,870.00</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580,768.78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2,294,059.66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1,159,650.89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4,034,479.33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186,034,911.82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6,676,410.52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52,583,686.02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4,863,387.25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15,451,686.71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265,610,082.32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38,860,289.61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5,729,962.71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50,304,660.75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8,719,193.58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103,614,106.65</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6,111,528.59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716,729.78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5,536,417.84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165,392.88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1,485,733.25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14,015,802.34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6,111,528.59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716,729.78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5,536,417.84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165,392.88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1,485,733.25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14,015,802.34</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1,054,180.45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1,840,979.34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13,177,001.65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1,570,417.09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17,642,578.53</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117,646.47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1,443,510.75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11,164,276.60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505,080.95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13,230,514.77</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）转入投资性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房地产</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936,533.98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936,533.98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397,468.59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2,012,725.05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1,065,336.14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3,475,529.78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43,917,637.75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4,605,713.15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42,664,076.94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165,392.88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8,634,509.74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99,987,330.46</w:t>
            </w: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7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7"/>
              <w:jc w:val="right"/>
              <w:rPr>
                <w:rFonts w:ascii="宋体" w:hAnsi="宋体" w:cs="宋体" w:eastAsia="宋体" w:hint="default"/>
                <w:sz w:val="18"/>
                <w:szCs w:val="18"/>
              </w:rPr>
            </w:pPr>
            <w:r>
              <w:rPr>
                <w:rFonts w:ascii="宋体" w:hAnsi="宋体" w:cs="宋体" w:eastAsia="宋体" w:hint="default"/>
                <w:spacing w:val="-2"/>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142,117,274.07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2,070,697.37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9,919,609.08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4,697,994.37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6,817,176.97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165,622,751.86</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149,809,020.52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2,802,259.45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9,545,491.64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3,407,704.22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165,564,475.83</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2）暂时闲置的固定资产情况"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通过融资租赁租入的固定资产情况"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通过经营租赁租出的固定资产"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未办妥产权证书的固定资产情况"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2,000,097.12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已确权</w:t>
            </w:r>
            <w:r>
              <w:rPr>
                <w:rFonts w:ascii="Times New Roman" w:hAnsi="Times New Roman" w:cs="Times New Roman" w:eastAsia="Times New Roman" w:hint="default"/>
                <w:sz w:val="18"/>
                <w:szCs w:val="18"/>
              </w:rPr>
              <w:t>,</w:t>
            </w:r>
            <w:r>
              <w:rPr>
                <w:rFonts w:ascii="宋体" w:hAnsi="宋体" w:cs="宋体" w:eastAsia="宋体" w:hint="default"/>
                <w:sz w:val="18"/>
                <w:szCs w:val="18"/>
              </w:rPr>
              <w:t>尚未办理</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固定资产清理"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2、在建工程" w:id="306"/>
      <w:bookmarkEnd w:id="306"/>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64,733,148.88</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64,733,148.88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在建工程情况"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远光智能产业园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64,428,531.18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64,428,531.18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9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光伏电站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远光</w:t>
            </w:r>
            <w:r>
              <w:rPr>
                <w:rFonts w:ascii="宋体" w:hAnsi="宋体" w:cs="宋体" w:eastAsia="宋体" w:hint="default"/>
                <w:spacing w:val="-72"/>
                <w:sz w:val="18"/>
                <w:szCs w:val="18"/>
              </w:rPr>
              <w:t> </w:t>
            </w:r>
            <w:r>
              <w:rPr>
                <w:rFonts w:ascii="宋体" w:hAnsi="宋体" w:cs="宋体" w:eastAsia="宋体" w:hint="default"/>
                <w:sz w:val="18"/>
                <w:szCs w:val="18"/>
              </w:rPr>
              <w:t>园区</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304,617.70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304,617.70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光伏电站（环球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97,220,739.20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64,733,148.88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64,733,148.88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在建工程项目本期变动情况"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远光智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64,428,5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31.18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32,792,2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08.02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97,220,7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39.20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42.25%</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光伏电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站</w:t>
            </w:r>
            <w:r>
              <w:rPr>
                <w:rFonts w:ascii="Times New Roman" w:hAnsi="Times New Roman" w:cs="Times New Roman" w:eastAsia="Times New Roman" w:hint="default"/>
                <w:sz w:val="18"/>
                <w:szCs w:val="18"/>
              </w:rPr>
              <w:t>(</w:t>
            </w:r>
            <w:r>
              <w:rPr>
                <w:rFonts w:ascii="宋体" w:hAnsi="宋体" w:cs="宋体" w:eastAsia="宋体" w:hint="default"/>
                <w:sz w:val="18"/>
                <w:szCs w:val="18"/>
              </w:rPr>
              <w:t>远光</w:t>
            </w:r>
            <w:r>
              <w:rPr>
                <w:rFonts w:ascii="宋体" w:hAnsi="宋体" w:cs="宋体" w:eastAsia="宋体" w:hint="default"/>
                <w:spacing w:val="-86"/>
                <w:sz w:val="18"/>
                <w:szCs w:val="18"/>
              </w:rPr>
              <w:t> </w:t>
            </w:r>
            <w:r>
              <w:rPr>
                <w:rFonts w:ascii="宋体" w:hAnsi="宋体" w:cs="宋体" w:eastAsia="宋体" w:hint="default"/>
                <w:sz w:val="18"/>
                <w:szCs w:val="18"/>
              </w:rPr>
              <w:t>园区</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507,696.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304,617.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507,696.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7"/>
              <w:jc w:val="left"/>
              <w:rPr>
                <w:rFonts w:ascii="宋体" w:hAnsi="宋体" w:cs="宋体" w:eastAsia="宋体" w:hint="default"/>
                <w:sz w:val="18"/>
                <w:szCs w:val="18"/>
              </w:rPr>
            </w:pPr>
            <w:r>
              <w:rPr>
                <w:rFonts w:ascii="宋体" w:hAnsi="宋体" w:cs="宋体" w:eastAsia="宋体" w:hint="default"/>
                <w:sz w:val="18"/>
                <w:szCs w:val="18"/>
              </w:rPr>
              <w:t>光伏电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站（环球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制药）</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4,355,69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4,355,69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4,355,69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1.10</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264,863,</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387.25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64,733,1</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48.88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37,350,9</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77.57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4,863,38</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7.25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97,220,7</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39.20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本期计提在建工程减值准备情况"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工程物资"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3、生产性生物资产" w:id="311"/>
      <w:bookmarkEnd w:id="311"/>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生产性生物资产"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采用公允价值计量模式的生产性生物资产"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4、油气资产" w:id="314"/>
      <w:bookmarkEnd w:id="314"/>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5、使用权资产" w:id="315"/>
      <w:bookmarkEnd w:id="315"/>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6、无形资产" w:id="316"/>
      <w:bookmarkEnd w:id="316"/>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无形资产情况"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158"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32" w:right="65" w:hanging="360"/>
              <w:jc w:val="left"/>
              <w:rPr>
                <w:rFonts w:ascii="宋体" w:hAnsi="宋体" w:cs="宋体" w:eastAsia="宋体" w:hint="default"/>
                <w:sz w:val="18"/>
                <w:szCs w:val="18"/>
              </w:rPr>
            </w:pPr>
            <w:r>
              <w:rPr>
                <w:rFonts w:ascii="宋体" w:hAnsi="宋体" w:cs="宋体" w:eastAsia="宋体" w:hint="default"/>
                <w:spacing w:val="-2"/>
                <w:sz w:val="18"/>
                <w:szCs w:val="18"/>
              </w:rPr>
              <w:t>研发资本化软件及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外购软件</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vMerge/>
            <w:tcBorders>
              <w:left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21" w:right="0"/>
              <w:jc w:val="left"/>
              <w:rPr>
                <w:rFonts w:ascii="Times New Roman" w:hAnsi="Times New Roman" w:cs="Times New Roman" w:eastAsia="Times New Roman" w:hint="default"/>
                <w:sz w:val="18"/>
                <w:szCs w:val="18"/>
              </w:rPr>
            </w:pPr>
            <w:r>
              <w:rPr>
                <w:rFonts w:ascii="Times New Roman"/>
                <w:sz w:val="18"/>
              </w:rPr>
              <w:t>11,708,692.17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97,979,209.90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7" w:right="0"/>
              <w:jc w:val="left"/>
              <w:rPr>
                <w:rFonts w:ascii="Times New Roman" w:hAnsi="Times New Roman" w:cs="Times New Roman" w:eastAsia="Times New Roman" w:hint="default"/>
                <w:sz w:val="18"/>
                <w:szCs w:val="18"/>
              </w:rPr>
            </w:pPr>
            <w:r>
              <w:rPr>
                <w:rFonts w:ascii="Times New Roman"/>
                <w:sz w:val="18"/>
              </w:rPr>
              <w:t>109,687,902.07</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75,438,982.40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75,438,982.40</w:t>
            </w: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1,586,598.38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1,586,598.38</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73,852,384.02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73,852,384.02</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388,361.98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388,361.98</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388,361.98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388,361.98</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11,708,692.17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173,029,830.32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184,738,522.49</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1,248,413.26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37,580,210.55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38,828,623.81</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236,811.96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20,240,623.76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20,477,435.72</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236,811.96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20,240,623.76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20,477,435.72</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278,924.95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278,924.95</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278,924.95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278,924.95</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1,485,225.22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57,541,909.36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59,027,134.58</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10,223,466.95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115,487,920.96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125,711,387.91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209999pt;margin-top:684.669983pt;width:52.6pt;height:23.55pt;mso-position-horizontal-relative:page;mso-position-vertical-relative:page;z-index:-1384672" coordorigin="2204,13693" coordsize="1052,471">
            <v:shape style="position:absolute;left:2204;top:13693;width:1052;height:471" coordorigin="2204,13693" coordsize="1052,471" path="m2204,14164l3256,14164,3256,13693,2204,13693,2204,14164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360"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10,460,278.91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60,398,999.35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70,859,278.26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80.69%</w:t>
      </w:r>
      <w:r>
        <w:rPr>
          <w:rFonts w:ascii="宋体" w:hAnsi="宋体" w:cs="宋体" w:eastAsia="宋体" w:hint="default"/>
          <w:sz w:val="18"/>
          <w:szCs w:val="18"/>
        </w:rPr>
        <w:t>。</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未办妥产权证书的土地使用权情况"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7、开发支出" w:id="319"/>
      <w:bookmarkEnd w:id="31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398"/>
        <w:gridCol w:w="677"/>
        <w:gridCol w:w="1061"/>
        <w:gridCol w:w="1066"/>
        <w:gridCol w:w="1061"/>
        <w:gridCol w:w="1066"/>
        <w:gridCol w:w="1061"/>
        <w:gridCol w:w="1066"/>
        <w:gridCol w:w="1061"/>
      </w:tblGrid>
      <w:tr>
        <w:trPr>
          <w:trHeight w:val="403"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6" w:type="dxa"/>
            <w:gridSpan w:val="2"/>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6" w:type="dxa"/>
            <w:gridSpan w:val="2"/>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6"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云服务</w:t>
            </w:r>
            <w:r>
              <w:rPr>
                <w:rFonts w:ascii="宋体" w:hAnsi="宋体" w:cs="宋体" w:eastAsia="宋体" w:hint="default"/>
                <w:w w:val="101"/>
                <w:sz w:val="18"/>
                <w:szCs w:val="18"/>
              </w:rPr>
              <w:t> </w:t>
            </w:r>
            <w:r>
              <w:rPr>
                <w:rFonts w:ascii="宋体" w:hAnsi="宋体" w:cs="宋体" w:eastAsia="宋体" w:hint="default"/>
                <w:sz w:val="18"/>
                <w:szCs w:val="18"/>
              </w:rPr>
              <w:t>与接入平台</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12,503,191.4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5,017,183.98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17,520,375.4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5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r>
              <w:rPr>
                <w:rFonts w:ascii="宋体" w:hAnsi="宋体" w:cs="宋体" w:eastAsia="宋体" w:hint="default"/>
                <w:w w:val="101"/>
                <w:sz w:val="18"/>
                <w:szCs w:val="18"/>
              </w:rPr>
              <w:t> </w:t>
            </w:r>
            <w:r>
              <w:rPr>
                <w:rFonts w:ascii="宋体" w:hAnsi="宋体" w:cs="宋体" w:eastAsia="宋体" w:hint="default"/>
                <w:sz w:val="18"/>
                <w:szCs w:val="18"/>
              </w:rPr>
              <w:t>台的设备及</w:t>
            </w:r>
            <w:r>
              <w:rPr>
                <w:rFonts w:ascii="宋体" w:hAnsi="宋体" w:cs="宋体" w:eastAsia="宋体" w:hint="default"/>
                <w:w w:val="101"/>
                <w:sz w:val="18"/>
                <w:szCs w:val="18"/>
              </w:rPr>
              <w:t> </w:t>
            </w:r>
            <w:r>
              <w:rPr>
                <w:rFonts w:ascii="宋体" w:hAnsi="宋体" w:cs="宋体" w:eastAsia="宋体" w:hint="default"/>
                <w:sz w:val="18"/>
                <w:szCs w:val="18"/>
              </w:rPr>
              <w:t>运维管理系</w:t>
            </w:r>
            <w:r>
              <w:rPr>
                <w:rFonts w:ascii="宋体" w:hAnsi="宋体" w:cs="宋体" w:eastAsia="宋体" w:hint="default"/>
                <w:w w:val="101"/>
                <w:sz w:val="18"/>
                <w:szCs w:val="18"/>
              </w:rPr>
              <w:t> </w:t>
            </w:r>
            <w:r>
              <w:rPr>
                <w:rFonts w:ascii="宋体" w:hAnsi="宋体" w:cs="宋体" w:eastAsia="宋体" w:hint="default"/>
                <w:sz w:val="18"/>
                <w:szCs w:val="18"/>
              </w:rPr>
              <w:t>统</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9,116,143.77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3,806,884.30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12,923,028.0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智能审计管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理系统</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11,663,379.9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4,372,188.64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16,035,568.6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输配电成本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管理系统</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12,417,325.7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5,812,012.61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18,229,338.3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9"/>
              <w:ind w:left="11" w:right="5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w:t>
            </w:r>
            <w:r>
              <w:rPr>
                <w:rFonts w:ascii="宋体" w:hAnsi="宋体" w:cs="宋体" w:eastAsia="宋体" w:hint="default"/>
                <w:w w:val="101"/>
                <w:sz w:val="18"/>
                <w:szCs w:val="18"/>
              </w:rPr>
              <w:t> </w:t>
            </w:r>
            <w:r>
              <w:rPr>
                <w:rFonts w:ascii="宋体" w:hAnsi="宋体" w:cs="宋体" w:eastAsia="宋体" w:hint="default"/>
                <w:sz w:val="18"/>
                <w:szCs w:val="18"/>
              </w:rPr>
              <w:t>服务平台的</w:t>
            </w:r>
            <w:r>
              <w:rPr>
                <w:rFonts w:ascii="宋体" w:hAnsi="宋体" w:cs="宋体" w:eastAsia="宋体" w:hint="default"/>
                <w:w w:val="101"/>
                <w:sz w:val="18"/>
                <w:szCs w:val="18"/>
              </w:rPr>
              <w:t> </w:t>
            </w:r>
            <w:r>
              <w:rPr>
                <w:rFonts w:ascii="宋体" w:hAnsi="宋体" w:cs="宋体" w:eastAsia="宋体" w:hint="default"/>
                <w:sz w:val="18"/>
                <w:szCs w:val="18"/>
              </w:rPr>
              <w:t>智能分析系</w:t>
            </w:r>
            <w:r>
              <w:rPr>
                <w:rFonts w:ascii="宋体" w:hAnsi="宋体" w:cs="宋体" w:eastAsia="宋体" w:hint="default"/>
                <w:w w:val="101"/>
                <w:sz w:val="18"/>
                <w:szCs w:val="18"/>
              </w:rPr>
              <w:t> </w:t>
            </w:r>
            <w:r>
              <w:rPr>
                <w:rFonts w:ascii="宋体" w:hAnsi="宋体" w:cs="宋体" w:eastAsia="宋体" w:hint="default"/>
                <w:sz w:val="18"/>
                <w:szCs w:val="18"/>
              </w:rPr>
              <w:t>统</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6,981,556.19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2,162,517.37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9,144,073.56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数据存证区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块链</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1,964,257.23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10,282,165.6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12,246,422.8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1339"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both"/>
              <w:rPr>
                <w:rFonts w:ascii="宋体" w:hAnsi="宋体" w:cs="宋体" w:eastAsia="宋体" w:hint="default"/>
                <w:sz w:val="18"/>
                <w:szCs w:val="18"/>
              </w:rPr>
            </w:pPr>
            <w:r>
              <w:rPr>
                <w:rFonts w:ascii="宋体" w:hAnsi="宋体" w:cs="宋体" w:eastAsia="宋体" w:hint="default"/>
                <w:spacing w:val="-2"/>
                <w:sz w:val="18"/>
                <w:szCs w:val="18"/>
              </w:rPr>
              <w:t>基于分布式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架构的研发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运维一体化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平台（天擎</w:t>
            </w:r>
          </w:p>
        </w:tc>
        <w:tc>
          <w:tcPr>
            <w:tcW w:w="398"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6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9,133,555.49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9,133,555.49</w:t>
            </w:r>
          </w:p>
        </w:tc>
      </w:tr>
      <w:tr>
        <w:trPr>
          <w:trHeight w:val="711"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13"/>
              <w:jc w:val="left"/>
              <w:rPr>
                <w:rFonts w:ascii="宋体" w:hAnsi="宋体" w:cs="宋体" w:eastAsia="宋体" w:hint="default"/>
                <w:sz w:val="18"/>
                <w:szCs w:val="18"/>
              </w:rPr>
            </w:pPr>
            <w:r>
              <w:rPr>
                <w:rFonts w:ascii="宋体" w:hAnsi="宋体" w:cs="宋体" w:eastAsia="宋体" w:hint="default"/>
                <w:spacing w:val="-2"/>
                <w:sz w:val="18"/>
                <w:szCs w:val="18"/>
              </w:rPr>
              <w:t>知识共享交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流管理平台</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2,097,901.95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2,097,901.95</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营销云</w:t>
            </w:r>
          </w:p>
        </w:tc>
        <w:tc>
          <w:tcPr>
            <w:tcW w:w="107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1,040,430.86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1,040,430.86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54,645,854.3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43,724,840.8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73,852,384.0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24,518,311.1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62" w:type="dxa"/>
        <w:tblLayout w:type="fixed"/>
        <w:tblCellMar>
          <w:top w:w="0" w:type="dxa"/>
          <w:left w:w="0" w:type="dxa"/>
          <w:bottom w:w="0" w:type="dxa"/>
          <w:right w:w="0" w:type="dxa"/>
        </w:tblCellMar>
        <w:tblLook w:val="01E0"/>
      </w:tblPr>
      <w:tblGrid>
        <w:gridCol w:w="2406"/>
        <w:gridCol w:w="2151"/>
        <w:gridCol w:w="2256"/>
        <w:gridCol w:w="2252"/>
      </w:tblGrid>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tabs>
                <w:tab w:pos="451" w:val="left" w:leader="none"/>
              </w:tabs>
              <w:spacing w:line="283" w:lineRule="exact"/>
              <w:ind w:left="4"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资本化开始时点</w:t>
            </w:r>
            <w:r>
              <w:rPr>
                <w:rFonts w:ascii="宋体" w:hAnsi="宋体" w:cs="宋体" w:eastAsia="宋体" w:hint="default"/>
                <w:sz w:val="24"/>
                <w:szCs w:val="24"/>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资本化的具体依据</w:t>
            </w:r>
            <w:r>
              <w:rPr>
                <w:rFonts w:ascii="宋体" w:hAnsi="宋体" w:cs="宋体" w:eastAsia="宋体" w:hint="default"/>
                <w:sz w:val="24"/>
                <w:szCs w:val="24"/>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截至期末的研发进度</w:t>
            </w:r>
            <w:r>
              <w:rPr>
                <w:rFonts w:ascii="宋体" w:hAnsi="宋体" w:cs="宋体" w:eastAsia="宋体" w:hint="default"/>
                <w:sz w:val="24"/>
                <w:szCs w:val="24"/>
              </w:rPr>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ECP</w:t>
            </w:r>
            <w:r>
              <w:rPr>
                <w:rFonts w:ascii="宋体" w:hAnsi="宋体" w:cs="宋体" w:eastAsia="宋体" w:hint="default"/>
                <w:sz w:val="20"/>
                <w:szCs w:val="20"/>
              </w:rPr>
              <w:t>云服务与接入平台</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2017</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663"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ECP</w:t>
            </w:r>
            <w:r>
              <w:rPr>
                <w:rFonts w:ascii="宋体" w:hAnsi="宋体" w:cs="宋体" w:eastAsia="宋体" w:hint="default"/>
                <w:sz w:val="20"/>
                <w:szCs w:val="20"/>
              </w:rPr>
              <w:t>平台的设备及运维</w:t>
            </w:r>
            <w:r>
              <w:rPr>
                <w:rFonts w:ascii="宋体" w:hAnsi="宋体" w:cs="宋体" w:eastAsia="宋体" w:hint="default"/>
                <w:spacing w:val="-83"/>
                <w:sz w:val="20"/>
                <w:szCs w:val="20"/>
              </w:rPr>
              <w:t> </w:t>
            </w:r>
            <w:r>
              <w:rPr>
                <w:rFonts w:ascii="宋体" w:hAnsi="宋体" w:cs="宋体" w:eastAsia="宋体" w:hint="default"/>
                <w:sz w:val="20"/>
                <w:szCs w:val="20"/>
              </w:rPr>
              <w:t>管理系统</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2017</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智能审计管理系统</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2017</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输配电成本管理系统</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2017</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662"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ECP</w:t>
            </w:r>
            <w:r>
              <w:rPr>
                <w:rFonts w:ascii="宋体" w:hAnsi="宋体" w:cs="宋体" w:eastAsia="宋体" w:hint="default"/>
                <w:sz w:val="20"/>
                <w:szCs w:val="20"/>
              </w:rPr>
              <w:t>云服务平台的智能</w:t>
            </w:r>
            <w:r>
              <w:rPr>
                <w:rFonts w:ascii="宋体" w:hAnsi="宋体" w:cs="宋体" w:eastAsia="宋体" w:hint="default"/>
                <w:spacing w:val="-83"/>
                <w:sz w:val="20"/>
                <w:szCs w:val="20"/>
              </w:rPr>
              <w:t> </w:t>
            </w:r>
            <w:r>
              <w:rPr>
                <w:rFonts w:ascii="宋体" w:hAnsi="宋体" w:cs="宋体" w:eastAsia="宋体" w:hint="default"/>
                <w:sz w:val="20"/>
                <w:szCs w:val="20"/>
              </w:rPr>
              <w:t>分析系统</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2017</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数据存证区块链</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2018</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68.04%</w:t>
            </w:r>
          </w:p>
        </w:tc>
      </w:tr>
      <w:tr>
        <w:trPr>
          <w:trHeight w:val="658"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2"/>
              <w:jc w:val="left"/>
              <w:rPr>
                <w:rFonts w:ascii="宋体" w:hAnsi="宋体" w:cs="宋体" w:eastAsia="宋体" w:hint="default"/>
                <w:sz w:val="20"/>
                <w:szCs w:val="20"/>
              </w:rPr>
            </w:pPr>
            <w:r>
              <w:rPr>
                <w:rFonts w:ascii="宋体" w:hAnsi="宋体" w:cs="宋体" w:eastAsia="宋体" w:hint="default"/>
                <w:spacing w:val="14"/>
                <w:sz w:val="20"/>
                <w:szCs w:val="20"/>
              </w:rPr>
              <w:t>基于分布式架构的研发运</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维一体化平台（天擎）</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2019</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71.47%</w:t>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知识共享交流管理平台</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2019</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27.60%</w:t>
            </w:r>
          </w:p>
        </w:tc>
      </w:tr>
      <w:tr>
        <w:trPr>
          <w:trHeight w:val="350"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营销云</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2019</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月</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
              <w:jc w:val="right"/>
              <w:rPr>
                <w:rFonts w:ascii="宋体" w:hAnsi="宋体" w:cs="宋体" w:eastAsia="宋体" w:hint="default"/>
                <w:sz w:val="20"/>
                <w:szCs w:val="20"/>
              </w:rPr>
            </w:pPr>
            <w:r>
              <w:rPr>
                <w:rFonts w:ascii="宋体" w:hAnsi="宋体" w:cs="宋体" w:eastAsia="宋体" w:hint="default"/>
                <w:spacing w:val="-2"/>
                <w:sz w:val="20"/>
                <w:szCs w:val="20"/>
              </w:rPr>
              <w:t>产品规划评审通过</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pacing w:val="-1"/>
                <w:sz w:val="20"/>
              </w:rPr>
              <w:t>18.81%</w:t>
            </w:r>
          </w:p>
        </w:tc>
      </w:tr>
      <w:tr>
        <w:trPr>
          <w:trHeight w:val="346"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tabs>
                <w:tab w:pos="451" w:val="left" w:leader="none"/>
              </w:tabs>
              <w:spacing w:line="284" w:lineRule="exact"/>
              <w:ind w:left="4"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151"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53" w:right="0" w:firstLine="0"/>
        <w:jc w:val="left"/>
        <w:rPr>
          <w:rFonts w:ascii="宋体" w:hAnsi="宋体" w:cs="宋体" w:eastAsia="宋体" w:hint="default"/>
          <w:sz w:val="21"/>
          <w:szCs w:val="21"/>
        </w:rPr>
      </w:pPr>
      <w:bookmarkStart w:name="28、商誉" w:id="320"/>
      <w:bookmarkEnd w:id="320"/>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商誉账面原值"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7"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北京神航星云科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长沙远光瑞翔科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30,377,899.03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30,377,899.03</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杭州昊美科技有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10,545,707.83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10,545,707.83</w:t>
            </w: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北京智和管理咨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询有限公司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567,530.64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567,530.64</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42,754,673.29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41,491,137.50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商誉减值准备"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北京神航星云科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长沙远光瑞翔科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3,775,326.88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6,180,677.25</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5,038,862.67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6,180,677.25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spacing w:line="273" w:lineRule="auto" w:before="90"/>
        <w:ind w:left="153" w:right="0" w:firstLine="0"/>
        <w:jc w:val="left"/>
        <w:rPr>
          <w:rFonts w:ascii="宋体" w:hAnsi="宋体" w:cs="宋体" w:eastAsia="宋体" w:hint="default"/>
          <w:sz w:val="21"/>
          <w:szCs w:val="21"/>
        </w:rPr>
      </w:pPr>
      <w:r>
        <w:rPr>
          <w:rFonts w:ascii="宋体" w:hAnsi="宋体" w:cs="宋体" w:eastAsia="宋体" w:hint="default"/>
          <w:sz w:val="21"/>
          <w:szCs w:val="21"/>
        </w:rPr>
        <w:t>本公司商誉系本公司于以前年度非同一控制下的企业合并形成。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由于上述子公司的主要现金流均独立于本公司及本公司的其他子公司，因此每个子公司为一个资产组。</w:t>
      </w:r>
    </w:p>
    <w:p>
      <w:pPr>
        <w:spacing w:line="316" w:lineRule="auto" w:before="7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pStyle w:val="BodyText"/>
        <w:spacing w:line="308" w:lineRule="exact" w:before="122"/>
        <w:ind w:right="0"/>
        <w:jc w:val="left"/>
      </w:pPr>
      <w:r>
        <w:rPr/>
        <w:t>资产负债表日，公司对与商誉相关的各资产组进行了减值测试，按与商誉有关的资产组合来</w:t>
      </w:r>
      <w:r>
        <w:rPr>
          <w:spacing w:val="-93"/>
        </w:rPr>
        <w:t> </w:t>
      </w:r>
      <w:r>
        <w:rPr>
          <w:spacing w:val="-93"/>
        </w:rPr>
      </w:r>
      <w:r>
        <w:rPr/>
        <w:t>预计未来现金流量现值。</w:t>
      </w:r>
    </w:p>
    <w:p>
      <w:pPr>
        <w:spacing w:line="240" w:lineRule="auto" w:before="7"/>
        <w:rPr>
          <w:rFonts w:ascii="宋体" w:hAnsi="宋体" w:cs="宋体" w:eastAsia="宋体" w:hint="default"/>
          <w:sz w:val="16"/>
          <w:szCs w:val="16"/>
        </w:rPr>
      </w:pPr>
    </w:p>
    <w:p>
      <w:pPr>
        <w:pStyle w:val="BodyText"/>
        <w:spacing w:line="312" w:lineRule="exact"/>
        <w:ind w:right="0"/>
        <w:jc w:val="left"/>
      </w:pPr>
      <w:r>
        <w:rPr/>
        <w:t>资产组合预计的未来现金流量依据管理层制定的未来五年财务预算确定，超过五年财务预算</w:t>
      </w:r>
      <w:r>
        <w:rPr>
          <w:spacing w:val="-93"/>
        </w:rPr>
        <w:t> </w:t>
      </w:r>
      <w:r>
        <w:rPr>
          <w:spacing w:val="-93"/>
        </w:rPr>
      </w:r>
      <w:r>
        <w:rPr/>
        <w:t>之后年份的现金流量均保持稳定，现金流量折现率为</w:t>
      </w:r>
      <w:r>
        <w:rPr>
          <w:rFonts w:ascii="Times New Roman" w:hAnsi="Times New Roman" w:cs="Times New Roman" w:eastAsia="Times New Roman" w:hint="default"/>
        </w:rPr>
        <w:t>15.73%</w:t>
      </w:r>
      <w:r>
        <w:rPr/>
        <w:t>。</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4"/>
          <w:szCs w:val="3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p>
    <w:p>
      <w:pPr>
        <w:pStyle w:val="BodyText"/>
        <w:spacing w:line="312" w:lineRule="exact" w:before="94"/>
        <w:ind w:right="0"/>
        <w:jc w:val="left"/>
      </w:pPr>
      <w:r>
        <w:rPr/>
        <w:t>通过各资产组未来预计现金流量现值与包含商誉的资产组账面价值对比，截止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3"/>
        </w:rPr>
        <w:t>日，子公司杭州昊美科技有限公司、子公司北京智和管理咨询有限公司商誉未发生减值迹象，</w:t>
      </w:r>
      <w:r>
        <w:rPr>
          <w:spacing w:val="-81"/>
        </w:rPr>
        <w:t> </w:t>
      </w:r>
      <w:r>
        <w:rPr>
          <w:spacing w:val="-81"/>
        </w:rPr>
      </w:r>
      <w:r>
        <w:rPr/>
        <w:t>本年无需计提商誉减值准备，子公司长沙远光瑞翔科技有限公司商誉本年需计提减值准备 </w:t>
      </w:r>
      <w:r>
        <w:rPr>
          <w:rFonts w:ascii="Times New Roman" w:hAnsi="Times New Roman" w:cs="Times New Roman" w:eastAsia="Times New Roman" w:hint="default"/>
        </w:rPr>
        <w:t>2,405,350.37</w:t>
      </w:r>
      <w:r>
        <w:rPr/>
        <w:t>元。</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9、长期待摊费用" w:id="323"/>
      <w:bookmarkEnd w:id="323"/>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3,390,411.60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2,832,980.42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557,431.18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3,390,411.60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2,832,980.42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557,431.18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0、递延所得税资产/递延所得税负债" w:id="324"/>
      <w:bookmarkEnd w:id="324"/>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199,606,246.23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22,177,791.63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97,460,162.94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10,663,551.75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66,818,205.85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10,562,256.89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56,210,745.11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8,459,683.17</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2"/>
                <w:sz w:val="18"/>
                <w:szCs w:val="18"/>
              </w:rPr>
              <w:t>长期股权投资权益法核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算产生的可抵扣暂时性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31,475,812.70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3,147,581.28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2,403,089.02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240,308.90</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7,722,620.00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772,262.00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297,900,264.78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35,887,629.80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163,796,617.07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20,135,805.82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未经抵销的递延所得税负债"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13,345,177.09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2,001,776.54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17,498,305.59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2,624,745.82</w:t>
            </w:r>
          </w:p>
        </w:tc>
      </w:tr>
      <w:tr>
        <w:trPr>
          <w:trHeight w:val="133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2"/>
                <w:sz w:val="18"/>
                <w:szCs w:val="18"/>
              </w:rPr>
              <w:t>计入其他综合收益的其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他权益工具公允价值变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动产生的应纳税暂时性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12,170,389.39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1,217,038.94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2"/>
                <w:sz w:val="18"/>
                <w:szCs w:val="18"/>
              </w:rPr>
              <w:t>长期股权投资权益法核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算产生的应纳税暂时性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654,507.56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65,450.76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其他权益工具产生的应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纳税暂时性差异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63,787,119.69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6,378,711.96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可供出售金融资产产生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的应纳税暂时性差异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63,787,119.69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6,378,711.96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89,957,193.73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9,662,978.20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81,285,425.28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9,003,457.78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以抵销后净额列示的递延所得税资产或负债"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8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0"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2"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2"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31"/>
        <w:gridCol w:w="1911"/>
        <w:gridCol w:w="1916"/>
        <w:gridCol w:w="1916"/>
      </w:tblGrid>
      <w:tr>
        <w:trPr>
          <w:trHeight w:val="36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22"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pacing w:val="-3"/>
                <w:sz w:val="18"/>
                <w:szCs w:val="18"/>
              </w:rPr>
              <w:t>或负债期初余额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35,887,629.80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20,135,805.82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9,662,978.20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9,003,457.78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未确认递延所得税资产明细"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28,180,905.03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20,258,004.87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333,457.21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96,742,385.88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28,514,362.24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117,000,390.75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未确认递延所得税资产的可抵扣亏损将于以下年度到期"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10,095,174.53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47,283.37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22,546,124.88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105,852.34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712,365.68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84,395.11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22,601,058.80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95,926.39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40,787,661.99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333,457.21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96,742,385.88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1、其他非流动资产" w:id="330"/>
      <w:bookmarkEnd w:id="330"/>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2、短期借款" w:id="331"/>
      <w:bookmarkEnd w:id="331"/>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短期借款分类"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40,968,387.02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40,968,387.02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2"/>
        <w:rPr>
          <w:rFonts w:ascii="宋体" w:hAnsi="宋体" w:cs="宋体" w:eastAsia="宋体" w:hint="default"/>
          <w:sz w:val="13"/>
          <w:szCs w:val="13"/>
        </w:rPr>
      </w:pPr>
    </w:p>
    <w:p>
      <w:pPr>
        <w:pStyle w:val="BodyText"/>
        <w:spacing w:line="312" w:lineRule="exact"/>
        <w:ind w:right="0"/>
        <w:jc w:val="left"/>
      </w:pPr>
      <w:r>
        <w:rPr/>
        <w:t>子公司杭州昊美科技有限公司向招商银行杭州高新支行借款余额</w:t>
      </w:r>
      <w:r>
        <w:rPr>
          <w:rFonts w:ascii="Times New Roman" w:hAnsi="Times New Roman" w:cs="Times New Roman" w:eastAsia="Times New Roman" w:hint="default"/>
        </w:rPr>
        <w:t>10,000,000.00</w:t>
      </w:r>
      <w:r>
        <w:rPr/>
        <w:t>元，由公司提</w:t>
      </w:r>
      <w:r>
        <w:rPr>
          <w:spacing w:val="-29"/>
        </w:rPr>
        <w:t> </w:t>
      </w:r>
      <w:r>
        <w:rPr>
          <w:spacing w:val="-29"/>
        </w:rPr>
      </w:r>
      <w:r>
        <w:rPr/>
        <w:t>供连带责任保证。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spacing w:before="0"/>
        <w:ind w:left="153" w:right="0" w:firstLine="0"/>
        <w:jc w:val="left"/>
        <w:rPr>
          <w:rFonts w:ascii="宋体" w:hAnsi="宋体" w:cs="宋体" w:eastAsia="宋体" w:hint="default"/>
          <w:sz w:val="21"/>
          <w:szCs w:val="21"/>
        </w:rPr>
      </w:pPr>
      <w:bookmarkStart w:name="（2）已逾期未偿还的短期借款情况"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3、交易性金融负债" w:id="334"/>
      <w:bookmarkEnd w:id="334"/>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4、衍生金融负债" w:id="335"/>
      <w:bookmarkEnd w:id="33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5、应付票据" w:id="336"/>
      <w:bookmarkEnd w:id="336"/>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452,600.00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6、应付账款" w:id="337"/>
      <w:bookmarkEnd w:id="337"/>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账款列示"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应付材料款等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134,954,065.20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110,719,365.87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134,954,065.20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110,719,365.87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应付账款"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2,317,700.00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2,317,700.00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7、预收款项" w:id="340"/>
      <w:bookmarkEnd w:id="340"/>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预收款项列示"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10,319,374.68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15,823,554.77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10,319,374.68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15,823,554.77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预收款项"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期末建造合同形成的已结算未完工项目情况"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8、合同负债" w:id="344"/>
      <w:bookmarkEnd w:id="344"/>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报告期内账面价值发生重大变动的金额和原因</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9、应付职工薪酬" w:id="345"/>
      <w:bookmarkEnd w:id="345"/>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职工薪酬列示"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93,982,635.18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781,363,465.28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776,466,867.81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98,879,232.65</w:t>
            </w: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10,151.79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42,631,017.04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42,641,071.14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97.69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2,579,905.33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2,579,905.33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四、一年内到期的其他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福利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93,992,786.97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826,574,387.65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821,687,844.28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98,879,330.34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短期薪酬列示"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89,984,424.03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690,859,906.25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684,460,914.04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96,383,416.24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20,003,843.68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20,003,843.68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6,222.07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26,128,687.87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26,134,850.05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5,239.64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22,003,105.57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22,008,294.78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1,375,194.10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1,375,518.42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2,750,388.20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2,751,036.85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6.30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24,538,420.48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24,538,868.48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3,991,541.08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19,832,607.00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21,328,391.56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2,495,756.52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93,982,635.18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781,363,465.28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776,466,867.81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98,879,232.65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设定提存计划列示"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8,841.88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37,130,240.65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37,138,997.44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85.09</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1,309.91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5,500,776.39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5,502,073.70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10,151.79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42,631,017.04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42,641,071.14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97.69</w:t>
            </w:r>
          </w:p>
        </w:tc>
      </w:tr>
    </w:tbl>
    <w:p>
      <w:pPr>
        <w:spacing w:before="54"/>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312" w:lineRule="exact"/>
        <w:ind w:right="1136"/>
        <w:jc w:val="both"/>
      </w:pPr>
      <w:r>
        <w:rPr/>
        <w:t>本公司按规定参加由政府机构设立的养老保险、失业保险计划，根据该等计划，本公司按员</w:t>
      </w:r>
      <w:r>
        <w:rPr>
          <w:spacing w:val="-93"/>
        </w:rPr>
        <w:t> </w:t>
      </w:r>
      <w:r>
        <w:rPr>
          <w:spacing w:val="-93"/>
        </w:rPr>
      </w:r>
      <w:r>
        <w:rPr/>
        <w:t>工基本工资每月向该等计划缴存费用。除上述每月缴存费用外，本公司不再承担进一步支付</w:t>
      </w:r>
      <w:r>
        <w:rPr>
          <w:spacing w:val="-93"/>
        </w:rPr>
        <w:t> </w:t>
      </w:r>
      <w:r>
        <w:rPr>
          <w:spacing w:val="-93"/>
        </w:rPr>
      </w:r>
      <w:r>
        <w:rPr/>
        <w:t>义务。相应的支出于发生时计入当期损益或相关资产的成本。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3" w:right="0" w:firstLine="0"/>
        <w:jc w:val="both"/>
        <w:rPr>
          <w:rFonts w:ascii="宋体" w:hAnsi="宋体" w:cs="宋体" w:eastAsia="宋体" w:hint="default"/>
          <w:sz w:val="21"/>
          <w:szCs w:val="21"/>
        </w:rPr>
      </w:pPr>
      <w:bookmarkStart w:name="40、应交税费" w:id="349"/>
      <w:bookmarkEnd w:id="349"/>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32,246,136.65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20,267,763.93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11,163,671.25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5,422,352.11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2,783,942.40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2,442,219.40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2,256,272.18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1,494,467.57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1,611,045.15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1,067,530.43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29,017.62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577,630.07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50,090,085.25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31,271,963.51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1、其他应付款" w:id="350"/>
      <w:bookmarkEnd w:id="350"/>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25,012.51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34,751.67</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571,034.20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6,688,419.30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10,069,801.28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6,713,431.81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10,675,587.15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应付利息"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25,012.51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34,751.67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25,012.51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34,751.67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应付股利"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571,034.20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571,034.20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其他应付款"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按款项性质列示其他应付款" w:id="354"/>
      <w:bookmarkEnd w:id="3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678,798.33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1,534,720.77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6,009,620.97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8,535,080.51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6,688,419.30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10,069,801.28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其他应付款" w:id="355"/>
      <w:bookmarkEnd w:id="3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2、持有待售负债" w:id="356"/>
      <w:bookmarkEnd w:id="356"/>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3、一年内到期的非流动负债" w:id="357"/>
      <w:bookmarkEnd w:id="357"/>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4、其他流动负债" w:id="358"/>
      <w:bookmarkEnd w:id="358"/>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34,433,729.20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5、长期借款" w:id="359"/>
      <w:bookmarkEnd w:id="35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借款分类"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2" w:lineRule="auto" w:before="53"/>
        <w:ind w:left="153" w:right="7919"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46、应付债券" w:id="361"/>
      <w:bookmarkEnd w:id="361"/>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债券"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应付债券的增减变动（不包括划分为金融负债的优先股、永续债等其他金融工具）"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800"/>
        <w:gridCol w:w="800"/>
        <w:gridCol w:w="797"/>
        <w:gridCol w:w="797"/>
        <w:gridCol w:w="800"/>
        <w:gridCol w:w="799"/>
        <w:gridCol w:w="797"/>
        <w:gridCol w:w="797"/>
      </w:tblGrid>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6"/>
        <w:gridCol w:w="811"/>
        <w:gridCol w:w="797"/>
        <w:gridCol w:w="797"/>
        <w:gridCol w:w="797"/>
        <w:gridCol w:w="802"/>
        <w:gridCol w:w="797"/>
        <w:gridCol w:w="797"/>
        <w:gridCol w:w="797"/>
        <w:gridCol w:w="802"/>
        <w:gridCol w:w="797"/>
        <w:gridCol w:w="797"/>
      </w:tblGrid>
      <w:tr>
        <w:trPr>
          <w:trHeight w:val="360"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w w:val="101"/>
                <w:sz w:val="18"/>
                <w:szCs w:val="18"/>
              </w:rPr>
              <w:t>销</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1"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13" w:space="0" w:color="D2D2D2"/>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可转换公司债券的转股条件、转股时间说明"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划分为金融负债的其他金融工具说明"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57"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17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3"/>
        <w:ind w:left="153" w:right="7136"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47、租赁负债" w:id="366"/>
      <w:bookmarkEnd w:id="366"/>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8、长期应付款" w:id="367"/>
      <w:bookmarkEnd w:id="367"/>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按款项性质列示长期应付款"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专项应付款"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9、长期应付职工薪酬" w:id="370"/>
      <w:bookmarkEnd w:id="37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应付职工薪酬表"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设定受益计划变动情况"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设定受益计划重大精算假设及敏感性分析结果说明：</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0、预计负债" w:id="373"/>
      <w:bookmarkEnd w:id="373"/>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1、递延收益" w:id="374"/>
      <w:bookmarkEnd w:id="374"/>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3,900,000.00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2,800,000.00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3"/>
        <w:gridCol w:w="1008"/>
        <w:gridCol w:w="1011"/>
        <w:gridCol w:w="1011"/>
        <w:gridCol w:w="1011"/>
        <w:gridCol w:w="1248"/>
        <w:gridCol w:w="999"/>
      </w:tblGrid>
      <w:tr>
        <w:trPr>
          <w:trHeight w:val="379"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3"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672"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418" w:right="41" w:hanging="360"/>
              <w:jc w:val="left"/>
              <w:rPr>
                <w:rFonts w:ascii="宋体" w:hAnsi="宋体" w:cs="宋体" w:eastAsia="宋体" w:hint="default"/>
                <w:sz w:val="18"/>
                <w:szCs w:val="18"/>
              </w:rPr>
            </w:pPr>
            <w:r>
              <w:rPr>
                <w:rFonts w:ascii="宋体" w:hAnsi="宋体" w:cs="宋体" w:eastAsia="宋体" w:hint="default"/>
                <w:spacing w:val="-2"/>
                <w:sz w:val="18"/>
                <w:szCs w:val="18"/>
              </w:rPr>
              <w:t>业外收入金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1"/>
              <w:jc w:val="right"/>
              <w:rPr>
                <w:rFonts w:ascii="宋体" w:hAnsi="宋体" w:cs="宋体" w:eastAsia="宋体" w:hint="default"/>
                <w:sz w:val="18"/>
                <w:szCs w:val="18"/>
              </w:rPr>
            </w:pP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博士后工作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站补助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面向电力行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业信息化的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云计算服务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70"/>
              <w:jc w:val="both"/>
              <w:rPr>
                <w:rFonts w:ascii="宋体" w:hAnsi="宋体" w:cs="宋体" w:eastAsia="宋体" w:hint="default"/>
                <w:sz w:val="18"/>
                <w:szCs w:val="18"/>
              </w:rPr>
            </w:pPr>
            <w:r>
              <w:rPr>
                <w:rFonts w:ascii="宋体" w:hAnsi="宋体" w:cs="宋体" w:eastAsia="宋体" w:hint="default"/>
                <w:sz w:val="18"/>
                <w:szCs w:val="18"/>
              </w:rPr>
              <w:t>面向电力行</w:t>
            </w:r>
            <w:r>
              <w:rPr>
                <w:rFonts w:ascii="宋体" w:hAnsi="宋体" w:cs="宋体" w:eastAsia="宋体" w:hint="default"/>
                <w:w w:val="101"/>
                <w:sz w:val="18"/>
                <w:szCs w:val="18"/>
              </w:rPr>
              <w:t> </w:t>
            </w:r>
            <w:r>
              <w:rPr>
                <w:rFonts w:ascii="宋体" w:hAnsi="宋体" w:cs="宋体" w:eastAsia="宋体" w:hint="default"/>
                <w:sz w:val="18"/>
                <w:szCs w:val="18"/>
              </w:rPr>
              <w:t>业的云计算</w:t>
            </w:r>
            <w:r>
              <w:rPr>
                <w:rFonts w:ascii="宋体" w:hAnsi="宋体" w:cs="宋体" w:eastAsia="宋体" w:hint="default"/>
                <w:w w:val="101"/>
                <w:sz w:val="18"/>
                <w:szCs w:val="18"/>
              </w:rPr>
              <w:t> </w:t>
            </w:r>
            <w:r>
              <w:rPr>
                <w:rFonts w:ascii="宋体" w:hAnsi="宋体" w:cs="宋体" w:eastAsia="宋体" w:hint="default"/>
                <w:sz w:val="18"/>
                <w:szCs w:val="18"/>
              </w:rPr>
              <w:t>服务系统的</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QoS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解决方</w:t>
            </w:r>
            <w:r>
              <w:rPr>
                <w:rFonts w:ascii="宋体" w:hAnsi="宋体" w:cs="宋体" w:eastAsia="宋体" w:hint="default"/>
                <w:spacing w:val="-87"/>
                <w:sz w:val="18"/>
                <w:szCs w:val="18"/>
              </w:rPr>
              <w:t> </w:t>
            </w:r>
            <w:r>
              <w:rPr>
                <w:rFonts w:ascii="宋体" w:hAnsi="宋体" w:cs="宋体" w:eastAsia="宋体" w:hint="default"/>
                <w:sz w:val="18"/>
                <w:szCs w:val="18"/>
              </w:rPr>
              <w:t>案与管理平</w:t>
            </w:r>
            <w:r>
              <w:rPr>
                <w:rFonts w:ascii="宋体" w:hAnsi="宋体" w:cs="宋体" w:eastAsia="宋体" w:hint="default"/>
                <w:w w:val="101"/>
                <w:sz w:val="18"/>
                <w:szCs w:val="18"/>
              </w:rPr>
              <w:t> </w:t>
            </w:r>
            <w:r>
              <w:rPr>
                <w:rFonts w:ascii="宋体" w:hAnsi="宋体" w:cs="宋体" w:eastAsia="宋体" w:hint="default"/>
                <w:sz w:val="18"/>
                <w:szCs w:val="18"/>
              </w:rPr>
              <w:t>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电力基建工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程财务风险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内控信息化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面向集团企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业的监督管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理系统项目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研发及产业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期省级</w:t>
            </w:r>
            <w:r>
              <w:rPr>
                <w:rFonts w:ascii="宋体" w:hAnsi="宋体" w:cs="宋体" w:eastAsia="宋体" w:hint="default"/>
                <w:w w:val="101"/>
                <w:sz w:val="18"/>
                <w:szCs w:val="18"/>
              </w:rPr>
              <w:t> </w:t>
            </w:r>
            <w:r>
              <w:rPr>
                <w:rFonts w:ascii="宋体" w:hAnsi="宋体" w:cs="宋体" w:eastAsia="宋体" w:hint="default"/>
                <w:sz w:val="18"/>
                <w:szCs w:val="18"/>
              </w:rPr>
              <w:t>工业和信息</w:t>
            </w:r>
            <w:r>
              <w:rPr>
                <w:rFonts w:ascii="宋体" w:hAnsi="宋体" w:cs="宋体" w:eastAsia="宋体" w:hint="default"/>
                <w:w w:val="101"/>
                <w:sz w:val="18"/>
                <w:szCs w:val="18"/>
              </w:rPr>
              <w:t> </w:t>
            </w:r>
            <w:r>
              <w:rPr>
                <w:rFonts w:ascii="宋体" w:hAnsi="宋体" w:cs="宋体" w:eastAsia="宋体" w:hint="default"/>
                <w:sz w:val="18"/>
                <w:szCs w:val="18"/>
              </w:rPr>
              <w:t>化专项资金</w:t>
            </w:r>
            <w:r>
              <w:rPr>
                <w:rFonts w:ascii="宋体" w:hAnsi="宋体" w:cs="宋体" w:eastAsia="宋体" w:hint="default"/>
                <w:w w:val="101"/>
                <w:sz w:val="18"/>
                <w:szCs w:val="18"/>
              </w:rPr>
              <w:t> </w:t>
            </w:r>
            <w:r>
              <w:rPr>
                <w:rFonts w:ascii="宋体" w:hAnsi="宋体" w:cs="宋体" w:eastAsia="宋体" w:hint="default"/>
                <w:sz w:val="18"/>
                <w:szCs w:val="18"/>
              </w:rPr>
              <w:t>支持大数据</w:t>
            </w:r>
            <w:r>
              <w:rPr>
                <w:rFonts w:ascii="宋体" w:hAnsi="宋体" w:cs="宋体" w:eastAsia="宋体" w:hint="default"/>
                <w:w w:val="101"/>
                <w:sz w:val="18"/>
                <w:szCs w:val="18"/>
              </w:rPr>
              <w:t> </w:t>
            </w:r>
            <w:r>
              <w:rPr>
                <w:rFonts w:ascii="宋体" w:hAnsi="宋体" w:cs="宋体" w:eastAsia="宋体" w:hint="default"/>
                <w:sz w:val="18"/>
                <w:szCs w:val="18"/>
              </w:rPr>
              <w:t>应用示范项</w:t>
            </w:r>
            <w:r>
              <w:rPr>
                <w:rFonts w:ascii="宋体" w:hAnsi="宋体" w:cs="宋体" w:eastAsia="宋体" w:hint="default"/>
                <w:w w:val="101"/>
                <w:sz w:val="18"/>
                <w:szCs w:val="18"/>
              </w:rPr>
              <w:t> </w:t>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基于区块链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技术的可信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云服务基础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架构研究与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2,000,000.00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2、其他非流动负债" w:id="375"/>
      <w:bookmarkEnd w:id="375"/>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3、股本" w:id="376"/>
      <w:bookmarkEnd w:id="376"/>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208"/>
        <w:gridCol w:w="1189"/>
        <w:gridCol w:w="1196"/>
        <w:gridCol w:w="1196"/>
        <w:gridCol w:w="1196"/>
        <w:gridCol w:w="1186"/>
        <w:gridCol w:w="1205"/>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849,403,251.00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Times New Roman" w:hAnsi="Times New Roman" w:cs="Times New Roman" w:eastAsia="Times New Roman" w:hint="default"/>
                <w:sz w:val="18"/>
                <w:szCs w:val="18"/>
              </w:rPr>
            </w:pPr>
            <w:r>
              <w:rPr>
                <w:rFonts w:ascii="Times New Roman"/>
                <w:spacing w:val="-2"/>
                <w:sz w:val="18"/>
              </w:rPr>
              <w:t>-1,337,011.00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Times New Roman" w:hAnsi="Times New Roman" w:cs="Times New Roman" w:eastAsia="Times New Roman" w:hint="default"/>
                <w:sz w:val="18"/>
                <w:szCs w:val="18"/>
              </w:rPr>
            </w:pPr>
            <w:r>
              <w:rPr>
                <w:rFonts w:ascii="Times New Roman"/>
                <w:spacing w:val="-2"/>
                <w:sz w:val="18"/>
              </w:rPr>
              <w:t>-1,337,011.00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848,066,240.00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right="0"/>
        <w:jc w:val="left"/>
      </w:pPr>
      <w:r>
        <w:rPr/>
        <w:t>说明：股本变动详见本节三、公司基本情况。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bookmarkStart w:name="54、其他权益工具" w:id="377"/>
      <w:bookmarkEnd w:id="377"/>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期末发行在外的优先股、永续债等其他金融工具基本情况"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期末发行在外的优先股、永续债等金融工具变动情况表"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4617"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55、资本公积" w:id="380"/>
      <w:bookmarkEnd w:id="380"/>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143,078,328.80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8,613,920.00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7,051,776.44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144,640,472.36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7,722,620.00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2,307,410.48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8,613,920.00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1,416,110.48</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150,800,948.80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10,921,330.48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15,665,696.44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146,056,582.84</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240" w:lineRule="auto" w:before="140"/>
        <w:ind w:right="0"/>
        <w:jc w:val="both"/>
      </w:pPr>
      <w:r>
        <w:rPr/>
        <w:t>说明：</w:t>
      </w:r>
    </w:p>
    <w:p>
      <w:pPr>
        <w:spacing w:line="240" w:lineRule="auto" w:before="8"/>
        <w:rPr>
          <w:rFonts w:ascii="宋体" w:hAnsi="宋体" w:cs="宋体" w:eastAsia="宋体" w:hint="default"/>
          <w:sz w:val="17"/>
          <w:szCs w:val="17"/>
        </w:rPr>
      </w:pPr>
    </w:p>
    <w:p>
      <w:pPr>
        <w:pStyle w:val="BodyText"/>
        <w:spacing w:line="225" w:lineRule="auto"/>
        <w:ind w:right="1122"/>
        <w:jc w:val="both"/>
      </w:pPr>
      <w:r>
        <w:rPr/>
        <w:t>（</w:t>
      </w:r>
      <w:r>
        <w:rPr>
          <w:rFonts w:ascii="Times New Roman" w:hAnsi="Times New Roman" w:cs="Times New Roman" w:eastAsia="Times New Roman" w:hint="default"/>
        </w:rPr>
        <w:t>1</w:t>
      </w:r>
      <w:r>
        <w:rPr/>
        <w:t>）资本溢价本年减少原因为：离职人员限制性股票回购减少资本公积</w:t>
      </w:r>
      <w:r>
        <w:rPr>
          <w:rFonts w:ascii="Times New Roman" w:hAnsi="Times New Roman" w:cs="Times New Roman" w:eastAsia="Times New Roman" w:hint="default"/>
        </w:rPr>
        <w:t>5,197,435.72</w:t>
      </w:r>
      <w:r>
        <w:rPr/>
        <w:t>元，公</w:t>
      </w:r>
      <w:r>
        <w:rPr>
          <w:spacing w:val="-29"/>
        </w:rPr>
        <w:t> </w:t>
      </w:r>
      <w:r>
        <w:rPr>
          <w:spacing w:val="-29"/>
        </w:rPr>
      </w:r>
      <w:r>
        <w:rPr>
          <w:spacing w:val="-1"/>
        </w:rPr>
        <w:t>司同一控制下对子公司的所有者权益份额变化相关交易减少资本公积</w:t>
      </w:r>
      <w:r>
        <w:rPr>
          <w:rFonts w:ascii="Times New Roman" w:hAnsi="Times New Roman" w:cs="Times New Roman" w:eastAsia="Times New Roman" w:hint="default"/>
          <w:spacing w:val="-1"/>
        </w:rPr>
        <w:t>1,854,340.72</w:t>
      </w:r>
      <w:r>
        <w:rPr>
          <w:spacing w:val="-1"/>
        </w:rPr>
        <w:t>元。本年增</w:t>
      </w:r>
      <w:r>
        <w:rPr>
          <w:spacing w:val="-93"/>
        </w:rPr>
        <w:t> </w:t>
      </w:r>
      <w:r>
        <w:rPr>
          <w:spacing w:val="-93"/>
        </w:rPr>
      </w:r>
      <w:r>
        <w:rPr/>
        <w:t>加原因为：本年解锁限制性股票的股权激励费用（从其他资本公积转入）。</w:t>
      </w:r>
    </w:p>
    <w:p>
      <w:pPr>
        <w:pStyle w:val="BodyText"/>
        <w:spacing w:line="240" w:lineRule="auto" w:before="216"/>
        <w:ind w:right="0"/>
        <w:jc w:val="both"/>
      </w:pPr>
      <w:r>
        <w:rPr/>
        <w:t>（</w:t>
      </w:r>
      <w:r>
        <w:rPr>
          <w:rFonts w:ascii="Times New Roman" w:hAnsi="Times New Roman" w:cs="Times New Roman" w:eastAsia="Times New Roman" w:hint="default"/>
        </w:rPr>
        <w:t>2</w:t>
      </w:r>
      <w:r>
        <w:rPr/>
        <w:t>）其他资本公积本年新增为本年计提的股权激励费用以及由于被投资方深圳市链联科技有</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left"/>
      </w:pPr>
      <w:r>
        <w:rPr/>
        <w:t>限公司净资产增加计提的其他权益变动，减少为本年解锁限制性股票的股权激励费用。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0" w:firstLine="0"/>
        <w:jc w:val="left"/>
        <w:rPr>
          <w:rFonts w:ascii="宋体" w:hAnsi="宋体" w:cs="宋体" w:eastAsia="宋体" w:hint="default"/>
          <w:sz w:val="21"/>
          <w:szCs w:val="21"/>
        </w:rPr>
      </w:pPr>
      <w:bookmarkStart w:name="56、库存股" w:id="381"/>
      <w:bookmarkEnd w:id="381"/>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34,433,729.20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7、其他综合收益" w:id="382"/>
      <w:bookmarkEnd w:id="382"/>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398" w:hRule="exact"/>
        </w:trPr>
        <w:tc>
          <w:tcPr>
            <w:tcW w:w="2559"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6"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9" w:space="0" w:color="FFFFFF"/>
              <w:right w:val="single" w:sz="4" w:space="0" w:color="000000"/>
            </w:tcBorders>
            <w:shd w:val="clear" w:color="auto" w:fill="D2D2D2"/>
          </w:tcPr>
          <w:p>
            <w:pPr/>
          </w:p>
        </w:tc>
        <w:tc>
          <w:tcPr>
            <w:tcW w:w="725" w:type="dxa"/>
            <w:vMerge/>
            <w:tcBorders>
              <w:left w:val="single" w:sz="4" w:space="0" w:color="000000"/>
              <w:bottom w:val="single" w:sz="19" w:space="0" w:color="FFFFFF"/>
              <w:right w:val="single" w:sz="4" w:space="0" w:color="000000"/>
            </w:tcBorders>
            <w:shd w:val="clear" w:color="auto" w:fill="D2D2D2"/>
          </w:tcPr>
          <w:p>
            <w:pPr/>
          </w:p>
        </w:tc>
      </w:tr>
      <w:tr>
        <w:trPr>
          <w:trHeight w:val="144" w:hRule="exact"/>
        </w:trPr>
        <w:tc>
          <w:tcPr>
            <w:tcW w:w="2559"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9" w:space="0" w:color="FFFFFF"/>
              <w:left w:val="single" w:sz="4" w:space="0" w:color="000000"/>
              <w:right w:val="single" w:sz="4" w:space="0" w:color="000000"/>
            </w:tcBorders>
            <w:shd w:val="clear" w:color="auto" w:fill="D2D2D2"/>
          </w:tcPr>
          <w:p>
            <w:pPr>
              <w:pStyle w:val="TableParagraph"/>
              <w:spacing w:line="319" w:lineRule="auto" w:before="41"/>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9" w:space="0" w:color="FFFFFF"/>
              <w:left w:val="single" w:sz="4" w:space="0" w:color="000000"/>
              <w:right w:val="single" w:sz="4" w:space="0" w:color="000000"/>
            </w:tcBorders>
            <w:shd w:val="clear" w:color="auto" w:fill="D2D2D2"/>
          </w:tcPr>
          <w:p>
            <w:pPr>
              <w:pStyle w:val="TableParagraph"/>
              <w:spacing w:line="324"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68" w:hRule="exact"/>
        </w:trPr>
        <w:tc>
          <w:tcPr>
            <w:tcW w:w="2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75"/>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75"/>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8" w:hRule="exact"/>
        </w:trPr>
        <w:tc>
          <w:tcPr>
            <w:tcW w:w="2559"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4"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8"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8"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-5,597,688.4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18,390,04</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3.27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1,839,004.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16,551,03</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8.94</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10,953,3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50.45</w:t>
            </w:r>
          </w:p>
        </w:tc>
      </w:tr>
      <w:tr>
        <w:trPr>
          <w:trHeight w:val="716"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81" w:firstLine="542"/>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-5,597,688.4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18,390,04</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3.27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1,839,004.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16,551,03</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8.94</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10,953,3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50.45</w:t>
            </w: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-3,849.18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8,307.09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8,307.09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4,457.91</w:t>
            </w:r>
          </w:p>
        </w:tc>
      </w:tr>
      <w:tr>
        <w:trPr>
          <w:trHeight w:val="711"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其中：权益法下可转损益的其他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综合收益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其他债权投资公允价值</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-3,849.18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8,307.09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8,307.09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4,457.91</w:t>
            </w:r>
          </w:p>
        </w:tc>
      </w:tr>
      <w:tr>
        <w:trPr>
          <w:trHeight w:val="40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9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-5,601,537.6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18,398,35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0.36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1,839,004.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16,559,34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6.03</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10,957,8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08.36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8、专项储备" w:id="383"/>
      <w:bookmarkEnd w:id="383"/>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9、盈余公积" w:id="384"/>
      <w:bookmarkEnd w:id="384"/>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231,562,854.16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16,604,666.54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248,167,520.70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231,562,854.16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16,604,666.54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248,167,520.70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pStyle w:val="BodyText"/>
        <w:spacing w:line="312" w:lineRule="exact" w:before="94"/>
        <w:ind w:right="1191"/>
        <w:jc w:val="left"/>
      </w:pPr>
      <w:r>
        <w:rPr/>
        <w:t>根据《公司法》、公司章程的规定，本公司按净利润的</w:t>
      </w:r>
      <w:r>
        <w:rPr>
          <w:rFonts w:ascii="Times New Roman" w:hAnsi="Times New Roman" w:cs="Times New Roman" w:eastAsia="Times New Roman" w:hint="default"/>
        </w:rPr>
        <w:t>10%</w:t>
      </w:r>
      <w:r>
        <w:rPr/>
        <w:t>提取法定盈余公积。法定盈余公</w:t>
      </w:r>
      <w:r>
        <w:rPr>
          <w:spacing w:val="-117"/>
        </w:rPr>
        <w:t> </w:t>
      </w:r>
      <w:r>
        <w:rPr/>
        <w:t>积累计额达到本公司注册资本</w:t>
      </w:r>
      <w:r>
        <w:rPr>
          <w:rFonts w:ascii="Times New Roman" w:hAnsi="Times New Roman" w:cs="Times New Roman" w:eastAsia="Times New Roman" w:hint="default"/>
        </w:rPr>
        <w:t>50%</w:t>
      </w:r>
      <w:r>
        <w:rPr/>
        <w:t>以上的，不再提取。</w:t>
      </w:r>
    </w:p>
    <w:p>
      <w:pPr>
        <w:spacing w:line="240" w:lineRule="auto" w:before="10"/>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60、未分配利润" w:id="385"/>
      <w:bookmarkEnd w:id="385"/>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1,056,527,973.91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1,033,967,901.17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1,056,527,973.91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1,033,967,901.17</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226,707,159.85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194,695,651.63</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16,604,666.54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20,454,570.12</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42,346,965.11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30,278,130.77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121,402,878.00</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1,224,283,502.11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1,056,527,973.91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61、营业收入和营业成本" w:id="386"/>
      <w:bookmarkEnd w:id="386"/>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1"/>
        <w:gridCol w:w="1909"/>
        <w:gridCol w:w="1913"/>
        <w:gridCol w:w="1914"/>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2" w:type="dxa"/>
            <w:gridSpan w:val="2"/>
            <w:vMerge w:val="restart"/>
            <w:tcBorders>
              <w:top w:val="single" w:sz="4" w:space="0" w:color="000000"/>
              <w:left w:val="single" w:sz="4" w:space="0" w:color="000000"/>
              <w:right w:val="single" w:sz="21" w:space="0" w:color="FFFFFF"/>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4" w:space="0" w:color="000000"/>
              <w:left w:val="single" w:sz="21" w:space="0" w:color="FFFFFF"/>
              <w:right w:val="single" w:sz="4" w:space="0" w:color="000000"/>
            </w:tcBorders>
            <w:shd w:val="clear" w:color="auto" w:fill="D2D2D2"/>
          </w:tcPr>
          <w:p>
            <w:pPr>
              <w:pStyle w:val="TableParagraph"/>
              <w:spacing w:line="240" w:lineRule="auto" w:before="53"/>
              <w:ind w:right="2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2" w:type="dxa"/>
            <w:gridSpan w:val="2"/>
            <w:vMerge/>
            <w:tcBorders>
              <w:left w:val="single" w:sz="4" w:space="0" w:color="000000"/>
              <w:bottom w:val="single" w:sz="4" w:space="0" w:color="000000"/>
              <w:right w:val="single" w:sz="21" w:space="0" w:color="FFFFFF"/>
            </w:tcBorders>
            <w:shd w:val="clear" w:color="auto" w:fill="D2D2D2"/>
          </w:tcPr>
          <w:p>
            <w:pPr/>
          </w:p>
        </w:tc>
        <w:tc>
          <w:tcPr>
            <w:tcW w:w="3830" w:type="dxa"/>
            <w:gridSpan w:val="2"/>
            <w:vMerge/>
            <w:tcBorders>
              <w:left w:val="single" w:sz="21" w:space="0" w:color="FFFFFF"/>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21" w:space="0" w:color="FFFFFF"/>
            </w:tcBorders>
            <w:shd w:val="clear" w:color="auto" w:fill="D2D2D2"/>
          </w:tcPr>
          <w:p>
            <w:pPr>
              <w:pStyle w:val="TableParagraph"/>
              <w:spacing w:line="240" w:lineRule="auto" w:before="58"/>
              <w:ind w:left="2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21" w:space="0" w:color="FFFFFF"/>
              <w:right w:val="single" w:sz="4" w:space="0" w:color="000000"/>
            </w:tcBorders>
            <w:shd w:val="clear" w:color="auto" w:fill="D2D2D2"/>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21" w:space="0" w:color="FFFFFF"/>
            </w:tcBorders>
            <w:shd w:val="clear" w:color="auto" w:fill="D2D2D2"/>
          </w:tcPr>
          <w:p>
            <w:pPr/>
          </w:p>
        </w:tc>
        <w:tc>
          <w:tcPr>
            <w:tcW w:w="1914" w:type="dxa"/>
            <w:vMerge/>
            <w:tcBorders>
              <w:left w:val="single" w:sz="21" w:space="0" w:color="FFFFFF"/>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1,563,198,283.26</w:t>
            </w:r>
          </w:p>
        </w:tc>
        <w:tc>
          <w:tcPr>
            <w:tcW w:w="1913" w:type="dxa"/>
            <w:tcBorders>
              <w:top w:val="single" w:sz="4" w:space="0" w:color="000000"/>
              <w:left w:val="single" w:sz="4" w:space="0" w:color="000000"/>
              <w:bottom w:val="single" w:sz="4" w:space="0" w:color="000000"/>
              <w:right w:val="single" w:sz="21" w:space="0" w:color="FFFFFF"/>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545,030,352.75</w:t>
            </w:r>
          </w:p>
        </w:tc>
        <w:tc>
          <w:tcPr>
            <w:tcW w:w="1914" w:type="dxa"/>
            <w:tcBorders>
              <w:top w:val="single" w:sz="4" w:space="0" w:color="000000"/>
              <w:left w:val="single" w:sz="21"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1,274,457,899.47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433,227,894.80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2,010,275.56</w:t>
            </w:r>
          </w:p>
        </w:tc>
        <w:tc>
          <w:tcPr>
            <w:tcW w:w="1913" w:type="dxa"/>
            <w:tcBorders>
              <w:top w:val="single" w:sz="4" w:space="0" w:color="000000"/>
              <w:left w:val="single" w:sz="4" w:space="0" w:color="000000"/>
              <w:bottom w:val="single" w:sz="4" w:space="0" w:color="000000"/>
              <w:right w:val="single" w:sz="21" w:space="0" w:color="FFFFFF"/>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1,739,315.42</w:t>
            </w:r>
          </w:p>
        </w:tc>
        <w:tc>
          <w:tcPr>
            <w:tcW w:w="1914" w:type="dxa"/>
            <w:tcBorders>
              <w:top w:val="single" w:sz="4" w:space="0" w:color="000000"/>
              <w:left w:val="single" w:sz="21"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3,923,751.17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1,589,208.26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31" w:right="0"/>
              <w:jc w:val="left"/>
              <w:rPr>
                <w:rFonts w:ascii="Times New Roman" w:hAnsi="Times New Roman" w:cs="Times New Roman" w:eastAsia="Times New Roman" w:hint="default"/>
                <w:sz w:val="18"/>
                <w:szCs w:val="18"/>
              </w:rPr>
            </w:pPr>
            <w:r>
              <w:rPr>
                <w:rFonts w:ascii="Times New Roman"/>
                <w:sz w:val="18"/>
              </w:rPr>
              <w:t>1,565,208,558.82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546,769,668.17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1,278,381,650.64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434,817,103.06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3" w:lineRule="auto" w:before="115"/>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62、税金及附加" w:id="387"/>
      <w:bookmarkEnd w:id="387"/>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5,938,244.57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5,556,135.14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4,241,639.88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3,954,687.53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1,778,794.99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2,063,545.26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164,432.17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158,121.07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669,678.46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706,306.61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3,069,641.94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2,976,048.62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15,862,432.01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15,414,844.23</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3、销售费用" w:id="388"/>
      <w:bookmarkEnd w:id="388"/>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99,733,064.45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106,502,906.97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12,209,721.88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11,589,782.73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15,050,149.14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19,649,925.33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8,069,567.58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7,654,277.64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65,004,124.92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41,334,163.62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1,162,124.73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1,195,936.80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32,710,016.01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36,707,113.98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233,938,768.71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224,634,107.07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4、管理费用" w:id="389"/>
      <w:bookmarkEnd w:id="389"/>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127,941,691.53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110,101,197.08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折旧及摊销费用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10,446,355.31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20,160,505.76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4,599,200.00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7,502,741.28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6,615,355.51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44,385,198.33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48,752,682.32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191,167,286.45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190,228,940.67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5、研发费用" w:id="390"/>
      <w:bookmarkEnd w:id="390"/>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262,261,327.60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227,058,475.57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12,624,134.26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11,489,163.71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折旧及摊销费用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22,519,903.81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7,674,589.14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11,559,107.16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12,637,069.70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308,964,472.83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258,859,298.12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6、财务费用" w:id="391"/>
      <w:bookmarkEnd w:id="391"/>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2,398,869.40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3,320,477.91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14,143,042.44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12,994,722.34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476,000.12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635,183.98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-11,268,172.92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-9,039,060.45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7、其他收益" w:id="392"/>
      <w:bookmarkEnd w:id="392"/>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与企业日常活动相关的政府补助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14,534,575.80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27,230,691.40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其中：增值税返还</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6,575,333.08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10,810,800.40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进项税加计抵减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1,666,963.70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16,201,539.50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27,230,691.40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1"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68、投资收益" w:id="393"/>
      <w:bookmarkEnd w:id="393"/>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-1,754,705.58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-5,160,908.02</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31,330,996.31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4,861,233.73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8"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益的金融资产取得的投资收益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41,592.97</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14,124,896.47</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34,437,524.46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24,005,581.42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9、净敞口套期收益" w:id="394"/>
      <w:bookmarkEnd w:id="394"/>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0、公允价值变动收益" w:id="395"/>
      <w:bookmarkEnd w:id="395"/>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1、信用减值损失" w:id="396"/>
      <w:bookmarkEnd w:id="396"/>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-61,336,450.18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-483,027.75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-39,110,737.30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-100,930,215.23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2、资产减值损失" w:id="397"/>
      <w:bookmarkEnd w:id="39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footerReference w:type="default" r:id="rId21"/>
          <w:pgSz w:w="11910" w:h="16840"/>
          <w:pgMar w:footer="979" w:header="741" w:top="1060" w:bottom="1160" w:left="980" w:right="0"/>
          <w:pgNumType w:start="201"/>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-16,734,061.18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-3,775,326.88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-2,405,350.37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-20,509,388.06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3、资产处置收益" w:id="398"/>
      <w:bookmarkEnd w:id="398"/>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-52,154.10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4、营业外收入" w:id="399"/>
      <w:bookmarkEnd w:id="399"/>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306,719.97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7,680.56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402,069.04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239,856.86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402,254.14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409,934.70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546,576.83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409,934.70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5、营业外支出" w:id="400"/>
      <w:bookmarkEnd w:id="40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9"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58"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190,936.61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58,834.49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190,936.61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752,601.57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91,483.93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752,601.57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943,538.18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240,318.42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943,538.18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76、所得税费用" w:id="401"/>
      <w:bookmarkEnd w:id="401"/>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所得税费用表"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21,394,660.56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11,144,847.95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-16,309,527.48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-4,288,292.76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5,085,133.08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6,856,555.19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会计利润与所得税费用调整过程"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226,491,844.35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22,649,184.44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-2,136,372.06</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-21,241,325.67</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6,101,394.53</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利用以前年度未确认可抵扣亏损和可抵扣暂时性差异的纳税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-1,064,206.57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税率变动对期初递延所得税余额的影响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68,802.86</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707,655.55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5,085,133.08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line="544" w:lineRule="auto" w:before="0"/>
        <w:ind w:left="153" w:right="8854" w:firstLine="0"/>
        <w:jc w:val="left"/>
        <w:rPr>
          <w:rFonts w:ascii="宋体" w:hAnsi="宋体" w:cs="宋体" w:eastAsia="宋体" w:hint="default"/>
          <w:sz w:val="21"/>
          <w:szCs w:val="21"/>
        </w:rPr>
      </w:pPr>
      <w:bookmarkStart w:name="77、其他综合收益" w:id="404"/>
      <w:bookmarkEnd w:id="404"/>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r>
        <w:rPr>
          <w:rFonts w:ascii="宋体" w:hAnsi="宋体" w:cs="宋体" w:eastAsia="宋体" w:hint="default"/>
          <w:spacing w:val="-86"/>
          <w:sz w:val="18"/>
          <w:szCs w:val="18"/>
        </w:rPr>
        <w:t> </w:t>
      </w:r>
      <w:bookmarkStart w:name="78、现金流量表项目" w:id="405"/>
      <w:bookmarkEnd w:id="405"/>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8"/>
        <w:ind w:left="153" w:right="0" w:firstLine="0"/>
        <w:jc w:val="left"/>
        <w:rPr>
          <w:rFonts w:ascii="宋体" w:hAnsi="宋体" w:cs="宋体" w:eastAsia="宋体" w:hint="default"/>
          <w:sz w:val="21"/>
          <w:szCs w:val="21"/>
        </w:rPr>
      </w:pPr>
      <w:bookmarkStart w:name="（1）收到的其他与经营活动有关的现金"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14,143,042.44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12,990,558.78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6,059,242.72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8,688,871.86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17,107,382.13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24,113,412.53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37,309,667.29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45,792,843.17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支付的其他与经营活动有关的现金"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财务费用支付的现金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506,123.67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700,376.38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销售及管理费用支付的现金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209,976,060.56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206,143,491.35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661,375.06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90,378.51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18,312,059.87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24,654,171.55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229,455,619.16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231,588,417.79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收到的其他与投资活动有关的现金"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支付的其他与投资活动有关的现金"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收到的其他与筹资活动有关的现金"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支付的其他与筹资活动有关的现金"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3,591,921.46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2,707,916.96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3,591,921.46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2,707,916.96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r>
        <w:rPr/>
        <w:pict>
          <v:group style="position:absolute;margin-left:223.300003pt;margin-top:520.820007pt;width:151.25pt;height:20.9pt;mso-position-horizontal-relative:page;mso-position-vertical-relative:page;z-index:-1384648" coordorigin="4466,10416" coordsize="3025,418">
            <v:group style="position:absolute;left:4478;top:10428;width:2;height:394" coordorigin="4478,10428" coordsize="2,394">
              <v:shape style="position:absolute;left:4478;top:10428;width:2;height:394" coordorigin="4478,10428" coordsize="0,394" path="m4478,10428l4478,10822e" filled="false" stroked="true" strokeweight="1.2pt" strokecolor="#ffffff">
                <v:path arrowok="t"/>
              </v:shape>
            </v:group>
            <v:group style="position:absolute;left:4490;top:10428;width:3001;height:394" coordorigin="4490,10428" coordsize="3001,394">
              <v:shape style="position:absolute;left:4490;top:10428;width:3001;height:394" coordorigin="4490,10428" coordsize="3001,394" path="m4490,10822l7491,10822,7491,10428,4490,10428,4490,10822xe" filled="true" fillcolor="#ffffff" stroked="false">
                <v:path arrowok="t"/>
                <v:fill type="solid"/>
              </v:shape>
            </v:group>
            <w10:wrap type="none"/>
          </v:group>
        </w:pict>
      </w: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9、现金流量表补充资料" w:id="412"/>
      <w:bookmarkEnd w:id="412"/>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1085"/>
        <w:gridCol w:w="1983"/>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10" w:right="0"/>
              <w:jc w:val="left"/>
              <w:rPr>
                <w:rFonts w:ascii="Times New Roman" w:hAnsi="Times New Roman" w:cs="Times New Roman" w:eastAsia="Times New Roman" w:hint="default"/>
                <w:sz w:val="18"/>
                <w:szCs w:val="18"/>
              </w:rPr>
            </w:pPr>
            <w:r>
              <w:rPr>
                <w:rFonts w:ascii="Times New Roman"/>
                <w:sz w:val="18"/>
              </w:rPr>
              <w:t>221,406,711.27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187,643,005.92</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103,335,565.60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20,509,388.06</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1" w:right="0"/>
              <w:jc w:val="left"/>
              <w:rPr>
                <w:rFonts w:ascii="Times New Roman" w:hAnsi="Times New Roman" w:cs="Times New Roman" w:eastAsia="Times New Roman" w:hint="default"/>
                <w:sz w:val="18"/>
                <w:szCs w:val="18"/>
              </w:rPr>
            </w:pPr>
            <w:r>
              <w:rPr>
                <w:rFonts w:ascii="Times New Roman"/>
                <w:sz w:val="18"/>
              </w:rPr>
              <w:t>15,755,117.76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14,899,768.29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20,477,435.72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14,688,293.72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2,832,980.42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3,654,229.73</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52,154.10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183,256.05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-247,885.48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2,368,735.85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3,320,477.91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-34,437,524.46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-24,005,581.42</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-15,751,823.98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-3,962,310.50</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-557,518.52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-373,199.79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85"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6,869,249.07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-5,464,277.29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39" w:right="0"/>
              <w:jc w:val="left"/>
              <w:rPr>
                <w:rFonts w:ascii="Times New Roman" w:hAnsi="Times New Roman" w:cs="Times New Roman" w:eastAsia="Times New Roman" w:hint="default"/>
                <w:sz w:val="18"/>
                <w:szCs w:val="18"/>
              </w:rPr>
            </w:pPr>
            <w:r>
              <w:rPr>
                <w:rFonts w:ascii="Times New Roman"/>
                <w:sz w:val="18"/>
              </w:rPr>
              <w:t>-80,411,504.39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-63,163,141.27</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-55,505,730.02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-4,947,017.23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186,617,104.47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142,551,750.65</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280,820,492.05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1,093,035,336.82</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1,093,035,336.82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1,034,024,947.96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843" w:right="0"/>
              <w:jc w:val="left"/>
              <w:rPr>
                <w:rFonts w:ascii="Times New Roman" w:hAnsi="Times New Roman" w:cs="Times New Roman" w:eastAsia="Times New Roman" w:hint="default"/>
                <w:sz w:val="18"/>
                <w:szCs w:val="18"/>
              </w:rPr>
            </w:pPr>
            <w:r>
              <w:rPr>
                <w:rFonts w:ascii="Times New Roman"/>
                <w:sz w:val="18"/>
              </w:rPr>
              <w:t>-812,214,844.77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59,010,388.86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本期支付的取得子公司的现金净额"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本期收到的处置子公司的现金净额"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现金和现金等价物的构成" w:id="416"/>
      <w:bookmarkEnd w:id="4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280,820,492.05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1,093,035,336.82</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103,609.24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76,870.23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280,666,625.09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1,092,906,359.73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50,257.72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52,106.86</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280,820,492.05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1,093,035,336.82</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的现金和现金等价物</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13,413,607.73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16,157,266.93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line="544" w:lineRule="auto" w:before="0"/>
        <w:ind w:left="153" w:right="4617" w:firstLine="0"/>
        <w:jc w:val="left"/>
        <w:rPr>
          <w:rFonts w:ascii="宋体" w:hAnsi="宋体" w:cs="宋体" w:eastAsia="宋体" w:hint="default"/>
          <w:sz w:val="21"/>
          <w:szCs w:val="21"/>
        </w:rPr>
      </w:pPr>
      <w:bookmarkStart w:name="80、所有者权益变动表项目注释" w:id="417"/>
      <w:bookmarkEnd w:id="417"/>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bookmarkStart w:name="81、所有权或使用权受到限制的资产" w:id="418"/>
      <w:bookmarkEnd w:id="418"/>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18"/>
        <w:gridCol w:w="3068"/>
        <w:gridCol w:w="3183"/>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13,413,607.73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保函或履约保证金</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13,413,607.73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82、外币货币性项目" w:id="419"/>
      <w:bookmarkEnd w:id="419"/>
      <w:r>
        <w:rPr/>
      </w:r>
      <w:r>
        <w:rPr>
          <w:rFonts w:ascii="Times New Roman" w:hAnsi="Times New Roman" w:cs="Times New Roman" w:eastAsia="Times New Roman" w:hint="default"/>
          <w:b/>
          <w:bCs/>
          <w:sz w:val="21"/>
          <w:szCs w:val="21"/>
        </w:rPr>
        <w:t>82</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外币货币性项目"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85"/>
        <w:gridCol w:w="2307"/>
        <w:gridCol w:w="2387"/>
        <w:gridCol w:w="2391"/>
      </w:tblGrid>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466,934.14</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75.20</w:t>
            </w:r>
          </w:p>
        </w:tc>
      </w:tr>
      <w:tr>
        <w:trPr>
          <w:trHeight w:val="399"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521,175.89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466,858.94</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399"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85"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54" w:lineRule="auto" w:before="118"/>
        <w:ind w:left="153" w:right="0" w:firstLine="0"/>
        <w:jc w:val="left"/>
        <w:rPr>
          <w:rFonts w:ascii="宋体" w:hAnsi="宋体" w:cs="宋体" w:eastAsia="宋体" w:hint="default"/>
          <w:sz w:val="21"/>
          <w:szCs w:val="21"/>
        </w:rPr>
      </w:pPr>
      <w:bookmarkStart w:name="（2）境外经营实体说明，包括对于重要的境外经营实体，应披露其境外主要经营地、记账"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83、套期" w:id="422"/>
      <w:bookmarkEnd w:id="422"/>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84、政府补助" w:id="423"/>
      <w:bookmarkEnd w:id="423"/>
      <w:r>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政府补助基本情况"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博士后工作站补助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面向电力行业信息化的云计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算服务平台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42"/>
              <w:jc w:val="both"/>
              <w:rPr>
                <w:rFonts w:ascii="宋体" w:hAnsi="宋体" w:cs="宋体" w:eastAsia="宋体" w:hint="default"/>
                <w:sz w:val="18"/>
                <w:szCs w:val="18"/>
              </w:rPr>
            </w:pPr>
            <w:r>
              <w:rPr>
                <w:rFonts w:ascii="宋体" w:hAnsi="宋体" w:cs="宋体" w:eastAsia="宋体" w:hint="default"/>
                <w:spacing w:val="-3"/>
                <w:sz w:val="18"/>
                <w:szCs w:val="18"/>
              </w:rPr>
              <w:t>面向电力行业的云计算服务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系统的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QoS</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解决方案与管理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电力基建工程财务风险内控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信息化项目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面向集团企业的监督管理系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统项目研发及产业化项目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期省级工业和信息化专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项资金支持大数据应用示范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基于区块链技术的可信云服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务基础架构研究与应用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6,575,333.08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6,575,333.08</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1,339,420.00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高新技术企业认定补助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1,309,822.72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1,309,822.72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12,634,575.80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14,534,575.80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政府补助退回情况"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21"/>
          <w:szCs w:val="21"/>
        </w:rPr>
      </w:pPr>
    </w:p>
    <w:p>
      <w:pPr>
        <w:spacing w:line="484" w:lineRule="auto" w:before="0"/>
        <w:ind w:left="153" w:right="8326" w:firstLine="0"/>
        <w:jc w:val="left"/>
        <w:rPr>
          <w:rFonts w:ascii="宋体" w:hAnsi="宋体" w:cs="宋体" w:eastAsia="宋体" w:hint="default"/>
          <w:sz w:val="21"/>
          <w:szCs w:val="21"/>
        </w:rPr>
      </w:pPr>
      <w:bookmarkStart w:name="85、其他" w:id="426"/>
      <w:bookmarkEnd w:id="426"/>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27"/>
      <w:bookmarkEnd w:id="427"/>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7"/>
        <w:ind w:left="153" w:right="0" w:firstLine="0"/>
        <w:jc w:val="left"/>
        <w:rPr>
          <w:rFonts w:ascii="宋体" w:hAnsi="宋体" w:cs="宋体" w:eastAsia="宋体" w:hint="default"/>
          <w:sz w:val="21"/>
          <w:szCs w:val="21"/>
        </w:rPr>
      </w:pPr>
      <w:bookmarkStart w:name="（1）本期发生的非同一控制下企业合并"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佛山市晴方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太阳能科技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完成股权变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737,057.76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530,470.51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合并成本及商誉"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84,045.53</w:t>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84"/>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-84,044.53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p>
    <w:p>
      <w:pPr>
        <w:pStyle w:val="BodyText"/>
        <w:spacing w:line="240" w:lineRule="auto" w:before="141"/>
        <w:ind w:right="0"/>
        <w:jc w:val="left"/>
      </w:pPr>
      <w:r>
        <w:rPr/>
        <w:t>佛山市晴方太阳能科技有限公司被合并净资产公允价值是以账面价值协商确定。</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spacing w:line="362" w:lineRule="auto" w:before="0"/>
        <w:ind w:left="153" w:right="7919" w:firstLine="0"/>
        <w:jc w:val="left"/>
        <w:rPr>
          <w:rFonts w:ascii="宋体" w:hAnsi="宋体" w:cs="宋体" w:eastAsia="宋体" w:hint="default"/>
          <w:sz w:val="18"/>
          <w:szCs w:val="18"/>
        </w:rPr>
      </w:pPr>
      <w:r>
        <w:rPr>
          <w:rFonts w:ascii="宋体" w:hAnsi="宋体" w:cs="宋体" w:eastAsia="宋体" w:hint="default"/>
          <w:spacing w:val="-3"/>
          <w:sz w:val="18"/>
          <w:szCs w:val="18"/>
        </w:rPr>
        <w:t>大额商誉形成的主要原因：</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被购买方于购买日可辨认资产、负债" w:id="431"/>
      <w:bookmarkEnd w:id="4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72"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101,580.46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101,580.46</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5,584.00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5,584.00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11,432.69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11,432.69</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11,686.24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11,686.24</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84,045.53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84,045.53</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84,045.53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84,045.53</w:t>
            </w:r>
          </w:p>
        </w:tc>
      </w:tr>
    </w:tbl>
    <w:p>
      <w:pPr>
        <w:spacing w:line="360" w:lineRule="auto" w:before="53"/>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6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购买日之前持有的股权按照公允价值重新计量产生的利得或损失"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购买日或合并当期期末无法合理确定合并对价或被购买方可辨认资产、负债公允价值"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其他说明"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同一控制下企业合并" w:id="435"/>
      <w:bookmarkEnd w:id="4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同一控制下企业合并"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合并成本"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7919"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合并日被合并方资产、负债的账面价值"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22;top:15;width:2;height:395" coordorigin="22,15" coordsize="2,395">
              <v:shape style="position:absolute;left:22;top:15;width:2;height:395" coordorigin="22,15" coordsize="0,395" path="m22,15l22,409e" filled="false" stroked="true" strokeweight="1.2pt" strokecolor="#d2d2d2">
                <v:path arrowok="t"/>
              </v:shape>
            </v:group>
            <v:group style="position:absolute;left:3181;top:15;width:2;height:395" coordorigin="3181,15" coordsize="2,395">
              <v:shape style="position:absolute;left:3181;top:15;width:2;height:395" coordorigin="3181,15" coordsize="0,395" path="m3181,15l3181,409e" filled="false" stroked="true" strokeweight="1.2pt" strokecolor="#d2d2d2">
                <v:path arrowok="t"/>
              </v:shape>
            </v:group>
            <v:group style="position:absolute;left:34;top:15;width:3136;height:395" coordorigin="34,15" coordsize="3136,395">
              <v:shape style="position:absolute;left:34;top:15;width:3136;height:395" coordorigin="34,15" coordsize="3136,395" path="m34,409l3169,409,3169,15,34,15,34,409xe" filled="true" fillcolor="#d2d2d2" stroked="false">
                <v:path arrowok="t"/>
                <v:fill type="solid"/>
              </v:shape>
            </v:group>
            <v:group style="position:absolute;left:3215;top:15;width:2;height:395" coordorigin="3215,15" coordsize="2,395">
              <v:shape style="position:absolute;left:3215;top:15;width:2;height:395" coordorigin="3215,15" coordsize="0,395" path="m3215,15l3215,409e" filled="false" stroked="true" strokeweight="1.2pt" strokecolor="#d2d2d2">
                <v:path arrowok="t"/>
              </v:shape>
            </v:group>
            <v:group style="position:absolute;left:9563;top:15;width:2;height:395" coordorigin="9563,15" coordsize="2,395">
              <v:shape style="position:absolute;left:9563;top:15;width:2;height:395" coordorigin="9563,15" coordsize="0,395" path="m9563,15l9563,409e" filled="false" stroked="true" strokeweight="1.2pt" strokecolor="#d2d2d2">
                <v:path arrowok="t"/>
              </v:shape>
            </v:group>
            <v:group style="position:absolute;left:3227;top:15;width:6324;height:395" coordorigin="3227,15" coordsize="6324,395">
              <v:shape style="position:absolute;left:3227;top:15;width:6324;height:395" coordorigin="3227,15" coordsize="6324,395" path="m3227,409l9551,409,9551,15,3227,15,3227,409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7998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7998pt" strokecolor="#000000">
                <v:path arrowok="t"/>
              </v:shape>
            </v:group>
            <v:group style="position:absolute;left:22;top:418;width:2;height:394" coordorigin="22,418" coordsize="2,394">
              <v:shape style="position:absolute;left:22;top:418;width:2;height:394" coordorigin="22,418" coordsize="0,394" path="m22,418l22,812e" filled="false" stroked="true" strokeweight="1.2pt" strokecolor="#d2d2d2">
                <v:path arrowok="t"/>
              </v:shape>
            </v:group>
            <v:group style="position:absolute;left:3181;top:418;width:2;height:394" coordorigin="3181,418" coordsize="2,394">
              <v:shape style="position:absolute;left:3181;top:418;width:2;height:394" coordorigin="3181,418" coordsize="0,394" path="m3181,418l3181,812e" filled="false" stroked="true" strokeweight="1.2pt" strokecolor="#d2d2d2">
                <v:path arrowok="t"/>
              </v:shape>
            </v:group>
            <v:group style="position:absolute;left:34;top:418;width:3136;height:394" coordorigin="34,418" coordsize="3136,394">
              <v:shape style="position:absolute;left:34;top:418;width:3136;height:394" coordorigin="34,418" coordsize="3136,394" path="m34,812l3169,812,3169,418,34,418,34,812xe" filled="true" fillcolor="#d2d2d2" stroked="false">
                <v:path arrowok="t"/>
                <v:fill type="solid"/>
              </v:shape>
            </v:group>
            <v:group style="position:absolute;left:3215;top:418;width:2;height:394" coordorigin="3215,418" coordsize="2,394">
              <v:shape style="position:absolute;left:3215;top:418;width:2;height:394" coordorigin="3215,418" coordsize="0,394" path="m3215,418l3215,812e" filled="false" stroked="true" strokeweight="1.2pt" strokecolor="#d2d2d2">
                <v:path arrowok="t"/>
              </v:shape>
            </v:group>
            <v:group style="position:absolute;left:6372;top:418;width:2;height:394" coordorigin="6372,418" coordsize="2,394">
              <v:shape style="position:absolute;left:6372;top:418;width:2;height:394" coordorigin="6372,418" coordsize="0,394" path="m6372,418l6372,812e" filled="false" stroked="true" strokeweight=".95999pt" strokecolor="#d2d2d2">
                <v:path arrowok="t"/>
              </v:shape>
            </v:group>
            <v:group style="position:absolute;left:3227;top:418;width:3136;height:394" coordorigin="3227,418" coordsize="3136,394">
              <v:shape style="position:absolute;left:3227;top:418;width:3136;height:394" coordorigin="3227,418" coordsize="3136,394" path="m3227,812l6362,812,6362,418,3227,418,3227,812xe" filled="true" fillcolor="#d2d2d2" stroked="false">
                <v:path arrowok="t"/>
                <v:fill type="solid"/>
              </v:shape>
            </v:group>
            <v:group style="position:absolute;left:6403;top:418;width:2;height:394" coordorigin="6403,418" coordsize="2,394">
              <v:shape style="position:absolute;left:6403;top:418;width:2;height:394" coordorigin="6403,418" coordsize="0,394" path="m6403,418l6403,812e" filled="false" stroked="true" strokeweight="1.2pt" strokecolor="#d2d2d2">
                <v:path arrowok="t"/>
              </v:shape>
            </v:group>
            <v:group style="position:absolute;left:9563;top:418;width:2;height:394" coordorigin="9563,418" coordsize="2,394">
              <v:shape style="position:absolute;left:9563;top:418;width:2;height:394" coordorigin="9563,418" coordsize="0,394" path="m9563,418l9563,812e" filled="false" stroked="true" strokeweight="1.2pt" strokecolor="#d2d2d2">
                <v:path arrowok="t"/>
              </v:shape>
            </v:group>
            <v:group style="position:absolute;left:6415;top:418;width:3136;height:394" coordorigin="6415,418" coordsize="3136,394">
              <v:shape style="position:absolute;left:6415;top:418;width:3136;height:394" coordorigin="6415,418" coordsize="3136,394" path="m6415,812l9551,812,9551,418,6415,418,6415,812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4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4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4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4;height:2" coordorigin="10,817" coordsize="3184,2">
              <v:shape style="position:absolute;left:10;top:817;width:3184;height:2" coordorigin="10,817" coordsize="3184,0" path="m10,817l3193,817e" filled="false" stroked="true" strokeweight=".47998pt" strokecolor="#000000">
                <v:path arrowok="t"/>
              </v:shape>
            </v:group>
            <v:group style="position:absolute;left:3198;top:5;width:2;height:817" coordorigin="3198,5" coordsize="2,817">
              <v:shape style="position:absolute;left:3198;top:5;width:2;height:817" coordorigin="3198,5" coordsize="0,817" path="m3198,5l3198,821e" filled="false" stroked="true" strokeweight=".48pt" strokecolor="#000000">
                <v:path arrowok="t"/>
              </v:shape>
            </v:group>
            <v:group style="position:absolute;left:3203;top:817;width:3179;height:2" coordorigin="3203,817" coordsize="3179,2">
              <v:shape style="position:absolute;left:3203;top:817;width:3179;height:2" coordorigin="3203,817" coordsize="3179,0" path="m3203,817l6382,817e" filled="false" stroked="true" strokeweight=".47998pt" strokecolor="#000000">
                <v:path arrowok="t"/>
              </v:shape>
            </v:group>
            <v:group style="position:absolute;left:6386;top:409;width:2;height:413" coordorigin="6386,409" coordsize="2,413">
              <v:shape style="position:absolute;left:6386;top:409;width:2;height:413" coordorigin="6386,409" coordsize="0,413" path="m6386,409l6386,821e" filled="false" stroked="true" strokeweight=".48001pt" strokecolor="#000000">
                <v:path arrowok="t"/>
              </v:shape>
            </v:group>
            <v:group style="position:absolute;left:6391;top:817;width:3184;height:2" coordorigin="6391,817" coordsize="3184,2">
              <v:shape style="position:absolute;left:6391;top:817;width:3184;height:2" coordorigin="6391,817" coordsize="3184,0" path="m6391,817l9575,817e" filled="false" stroked="true" strokeweight=".47998pt" strokecolor="#000000">
                <v:path arrowok="t"/>
              </v:shape>
            </v:group>
            <v:group style="position:absolute;left:9580;top:5;width:2;height:817" coordorigin="9580,5" coordsize="2,817">
              <v:shape style="position:absolute;left:9580;top:5;width:2;height:817" coordorigin="9580,5" coordsize="0,817"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62" w:lineRule="auto" w:before="49"/>
        <w:ind w:left="153" w:right="7136"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反向购买" w:id="439"/>
      <w:bookmarkEnd w:id="4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21"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处置子公司" w:id="440"/>
      <w:bookmarkEnd w:id="4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38" w:lineRule="auto" w:before="115"/>
        <w:ind w:left="153" w:right="46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其他原因的合并范围变动" w:id="441"/>
      <w:bookmarkEnd w:id="44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312" w:lineRule="exact" w:before="90"/>
        <w:ind w:right="115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日，本公司与浙江晴天太阳能科技有限公司共同出资设立子公司珠海远光 晴天能源科技有限公司，并纳入合并范围。</w:t>
      </w:r>
    </w:p>
    <w:p>
      <w:pPr>
        <w:pStyle w:val="BodyText"/>
        <w:spacing w:line="291" w:lineRule="exact"/>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日，子公司北京神航星云科技有限公司清算注销，不再纳入合并范围。</w:t>
      </w:r>
    </w:p>
    <w:p>
      <w:pPr>
        <w:spacing w:line="312" w:lineRule="exact" w:before="0"/>
        <w:ind w:left="153" w:right="0"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日，子公司杭州迈测信息工程有限公司完成工商注销登记，不再纳入合并范围</w:t>
      </w:r>
    </w:p>
    <w:p>
      <w:pPr>
        <w:pStyle w:val="BodyText"/>
        <w:spacing w:line="312" w:lineRule="exact" w:before="21"/>
        <w:ind w:right="1134"/>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日，子公司远光共创智能科技股份有限公司及其子公司远光智和卓源（北</w:t>
      </w:r>
      <w:r>
        <w:rPr>
          <w:spacing w:val="-117"/>
        </w:rPr>
        <w:t> </w:t>
      </w:r>
      <w:r>
        <w:rPr>
          <w:spacing w:val="-117"/>
        </w:rPr>
      </w:r>
      <w:r>
        <w:rPr/>
        <w:t>京）科技有限公司成立清算小组进行清算，本公司不再具有控制权，从</w:t>
      </w:r>
      <w:r>
        <w:rPr>
          <w:rFonts w:ascii="Times New Roman" w:hAnsi="Times New Roman" w:cs="Times New Roman" w:eastAsia="Times New Roman" w:hint="default"/>
        </w:rPr>
        <w:t>11</w:t>
      </w:r>
      <w:r>
        <w:rPr/>
        <w:t>月份起不再纳入合 并范围。</w:t>
      </w:r>
    </w:p>
    <w:p>
      <w:pPr>
        <w:spacing w:line="240" w:lineRule="auto" w:before="9"/>
        <w:rPr>
          <w:rFonts w:ascii="宋体" w:hAnsi="宋体" w:cs="宋体" w:eastAsia="宋体" w:hint="default"/>
          <w:sz w:val="22"/>
          <w:szCs w:val="22"/>
        </w:rPr>
      </w:pPr>
    </w:p>
    <w:p>
      <w:pPr>
        <w:spacing w:line="484" w:lineRule="auto" w:before="0"/>
        <w:ind w:left="153" w:right="8100" w:firstLine="0"/>
        <w:jc w:val="left"/>
        <w:rPr>
          <w:rFonts w:ascii="宋体" w:hAnsi="宋体" w:cs="宋体" w:eastAsia="宋体" w:hint="default"/>
          <w:sz w:val="21"/>
          <w:szCs w:val="21"/>
        </w:rPr>
      </w:pPr>
      <w:bookmarkStart w:name="6、其他" w:id="442"/>
      <w:bookmarkEnd w:id="44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3"/>
      <w:bookmarkEnd w:id="443"/>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4"/>
      <w:bookmarkEnd w:id="4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6"/>
        <w:ind w:left="153" w:right="0" w:firstLine="0"/>
        <w:jc w:val="left"/>
        <w:rPr>
          <w:rFonts w:ascii="宋体" w:hAnsi="宋体" w:cs="宋体" w:eastAsia="宋体" w:hint="default"/>
          <w:sz w:val="21"/>
          <w:szCs w:val="21"/>
        </w:rPr>
      </w:pPr>
      <w:bookmarkStart w:name="（1）企业集团的构成" w:id="445"/>
      <w:bookmarkEnd w:id="4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远光资本管理</w:t>
            </w:r>
          </w:p>
          <w:p>
            <w:pPr>
              <w:pStyle w:val="TableParagraph"/>
              <w:spacing w:line="321" w:lineRule="auto" w:before="72"/>
              <w:ind w:left="24" w:right="75"/>
              <w:jc w:val="left"/>
              <w:rPr>
                <w:rFonts w:ascii="宋体" w:hAnsi="宋体" w:cs="宋体" w:eastAsia="宋体" w:hint="default"/>
                <w:sz w:val="18"/>
                <w:szCs w:val="18"/>
              </w:rPr>
            </w:pPr>
            <w:r>
              <w:rPr>
                <w:rFonts w:ascii="宋体" w:hAnsi="宋体" w:cs="宋体" w:eastAsia="宋体" w:hint="default"/>
                <w:spacing w:val="-3"/>
                <w:sz w:val="18"/>
                <w:szCs w:val="18"/>
              </w:rPr>
              <w:t>（横琴）有限公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投资管理、实业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pacing w:val="-7"/>
                <w:sz w:val="18"/>
                <w:szCs w:val="18"/>
              </w:rPr>
              <w:t>远光软件（北京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41"/>
              <w:jc w:val="left"/>
              <w:rPr>
                <w:rFonts w:ascii="宋体" w:hAnsi="宋体" w:cs="宋体" w:eastAsia="宋体" w:hint="default"/>
                <w:sz w:val="20"/>
                <w:szCs w:val="20"/>
              </w:rPr>
            </w:pPr>
            <w:r>
              <w:rPr>
                <w:rFonts w:ascii="宋体" w:hAnsi="宋体" w:cs="宋体" w:eastAsia="宋体" w:hint="default"/>
                <w:position w:val="-10"/>
                <w:sz w:val="20"/>
                <w:szCs w:val="20"/>
              </w:rPr>
              <w:pict>
                <v:group style="width:67.95pt;height:28pt;mso-position-horizontal-relative:char;mso-position-vertical-relative:line" coordorigin="0,0" coordsize="1359,560">
                  <v:group style="position:absolute;left:0;top:0;width:1359;height:159" coordorigin="0,0" coordsize="1359,159">
                    <v:shape style="position:absolute;left:0;top:0;width:1359;height:159" coordorigin="0,0" coordsize="1359,159" path="m0,158l1359,158,1359,0,0,0,0,158xe" filled="true" fillcolor="#ffffff" stroked="false">
                      <v:path arrowok="t"/>
                      <v:fill type="solid"/>
                    </v:shape>
                  </v:group>
                  <v:group style="position:absolute;left:12;top:158;width:2;height:389" coordorigin="12,158" coordsize="2,389">
                    <v:shape style="position:absolute;left:12;top:158;width:2;height:389" coordorigin="12,158" coordsize="0,389" path="m12,158l12,547e" filled="false" stroked="true" strokeweight="1.2pt" strokecolor="#ffffff">
                      <v:path arrowok="t"/>
                    </v:shape>
                  </v:group>
                  <v:group style="position:absolute;left:24;top:158;width:1311;height:389" coordorigin="24,158" coordsize="1311,389">
                    <v:shape style="position:absolute;left:24;top:158;width:1311;height:389" coordorigin="24,158" coordsize="1311,389" path="m24,547l1335,547,1335,158,24,158,24,547xe" filled="true" fillcolor="#ffffff" stroked="false">
                      <v:path arrowok="t"/>
                      <v:fill type="solid"/>
                    </v:shape>
                  </v:group>
                </v:group>
              </w:pict>
            </w:r>
            <w:r>
              <w:rPr>
                <w:rFonts w:ascii="宋体" w:hAnsi="宋体" w:cs="宋体" w:eastAsia="宋体" w:hint="default"/>
                <w:position w:val="-10"/>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南京远光广安信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长沙远光瑞翔科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pacing w:val="-7"/>
                <w:sz w:val="18"/>
                <w:szCs w:val="18"/>
              </w:rPr>
              <w:t>远光软件（武汉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武汉</w:t>
            </w:r>
          </w:p>
          <w:p>
            <w:pPr>
              <w:pStyle w:val="TableParagraph"/>
              <w:spacing w:line="559" w:lineRule="exact"/>
              <w:ind w:right="-41"/>
              <w:jc w:val="left"/>
              <w:rPr>
                <w:rFonts w:ascii="宋体" w:hAnsi="宋体" w:cs="宋体" w:eastAsia="宋体" w:hint="default"/>
                <w:sz w:val="20"/>
                <w:szCs w:val="20"/>
              </w:rPr>
            </w:pPr>
            <w:r>
              <w:rPr>
                <w:rFonts w:ascii="宋体" w:hAnsi="宋体" w:cs="宋体" w:eastAsia="宋体" w:hint="default"/>
                <w:position w:val="-10"/>
                <w:sz w:val="20"/>
                <w:szCs w:val="20"/>
              </w:rPr>
              <w:pict>
                <v:group style="width:67.95pt;height:28pt;mso-position-horizontal-relative:char;mso-position-vertical-relative:line" coordorigin="0,0" coordsize="1359,560">
                  <v:group style="position:absolute;left:0;top:0;width:1359;height:154" coordorigin="0,0" coordsize="1359,154">
                    <v:shape style="position:absolute;left:0;top:0;width:1359;height:154" coordorigin="0,0" coordsize="1359,154" path="m0,154l1359,154,1359,0,0,0,0,154xe" filled="true" fillcolor="#ffffff" stroked="false">
                      <v:path arrowok="t"/>
                      <v:fill type="solid"/>
                    </v:shape>
                  </v:group>
                  <v:group style="position:absolute;left:12;top:154;width:2;height:394" coordorigin="12,154" coordsize="2,394">
                    <v:shape style="position:absolute;left:12;top:154;width:2;height:394" coordorigin="12,154" coordsize="0,394" path="m12,154l12,547e" filled="false" stroked="true" strokeweight="1.2pt" strokecolor="#ffffff">
                      <v:path arrowok="t"/>
                    </v:shape>
                  </v:group>
                  <v:group style="position:absolute;left:24;top:154;width:1311;height:394" coordorigin="24,154" coordsize="1311,394">
                    <v:shape style="position:absolute;left:24;top:154;width:1311;height:394" coordorigin="24,154" coordsize="1311,394" path="m24,547l1335,547,1335,154,24,154,24,547xe" filled="true" fillcolor="#ffffff" stroked="false">
                      <v:path arrowok="t"/>
                      <v:fill type="solid"/>
                    </v:shape>
                  </v:group>
                </v:group>
              </w:pict>
            </w:r>
            <w:r>
              <w:rPr>
                <w:rFonts w:ascii="宋体" w:hAnsi="宋体" w:cs="宋体" w:eastAsia="宋体" w:hint="default"/>
                <w:position w:val="-10"/>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珠海远光移动互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联科技有限公司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互联网接入及相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珠海远光软件产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珠海高远电能科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购、售电，软件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4"/>
              <w:jc w:val="left"/>
              <w:rPr>
                <w:rFonts w:ascii="宋体" w:hAnsi="宋体" w:cs="宋体" w:eastAsia="宋体" w:hint="default"/>
                <w:sz w:val="18"/>
                <w:szCs w:val="18"/>
              </w:rPr>
            </w:pPr>
            <w:r>
              <w:rPr>
                <w:rFonts w:ascii="宋体" w:hAnsi="宋体" w:cs="宋体" w:eastAsia="宋体" w:hint="default"/>
                <w:spacing w:val="-3"/>
                <w:sz w:val="18"/>
                <w:szCs w:val="18"/>
              </w:rPr>
              <w:t>远光能源互联网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sz w:val="18"/>
                <w:szCs w:val="18"/>
              </w:rPr>
              <w:t>产业发展（横琴）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珠海</w:t>
            </w:r>
          </w:p>
          <w:p>
            <w:pPr>
              <w:pStyle w:val="TableParagraph"/>
              <w:spacing w:line="240" w:lineRule="auto" w:before="4"/>
              <w:ind w:right="0"/>
              <w:jc w:val="left"/>
              <w:rPr>
                <w:rFonts w:ascii="宋体" w:hAnsi="宋体" w:cs="宋体" w:eastAsia="宋体" w:hint="default"/>
                <w:b/>
                <w:bCs/>
                <w:sz w:val="23"/>
                <w:szCs w:val="23"/>
              </w:rPr>
            </w:pPr>
          </w:p>
          <w:p>
            <w:pPr>
              <w:pStyle w:val="TableParagraph"/>
              <w:spacing w:line="412" w:lineRule="exact"/>
              <w:ind w:right="-17"/>
              <w:jc w:val="left"/>
              <w:rPr>
                <w:rFonts w:ascii="宋体" w:hAnsi="宋体" w:cs="宋体" w:eastAsia="宋体" w:hint="default"/>
                <w:sz w:val="20"/>
                <w:szCs w:val="20"/>
              </w:rPr>
            </w:pPr>
            <w:r>
              <w:rPr>
                <w:rFonts w:ascii="宋体" w:hAnsi="宋体" w:cs="宋体" w:eastAsia="宋体" w:hint="default"/>
                <w:position w:val="-7"/>
                <w:sz w:val="20"/>
                <w:szCs w:val="20"/>
              </w:rPr>
              <w:pict>
                <v:group style="width:66.75pt;height:20.65pt;mso-position-horizontal-relative:char;mso-position-vertical-relative:line" coordorigin="0,0" coordsize="1335,413">
                  <v:group style="position:absolute;left:12;top:12;width:2;height:389" coordorigin="12,12" coordsize="2,389">
                    <v:shape style="position:absolute;left:12;top:12;width:2;height:389" coordorigin="12,12" coordsize="0,389" path="m12,12l12,401e" filled="false" stroked="true" strokeweight="1.2pt" strokecolor="#ffffff">
                      <v:path arrowok="t"/>
                    </v:shape>
                  </v:group>
                  <v:group style="position:absolute;left:24;top:12;width:1311;height:389" coordorigin="24,12" coordsize="1311,389">
                    <v:shape style="position:absolute;left:24;top:12;width:1311;height:389" coordorigin="24,12" coordsize="1311,389" path="m24,401l1335,401,1335,12,24,12,24,401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远光信息技术</w:t>
            </w:r>
          </w:p>
          <w:p>
            <w:pPr>
              <w:pStyle w:val="TableParagraph"/>
              <w:spacing w:line="321" w:lineRule="auto" w:before="77"/>
              <w:ind w:left="24" w:right="75"/>
              <w:jc w:val="left"/>
              <w:rPr>
                <w:rFonts w:ascii="宋体" w:hAnsi="宋体" w:cs="宋体" w:eastAsia="宋体" w:hint="default"/>
                <w:sz w:val="18"/>
                <w:szCs w:val="18"/>
              </w:rPr>
            </w:pPr>
            <w:r>
              <w:rPr>
                <w:rFonts w:ascii="宋体" w:hAnsi="宋体" w:cs="宋体" w:eastAsia="宋体" w:hint="default"/>
                <w:spacing w:val="-3"/>
                <w:sz w:val="18"/>
                <w:szCs w:val="18"/>
              </w:rPr>
              <w:t>（澳门）有限公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软件开发及相关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咨询、服务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北京智和管理咨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企业管理咨询、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经济贸易咨询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杭州昊美科技有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杭州昊美电力工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程有限公司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杭州微能智能科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珠海智行慧达商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务旅行社有限公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旅游管理服务、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代购飞机票等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珠海远光晴天能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源科技有限公司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太阳能光伏电站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的开发、建设和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运维等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24" w:right="75"/>
              <w:jc w:val="left"/>
              <w:rPr>
                <w:rFonts w:ascii="宋体" w:hAnsi="宋体" w:cs="宋体" w:eastAsia="宋体" w:hint="default"/>
                <w:sz w:val="18"/>
                <w:szCs w:val="18"/>
              </w:rPr>
            </w:pPr>
            <w:r>
              <w:rPr>
                <w:rFonts w:ascii="宋体" w:hAnsi="宋体" w:cs="宋体" w:eastAsia="宋体" w:hint="default"/>
                <w:spacing w:val="-3"/>
                <w:sz w:val="18"/>
                <w:szCs w:val="18"/>
              </w:rPr>
              <w:t>佛山市晴方太阳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能科技有限公司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both"/>
              <w:rPr>
                <w:rFonts w:ascii="宋体" w:hAnsi="宋体" w:cs="宋体" w:eastAsia="宋体" w:hint="default"/>
                <w:sz w:val="18"/>
                <w:szCs w:val="18"/>
              </w:rPr>
            </w:pPr>
            <w:r>
              <w:rPr>
                <w:rFonts w:ascii="宋体" w:hAnsi="宋体" w:cs="宋体" w:eastAsia="宋体" w:hint="default"/>
                <w:spacing w:val="-3"/>
                <w:sz w:val="18"/>
                <w:szCs w:val="18"/>
              </w:rPr>
              <w:t>工程和技术研究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和试验发展；太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阳能发电工程施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工等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9"/>
        <w:ind w:left="153" w:right="7631"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2）重要的非全资子公司"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
              <w:jc w:val="center"/>
              <w:rPr>
                <w:rFonts w:ascii="宋体" w:hAnsi="宋体" w:cs="宋体" w:eastAsia="宋体" w:hint="default"/>
                <w:sz w:val="18"/>
                <w:szCs w:val="18"/>
              </w:rPr>
            </w:pPr>
            <w:r>
              <w:rPr>
                <w:rFonts w:ascii="宋体" w:hAnsi="宋体" w:cs="宋体" w:eastAsia="宋体" w:hint="default"/>
                <w:sz w:val="18"/>
                <w:szCs w:val="18"/>
              </w:rPr>
              <w:t>南京远光广安信息科技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0" w:right="0"/>
              <w:jc w:val="left"/>
              <w:rPr>
                <w:rFonts w:ascii="Times New Roman" w:hAnsi="Times New Roman" w:cs="Times New Roman" w:eastAsia="Times New Roman" w:hint="default"/>
                <w:sz w:val="18"/>
                <w:szCs w:val="18"/>
              </w:rPr>
            </w:pPr>
            <w:r>
              <w:rPr>
                <w:rFonts w:ascii="Times New Roman"/>
                <w:sz w:val="18"/>
              </w:rPr>
              <w:t>732,916.03</w:t>
            </w:r>
          </w:p>
        </w:tc>
        <w:tc>
          <w:tcPr>
            <w:tcW w:w="1911"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12,425,613.36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长沙远光瑞翔科技有限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-2,968,458.13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19,785,460.05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杭州昊美科技有限公司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及其子公司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4,111,063.54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37,432,500.71</w:t>
            </w:r>
          </w:p>
        </w:tc>
      </w:tr>
    </w:tbl>
    <w:p>
      <w:pPr>
        <w:spacing w:line="362" w:lineRule="auto" w:before="53"/>
        <w:ind w:left="153" w:right="6055"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重要非全资子公司的主要财务信息"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南京远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光广安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39,627,8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39.62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8,080,30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47,708,1</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39.76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10,431,4</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10,431,4</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72.00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35,188,1</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24.49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8,328,25</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6.56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43,516,3</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81.05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8,438,68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1.27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8,438,68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1.27</w:t>
            </w:r>
          </w:p>
        </w:tc>
      </w:tr>
      <w:tr>
        <w:trPr>
          <w:trHeight w:val="133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长沙远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光瑞翔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64,644,7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24.19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12,978,0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04.58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77,622,7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28.77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11,061,4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18.73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609,776.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11,671,1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78,483,3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10,384,2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88,867,6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12,364,4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71.03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656,745.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13,021,2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16.85</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杭州昊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美科技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159,873,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729.48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23,710,9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75.87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183,584,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705.35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54,391,8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03.65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1,392,00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55,783,8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138,920,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320.06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27,262,0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166,182,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419.79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50,449,3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85.77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1,968,00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52,417,3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85.77</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南京远光广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安信息科技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30,186,681.2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2,198,967.98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2,198,967.98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4,759,694.37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23,306,861.6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-2,449,742.57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-2,449,742.57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4,786,896.34</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长沙远光瑞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翔科技有限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40,237,899.8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-9,894,860.43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-9,894,860.43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7,698,820.37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38,746,719.3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6,176,160.64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6,176,160.64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1,174,102.11</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4" w:right="123"/>
              <w:jc w:val="left"/>
              <w:rPr>
                <w:rFonts w:ascii="宋体" w:hAnsi="宋体" w:cs="宋体" w:eastAsia="宋体" w:hint="default"/>
                <w:sz w:val="18"/>
                <w:szCs w:val="18"/>
              </w:rPr>
            </w:pPr>
            <w:r>
              <w:rPr>
                <w:rFonts w:ascii="宋体" w:hAnsi="宋体" w:cs="宋体" w:eastAsia="宋体" w:hint="default"/>
                <w:spacing w:val="-2"/>
                <w:sz w:val="18"/>
                <w:szCs w:val="18"/>
              </w:rPr>
              <w:t>杭州昊美科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144,632,696.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14,035,867.6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14,035,867.6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-950,884.63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3"/>
                <w:sz w:val="18"/>
              </w:rPr>
              <w:t>111,161,162.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12,025,049.6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12,025,049.6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17,886,762.0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36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使用企业集团资产和清偿企业集团债务的重大限制"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向纳入合并财务报表范围的结构化主体提供的财务支持或其他支持"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在子公司的所有者权益份额发生变化且仍控制子公司的交易"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所有者权益份额发生变化的情况说明"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21"/>
          <w:szCs w:val="21"/>
        </w:rPr>
      </w:pPr>
      <w:bookmarkStart w:name="（2）交易对于少数股东权益及归属于母公司所有者权益的影响" w:id="452"/>
      <w:bookmarkEnd w:id="4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1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001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group>
          </v:group>
        </w:pict>
      </w:r>
      <w:r>
        <w:rPr>
          <w:rFonts w:ascii="宋体" w:hAnsi="宋体" w:cs="宋体" w:eastAsia="宋体" w:hint="default"/>
          <w:position w:val="-7"/>
          <w:sz w:val="20"/>
          <w:szCs w:val="20"/>
        </w:rPr>
      </w:r>
    </w:p>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在合营安排或联营企业中的权益" w:id="453"/>
      <w:bookmarkEnd w:id="4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的合营企业或联营企业" w:id="454"/>
      <w:bookmarkEnd w:id="4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重要合营企业的主要财务信息"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重要联营企业的主要财务信息"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不重要的合营企业和联营企业的汇总财务信息"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120,947,702.77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115,286,297.87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-1,754,705.58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-5,160,908.02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-1,754,705.58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-5,160,908.02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合营企业或联营企业向本公司转移资金的能力存在重大限制的说明" w:id="458"/>
      <w:bookmarkEnd w:id="4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合营企业或联营企业发生的超额亏损"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与合营企业投资相关的未确认承诺"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与合营企业或联营企业投资相关的或有负债"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重要的共同经营" w:id="462"/>
      <w:bookmarkEnd w:id="4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53"/>
        <w:ind w:left="153" w:right="4617"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共同经营为单独主体的，分类为共同经营的依据：</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在未纳入合并财务报表范围的结构化主体中的权益" w:id="463"/>
      <w:bookmarkEnd w:id="46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其他" w:id="464"/>
      <w:bookmarkEnd w:id="46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65"/>
      <w:bookmarkEnd w:id="465"/>
      <w:r>
        <w:rPr>
          <w:b w:val="0"/>
          <w:bCs w:val="0"/>
        </w:rPr>
      </w:r>
      <w:r>
        <w:rPr/>
        <w:t>十、与金融工具相关的风险</w:t>
      </w:r>
      <w:r>
        <w:rPr>
          <w:b w:val="0"/>
          <w:bCs w:val="0"/>
        </w:rPr>
      </w:r>
    </w:p>
    <w:p>
      <w:pPr>
        <w:spacing w:line="240" w:lineRule="auto" w:before="7"/>
        <w:rPr>
          <w:rFonts w:ascii="宋体" w:hAnsi="宋体" w:cs="宋体" w:eastAsia="宋体" w:hint="default"/>
          <w:b/>
          <w:bCs/>
          <w:sz w:val="23"/>
          <w:szCs w:val="23"/>
        </w:rPr>
      </w:pPr>
    </w:p>
    <w:p>
      <w:pPr>
        <w:pStyle w:val="BodyText"/>
        <w:spacing w:line="237" w:lineRule="auto"/>
        <w:ind w:right="993"/>
        <w:jc w:val="left"/>
      </w:pPr>
      <w:r>
        <w:rPr>
          <w:spacing w:val="-2"/>
        </w:rPr>
        <w:t>本公司的主要金融工具包括货币资金、应收票据、应收账款、其他应收款、交易性金融资产、</w:t>
      </w:r>
      <w:r>
        <w:rPr>
          <w:spacing w:val="-118"/>
        </w:rPr>
        <w:t> </w:t>
      </w:r>
      <w:r>
        <w:rPr>
          <w:spacing w:val="-118"/>
        </w:rPr>
      </w:r>
      <w:r>
        <w:rPr/>
        <w:t>其他权益工具投资、应付票据、应付账款、其他应付款、短期借款。各项金融工具的详细情</w:t>
      </w:r>
      <w:r>
        <w:rPr>
          <w:spacing w:val="-93"/>
        </w:rPr>
        <w:t> </w:t>
      </w:r>
      <w:r>
        <w:rPr>
          <w:spacing w:val="-93"/>
        </w:rPr>
      </w:r>
      <w:r>
        <w:rPr/>
        <w:t>况已于相关附注内披露。与这些金融工具有关的风险，以及本公司为降低这些风险所采取的</w:t>
      </w:r>
      <w:r>
        <w:rPr>
          <w:spacing w:val="-93"/>
        </w:rPr>
        <w:t> </w:t>
      </w:r>
      <w:r>
        <w:rPr>
          <w:spacing w:val="-93"/>
        </w:rPr>
      </w:r>
      <w:r>
        <w:rPr/>
        <w:t>风险管理政策如下所述。本公司管理层对这些风险敞口进行管理和监控以确保将上述风险控</w:t>
      </w:r>
      <w:r>
        <w:rPr>
          <w:spacing w:val="-93"/>
        </w:rPr>
        <w:t> </w:t>
      </w:r>
      <w:r>
        <w:rPr>
          <w:spacing w:val="-93"/>
        </w:rPr>
      </w:r>
      <w:r>
        <w:rPr/>
        <w:t>制在限定的范围之内。</w:t>
      </w:r>
    </w:p>
    <w:p>
      <w:pPr>
        <w:pStyle w:val="BodyText"/>
        <w:spacing w:line="240" w:lineRule="auto" w:before="215"/>
        <w:ind w:right="0"/>
        <w:jc w:val="left"/>
      </w:pPr>
      <w:r>
        <w:rPr>
          <w:rFonts w:ascii="Times New Roman" w:hAnsi="Times New Roman" w:cs="Times New Roman" w:eastAsia="Times New Roman" w:hint="default"/>
        </w:rPr>
        <w:t>1</w:t>
      </w:r>
      <w:r>
        <w:rPr/>
        <w:t>、风险管理目标和政策</w:t>
      </w:r>
    </w:p>
    <w:p>
      <w:pPr>
        <w:pStyle w:val="BodyText"/>
        <w:spacing w:line="237" w:lineRule="auto" w:before="198"/>
        <w:ind w:right="1136"/>
        <w:jc w:val="both"/>
      </w:pPr>
      <w:r>
        <w:rPr/>
        <w:t>本公司从事风险管理的目标是在风险和收益之间取得适当的平衡，力求降低金融风险对本公</w:t>
      </w:r>
      <w:r>
        <w:rPr>
          <w:spacing w:val="-93"/>
        </w:rPr>
        <w:t> </w:t>
      </w:r>
      <w:r>
        <w:rPr>
          <w:spacing w:val="-93"/>
        </w:rPr>
      </w:r>
      <w:r>
        <w:rPr/>
        <w:t>司财务业绩的不利影响。基于该风险管理目标，本公司已制定风险管理政策以辨别和分析本</w:t>
      </w:r>
      <w:r>
        <w:rPr>
          <w:spacing w:val="-93"/>
        </w:rPr>
        <w:t> </w:t>
      </w:r>
      <w:r>
        <w:rPr>
          <w:spacing w:val="-93"/>
        </w:rPr>
      </w:r>
      <w:r>
        <w:rPr/>
        <w:t>公司所面临的风险，设定适当的风险可接受水平并设计相应的内部控制程序，以监控本公司</w:t>
      </w:r>
      <w:r>
        <w:rPr>
          <w:spacing w:val="-93"/>
        </w:rPr>
        <w:t> </w:t>
      </w:r>
      <w:r>
        <w:rPr>
          <w:spacing w:val="-93"/>
        </w:rPr>
      </w:r>
      <w:r>
        <w:rPr/>
        <w:t>的风险水平。本公司会定期审阅这些风险管理政策及有关内部控制系统，以适应市场情况或</w:t>
      </w:r>
      <w:r>
        <w:rPr>
          <w:spacing w:val="-93"/>
        </w:rPr>
        <w:t> </w:t>
      </w:r>
      <w:r>
        <w:rPr>
          <w:spacing w:val="-93"/>
        </w:rPr>
      </w:r>
      <w:r>
        <w:rPr/>
        <w:t>本公司经营活动的改变。本公司的内部审计部门也定期或随机检查内部控制系统的执行是否</w:t>
      </w:r>
      <w:r>
        <w:rPr>
          <w:spacing w:val="-93"/>
        </w:rPr>
        <w:t> </w:t>
      </w:r>
      <w:r>
        <w:rPr>
          <w:spacing w:val="-93"/>
        </w:rPr>
      </w:r>
      <w:r>
        <w:rPr/>
        <w:t>符合风险管理政策。</w:t>
      </w:r>
    </w:p>
    <w:p>
      <w:pPr>
        <w:pStyle w:val="BodyText"/>
        <w:spacing w:line="240" w:lineRule="auto" w:before="214"/>
        <w:ind w:right="0"/>
        <w:jc w:val="left"/>
      </w:pPr>
      <w:r>
        <w:rPr/>
        <w:t>本公司的金融工具导致的主要风险是信用风险、流动性风险。</w:t>
      </w:r>
    </w:p>
    <w:p>
      <w:pPr>
        <w:spacing w:line="240" w:lineRule="auto" w:before="7"/>
        <w:rPr>
          <w:rFonts w:ascii="宋体" w:hAnsi="宋体" w:cs="宋体" w:eastAsia="宋体" w:hint="default"/>
          <w:sz w:val="16"/>
          <w:szCs w:val="16"/>
        </w:rPr>
      </w:pPr>
    </w:p>
    <w:p>
      <w:pPr>
        <w:pStyle w:val="BodyText"/>
        <w:spacing w:line="237" w:lineRule="auto"/>
        <w:ind w:right="993"/>
        <w:jc w:val="left"/>
      </w:pPr>
      <w:r>
        <w:rPr/>
        <w:t>董事会负责规划并建立本公司的风险管理架构，制定本公司的风险管理政策和相关指引并监</w:t>
      </w:r>
      <w:r>
        <w:rPr>
          <w:spacing w:val="-93"/>
        </w:rPr>
        <w:t> </w:t>
      </w:r>
      <w:r>
        <w:rPr>
          <w:spacing w:val="-93"/>
        </w:rPr>
      </w:r>
      <w:r>
        <w:rPr>
          <w:spacing w:val="-2"/>
        </w:rPr>
        <w:t>督风险管理措施的执行情况。本公司已制定风险管理政策以识别和分析本公司所面临的风险，</w:t>
      </w:r>
      <w:r>
        <w:rPr/>
        <w:t> 这些风险管理政策对特定风险进行了明确规定，涵盖了市场风险、信用风险和流动性风险管</w:t>
      </w:r>
      <w:r>
        <w:rPr>
          <w:spacing w:val="-93"/>
        </w:rPr>
        <w:t> </w:t>
      </w:r>
      <w:r>
        <w:rPr>
          <w:spacing w:val="-93"/>
        </w:rPr>
      </w:r>
      <w:r>
        <w:rPr/>
        <w:t>理等诸多方面。本公司定期评估市场环境及本公司经营活动的变化以决定是否对风险管理政</w:t>
      </w:r>
      <w:r>
        <w:rPr>
          <w:spacing w:val="-93"/>
        </w:rPr>
        <w:t> </w:t>
      </w:r>
      <w:r>
        <w:rPr>
          <w:spacing w:val="-93"/>
        </w:rPr>
      </w:r>
      <w:r>
        <w:rPr/>
        <w:t>策及系统进行更新。本公司内部审计部门就风险管理控制及程序进行定期的审核，并将审核</w:t>
      </w:r>
      <w:r>
        <w:rPr>
          <w:spacing w:val="-93"/>
        </w:rPr>
        <w:t> </w:t>
      </w:r>
      <w:r>
        <w:rPr>
          <w:spacing w:val="-93"/>
        </w:rPr>
      </w:r>
      <w:r>
        <w:rPr/>
        <w:t>结果上报本公司的审计委员会。</w:t>
      </w:r>
    </w:p>
    <w:p>
      <w:pPr>
        <w:spacing w:line="240" w:lineRule="auto" w:before="10"/>
        <w:rPr>
          <w:rFonts w:ascii="宋体" w:hAnsi="宋体" w:cs="宋体" w:eastAsia="宋体" w:hint="default"/>
          <w:sz w:val="18"/>
          <w:szCs w:val="18"/>
        </w:rPr>
      </w:pPr>
    </w:p>
    <w:p>
      <w:pPr>
        <w:pStyle w:val="BodyText"/>
        <w:spacing w:line="312" w:lineRule="exact"/>
        <w:ind w:right="0"/>
        <w:jc w:val="left"/>
      </w:pPr>
      <w:r>
        <w:rPr/>
        <w:t>本公司通过适当的多样化投资及业务组合来分散金融工具风险，并通过制定相应的风险管理</w:t>
      </w:r>
      <w:r>
        <w:rPr>
          <w:spacing w:val="-93"/>
        </w:rPr>
        <w:t> </w:t>
      </w:r>
      <w:r>
        <w:rPr>
          <w:spacing w:val="-93"/>
        </w:rPr>
      </w:r>
      <w:r>
        <w:rPr/>
        <w:t>政策减少集中于单一行业、特定地区或特定交易对手的风险。</w:t>
      </w:r>
    </w:p>
    <w:p>
      <w:pPr>
        <w:pStyle w:val="BodyText"/>
        <w:spacing w:line="381" w:lineRule="auto" w:before="185"/>
        <w:ind w:right="1547" w:firstLine="422"/>
        <w:jc w:val="left"/>
      </w:pPr>
      <w:r>
        <w:rPr/>
        <w:t>（</w:t>
      </w:r>
      <w:r>
        <w:rPr>
          <w:rFonts w:ascii="Times New Roman" w:hAnsi="Times New Roman" w:cs="Times New Roman" w:eastAsia="Times New Roman" w:hint="default"/>
        </w:rPr>
        <w:t>1</w:t>
      </w:r>
      <w:r>
        <w:rPr/>
        <w:t>）信用风险 信用风险，是指交易对手未能履行合同义务而导致本公司产生财务损失的风险。</w:t>
      </w:r>
    </w:p>
    <w:p>
      <w:pPr>
        <w:pStyle w:val="BodyText"/>
        <w:spacing w:line="312" w:lineRule="exact" w:before="103"/>
        <w:ind w:right="0"/>
        <w:jc w:val="left"/>
      </w:pPr>
      <w:r>
        <w:rPr/>
        <w:t>本公司对信用风险按组合分类进行管理。信用风险主要产生于银行存款、应收票据、应收账</w:t>
      </w:r>
      <w:r>
        <w:rPr>
          <w:spacing w:val="-93"/>
        </w:rPr>
        <w:t> </w:t>
      </w:r>
      <w:r>
        <w:rPr>
          <w:spacing w:val="-93"/>
        </w:rPr>
      </w:r>
      <w:r>
        <w:rPr/>
        <w:t>款、其他应收款等。</w:t>
      </w:r>
    </w:p>
    <w:p>
      <w:pPr>
        <w:pStyle w:val="BodyText"/>
        <w:spacing w:line="312" w:lineRule="exact" w:before="216"/>
        <w:ind w:right="0"/>
        <w:jc w:val="left"/>
      </w:pPr>
      <w:r>
        <w:rPr/>
        <w:t>本公司银行存款主要存放于国有银行和其它大中型上市银行，本公司预期银行存款不存在重</w:t>
      </w:r>
      <w:r>
        <w:rPr>
          <w:spacing w:val="-93"/>
        </w:rPr>
        <w:t> </w:t>
      </w:r>
      <w:r>
        <w:rPr>
          <w:spacing w:val="-93"/>
        </w:rPr>
      </w:r>
      <w:r>
        <w:rPr/>
        <w:t>大的信用风险。</w:t>
      </w:r>
    </w:p>
    <w:p>
      <w:pPr>
        <w:spacing w:line="240" w:lineRule="auto" w:before="7"/>
        <w:rPr>
          <w:rFonts w:ascii="宋体" w:hAnsi="宋体" w:cs="宋体" w:eastAsia="宋体" w:hint="default"/>
          <w:sz w:val="16"/>
          <w:szCs w:val="16"/>
        </w:rPr>
      </w:pPr>
    </w:p>
    <w:p>
      <w:pPr>
        <w:pStyle w:val="BodyText"/>
        <w:spacing w:line="312" w:lineRule="exact"/>
        <w:ind w:right="0"/>
        <w:jc w:val="left"/>
      </w:pPr>
      <w:r>
        <w:rPr/>
        <w:t>对于应收票据、应收账款、其他应收款，本公司设定相关政策以控制信用风险敞口。本公司</w:t>
      </w:r>
      <w:r>
        <w:rPr>
          <w:spacing w:val="-93"/>
        </w:rPr>
        <w:t> </w:t>
      </w:r>
      <w:r>
        <w:rPr>
          <w:spacing w:val="-93"/>
        </w:rPr>
      </w:r>
      <w:r>
        <w:rPr/>
        <w:t>基于对客户的财务状况、信用记录及其他因素诸如目前市场状况等评估客户的信用资质并设</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1136"/>
        <w:jc w:val="both"/>
      </w:pPr>
      <w:r>
        <w:rPr/>
        <w:t>置相应信用期。本公司会定期对客户信用记录进行监控，对于信用记录不良的客户，本公司</w:t>
      </w:r>
      <w:r>
        <w:rPr>
          <w:spacing w:val="-93"/>
        </w:rPr>
        <w:t> </w:t>
      </w:r>
      <w:r>
        <w:rPr>
          <w:spacing w:val="-93"/>
        </w:rPr>
      </w:r>
      <w:r>
        <w:rPr/>
        <w:t>会采用书面催款、缩短信用期或取消信用期等方式，以确保本公司的整体信用风险在可控的</w:t>
      </w:r>
      <w:r>
        <w:rPr>
          <w:spacing w:val="-93"/>
        </w:rPr>
        <w:t> </w:t>
      </w:r>
      <w:r>
        <w:rPr>
          <w:spacing w:val="-93"/>
        </w:rPr>
      </w:r>
      <w:r>
        <w:rPr/>
        <w:t>范围内。</w:t>
      </w:r>
    </w:p>
    <w:p>
      <w:pPr>
        <w:spacing w:line="240" w:lineRule="auto" w:before="7"/>
        <w:rPr>
          <w:rFonts w:ascii="宋体" w:hAnsi="宋体" w:cs="宋体" w:eastAsia="宋体" w:hint="default"/>
          <w:sz w:val="16"/>
          <w:szCs w:val="16"/>
        </w:rPr>
      </w:pPr>
    </w:p>
    <w:p>
      <w:pPr>
        <w:pStyle w:val="BodyText"/>
        <w:spacing w:line="312" w:lineRule="exact"/>
        <w:ind w:right="1136"/>
        <w:jc w:val="both"/>
      </w:pPr>
      <w:r>
        <w:rPr/>
        <w:t>本公司应收账款的债务人为分布于不同行业和地区的客户。本公司持续对应收账款的财务状</w:t>
      </w:r>
      <w:r>
        <w:rPr>
          <w:spacing w:val="-93"/>
        </w:rPr>
        <w:t> </w:t>
      </w:r>
      <w:r>
        <w:rPr>
          <w:spacing w:val="-93"/>
        </w:rPr>
      </w:r>
      <w:r>
        <w:rPr/>
        <w:t>况实施信用评估，并在适当时购买信用担保保险。</w:t>
      </w:r>
    </w:p>
    <w:p>
      <w:pPr>
        <w:pStyle w:val="BodyText"/>
        <w:spacing w:line="240" w:lineRule="auto" w:before="185"/>
        <w:ind w:left="575" w:right="0"/>
        <w:jc w:val="left"/>
      </w:pPr>
      <w:r>
        <w:rPr/>
        <w:t>（</w:t>
      </w:r>
      <w:r>
        <w:rPr>
          <w:rFonts w:ascii="Times New Roman" w:hAnsi="Times New Roman" w:cs="Times New Roman" w:eastAsia="Times New Roman" w:hint="default"/>
        </w:rPr>
        <w:t>2</w:t>
      </w:r>
      <w:r>
        <w:rPr/>
        <w:t>）流动性风险</w:t>
      </w:r>
    </w:p>
    <w:p>
      <w:pPr>
        <w:pStyle w:val="BodyText"/>
        <w:spacing w:line="240" w:lineRule="auto" w:before="195"/>
        <w:ind w:right="1136"/>
        <w:jc w:val="both"/>
      </w:pPr>
      <w:r>
        <w:rPr/>
        <w:t>流动性风险，是指本公司在履行以交付现金或其他金融资产结算的义务时遇到资金短缺的风</w:t>
      </w:r>
      <w:r>
        <w:rPr>
          <w:spacing w:val="-93"/>
        </w:rPr>
        <w:t> </w:t>
      </w:r>
      <w:r>
        <w:rPr>
          <w:spacing w:val="-93"/>
        </w:rPr>
      </w:r>
      <w:r>
        <w:rPr/>
        <w:t>险。</w:t>
      </w:r>
    </w:p>
    <w:p>
      <w:pPr>
        <w:spacing w:line="240" w:lineRule="auto" w:before="7"/>
        <w:rPr>
          <w:rFonts w:ascii="宋体" w:hAnsi="宋体" w:cs="宋体" w:eastAsia="宋体" w:hint="default"/>
          <w:sz w:val="16"/>
          <w:szCs w:val="16"/>
        </w:rPr>
      </w:pPr>
    </w:p>
    <w:p>
      <w:pPr>
        <w:pStyle w:val="BodyText"/>
        <w:spacing w:line="237" w:lineRule="auto"/>
        <w:ind w:right="1133"/>
        <w:jc w:val="both"/>
      </w:pPr>
      <w:r>
        <w:rPr/>
        <w:t>管理流动风险时，本公司保持管理层认为充分的现金及现金等价物并对其进行监控，以满足</w:t>
      </w:r>
      <w:r>
        <w:rPr>
          <w:spacing w:val="-93"/>
        </w:rPr>
        <w:t> </w:t>
      </w:r>
      <w:r>
        <w:rPr>
          <w:spacing w:val="-93"/>
        </w:rPr>
      </w:r>
      <w:r>
        <w:rPr/>
        <w:t>本公司经营需要，并降低现金流量波动的影响。本公司管理层对银行借款的使用情况进行监</w:t>
      </w:r>
      <w:r>
        <w:rPr>
          <w:spacing w:val="-91"/>
        </w:rPr>
        <w:t> </w:t>
      </w:r>
      <w:r>
        <w:rPr>
          <w:spacing w:val="-91"/>
        </w:rPr>
      </w:r>
      <w:r>
        <w:rPr/>
        <w:t>控并确保遵守借款协议。同时从主要金融机构获得提供足够备用资金的承诺，以满足短期和</w:t>
      </w:r>
      <w:r>
        <w:rPr>
          <w:spacing w:val="-93"/>
        </w:rPr>
        <w:t> </w:t>
      </w:r>
      <w:r>
        <w:rPr>
          <w:spacing w:val="-93"/>
        </w:rPr>
      </w:r>
      <w:r>
        <w:rPr/>
        <w:t>长期的资金需求。</w:t>
      </w:r>
    </w:p>
    <w:p>
      <w:pPr>
        <w:pStyle w:val="BodyText"/>
        <w:spacing w:line="240" w:lineRule="auto" w:before="214"/>
        <w:ind w:left="575" w:right="0"/>
        <w:jc w:val="left"/>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17"/>
          <w:szCs w:val="17"/>
        </w:rPr>
      </w:pPr>
    </w:p>
    <w:p>
      <w:pPr>
        <w:pStyle w:val="BodyText"/>
        <w:spacing w:line="312" w:lineRule="exact"/>
        <w:ind w:right="1136"/>
        <w:jc w:val="both"/>
      </w:pPr>
      <w:r>
        <w:rPr/>
        <w:t>金融工具的市场风险，是指金融工具的公允价值或未来现金流量因市场价格变动而发生波动</w:t>
      </w:r>
      <w:r>
        <w:rPr>
          <w:spacing w:val="-93"/>
        </w:rPr>
        <w:t> </w:t>
      </w:r>
      <w:r>
        <w:rPr>
          <w:spacing w:val="-93"/>
        </w:rPr>
      </w:r>
      <w:r>
        <w:rPr/>
        <w:t>的风险，包括利率风险、汇率风险和其他价格风险。</w:t>
      </w:r>
    </w:p>
    <w:p>
      <w:pPr>
        <w:pStyle w:val="BodyText"/>
        <w:spacing w:line="240" w:lineRule="auto" w:before="185"/>
        <w:ind w:right="0"/>
        <w:jc w:val="both"/>
      </w:pPr>
      <w:r>
        <w:rPr/>
        <w:t>其他价格风险</w:t>
      </w:r>
    </w:p>
    <w:p>
      <w:pPr>
        <w:spacing w:line="240" w:lineRule="auto" w:before="7"/>
        <w:rPr>
          <w:rFonts w:ascii="宋体" w:hAnsi="宋体" w:cs="宋体" w:eastAsia="宋体" w:hint="default"/>
          <w:sz w:val="16"/>
          <w:szCs w:val="16"/>
        </w:rPr>
      </w:pPr>
    </w:p>
    <w:p>
      <w:pPr>
        <w:pStyle w:val="BodyText"/>
        <w:spacing w:line="237" w:lineRule="auto"/>
        <w:ind w:right="1132"/>
        <w:jc w:val="both"/>
      </w:pPr>
      <w:r>
        <w:rPr/>
        <w:t>其他价格风险，是指汇率风险和利率风险以外的市场价格变动而发生波动的风险，无论这些</w:t>
      </w:r>
      <w:r>
        <w:rPr>
          <w:spacing w:val="-93"/>
        </w:rPr>
        <w:t> </w:t>
      </w:r>
      <w:r>
        <w:rPr>
          <w:spacing w:val="-93"/>
        </w:rPr>
      </w:r>
      <w:r>
        <w:rPr/>
        <w:t>变动是由于与单项金融工具或其发行方有关的因素而引起的，还是由于与市场内交易的所有</w:t>
      </w:r>
      <w:r>
        <w:rPr>
          <w:spacing w:val="-93"/>
        </w:rPr>
        <w:t> </w:t>
      </w:r>
      <w:r>
        <w:rPr>
          <w:spacing w:val="-93"/>
        </w:rPr>
      </w:r>
      <w:r>
        <w:rPr/>
        <w:t>类似金融工具有关的因素而引起的。其他价格风险可源于商品价格、股票市场指数、权益工</w:t>
      </w:r>
      <w:r>
        <w:rPr>
          <w:spacing w:val="-89"/>
        </w:rPr>
        <w:t> </w:t>
      </w:r>
      <w:r>
        <w:rPr>
          <w:spacing w:val="-89"/>
        </w:rPr>
      </w:r>
      <w:r>
        <w:rPr/>
        <w:t>具价格以及其他风险变量的变化</w:t>
      </w:r>
    </w:p>
    <w:p>
      <w:pPr>
        <w:spacing w:line="240" w:lineRule="auto" w:before="9"/>
        <w:rPr>
          <w:rFonts w:ascii="宋体" w:hAnsi="宋体" w:cs="宋体" w:eastAsia="宋体" w:hint="default"/>
          <w:sz w:val="18"/>
          <w:szCs w:val="18"/>
        </w:rPr>
      </w:pPr>
    </w:p>
    <w:p>
      <w:pPr>
        <w:pStyle w:val="BodyText"/>
        <w:spacing w:line="312" w:lineRule="exact"/>
        <w:ind w:right="1136"/>
        <w:jc w:val="both"/>
      </w:pPr>
      <w:r>
        <w:rPr/>
        <w:t>本公司持有的分类为交易性金融资产、其他权益工具投资的上市权益工具投资在资产负债表</w:t>
      </w:r>
      <w:r>
        <w:rPr>
          <w:spacing w:val="-93"/>
        </w:rPr>
        <w:t> </w:t>
      </w:r>
      <w:r>
        <w:rPr>
          <w:spacing w:val="-93"/>
        </w:rPr>
      </w:r>
      <w:r>
        <w:rPr/>
        <w:t>日以公允价值计量。因此，本公司承担着证券市场变动的风险。</w:t>
      </w:r>
    </w:p>
    <w:p>
      <w:pPr>
        <w:pStyle w:val="BodyText"/>
        <w:spacing w:line="237" w:lineRule="auto" w:before="188"/>
        <w:ind w:right="1136"/>
        <w:jc w:val="both"/>
      </w:pPr>
      <w:r>
        <w:rPr/>
        <w:t>本公司密切关注价格变动对本公司权益证券投资价格风险的影响。本公司目前并未采取任何</w:t>
      </w:r>
      <w:r>
        <w:rPr>
          <w:spacing w:val="-93"/>
        </w:rPr>
        <w:t> </w:t>
      </w:r>
      <w:r>
        <w:rPr>
          <w:spacing w:val="-93"/>
        </w:rPr>
      </w:r>
      <w:r>
        <w:rPr/>
        <w:t>措施规避其他价格风险。但管理层负责监控其他价格风险，并将于需要时考虑采取持有多种</w:t>
      </w:r>
      <w:r>
        <w:rPr>
          <w:spacing w:val="-93"/>
        </w:rPr>
        <w:t> </w:t>
      </w:r>
      <w:r>
        <w:rPr>
          <w:spacing w:val="-93"/>
        </w:rPr>
      </w:r>
      <w:r>
        <w:rPr/>
        <w:t>权益证券组合的方式降低权益证券投资的价格风险。</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在其他变量不变的情况下，权益证券投资价格本年的变动对本公司当期损益及其他综合收益</w:t>
      </w:r>
      <w:r>
        <w:rPr>
          <w:spacing w:val="-93"/>
        </w:rPr>
        <w:t> </w:t>
      </w:r>
      <w:r>
        <w:rPr>
          <w:spacing w:val="-93"/>
        </w:rPr>
      </w:r>
      <w:r>
        <w:rPr/>
        <w:t>的税后影响如下（单位：人民币元）：</w:t>
      </w:r>
    </w:p>
    <w:p>
      <w:pPr>
        <w:spacing w:line="240" w:lineRule="auto" w:before="3"/>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2723"/>
        <w:gridCol w:w="1933"/>
        <w:gridCol w:w="1515"/>
        <w:gridCol w:w="2084"/>
        <w:gridCol w:w="1022"/>
      </w:tblGrid>
      <w:tr>
        <w:trPr>
          <w:trHeight w:val="346" w:hRule="exact"/>
        </w:trPr>
        <w:tc>
          <w:tcPr>
            <w:tcW w:w="2723" w:type="dxa"/>
            <w:tcBorders>
              <w:top w:val="single" w:sz="6" w:space="0" w:color="000000"/>
              <w:left w:val="nil" w:sz="6" w:space="0" w:color="auto"/>
              <w:bottom w:val="nil" w:sz="6" w:space="0" w:color="auto"/>
              <w:right w:val="nil" w:sz="6" w:space="0" w:color="auto"/>
            </w:tcBorders>
          </w:tcPr>
          <w:p>
            <w:pPr>
              <w:pStyle w:val="TableParagraph"/>
              <w:tabs>
                <w:tab w:pos="470" w:val="left" w:leader="none"/>
              </w:tabs>
              <w:spacing w:line="284" w:lineRule="exact"/>
              <w:ind w:left="23"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448" w:type="dxa"/>
            <w:gridSpan w:val="2"/>
            <w:tcBorders>
              <w:top w:val="single" w:sz="6" w:space="0" w:color="000000"/>
              <w:left w:val="nil" w:sz="6" w:space="0" w:color="auto"/>
              <w:bottom w:val="single" w:sz="6" w:space="0" w:color="000000"/>
              <w:right w:val="nil" w:sz="6" w:space="0" w:color="auto"/>
            </w:tcBorders>
          </w:tcPr>
          <w:p>
            <w:pPr>
              <w:pStyle w:val="TableParagraph"/>
              <w:spacing w:line="284" w:lineRule="exact"/>
              <w:ind w:left="720" w:right="0"/>
              <w:jc w:val="left"/>
              <w:rPr>
                <w:rFonts w:ascii="宋体" w:hAnsi="宋体" w:cs="宋体" w:eastAsia="宋体" w:hint="default"/>
                <w:sz w:val="24"/>
                <w:szCs w:val="24"/>
              </w:rPr>
            </w:pPr>
            <w:r>
              <w:rPr>
                <w:rFonts w:ascii="宋体" w:hAnsi="宋体" w:cs="宋体" w:eastAsia="宋体" w:hint="default"/>
                <w:b/>
                <w:bCs/>
                <w:sz w:val="24"/>
                <w:szCs w:val="24"/>
              </w:rPr>
              <w:t>税后利润上升（下降）</w:t>
            </w:r>
            <w:r>
              <w:rPr>
                <w:rFonts w:ascii="宋体" w:hAnsi="宋体" w:cs="宋体" w:eastAsia="宋体" w:hint="default"/>
                <w:sz w:val="24"/>
                <w:szCs w:val="24"/>
              </w:rPr>
            </w:r>
          </w:p>
        </w:tc>
        <w:tc>
          <w:tcPr>
            <w:tcW w:w="3105" w:type="dxa"/>
            <w:gridSpan w:val="2"/>
            <w:tcBorders>
              <w:top w:val="single" w:sz="6" w:space="0" w:color="000000"/>
              <w:left w:val="nil" w:sz="6" w:space="0" w:color="auto"/>
              <w:bottom w:val="single" w:sz="6" w:space="0" w:color="000000"/>
              <w:right w:val="nil" w:sz="6" w:space="0" w:color="auto"/>
            </w:tcBorders>
          </w:tcPr>
          <w:p>
            <w:pPr>
              <w:pStyle w:val="TableParagraph"/>
              <w:spacing w:line="284" w:lineRule="exact"/>
              <w:ind w:left="216" w:right="0"/>
              <w:jc w:val="left"/>
              <w:rPr>
                <w:rFonts w:ascii="宋体" w:hAnsi="宋体" w:cs="宋体" w:eastAsia="宋体" w:hint="default"/>
                <w:sz w:val="24"/>
                <w:szCs w:val="24"/>
              </w:rPr>
            </w:pPr>
            <w:r>
              <w:rPr>
                <w:rFonts w:ascii="宋体" w:hAnsi="宋体" w:cs="宋体" w:eastAsia="宋体" w:hint="default"/>
                <w:b/>
                <w:bCs/>
                <w:w w:val="95"/>
                <w:sz w:val="24"/>
                <w:szCs w:val="24"/>
              </w:rPr>
              <w:t>其他综合收益上升（下降）</w:t>
            </w:r>
            <w:r>
              <w:rPr>
                <w:rFonts w:ascii="宋体" w:hAnsi="宋体" w:cs="宋体" w:eastAsia="宋体" w:hint="default"/>
                <w:sz w:val="24"/>
                <w:szCs w:val="24"/>
              </w:rPr>
            </w:r>
          </w:p>
        </w:tc>
      </w:tr>
      <w:tr>
        <w:trPr>
          <w:trHeight w:val="350" w:hRule="exact"/>
        </w:trPr>
        <w:tc>
          <w:tcPr>
            <w:tcW w:w="2723" w:type="dxa"/>
            <w:tcBorders>
              <w:top w:val="nil" w:sz="6" w:space="0" w:color="auto"/>
              <w:left w:val="nil" w:sz="6" w:space="0" w:color="auto"/>
              <w:bottom w:val="single" w:sz="6" w:space="0" w:color="000000"/>
              <w:right w:val="nil" w:sz="6" w:space="0" w:color="auto"/>
            </w:tcBorders>
          </w:tcPr>
          <w:p>
            <w:pPr/>
          </w:p>
        </w:tc>
        <w:tc>
          <w:tcPr>
            <w:tcW w:w="1933"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572"/>
              <w:jc w:val="right"/>
              <w:rPr>
                <w:rFonts w:ascii="宋体" w:hAnsi="宋体" w:cs="宋体" w:eastAsia="宋体" w:hint="default"/>
                <w:sz w:val="24"/>
                <w:szCs w:val="24"/>
              </w:rPr>
            </w:pPr>
            <w:r>
              <w:rPr>
                <w:rFonts w:ascii="宋体" w:hAnsi="宋体" w:cs="宋体" w:eastAsia="宋体" w:hint="default"/>
                <w:b/>
                <w:bCs/>
                <w:sz w:val="24"/>
                <w:szCs w:val="24"/>
              </w:rPr>
              <w:t>本年数</w:t>
            </w:r>
            <w:r>
              <w:rPr>
                <w:rFonts w:ascii="宋体" w:hAnsi="宋体" w:cs="宋体" w:eastAsia="宋体" w:hint="default"/>
                <w:sz w:val="24"/>
                <w:szCs w:val="24"/>
              </w:rPr>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214"/>
              <w:jc w:val="right"/>
              <w:rPr>
                <w:rFonts w:ascii="宋体" w:hAnsi="宋体" w:cs="宋体" w:eastAsia="宋体" w:hint="default"/>
                <w:sz w:val="24"/>
                <w:szCs w:val="24"/>
              </w:rPr>
            </w:pPr>
            <w:r>
              <w:rPr>
                <w:rFonts w:ascii="宋体" w:hAnsi="宋体" w:cs="宋体" w:eastAsia="宋体" w:hint="default"/>
                <w:b/>
                <w:bCs/>
                <w:sz w:val="24"/>
                <w:szCs w:val="24"/>
              </w:rPr>
              <w:t>上年数</w:t>
            </w:r>
            <w:r>
              <w:rPr>
                <w:rFonts w:ascii="宋体" w:hAnsi="宋体" w:cs="宋体" w:eastAsia="宋体" w:hint="default"/>
                <w:sz w:val="24"/>
                <w:szCs w:val="24"/>
              </w:rPr>
            </w: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247"/>
              <w:jc w:val="right"/>
              <w:rPr>
                <w:rFonts w:ascii="宋体" w:hAnsi="宋体" w:cs="宋体" w:eastAsia="宋体" w:hint="default"/>
                <w:sz w:val="24"/>
                <w:szCs w:val="24"/>
              </w:rPr>
            </w:pPr>
            <w:r>
              <w:rPr>
                <w:rFonts w:ascii="宋体" w:hAnsi="宋体" w:cs="宋体" w:eastAsia="宋体" w:hint="default"/>
                <w:b/>
                <w:bCs/>
                <w:sz w:val="24"/>
                <w:szCs w:val="24"/>
              </w:rPr>
              <w:t>本年数</w:t>
            </w:r>
            <w:r>
              <w:rPr>
                <w:rFonts w:ascii="宋体" w:hAnsi="宋体" w:cs="宋体" w:eastAsia="宋体" w:hint="default"/>
                <w:sz w:val="24"/>
                <w:szCs w:val="24"/>
              </w:rPr>
            </w:r>
          </w:p>
        </w:tc>
        <w:tc>
          <w:tcPr>
            <w:tcW w:w="1022"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49"/>
              <w:jc w:val="right"/>
              <w:rPr>
                <w:rFonts w:ascii="宋体" w:hAnsi="宋体" w:cs="宋体" w:eastAsia="宋体" w:hint="default"/>
                <w:sz w:val="24"/>
                <w:szCs w:val="24"/>
              </w:rPr>
            </w:pPr>
            <w:r>
              <w:rPr>
                <w:rFonts w:ascii="宋体" w:hAnsi="宋体" w:cs="宋体" w:eastAsia="宋体" w:hint="default"/>
                <w:b/>
                <w:bCs/>
                <w:sz w:val="24"/>
                <w:szCs w:val="24"/>
              </w:rPr>
              <w:t>上年数</w:t>
            </w:r>
            <w:r>
              <w:rPr>
                <w:rFonts w:ascii="宋体" w:hAnsi="宋体" w:cs="宋体" w:eastAsia="宋体" w:hint="default"/>
                <w:sz w:val="24"/>
                <w:szCs w:val="24"/>
              </w:rPr>
            </w:r>
          </w:p>
        </w:tc>
      </w:tr>
      <w:tr>
        <w:trPr>
          <w:trHeight w:val="346" w:hRule="exact"/>
        </w:trPr>
        <w:tc>
          <w:tcPr>
            <w:tcW w:w="2723"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23" w:right="0"/>
              <w:jc w:val="left"/>
              <w:rPr>
                <w:rFonts w:ascii="宋体" w:hAnsi="宋体" w:cs="宋体" w:eastAsia="宋体" w:hint="default"/>
                <w:sz w:val="24"/>
                <w:szCs w:val="24"/>
              </w:rPr>
            </w:pPr>
            <w:r>
              <w:rPr>
                <w:rFonts w:ascii="宋体" w:hAnsi="宋体" w:cs="宋体" w:eastAsia="宋体" w:hint="default"/>
                <w:sz w:val="24"/>
                <w:szCs w:val="24"/>
              </w:rPr>
              <w:t>因权益证券投资价格上升</w:t>
            </w:r>
          </w:p>
        </w:tc>
        <w:tc>
          <w:tcPr>
            <w:tcW w:w="1933"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571"/>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214"/>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243"/>
              <w:jc w:val="right"/>
              <w:rPr>
                <w:rFonts w:ascii="Times New Roman" w:hAnsi="Times New Roman" w:cs="Times New Roman" w:eastAsia="Times New Roman" w:hint="default"/>
                <w:sz w:val="24"/>
                <w:szCs w:val="24"/>
              </w:rPr>
            </w:pPr>
            <w:r>
              <w:rPr>
                <w:rFonts w:ascii="Times New Roman"/>
                <w:sz w:val="24"/>
              </w:rPr>
              <w:t>10,953,350.45</w:t>
            </w:r>
          </w:p>
        </w:tc>
        <w:tc>
          <w:tcPr>
            <w:tcW w:w="1022"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44"/>
              <w:jc w:val="right"/>
              <w:rPr>
                <w:rFonts w:ascii="Times New Roman" w:hAnsi="Times New Roman" w:cs="Times New Roman" w:eastAsia="Times New Roman" w:hint="default"/>
                <w:sz w:val="24"/>
                <w:szCs w:val="24"/>
              </w:rPr>
            </w:pPr>
            <w:r>
              <w:rPr>
                <w:rFonts w:ascii="Times New Roman"/>
                <w:sz w:val="24"/>
              </w:rPr>
              <w:t>--</w:t>
            </w:r>
          </w:p>
        </w:tc>
      </w:tr>
      <w:tr>
        <w:trPr>
          <w:trHeight w:val="346" w:hRule="exact"/>
        </w:trPr>
        <w:tc>
          <w:tcPr>
            <w:tcW w:w="2723"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23" w:right="0"/>
              <w:jc w:val="left"/>
              <w:rPr>
                <w:rFonts w:ascii="宋体" w:hAnsi="宋体" w:cs="宋体" w:eastAsia="宋体" w:hint="default"/>
                <w:sz w:val="24"/>
                <w:szCs w:val="24"/>
              </w:rPr>
            </w:pPr>
            <w:r>
              <w:rPr>
                <w:rFonts w:ascii="宋体" w:hAnsi="宋体" w:cs="宋体" w:eastAsia="宋体" w:hint="default"/>
                <w:sz w:val="24"/>
                <w:szCs w:val="24"/>
              </w:rPr>
              <w:t>因权益证券投资价格下降</w:t>
            </w:r>
          </w:p>
        </w:tc>
        <w:tc>
          <w:tcPr>
            <w:tcW w:w="1933"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571"/>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214"/>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c>
          <w:tcPr>
            <w:tcW w:w="2084"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247"/>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c>
          <w:tcPr>
            <w:tcW w:w="1022"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49"/>
              <w:jc w:val="right"/>
              <w:rPr>
                <w:rFonts w:ascii="Times New Roman" w:hAnsi="Times New Roman" w:cs="Times New Roman" w:eastAsia="Times New Roman" w:hint="default"/>
                <w:sz w:val="24"/>
                <w:szCs w:val="24"/>
              </w:rPr>
            </w:pPr>
            <w:r>
              <w:rPr>
                <w:rFonts w:ascii="Times New Roman"/>
                <w:spacing w:val="-4"/>
                <w:sz w:val="24"/>
              </w:rPr>
              <w:t>--</w:t>
            </w:r>
            <w:r>
              <w:rPr>
                <w:rFonts w:ascii="Times New Roman"/>
                <w:sz w:val="24"/>
              </w:rPr>
            </w:r>
          </w:p>
        </w:tc>
      </w:tr>
    </w:tbl>
    <w:p>
      <w:pPr>
        <w:pStyle w:val="BodyText"/>
        <w:spacing w:line="240" w:lineRule="auto" w:before="79"/>
        <w:ind w:right="0"/>
        <w:jc w:val="left"/>
      </w:pPr>
      <w:r>
        <w:rPr>
          <w:rFonts w:ascii="Times New Roman" w:hAnsi="Times New Roman" w:cs="Times New Roman" w:eastAsia="Times New Roman" w:hint="default"/>
        </w:rPr>
        <w:t>2</w:t>
      </w:r>
      <w:r>
        <w:rPr/>
        <w:t>、资本管理</w:t>
      </w:r>
    </w:p>
    <w:p>
      <w:pPr>
        <w:spacing w:line="240" w:lineRule="auto" w:before="5"/>
        <w:rPr>
          <w:rFonts w:ascii="宋体" w:hAnsi="宋体" w:cs="宋体" w:eastAsia="宋体" w:hint="default"/>
          <w:sz w:val="17"/>
          <w:szCs w:val="17"/>
        </w:rPr>
      </w:pPr>
    </w:p>
    <w:p>
      <w:pPr>
        <w:pStyle w:val="BodyText"/>
        <w:spacing w:line="312" w:lineRule="exact"/>
        <w:ind w:right="0"/>
        <w:jc w:val="left"/>
      </w:pPr>
      <w:r>
        <w:rPr/>
        <w:t>本公司资本管理政策的目标是为了保障本公司能够持续经营，从而为股东提供回报，并使其</w:t>
      </w:r>
      <w:r>
        <w:rPr>
          <w:spacing w:val="-93"/>
        </w:rPr>
        <w:t> </w:t>
      </w:r>
      <w:r>
        <w:rPr>
          <w:spacing w:val="-93"/>
        </w:rPr>
      </w:r>
      <w:r>
        <w:rPr/>
        <w:t>他利益相关者获益，同时维持最佳的资本结构以降低资本成本。</w:t>
      </w:r>
    </w:p>
    <w:p>
      <w:pPr>
        <w:spacing w:after="0" w:line="312"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312" w:lineRule="exact" w:before="56"/>
        <w:ind w:right="0"/>
        <w:jc w:val="left"/>
      </w:pPr>
      <w:r>
        <w:rPr/>
        <w:t>为了维持或调整资本结构，本公司可能会调整融资方式、调整支付给股东的股利金额、向股</w:t>
      </w:r>
      <w:r>
        <w:rPr>
          <w:spacing w:val="-93"/>
        </w:rPr>
        <w:t> </w:t>
      </w:r>
      <w:r>
        <w:rPr>
          <w:spacing w:val="-93"/>
        </w:rPr>
      </w:r>
      <w:r>
        <w:rPr/>
        <w:t>东返还资本、发行新股与其他权益工具或出售资产以减低债务。</w:t>
      </w:r>
    </w:p>
    <w:p>
      <w:pPr>
        <w:pStyle w:val="BodyText"/>
        <w:spacing w:line="312" w:lineRule="exact" w:before="216"/>
        <w:ind w:right="0"/>
        <w:jc w:val="left"/>
      </w:pPr>
      <w:r>
        <w:rPr/>
        <w:t>本公司以资产负债率（即总负债除以总资产）为基础对资本结构进行监控。于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日，本公司的资产负债率为</w:t>
      </w:r>
      <w:r>
        <w:rPr>
          <w:rFonts w:ascii="Times New Roman" w:hAnsi="Times New Roman" w:cs="Times New Roman" w:eastAsia="Times New Roman" w:hint="default"/>
        </w:rPr>
        <w:t>11.14%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13.05%</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pStyle w:val="Heading2"/>
        <w:spacing w:line="240" w:lineRule="auto"/>
        <w:ind w:right="0"/>
        <w:jc w:val="left"/>
        <w:rPr>
          <w:b w:val="0"/>
          <w:bCs w:val="0"/>
        </w:rPr>
      </w:pPr>
      <w:bookmarkStart w:name="十一、公允价值的披露" w:id="466"/>
      <w:bookmarkEnd w:id="466"/>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以公允价值计量的资产和负债的期末公允价值" w:id="467"/>
      <w:bookmarkEnd w:id="4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399"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8"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870,000,000.00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188,153,476.82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188,153,476.82</w:t>
            </w:r>
          </w:p>
        </w:tc>
      </w:tr>
      <w:tr>
        <w:trPr>
          <w:trHeight w:val="71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1,058,153,476.82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1,058,153,476.82</w:t>
            </w:r>
          </w:p>
        </w:tc>
      </w:tr>
      <w:tr>
        <w:trPr>
          <w:trHeight w:val="158"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持续和非持续第一层次公允价值计量项目市价的确定依据" w:id="468"/>
      <w:bookmarkEnd w:id="4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left"/>
      </w:pPr>
      <w:r>
        <w:rPr/>
        <w:t>第一层次：相同资产或负债在活跃市场中的报价（未经调整的）。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7"/>
          <w:szCs w:val="17"/>
        </w:rPr>
      </w:pPr>
    </w:p>
    <w:p>
      <w:pPr>
        <w:spacing w:before="0"/>
        <w:ind w:left="153" w:right="0" w:firstLine="0"/>
        <w:jc w:val="left"/>
        <w:rPr>
          <w:rFonts w:ascii="宋体" w:hAnsi="宋体" w:cs="宋体" w:eastAsia="宋体" w:hint="default"/>
          <w:sz w:val="21"/>
          <w:szCs w:val="21"/>
        </w:rPr>
      </w:pPr>
      <w:bookmarkStart w:name="3、持续和非持续第二层次公允价值计量项目，采用的估值技术和重要参数的定性及定量信" w:id="469"/>
      <w:bookmarkEnd w:id="46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151"/>
        <w:jc w:val="left"/>
      </w:pPr>
      <w:r>
        <w:rPr/>
        <w:t>第二层次：直接（即价格）或间接（即从价格推导出）地使用除第一层次中的资产或负债的 市场报价之外的可观察输入值。</w:t>
      </w:r>
    </w:p>
    <w:p>
      <w:pPr>
        <w:spacing w:after="0" w:line="312" w:lineRule="exact"/>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470"/>
      <w:bookmarkEnd w:id="47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left"/>
      </w:pPr>
      <w:r>
        <w:rPr/>
        <w:t>第三层次：资产或负债使用了任何非基于可观察市场数据的输入值（不可观察输入值）。</w:t>
      </w:r>
    </w:p>
    <w:p>
      <w:pPr>
        <w:pStyle w:val="BodyText"/>
        <w:spacing w:line="240" w:lineRule="auto" w:before="214"/>
        <w:ind w:left="575" w:right="0"/>
        <w:jc w:val="left"/>
      </w:pPr>
      <w:r>
        <w:rPr/>
        <w:t>（</w:t>
      </w:r>
      <w:r>
        <w:rPr>
          <w:rFonts w:ascii="Times New Roman" w:hAnsi="Times New Roman" w:cs="Times New Roman" w:eastAsia="Times New Roman" w:hint="default"/>
        </w:rPr>
        <w:t>1</w:t>
      </w:r>
      <w:r>
        <w:rPr/>
        <w:t>）以公允价值计量的项目和金额</w:t>
      </w:r>
    </w:p>
    <w:p>
      <w:pPr>
        <w:pStyle w:val="BodyText"/>
        <w:spacing w:line="240" w:lineRule="auto" w:before="195"/>
        <w:ind w:right="0"/>
        <w:jc w:val="left"/>
      </w:pPr>
      <w:r>
        <w:rPr/>
        <w:t>于</w:t>
      </w:r>
      <w:r>
        <w:rPr>
          <w:spacing w:val="-2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日，以公允价值计量的资产及负债按上述三个层次列示如下：</w:t>
      </w:r>
    </w:p>
    <w:p>
      <w:pPr>
        <w:spacing w:line="240" w:lineRule="auto" w:before="7"/>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2319"/>
        <w:gridCol w:w="1463"/>
        <w:gridCol w:w="1409"/>
        <w:gridCol w:w="2278"/>
        <w:gridCol w:w="1765"/>
      </w:tblGrid>
      <w:tr>
        <w:trPr>
          <w:trHeight w:val="595" w:hRule="exact"/>
        </w:trPr>
        <w:tc>
          <w:tcPr>
            <w:tcW w:w="2319" w:type="dxa"/>
            <w:tcBorders>
              <w:top w:val="nil" w:sz="6" w:space="0" w:color="auto"/>
              <w:left w:val="nil" w:sz="6" w:space="0" w:color="auto"/>
              <w:bottom w:val="single" w:sz="8" w:space="0" w:color="000000"/>
              <w:right w:val="nil" w:sz="6" w:space="0" w:color="auto"/>
            </w:tcBorders>
          </w:tcPr>
          <w:p>
            <w:pPr>
              <w:pStyle w:val="TableParagraph"/>
              <w:spacing w:line="21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71"/>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463" w:type="dxa"/>
            <w:tcBorders>
              <w:top w:val="nil" w:sz="6" w:space="0" w:color="auto"/>
              <w:left w:val="nil" w:sz="6" w:space="0" w:color="auto"/>
              <w:bottom w:val="single" w:sz="8" w:space="0" w:color="000000"/>
              <w:right w:val="nil" w:sz="6" w:space="0" w:color="auto"/>
            </w:tcBorders>
          </w:tcPr>
          <w:p>
            <w:pPr>
              <w:pStyle w:val="TableParagraph"/>
              <w:spacing w:line="211" w:lineRule="exact"/>
              <w:ind w:right="77"/>
              <w:jc w:val="center"/>
              <w:rPr>
                <w:rFonts w:ascii="宋体" w:hAnsi="宋体" w:cs="宋体" w:eastAsia="宋体" w:hint="default"/>
                <w:sz w:val="21"/>
                <w:szCs w:val="21"/>
              </w:rPr>
            </w:pPr>
            <w:r>
              <w:rPr>
                <w:rFonts w:ascii="宋体" w:hAnsi="宋体" w:cs="宋体" w:eastAsia="宋体" w:hint="default"/>
                <w:b/>
                <w:bCs/>
                <w:sz w:val="21"/>
                <w:szCs w:val="21"/>
              </w:rPr>
              <w:t>第一层次公允</w:t>
            </w:r>
            <w:r>
              <w:rPr>
                <w:rFonts w:ascii="宋体" w:hAnsi="宋体" w:cs="宋体" w:eastAsia="宋体" w:hint="default"/>
                <w:sz w:val="21"/>
                <w:szCs w:val="21"/>
              </w:rPr>
            </w:r>
          </w:p>
          <w:p>
            <w:pPr>
              <w:pStyle w:val="TableParagraph"/>
              <w:spacing w:line="240" w:lineRule="auto" w:before="37"/>
              <w:ind w:right="86"/>
              <w:jc w:val="center"/>
              <w:rPr>
                <w:rFonts w:ascii="宋体" w:hAnsi="宋体" w:cs="宋体" w:eastAsia="宋体" w:hint="default"/>
                <w:sz w:val="21"/>
                <w:szCs w:val="21"/>
              </w:rPr>
            </w:pPr>
            <w:r>
              <w:rPr>
                <w:rFonts w:ascii="宋体" w:hAnsi="宋体" w:cs="宋体" w:eastAsia="宋体" w:hint="default"/>
                <w:b/>
                <w:bCs/>
                <w:sz w:val="21"/>
                <w:szCs w:val="21"/>
              </w:rPr>
              <w:t>价值计量</w:t>
            </w:r>
            <w:r>
              <w:rPr>
                <w:rFonts w:ascii="宋体" w:hAnsi="宋体" w:cs="宋体" w:eastAsia="宋体" w:hint="default"/>
                <w:sz w:val="21"/>
                <w:szCs w:val="21"/>
              </w:rPr>
            </w:r>
          </w:p>
        </w:tc>
        <w:tc>
          <w:tcPr>
            <w:tcW w:w="1409" w:type="dxa"/>
            <w:tcBorders>
              <w:top w:val="nil" w:sz="6" w:space="0" w:color="auto"/>
              <w:left w:val="nil" w:sz="6" w:space="0" w:color="auto"/>
              <w:bottom w:val="single" w:sz="8" w:space="0" w:color="000000"/>
              <w:right w:val="nil" w:sz="6" w:space="0" w:color="auto"/>
            </w:tcBorders>
          </w:tcPr>
          <w:p>
            <w:pPr>
              <w:pStyle w:val="TableParagraph"/>
              <w:spacing w:line="211" w:lineRule="exact"/>
              <w:ind w:right="58"/>
              <w:jc w:val="center"/>
              <w:rPr>
                <w:rFonts w:ascii="宋体" w:hAnsi="宋体" w:cs="宋体" w:eastAsia="宋体" w:hint="default"/>
                <w:sz w:val="21"/>
                <w:szCs w:val="21"/>
              </w:rPr>
            </w:pPr>
            <w:r>
              <w:rPr>
                <w:rFonts w:ascii="宋体" w:hAnsi="宋体" w:cs="宋体" w:eastAsia="宋体" w:hint="default"/>
                <w:b/>
                <w:bCs/>
                <w:sz w:val="21"/>
                <w:szCs w:val="21"/>
              </w:rPr>
              <w:t>第二层次公允</w:t>
            </w:r>
            <w:r>
              <w:rPr>
                <w:rFonts w:ascii="宋体" w:hAnsi="宋体" w:cs="宋体" w:eastAsia="宋体" w:hint="default"/>
                <w:sz w:val="21"/>
                <w:szCs w:val="21"/>
              </w:rPr>
            </w:r>
          </w:p>
          <w:p>
            <w:pPr>
              <w:pStyle w:val="TableParagraph"/>
              <w:spacing w:line="240" w:lineRule="auto" w:before="37"/>
              <w:ind w:right="69"/>
              <w:jc w:val="center"/>
              <w:rPr>
                <w:rFonts w:ascii="宋体" w:hAnsi="宋体" w:cs="宋体" w:eastAsia="宋体" w:hint="default"/>
                <w:sz w:val="21"/>
                <w:szCs w:val="21"/>
              </w:rPr>
            </w:pPr>
            <w:r>
              <w:rPr>
                <w:rFonts w:ascii="宋体" w:hAnsi="宋体" w:cs="宋体" w:eastAsia="宋体" w:hint="default"/>
                <w:b/>
                <w:bCs/>
                <w:sz w:val="21"/>
                <w:szCs w:val="21"/>
              </w:rPr>
              <w:t>价值计量</w:t>
            </w:r>
            <w:r>
              <w:rPr>
                <w:rFonts w:ascii="宋体" w:hAnsi="宋体" w:cs="宋体" w:eastAsia="宋体" w:hint="default"/>
                <w:sz w:val="21"/>
                <w:szCs w:val="21"/>
              </w:rPr>
            </w:r>
          </w:p>
        </w:tc>
        <w:tc>
          <w:tcPr>
            <w:tcW w:w="2278" w:type="dxa"/>
            <w:tcBorders>
              <w:top w:val="nil" w:sz="6" w:space="0" w:color="auto"/>
              <w:left w:val="nil" w:sz="6" w:space="0" w:color="auto"/>
              <w:bottom w:val="single" w:sz="8" w:space="0" w:color="000000"/>
              <w:right w:val="nil" w:sz="6" w:space="0" w:color="auto"/>
            </w:tcBorders>
          </w:tcPr>
          <w:p>
            <w:pPr>
              <w:pStyle w:val="TableParagraph"/>
              <w:spacing w:line="211" w:lineRule="exact"/>
              <w:ind w:right="308"/>
              <w:jc w:val="center"/>
              <w:rPr>
                <w:rFonts w:ascii="宋体" w:hAnsi="宋体" w:cs="宋体" w:eastAsia="宋体" w:hint="default"/>
                <w:sz w:val="21"/>
                <w:szCs w:val="21"/>
              </w:rPr>
            </w:pPr>
            <w:r>
              <w:rPr>
                <w:rFonts w:ascii="宋体" w:hAnsi="宋体" w:cs="宋体" w:eastAsia="宋体" w:hint="default"/>
                <w:b/>
                <w:bCs/>
                <w:sz w:val="21"/>
                <w:szCs w:val="21"/>
              </w:rPr>
              <w:t>第三层次公允价值计</w:t>
            </w:r>
            <w:r>
              <w:rPr>
                <w:rFonts w:ascii="宋体" w:hAnsi="宋体" w:cs="宋体" w:eastAsia="宋体" w:hint="default"/>
                <w:sz w:val="21"/>
                <w:szCs w:val="21"/>
              </w:rPr>
            </w:r>
          </w:p>
          <w:p>
            <w:pPr>
              <w:pStyle w:val="TableParagraph"/>
              <w:spacing w:line="240" w:lineRule="auto" w:before="37"/>
              <w:ind w:right="307"/>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765" w:type="dxa"/>
            <w:tcBorders>
              <w:top w:val="nil" w:sz="6" w:space="0" w:color="auto"/>
              <w:left w:val="nil" w:sz="6" w:space="0" w:color="auto"/>
              <w:bottom w:val="single" w:sz="8" w:space="0" w:color="000000"/>
              <w:right w:val="nil" w:sz="6" w:space="0" w:color="auto"/>
            </w:tcBorders>
          </w:tcPr>
          <w:p>
            <w:pPr>
              <w:pStyle w:val="TableParagraph"/>
              <w:spacing w:line="211"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41"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87"/>
                <w:w w:val="100"/>
                <w:sz w:val="21"/>
                <w:szCs w:val="21"/>
              </w:rPr>
              <w:t>、</w:t>
            </w:r>
            <w:r>
              <w:rPr>
                <w:rFonts w:ascii="宋体" w:hAnsi="宋体" w:cs="宋体" w:eastAsia="宋体" w:hint="default"/>
                <w:b/>
                <w:bCs/>
                <w:w w:val="100"/>
                <w:sz w:val="21"/>
                <w:szCs w:val="21"/>
              </w:rPr>
              <w:t>持续的公允价值计量</w:t>
            </w:r>
            <w:r>
              <w:rPr>
                <w:rFonts w:ascii="宋体" w:hAnsi="宋体" w:cs="宋体" w:eastAsia="宋体" w:hint="default"/>
                <w:w w:val="100"/>
                <w:sz w:val="21"/>
                <w:szCs w:val="21"/>
              </w:rPr>
            </w:r>
          </w:p>
        </w:tc>
        <w:tc>
          <w:tcPr>
            <w:tcW w:w="1463" w:type="dxa"/>
            <w:tcBorders>
              <w:top w:val="single" w:sz="8" w:space="0" w:color="000000"/>
              <w:left w:val="nil" w:sz="6" w:space="0" w:color="auto"/>
              <w:bottom w:val="single" w:sz="8" w:space="0" w:color="000000"/>
              <w:right w:val="nil" w:sz="6" w:space="0" w:color="auto"/>
            </w:tcBorders>
          </w:tcPr>
          <w:p>
            <w:pPr/>
          </w:p>
        </w:tc>
        <w:tc>
          <w:tcPr>
            <w:tcW w:w="1409" w:type="dxa"/>
            <w:tcBorders>
              <w:top w:val="single" w:sz="8" w:space="0" w:color="000000"/>
              <w:left w:val="nil" w:sz="6" w:space="0" w:color="auto"/>
              <w:bottom w:val="single" w:sz="8" w:space="0" w:color="000000"/>
              <w:right w:val="nil" w:sz="6" w:space="0" w:color="auto"/>
            </w:tcBorders>
          </w:tcPr>
          <w:p>
            <w:pPr/>
          </w:p>
        </w:tc>
        <w:tc>
          <w:tcPr>
            <w:tcW w:w="2278" w:type="dxa"/>
            <w:tcBorders>
              <w:top w:val="single" w:sz="8" w:space="0" w:color="000000"/>
              <w:left w:val="nil" w:sz="6" w:space="0" w:color="auto"/>
              <w:bottom w:val="single" w:sz="8" w:space="0" w:color="000000"/>
              <w:right w:val="nil" w:sz="6" w:space="0" w:color="auto"/>
            </w:tcBorders>
          </w:tcPr>
          <w:p>
            <w:pPr/>
          </w:p>
        </w:tc>
        <w:tc>
          <w:tcPr>
            <w:tcW w:w="1765"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463" w:type="dxa"/>
            <w:tcBorders>
              <w:top w:val="single" w:sz="8" w:space="0" w:color="000000"/>
              <w:left w:val="nil" w:sz="6" w:space="0" w:color="auto"/>
              <w:bottom w:val="single" w:sz="8" w:space="0" w:color="000000"/>
              <w:right w:val="nil" w:sz="6" w:space="0" w:color="auto"/>
            </w:tcBorders>
          </w:tcPr>
          <w:p>
            <w:pPr/>
          </w:p>
        </w:tc>
        <w:tc>
          <w:tcPr>
            <w:tcW w:w="1409" w:type="dxa"/>
            <w:tcBorders>
              <w:top w:val="single" w:sz="8" w:space="0" w:color="000000"/>
              <w:left w:val="nil" w:sz="6" w:space="0" w:color="auto"/>
              <w:bottom w:val="single" w:sz="8" w:space="0" w:color="000000"/>
              <w:right w:val="nil" w:sz="6" w:space="0" w:color="auto"/>
            </w:tcBorders>
          </w:tcPr>
          <w:p>
            <w:pPr/>
          </w:p>
        </w:tc>
        <w:tc>
          <w:tcPr>
            <w:tcW w:w="2278" w:type="dxa"/>
            <w:tcBorders>
              <w:top w:val="single" w:sz="8" w:space="0" w:color="000000"/>
              <w:left w:val="nil" w:sz="6" w:space="0" w:color="auto"/>
              <w:bottom w:val="single" w:sz="8" w:space="0" w:color="000000"/>
              <w:right w:val="nil" w:sz="6" w:space="0" w:color="auto"/>
            </w:tcBorders>
          </w:tcPr>
          <w:p>
            <w:pPr/>
          </w:p>
        </w:tc>
        <w:tc>
          <w:tcPr>
            <w:tcW w:w="1765"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652"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46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8"/>
              <w:jc w:val="right"/>
              <w:rPr>
                <w:rFonts w:ascii="Times New Roman" w:hAnsi="Times New Roman" w:cs="Times New Roman" w:eastAsia="Times New Roman" w:hint="default"/>
                <w:sz w:val="21"/>
                <w:szCs w:val="21"/>
              </w:rPr>
            </w:pPr>
            <w:r>
              <w:rPr>
                <w:rFonts w:ascii="Times New Roman"/>
                <w:sz w:val="21"/>
              </w:rPr>
              <w:t>--</w:t>
            </w:r>
          </w:p>
        </w:tc>
        <w:tc>
          <w:tcPr>
            <w:tcW w:w="140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1"/>
              <w:jc w:val="right"/>
              <w:rPr>
                <w:rFonts w:ascii="Times New Roman" w:hAnsi="Times New Roman" w:cs="Times New Roman" w:eastAsia="Times New Roman" w:hint="default"/>
                <w:sz w:val="21"/>
                <w:szCs w:val="21"/>
              </w:rPr>
            </w:pPr>
            <w:r>
              <w:rPr>
                <w:rFonts w:ascii="Times New Roman"/>
                <w:sz w:val="21"/>
              </w:rPr>
              <w:t>--</w:t>
            </w:r>
          </w:p>
        </w:tc>
        <w:tc>
          <w:tcPr>
            <w:tcW w:w="227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283"/>
              <w:jc w:val="right"/>
              <w:rPr>
                <w:rFonts w:ascii="Times New Roman" w:hAnsi="Times New Roman" w:cs="Times New Roman" w:eastAsia="Times New Roman" w:hint="default"/>
                <w:sz w:val="21"/>
                <w:szCs w:val="21"/>
              </w:rPr>
            </w:pPr>
            <w:r>
              <w:rPr>
                <w:rFonts w:ascii="Times New Roman"/>
                <w:spacing w:val="-1"/>
                <w:sz w:val="21"/>
              </w:rPr>
              <w:t>570,000,000.00</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570,000,000.00</w:t>
            </w:r>
          </w:p>
        </w:tc>
      </w:tr>
      <w:tr>
        <w:trPr>
          <w:trHeight w:val="341"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65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46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8"/>
              <w:jc w:val="right"/>
              <w:rPr>
                <w:rFonts w:ascii="Times New Roman" w:hAnsi="Times New Roman" w:cs="Times New Roman" w:eastAsia="Times New Roman" w:hint="default"/>
                <w:sz w:val="21"/>
                <w:szCs w:val="21"/>
              </w:rPr>
            </w:pPr>
            <w:r>
              <w:rPr>
                <w:rFonts w:ascii="Times New Roman"/>
                <w:sz w:val="21"/>
              </w:rPr>
              <w:t>--</w:t>
            </w:r>
          </w:p>
        </w:tc>
        <w:tc>
          <w:tcPr>
            <w:tcW w:w="140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1"/>
              <w:jc w:val="right"/>
              <w:rPr>
                <w:rFonts w:ascii="Times New Roman" w:hAnsi="Times New Roman" w:cs="Times New Roman" w:eastAsia="Times New Roman" w:hint="default"/>
                <w:sz w:val="21"/>
                <w:szCs w:val="21"/>
              </w:rPr>
            </w:pPr>
            <w:r>
              <w:rPr>
                <w:rFonts w:ascii="Times New Roman"/>
                <w:sz w:val="21"/>
              </w:rPr>
              <w:t>--</w:t>
            </w:r>
          </w:p>
        </w:tc>
        <w:tc>
          <w:tcPr>
            <w:tcW w:w="227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83"/>
              <w:jc w:val="right"/>
              <w:rPr>
                <w:rFonts w:ascii="Times New Roman" w:hAnsi="Times New Roman" w:cs="Times New Roman" w:eastAsia="Times New Roman" w:hint="default"/>
                <w:sz w:val="21"/>
                <w:szCs w:val="21"/>
              </w:rPr>
            </w:pPr>
            <w:r>
              <w:rPr>
                <w:rFonts w:ascii="Times New Roman"/>
                <w:spacing w:val="-1"/>
                <w:sz w:val="21"/>
              </w:rPr>
              <w:t>300,000,000.00</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653"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spacing w:val="-11"/>
                <w:sz w:val="21"/>
                <w:szCs w:val="21"/>
              </w:rPr>
              <w:t>（二）其他权益工</w:t>
            </w:r>
          </w:p>
          <w:p>
            <w:pPr>
              <w:pStyle w:val="TableParagraph"/>
              <w:spacing w:line="240" w:lineRule="auto" w:before="37"/>
              <w:ind w:left="652" w:right="0"/>
              <w:jc w:val="left"/>
              <w:rPr>
                <w:rFonts w:ascii="宋体" w:hAnsi="宋体" w:cs="宋体" w:eastAsia="宋体" w:hint="default"/>
                <w:sz w:val="21"/>
                <w:szCs w:val="21"/>
              </w:rPr>
            </w:pPr>
            <w:r>
              <w:rPr>
                <w:rFonts w:ascii="宋体" w:hAnsi="宋体" w:cs="宋体" w:eastAsia="宋体" w:hint="default"/>
                <w:sz w:val="21"/>
                <w:szCs w:val="21"/>
              </w:rPr>
              <w:t>具投资</w:t>
            </w:r>
          </w:p>
        </w:tc>
        <w:tc>
          <w:tcPr>
            <w:tcW w:w="146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8"/>
              <w:jc w:val="right"/>
              <w:rPr>
                <w:rFonts w:ascii="Times New Roman" w:hAnsi="Times New Roman" w:cs="Times New Roman" w:eastAsia="Times New Roman" w:hint="default"/>
                <w:sz w:val="21"/>
                <w:szCs w:val="21"/>
              </w:rPr>
            </w:pPr>
            <w:r>
              <w:rPr>
                <w:rFonts w:ascii="Times New Roman"/>
                <w:sz w:val="21"/>
              </w:rPr>
              <w:t>--</w:t>
            </w:r>
          </w:p>
        </w:tc>
        <w:tc>
          <w:tcPr>
            <w:tcW w:w="140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1"/>
              <w:jc w:val="right"/>
              <w:rPr>
                <w:rFonts w:ascii="Times New Roman" w:hAnsi="Times New Roman" w:cs="Times New Roman" w:eastAsia="Times New Roman" w:hint="default"/>
                <w:sz w:val="21"/>
                <w:szCs w:val="21"/>
              </w:rPr>
            </w:pPr>
            <w:r>
              <w:rPr>
                <w:rFonts w:ascii="Times New Roman"/>
                <w:sz w:val="21"/>
              </w:rPr>
              <w:t>--</w:t>
            </w:r>
          </w:p>
        </w:tc>
        <w:tc>
          <w:tcPr>
            <w:tcW w:w="227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283"/>
              <w:jc w:val="right"/>
              <w:rPr>
                <w:rFonts w:ascii="Times New Roman" w:hAnsi="Times New Roman" w:cs="Times New Roman" w:eastAsia="Times New Roman" w:hint="default"/>
                <w:sz w:val="21"/>
                <w:szCs w:val="21"/>
              </w:rPr>
            </w:pPr>
            <w:r>
              <w:rPr>
                <w:rFonts w:ascii="Times New Roman"/>
                <w:spacing w:val="-1"/>
                <w:sz w:val="21"/>
              </w:rPr>
              <w:t>188,153,476.82</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
              <w:jc w:val="right"/>
              <w:rPr>
                <w:rFonts w:ascii="Times New Roman" w:hAnsi="Times New Roman" w:cs="Times New Roman" w:eastAsia="Times New Roman" w:hint="default"/>
                <w:sz w:val="21"/>
                <w:szCs w:val="21"/>
              </w:rPr>
            </w:pPr>
            <w:r>
              <w:rPr>
                <w:rFonts w:ascii="Times New Roman"/>
                <w:spacing w:val="-1"/>
                <w:sz w:val="21"/>
              </w:rPr>
              <w:t>188,153,476.82</w:t>
            </w:r>
          </w:p>
        </w:tc>
      </w:tr>
      <w:tr>
        <w:trPr>
          <w:trHeight w:val="658"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46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8"/>
              <w:jc w:val="right"/>
              <w:rPr>
                <w:rFonts w:ascii="Times New Roman" w:hAnsi="Times New Roman" w:cs="Times New Roman" w:eastAsia="Times New Roman" w:hint="default"/>
                <w:sz w:val="21"/>
                <w:szCs w:val="21"/>
              </w:rPr>
            </w:pPr>
            <w:r>
              <w:rPr>
                <w:rFonts w:ascii="Times New Roman"/>
                <w:sz w:val="21"/>
              </w:rPr>
              <w:t>--</w:t>
            </w:r>
          </w:p>
        </w:tc>
        <w:tc>
          <w:tcPr>
            <w:tcW w:w="140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1"/>
              <w:jc w:val="right"/>
              <w:rPr>
                <w:rFonts w:ascii="Times New Roman" w:hAnsi="Times New Roman" w:cs="Times New Roman" w:eastAsia="Times New Roman" w:hint="default"/>
                <w:sz w:val="21"/>
                <w:szCs w:val="21"/>
              </w:rPr>
            </w:pPr>
            <w:r>
              <w:rPr>
                <w:rFonts w:ascii="Times New Roman"/>
                <w:sz w:val="21"/>
              </w:rPr>
              <w:t>--</w:t>
            </w:r>
          </w:p>
        </w:tc>
        <w:tc>
          <w:tcPr>
            <w:tcW w:w="227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84"/>
              <w:jc w:val="right"/>
              <w:rPr>
                <w:rFonts w:ascii="Times New Roman" w:hAnsi="Times New Roman" w:cs="Times New Roman" w:eastAsia="Times New Roman" w:hint="default"/>
                <w:sz w:val="21"/>
                <w:szCs w:val="21"/>
              </w:rPr>
            </w:pPr>
            <w:r>
              <w:rPr>
                <w:rFonts w:ascii="Times New Roman"/>
                <w:spacing w:val="-1"/>
                <w:sz w:val="21"/>
              </w:rPr>
              <w:t>1,058,153,476.82</w:t>
            </w:r>
          </w:p>
        </w:tc>
        <w:tc>
          <w:tcPr>
            <w:tcW w:w="176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1,058,153,476.82</w:t>
            </w:r>
          </w:p>
        </w:tc>
      </w:tr>
    </w:tbl>
    <w:p>
      <w:pPr>
        <w:pStyle w:val="BodyText"/>
        <w:spacing w:line="240" w:lineRule="auto" w:before="79"/>
        <w:ind w:left="575" w:right="0"/>
        <w:jc w:val="left"/>
      </w:pPr>
      <w:r>
        <w:rPr/>
        <w:t>（</w:t>
      </w:r>
      <w:r>
        <w:rPr>
          <w:rFonts w:ascii="Times New Roman" w:hAnsi="Times New Roman" w:cs="Times New Roman" w:eastAsia="Times New Roman" w:hint="default"/>
        </w:rPr>
        <w:t>2</w:t>
      </w:r>
      <w:r>
        <w:rPr/>
        <w:t>）第三层次公允价值计量中使用的重要的不可观察输入值的量化信息</w:t>
      </w: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068"/>
        <w:gridCol w:w="3603"/>
        <w:gridCol w:w="2668"/>
      </w:tblGrid>
      <w:tr>
        <w:trPr>
          <w:trHeight w:val="297" w:hRule="exact"/>
        </w:trPr>
        <w:tc>
          <w:tcPr>
            <w:tcW w:w="3068" w:type="dxa"/>
            <w:tcBorders>
              <w:top w:val="nil" w:sz="6" w:space="0" w:color="auto"/>
              <w:left w:val="nil" w:sz="6" w:space="0" w:color="auto"/>
              <w:bottom w:val="single" w:sz="8" w:space="0" w:color="000000"/>
              <w:right w:val="nil" w:sz="6" w:space="0" w:color="auto"/>
            </w:tcBorders>
          </w:tcPr>
          <w:p>
            <w:pPr>
              <w:pStyle w:val="TableParagraph"/>
              <w:tabs>
                <w:tab w:pos="470" w:val="left" w:leader="none"/>
              </w:tabs>
              <w:spacing w:line="240" w:lineRule="exact"/>
              <w:ind w:left="23" w:right="0"/>
              <w:jc w:val="left"/>
              <w:rPr>
                <w:rFonts w:ascii="宋体" w:hAnsi="宋体" w:cs="宋体" w:eastAsia="宋体" w:hint="default"/>
                <w:sz w:val="24"/>
                <w:szCs w:val="24"/>
              </w:rPr>
            </w:pPr>
            <w:r>
              <w:rPr>
                <w:rFonts w:ascii="宋体" w:hAnsi="宋体" w:cs="宋体" w:eastAsia="宋体" w:hint="default"/>
                <w:b/>
                <w:bCs/>
                <w:w w:val="95"/>
                <w:sz w:val="24"/>
                <w:szCs w:val="24"/>
              </w:rPr>
              <w:t>内</w:t>
              <w:tab/>
            </w:r>
            <w:r>
              <w:rPr>
                <w:rFonts w:ascii="宋体" w:hAnsi="宋体" w:cs="宋体" w:eastAsia="宋体" w:hint="default"/>
                <w:b/>
                <w:bCs/>
                <w:sz w:val="24"/>
                <w:szCs w:val="24"/>
              </w:rPr>
              <w:t>容</w:t>
            </w:r>
            <w:r>
              <w:rPr>
                <w:rFonts w:ascii="宋体" w:hAnsi="宋体" w:cs="宋体" w:eastAsia="宋体" w:hint="default"/>
                <w:sz w:val="24"/>
                <w:szCs w:val="24"/>
              </w:rPr>
            </w:r>
          </w:p>
        </w:tc>
        <w:tc>
          <w:tcPr>
            <w:tcW w:w="3603" w:type="dxa"/>
            <w:tcBorders>
              <w:top w:val="nil" w:sz="6" w:space="0" w:color="auto"/>
              <w:left w:val="nil" w:sz="6" w:space="0" w:color="auto"/>
              <w:bottom w:val="single" w:sz="8" w:space="0" w:color="000000"/>
              <w:right w:val="nil" w:sz="6" w:space="0" w:color="auto"/>
            </w:tcBorders>
          </w:tcPr>
          <w:p>
            <w:pPr>
              <w:pStyle w:val="TableParagraph"/>
              <w:spacing w:line="240" w:lineRule="exact"/>
              <w:ind w:right="740"/>
              <w:jc w:val="right"/>
              <w:rPr>
                <w:rFonts w:ascii="宋体" w:hAnsi="宋体" w:cs="宋体" w:eastAsia="宋体" w:hint="default"/>
                <w:sz w:val="24"/>
                <w:szCs w:val="24"/>
              </w:rPr>
            </w:pPr>
            <w:r>
              <w:rPr>
                <w:rFonts w:ascii="宋体" w:hAnsi="宋体" w:cs="宋体" w:eastAsia="宋体" w:hint="default"/>
                <w:b/>
                <w:bCs/>
                <w:w w:val="95"/>
                <w:sz w:val="24"/>
                <w:szCs w:val="24"/>
              </w:rPr>
              <w:t>期末公允价值</w:t>
            </w:r>
            <w:r>
              <w:rPr>
                <w:rFonts w:ascii="宋体" w:hAnsi="宋体" w:cs="宋体" w:eastAsia="宋体" w:hint="default"/>
                <w:sz w:val="24"/>
                <w:szCs w:val="24"/>
              </w:rPr>
            </w:r>
          </w:p>
        </w:tc>
        <w:tc>
          <w:tcPr>
            <w:tcW w:w="2668" w:type="dxa"/>
            <w:tcBorders>
              <w:top w:val="nil" w:sz="6" w:space="0" w:color="auto"/>
              <w:left w:val="nil" w:sz="6" w:space="0" w:color="auto"/>
              <w:bottom w:val="single" w:sz="8" w:space="0" w:color="000000"/>
              <w:right w:val="nil" w:sz="6" w:space="0" w:color="auto"/>
            </w:tcBorders>
          </w:tcPr>
          <w:p>
            <w:pPr>
              <w:pStyle w:val="TableParagraph"/>
              <w:spacing w:line="240" w:lineRule="exact"/>
              <w:ind w:right="7"/>
              <w:jc w:val="right"/>
              <w:rPr>
                <w:rFonts w:ascii="宋体" w:hAnsi="宋体" w:cs="宋体" w:eastAsia="宋体" w:hint="default"/>
                <w:sz w:val="24"/>
                <w:szCs w:val="24"/>
              </w:rPr>
            </w:pPr>
            <w:r>
              <w:rPr>
                <w:rFonts w:ascii="宋体" w:hAnsi="宋体" w:cs="宋体" w:eastAsia="宋体" w:hint="default"/>
                <w:b/>
                <w:bCs/>
                <w:sz w:val="24"/>
                <w:szCs w:val="24"/>
              </w:rPr>
              <w:t>估值技术</w:t>
            </w:r>
            <w:r>
              <w:rPr>
                <w:rFonts w:ascii="宋体" w:hAnsi="宋体" w:cs="宋体" w:eastAsia="宋体" w:hint="default"/>
                <w:sz w:val="24"/>
                <w:szCs w:val="24"/>
              </w:rPr>
            </w:r>
          </w:p>
        </w:tc>
      </w:tr>
      <w:tr>
        <w:trPr>
          <w:trHeight w:val="341" w:hRule="exact"/>
        </w:trPr>
        <w:tc>
          <w:tcPr>
            <w:tcW w:w="306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权益工具投资：</w:t>
            </w:r>
          </w:p>
        </w:tc>
        <w:tc>
          <w:tcPr>
            <w:tcW w:w="3603" w:type="dxa"/>
            <w:tcBorders>
              <w:top w:val="single" w:sz="8" w:space="0" w:color="000000"/>
              <w:left w:val="nil" w:sz="6" w:space="0" w:color="auto"/>
              <w:bottom w:val="single" w:sz="8" w:space="0" w:color="000000"/>
              <w:right w:val="nil" w:sz="6" w:space="0" w:color="auto"/>
            </w:tcBorders>
          </w:tcPr>
          <w:p>
            <w:pPr/>
          </w:p>
        </w:tc>
        <w:tc>
          <w:tcPr>
            <w:tcW w:w="2668"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306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非上市股权投资</w:t>
            </w:r>
          </w:p>
        </w:tc>
        <w:tc>
          <w:tcPr>
            <w:tcW w:w="360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35"/>
              <w:jc w:val="right"/>
              <w:rPr>
                <w:rFonts w:ascii="Times New Roman" w:hAnsi="Times New Roman" w:cs="Times New Roman" w:eastAsia="Times New Roman" w:hint="default"/>
                <w:sz w:val="24"/>
                <w:szCs w:val="24"/>
              </w:rPr>
            </w:pPr>
            <w:r>
              <w:rPr>
                <w:rFonts w:ascii="Times New Roman"/>
                <w:sz w:val="24"/>
              </w:rPr>
              <w:t>188,153,476.82</w:t>
            </w:r>
          </w:p>
        </w:tc>
        <w:tc>
          <w:tcPr>
            <w:tcW w:w="266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9"/>
              <w:jc w:val="right"/>
              <w:rPr>
                <w:rFonts w:ascii="宋体" w:hAnsi="宋体" w:cs="宋体" w:eastAsia="宋体" w:hint="default"/>
                <w:sz w:val="24"/>
                <w:szCs w:val="24"/>
              </w:rPr>
            </w:pPr>
            <w:r>
              <w:rPr>
                <w:rFonts w:ascii="宋体" w:hAnsi="宋体" w:cs="宋体" w:eastAsia="宋体" w:hint="default"/>
                <w:sz w:val="24"/>
                <w:szCs w:val="24"/>
              </w:rPr>
              <w:t>成本及净资产价值</w:t>
            </w:r>
          </w:p>
        </w:tc>
      </w:tr>
      <w:tr>
        <w:trPr>
          <w:trHeight w:val="346" w:hRule="exact"/>
        </w:trPr>
        <w:tc>
          <w:tcPr>
            <w:tcW w:w="306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结构性存款</w:t>
            </w:r>
          </w:p>
        </w:tc>
        <w:tc>
          <w:tcPr>
            <w:tcW w:w="360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35"/>
              <w:jc w:val="right"/>
              <w:rPr>
                <w:rFonts w:ascii="Times New Roman" w:hAnsi="Times New Roman" w:cs="Times New Roman" w:eastAsia="Times New Roman" w:hint="default"/>
                <w:sz w:val="24"/>
                <w:szCs w:val="24"/>
              </w:rPr>
            </w:pPr>
            <w:r>
              <w:rPr>
                <w:rFonts w:ascii="Times New Roman"/>
                <w:sz w:val="24"/>
              </w:rPr>
              <w:t>570,000,000.00</w:t>
            </w:r>
          </w:p>
        </w:tc>
        <w:tc>
          <w:tcPr>
            <w:tcW w:w="266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9"/>
              <w:jc w:val="right"/>
              <w:rPr>
                <w:rFonts w:ascii="宋体" w:hAnsi="宋体" w:cs="宋体" w:eastAsia="宋体" w:hint="default"/>
                <w:sz w:val="24"/>
                <w:szCs w:val="24"/>
              </w:rPr>
            </w:pPr>
            <w:r>
              <w:rPr>
                <w:rFonts w:ascii="宋体" w:hAnsi="宋体" w:cs="宋体" w:eastAsia="宋体" w:hint="default"/>
                <w:sz w:val="24"/>
                <w:szCs w:val="24"/>
              </w:rPr>
              <w:t>预期收益法</w:t>
            </w:r>
          </w:p>
        </w:tc>
      </w:tr>
      <w:tr>
        <w:trPr>
          <w:trHeight w:val="341" w:hRule="exact"/>
        </w:trPr>
        <w:tc>
          <w:tcPr>
            <w:tcW w:w="306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360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35"/>
              <w:jc w:val="right"/>
              <w:rPr>
                <w:rFonts w:ascii="Times New Roman" w:hAnsi="Times New Roman" w:cs="Times New Roman" w:eastAsia="Times New Roman" w:hint="default"/>
                <w:sz w:val="24"/>
                <w:szCs w:val="24"/>
              </w:rPr>
            </w:pPr>
            <w:r>
              <w:rPr>
                <w:rFonts w:ascii="Times New Roman"/>
                <w:sz w:val="24"/>
              </w:rPr>
              <w:t>300,000,000.00</w:t>
            </w:r>
          </w:p>
        </w:tc>
        <w:tc>
          <w:tcPr>
            <w:tcW w:w="266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9"/>
              <w:jc w:val="right"/>
              <w:rPr>
                <w:rFonts w:ascii="宋体" w:hAnsi="宋体" w:cs="宋体" w:eastAsia="宋体" w:hint="default"/>
                <w:sz w:val="24"/>
                <w:szCs w:val="24"/>
              </w:rPr>
            </w:pPr>
            <w:r>
              <w:rPr>
                <w:rFonts w:ascii="宋体" w:hAnsi="宋体" w:cs="宋体" w:eastAsia="宋体" w:hint="default"/>
                <w:sz w:val="24"/>
                <w:szCs w:val="24"/>
              </w:rPr>
              <w:t>预期收益法</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3"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471"/>
      <w:bookmarkEnd w:id="47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持续的公允价值计量项目，本期内发生各层级之间转换的，转换的原因及确定转换时点" w:id="472"/>
      <w:bookmarkEnd w:id="4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本期内发生的估值技术变更及变更原因" w:id="473"/>
      <w:bookmarkEnd w:id="47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不以公允价值计量的金融资产和金融负债的公允价值情况"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9、其他" w:id="475"/>
      <w:bookmarkEnd w:id="47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十二、关联方及关联交易" w:id="476"/>
      <w:bookmarkEnd w:id="476"/>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pict>
          <v:shape style="position:absolute;margin-left:289.995758pt;margin-top:67.493645pt;width:85.55pt;height:187.25pt;mso-position-horizontal-relative:page;mso-position-vertical-relative:paragraph;z-index:-13844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96.279999pt;margin-top:67.493645pt;width:79.25pt;height:187.25pt;mso-position-horizontal-relative:page;mso-position-vertical-relative:paragraph;z-index:-1384384" coordorigin="5926,1350" coordsize="1585,3745">
            <v:shape style="position:absolute;left:5926;top:1350;width:1585;height:3745" coordorigin="5926,1350" coordsize="1585,3745" path="m5926,5095l7510,5095,7510,1350,5926,1350,5926,5095xe" filled="true" fillcolor="#ffffff" stroked="false">
              <v:path arrowok="t"/>
              <v:fill type="solid"/>
            </v:shape>
            <w10:wrap type="none"/>
          </v:group>
        </w:pict>
      </w:r>
      <w:bookmarkStart w:name="1、本企业的母公司情况" w:id="477"/>
      <w:bookmarkEnd w:id="4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789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2"/>
                <w:sz w:val="18"/>
                <w:szCs w:val="18"/>
              </w:rPr>
              <w:t>国网电子商务有限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销售汽车、日用品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五金交电、化工产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品、电子产品、机械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2"/>
                <w:sz w:val="18"/>
                <w:szCs w:val="18"/>
              </w:rPr>
              <w:t>设备、计算机、软件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2"/>
                <w:w w:val="101"/>
                <w:sz w:val="18"/>
                <w:szCs w:val="18"/>
              </w:rPr>
              <w:t>及辅助设备；电子支</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付；互联网信息服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务；保险代理；制作</w:t>
            </w:r>
            <w:r>
              <w:rPr>
                <w:rFonts w:ascii="宋体" w:hAnsi="宋体" w:cs="宋体" w:eastAsia="宋体" w:hint="default"/>
                <w:w w:val="101"/>
                <w:sz w:val="18"/>
                <w:szCs w:val="18"/>
              </w:rPr>
              <w:t> </w:t>
            </w:r>
            <w:r>
              <w:rPr>
                <w:rFonts w:ascii="宋体" w:hAnsi="宋体" w:cs="宋体" w:eastAsia="宋体" w:hint="default"/>
                <w:spacing w:val="-12"/>
                <w:sz w:val="18"/>
                <w:szCs w:val="18"/>
              </w:rPr>
              <w:t>代理、发布广告；技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术开发、技术转让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技术咨询、技术服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务、技术推广；合同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2"/>
                <w:w w:val="101"/>
                <w:sz w:val="18"/>
                <w:szCs w:val="18"/>
              </w:rPr>
              <w:t>能源管理；计算机系</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统服务；数据处理</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（数据处理中的银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卡中心、</w:t>
            </w:r>
            <w:r>
              <w:rPr>
                <w:rFonts w:ascii="Times New Roman" w:hAnsi="Times New Roman" w:cs="Times New Roman" w:eastAsia="Times New Roman" w:hint="default"/>
                <w:sz w:val="18"/>
                <w:szCs w:val="18"/>
              </w:rPr>
              <w:t>PUE </w:t>
            </w:r>
            <w:r>
              <w:rPr>
                <w:rFonts w:ascii="宋体" w:hAnsi="宋体" w:cs="宋体" w:eastAsia="宋体" w:hint="default"/>
                <w:spacing w:val="-5"/>
                <w:sz w:val="18"/>
                <w:szCs w:val="18"/>
              </w:rPr>
              <w:t>值在</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以上的云计算数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2"/>
                <w:w w:val="101"/>
                <w:sz w:val="18"/>
                <w:szCs w:val="18"/>
              </w:rPr>
              <w:t>据中心除外）；接受</w:t>
            </w:r>
            <w:r>
              <w:rPr>
                <w:rFonts w:ascii="宋体" w:hAnsi="宋体" w:cs="宋体" w:eastAsia="宋体" w:hint="default"/>
                <w:w w:val="101"/>
                <w:sz w:val="18"/>
                <w:szCs w:val="18"/>
              </w:rPr>
              <w:t> </w:t>
            </w:r>
            <w:r>
              <w:rPr>
                <w:rFonts w:ascii="宋体" w:hAnsi="宋体" w:cs="宋体" w:eastAsia="宋体" w:hint="default"/>
                <w:sz w:val="18"/>
                <w:szCs w:val="18"/>
              </w:rPr>
              <w:t>金融机构委托从事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金融信息技术外包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服务；接受金融机构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委托从事金融业务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流程外包服务；接受</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金融机构委托从事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金融知识流程外包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服务；票务代理。</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left="-13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20.75%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line="240" w:lineRule="auto" w:before="5"/>
        <w:rPr>
          <w:rFonts w:ascii="宋体" w:hAnsi="宋体" w:cs="宋体" w:eastAsia="宋体" w:hint="default"/>
          <w:sz w:val="12"/>
          <w:szCs w:val="12"/>
        </w:rPr>
      </w:pPr>
    </w:p>
    <w:p>
      <w:pPr>
        <w:pStyle w:val="BodyText"/>
        <w:spacing w:line="225" w:lineRule="auto"/>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国网福建省电力有限公司通过深圳证券交易所大宗交易系统，向陈利浩、黄 建元、黄笑华分别受让</w:t>
      </w:r>
      <w:r>
        <w:rPr>
          <w:rFonts w:ascii="Times New Roman" w:hAnsi="Times New Roman" w:cs="Times New Roman" w:eastAsia="Times New Roman" w:hint="default"/>
        </w:rPr>
        <w:t>16,988,000</w:t>
      </w:r>
      <w:r>
        <w:rPr/>
        <w:t>股、</w:t>
      </w:r>
      <w:r>
        <w:rPr>
          <w:rFonts w:ascii="Times New Roman" w:hAnsi="Times New Roman" w:cs="Times New Roman" w:eastAsia="Times New Roman" w:hint="default"/>
        </w:rPr>
        <w:t>900,000</w:t>
      </w:r>
      <w:r>
        <w:rPr/>
        <w:t>股和</w:t>
      </w:r>
      <w:r>
        <w:rPr>
          <w:rFonts w:ascii="Times New Roman" w:hAnsi="Times New Roman" w:cs="Times New Roman" w:eastAsia="Times New Roman" w:hint="default"/>
        </w:rPr>
        <w:t>400,000</w:t>
      </w:r>
      <w:r>
        <w:rPr/>
        <w:t>股公司股份，合计</w:t>
      </w:r>
      <w:r>
        <w:rPr>
          <w:rFonts w:ascii="Times New Roman" w:hAnsi="Times New Roman" w:cs="Times New Roman" w:eastAsia="Times New Roman" w:hint="default"/>
        </w:rPr>
        <w:t>18,288,000</w:t>
      </w:r>
      <w:r>
        <w:rPr/>
        <w:t>股，占 </w:t>
      </w:r>
      <w:r>
        <w:rPr>
          <w:spacing w:val="-3"/>
        </w:rPr>
        <w:t>公司总股本的</w:t>
      </w:r>
      <w:r>
        <w:rPr>
          <w:rFonts w:ascii="Times New Roman" w:hAnsi="Times New Roman" w:cs="Times New Roman" w:eastAsia="Times New Roman" w:hint="default"/>
          <w:spacing w:val="-3"/>
        </w:rPr>
        <w:t>2.15%</w:t>
      </w:r>
      <w:r>
        <w:rPr>
          <w:spacing w:val="-3"/>
        </w:rPr>
        <w:t>，受让完成后，国网福建省电力有限公司及其一致行动人国网吉林省电力</w:t>
      </w:r>
      <w:r>
        <w:rPr>
          <w:spacing w:val="-93"/>
        </w:rPr>
        <w:t> </w:t>
      </w:r>
      <w:r>
        <w:rPr>
          <w:spacing w:val="-93"/>
        </w:rPr>
      </w:r>
      <w:r>
        <w:rPr>
          <w:spacing w:val="-2"/>
        </w:rPr>
        <w:t>有限公司持有公司股份</w:t>
      </w:r>
      <w:r>
        <w:rPr>
          <w:rFonts w:ascii="Times New Roman" w:hAnsi="Times New Roman" w:cs="Times New Roman" w:eastAsia="Times New Roman" w:hint="default"/>
          <w:spacing w:val="-2"/>
        </w:rPr>
        <w:t>90,275,039</w:t>
      </w:r>
      <w:r>
        <w:rPr>
          <w:spacing w:val="-2"/>
        </w:rPr>
        <w:t>股，占公司总股本的</w:t>
      </w:r>
      <w:r>
        <w:rPr>
          <w:rFonts w:ascii="Times New Roman" w:hAnsi="Times New Roman" w:cs="Times New Roman" w:eastAsia="Times New Roman" w:hint="default"/>
          <w:spacing w:val="-2"/>
        </w:rPr>
        <w:t>10.63%</w:t>
      </w:r>
      <w:r>
        <w:rPr>
          <w:spacing w:val="-2"/>
        </w:rPr>
        <w:t>。同时，国网福建省电力有限公</w:t>
      </w:r>
      <w:r>
        <w:rPr/>
        <w:t> </w:t>
      </w:r>
      <w:r>
        <w:rPr>
          <w:spacing w:val="3"/>
        </w:rPr>
        <w:t>司、国网吉林省电力有限公司与国网电子商务有限公司于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14</w:t>
      </w:r>
      <w:r>
        <w:rPr>
          <w:spacing w:val="3"/>
        </w:rPr>
        <w:t>日签署《股份划转协</w:t>
      </w:r>
      <w:r>
        <w:rPr>
          <w:spacing w:val="-114"/>
        </w:rPr>
        <w:t> </w:t>
      </w:r>
      <w:r>
        <w:rPr>
          <w:spacing w:val="-114"/>
        </w:rPr>
      </w:r>
      <w:r>
        <w:rPr>
          <w:spacing w:val="-5"/>
        </w:rPr>
        <w:t>议》，国网福建省电力有限公司、国网吉林省电力有限公司将其持有的公司</w:t>
      </w:r>
      <w:r>
        <w:rPr>
          <w:rFonts w:ascii="Times New Roman" w:hAnsi="Times New Roman" w:cs="Times New Roman" w:eastAsia="Times New Roman" w:hint="default"/>
          <w:spacing w:val="-5"/>
        </w:rPr>
        <w:t>90,275,039</w:t>
      </w:r>
      <w:r>
        <w:rPr>
          <w:spacing w:val="-5"/>
        </w:rPr>
        <w:t>股股份，</w:t>
      </w:r>
      <w:r>
        <w:rPr>
          <w:spacing w:val="-83"/>
        </w:rPr>
        <w:t> </w:t>
      </w:r>
      <w:r>
        <w:rPr/>
        <w:t>全部无偿划转至国网电子商务有限公司。上述划转已经国家电网有限公司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日出具</w:t>
      </w:r>
    </w:p>
    <w:p>
      <w:pPr>
        <w:pStyle w:val="BodyText"/>
        <w:spacing w:line="312" w:lineRule="exact" w:before="13"/>
        <w:ind w:right="991"/>
        <w:jc w:val="left"/>
      </w:pPr>
      <w:r>
        <w:rPr/>
        <w:t>《国家电网有限公司关于远光软件股份有限公司股权划转的批复》（国家电网财</w:t>
      </w:r>
      <w:r>
        <w:rPr>
          <w:rFonts w:ascii="Times New Roman" w:hAnsi="Times New Roman" w:cs="Times New Roman" w:eastAsia="Times New Roman" w:hint="default"/>
        </w:rPr>
        <w:t>[2019]64</w:t>
      </w:r>
      <w:r>
        <w:rPr/>
        <w:t>号）</w:t>
      </w:r>
      <w:r>
        <w:rPr>
          <w:spacing w:val="-115"/>
        </w:rPr>
        <w:t> </w:t>
      </w:r>
      <w:r>
        <w:rPr/>
        <w:t>同意。</w:t>
      </w:r>
    </w:p>
    <w:p>
      <w:pPr>
        <w:pStyle w:val="BodyText"/>
        <w:spacing w:line="240" w:lineRule="auto" w:before="185"/>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日，国网福建省电力有限公司、国网吉林省电力有限公司完成了股权划转登记，</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40" w:lineRule="auto" w:before="26"/>
        <w:ind w:right="0"/>
        <w:jc w:val="left"/>
      </w:pPr>
      <w:r>
        <w:rPr/>
        <w:t>国网电子商务有限公司持有公司</w:t>
      </w:r>
      <w:r>
        <w:rPr>
          <w:rFonts w:ascii="Times New Roman" w:hAnsi="Times New Roman" w:cs="Times New Roman" w:eastAsia="Times New Roman" w:hint="default"/>
        </w:rPr>
        <w:t>90,275,039</w:t>
      </w:r>
      <w:r>
        <w:rPr/>
        <w:t>股股份，占公司总股本的</w:t>
      </w:r>
      <w:r>
        <w:rPr>
          <w:rFonts w:ascii="Times New Roman" w:hAnsi="Times New Roman" w:cs="Times New Roman" w:eastAsia="Times New Roman" w:hint="default"/>
        </w:rPr>
        <w:t>10.63%</w:t>
      </w:r>
      <w:r>
        <w:rPr/>
        <w:t>。</w:t>
      </w:r>
    </w:p>
    <w:p>
      <w:pPr>
        <w:pStyle w:val="BodyText"/>
        <w:spacing w:line="230" w:lineRule="auto" w:before="207"/>
        <w:ind w:right="1131"/>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日，国网电子商务有限公司与陈利浩、黄笑华签署《一致行动人协议》，陈利</w:t>
      </w:r>
      <w:r>
        <w:rPr>
          <w:spacing w:val="-92"/>
        </w:rPr>
        <w:t> </w:t>
      </w:r>
      <w:r>
        <w:rPr>
          <w:spacing w:val="-92"/>
        </w:rPr>
      </w:r>
      <w:r>
        <w:rPr/>
        <w:t>浩、黄笑华成为国网电子商务有限公司的一致行动人，在公司股东大会及董事会会议中行使</w:t>
      </w:r>
      <w:r>
        <w:rPr>
          <w:spacing w:val="-93"/>
        </w:rPr>
        <w:t> </w:t>
      </w:r>
      <w:r>
        <w:rPr>
          <w:spacing w:val="-93"/>
        </w:rPr>
      </w:r>
      <w:r>
        <w:rPr/>
        <w:t>表决权时采取相同的意思表示。至此，国网电子商务有限公司合计控制本公司</w:t>
      </w:r>
      <w:r>
        <w:rPr>
          <w:rFonts w:ascii="Times New Roman" w:hAnsi="Times New Roman" w:cs="Times New Roman" w:eastAsia="Times New Roman" w:hint="default"/>
        </w:rPr>
        <w:t>20.73%</w:t>
      </w:r>
      <w:r>
        <w:rPr/>
        <w:t>股份的</w:t>
      </w:r>
      <w:r>
        <w:rPr>
          <w:spacing w:val="-106"/>
        </w:rPr>
        <w:t> </w:t>
      </w:r>
      <w:r>
        <w:rPr/>
        <w:t>表决权，成为本公司控股股东。</w:t>
      </w:r>
    </w:p>
    <w:p>
      <w:pPr>
        <w:spacing w:line="240" w:lineRule="auto" w:before="10"/>
        <w:rPr>
          <w:rFonts w:ascii="宋体" w:hAnsi="宋体" w:cs="宋体" w:eastAsia="宋体" w:hint="default"/>
          <w:sz w:val="18"/>
          <w:szCs w:val="18"/>
        </w:rPr>
      </w:pPr>
    </w:p>
    <w:p>
      <w:pPr>
        <w:pStyle w:val="BodyText"/>
        <w:spacing w:line="312" w:lineRule="exact"/>
        <w:ind w:right="0"/>
        <w:jc w:val="left"/>
      </w:pPr>
      <w:r>
        <w:rPr/>
        <w:t>国网电子商务有限公司是国家电网有限公司的全资子公司，本公司实际控制人是国务院国有</w:t>
      </w:r>
      <w:r>
        <w:rPr>
          <w:spacing w:val="-93"/>
        </w:rPr>
        <w:t> </w:t>
      </w:r>
      <w:r>
        <w:rPr>
          <w:spacing w:val="-93"/>
        </w:rPr>
      </w:r>
      <w:r>
        <w:rPr/>
        <w:t>资产监督管理委员会。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spacing w:line="362" w:lineRule="auto" w:before="0"/>
        <w:ind w:left="153" w:right="6055"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本企业最终控制方是国务院国有资产监督管理委员会。</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spacing w:line="544" w:lineRule="auto" w:before="0"/>
        <w:ind w:left="153" w:right="4617" w:firstLine="0"/>
        <w:jc w:val="left"/>
        <w:rPr>
          <w:rFonts w:ascii="宋体" w:hAnsi="宋体" w:cs="宋体" w:eastAsia="宋体" w:hint="default"/>
          <w:sz w:val="21"/>
          <w:szCs w:val="21"/>
        </w:rPr>
      </w:pPr>
      <w:bookmarkStart w:name="2、本企业的子公司情况" w:id="478"/>
      <w:bookmarkEnd w:id="4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6"/>
          <w:w w:val="101"/>
          <w:sz w:val="18"/>
          <w:szCs w:val="18"/>
        </w:rPr>
        <w:t>本企业子公司的情况详见附注九、（</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）在子公司的权益。</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bookmarkStart w:name="3、本企业合营和联营企业情况" w:id="479"/>
      <w:bookmarkEnd w:id="479"/>
      <w:r>
        <w:rPr>
          <w:rFonts w:ascii="宋体" w:hAnsi="宋体" w:cs="宋体" w:eastAsia="宋体" w:hint="default"/>
          <w:spacing w:val="-87"/>
          <w:w w:val="101"/>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3" w:lineRule="auto" w:before="58"/>
        <w:ind w:left="153" w:right="0" w:firstLine="0"/>
        <w:jc w:val="left"/>
        <w:rPr>
          <w:rFonts w:ascii="宋体" w:hAnsi="宋体" w:cs="宋体" w:eastAsia="宋体" w:hint="default"/>
          <w:sz w:val="18"/>
          <w:szCs w:val="18"/>
        </w:rPr>
      </w:pPr>
      <w:r>
        <w:rPr>
          <w:rFonts w:ascii="宋体" w:hAnsi="宋体" w:cs="宋体" w:eastAsia="宋体" w:hint="default"/>
          <w:spacing w:val="-5"/>
          <w:w w:val="101"/>
          <w:sz w:val="18"/>
          <w:szCs w:val="18"/>
        </w:rPr>
        <w:t>本企业重要的合营或联营企业详见附注九、（</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5"/>
          <w:w w:val="101"/>
          <w:sz w:val="18"/>
          <w:szCs w:val="18"/>
        </w:rPr>
        <w:t>）在联营、合营企业的权益。</w:t>
      </w:r>
      <w:r>
        <w:rPr>
          <w:rFonts w:ascii="宋体" w:hAnsi="宋体" w:cs="宋体" w:eastAsia="宋体" w:hint="default"/>
          <w:w w:val="101"/>
          <w:sz w:val="18"/>
          <w:szCs w:val="18"/>
        </w:rPr>
        <w:t> </w:t>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北京融和晟源售电有限公司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深圳市深远数据技术有限公司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深圳市链联科技有限公司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合肥启迪远光区块链技术合伙企业（有限合伙）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远光共创智能科技股份有限公司及其子公司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其他关联方情况" w:id="480"/>
      <w:bookmarkEnd w:id="4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6.20%</w:t>
            </w:r>
            <w:r>
              <w:rPr>
                <w:rFonts w:ascii="宋体" w:hAnsi="宋体" w:cs="宋体" w:eastAsia="宋体" w:hint="default"/>
                <w:spacing w:val="-3"/>
                <w:sz w:val="18"/>
                <w:szCs w:val="18"/>
              </w:rPr>
              <w:t>股权</w:t>
            </w:r>
            <w:r>
              <w:rPr>
                <w:rFonts w:ascii="宋体" w:hAnsi="宋体" w:cs="宋体" w:eastAsia="宋体" w:hint="default"/>
                <w:sz w:val="18"/>
                <w:szCs w:val="18"/>
              </w:rPr>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国家电网有限公司及其子公司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4"/>
        <w:ind w:right="0"/>
        <w:jc w:val="left"/>
      </w:pPr>
      <w:r>
        <w:rPr/>
        <w:t>注：国网吉林省电力有限公司、国网福建省电力有限公司、国网电子商务有限公司及其他国</w:t>
      </w:r>
      <w:r>
        <w:rPr>
          <w:spacing w:val="-93"/>
        </w:rPr>
        <w:t> </w:t>
      </w:r>
      <w:r>
        <w:rPr>
          <w:spacing w:val="-93"/>
        </w:rPr>
      </w:r>
      <w:r>
        <w:rPr/>
        <w:t>网子公司实际控制人均为国家电网有限公司。</w:t>
      </w:r>
    </w:p>
    <w:p>
      <w:pPr>
        <w:spacing w:after="0" w:line="312" w:lineRule="exact"/>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5、关联交易情况" w:id="481"/>
      <w:bookmarkEnd w:id="4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购销商品、提供和接受劳务的关联交易" w:id="482"/>
      <w:bookmarkEnd w:id="4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5"/>
              <w:jc w:val="right"/>
              <w:rPr>
                <w:rFonts w:ascii="宋体" w:hAnsi="宋体" w:cs="宋体" w:eastAsia="宋体" w:hint="default"/>
                <w:sz w:val="18"/>
                <w:szCs w:val="18"/>
              </w:rPr>
            </w:pPr>
            <w:r>
              <w:rPr>
                <w:rFonts w:ascii="宋体" w:hAnsi="宋体" w:cs="宋体" w:eastAsia="宋体" w:hint="default"/>
                <w:spacing w:val="-2"/>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国家电网有限公司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及其子公司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采购材料及服务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6,013,551.10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其子公司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软件销售及服务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22,938,728.98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41,278,535.99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国家电网有限公司及其子公司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软件销售及服务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387,775,189.20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30,005,847.87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深圳市深远数据技术有限公司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1,223,890.56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深圳市链联科技有限公司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5,188,679.25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北京融和晟源售电有限公司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58,018.87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合肥启迪远光区块链技术合伙</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企业（有限合伙）</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524,271.85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pStyle w:val="BodyText"/>
        <w:spacing w:line="312" w:lineRule="exact" w:before="95"/>
        <w:ind w:right="1151"/>
        <w:jc w:val="left"/>
      </w:pPr>
      <w:r>
        <w:rPr/>
        <w:t>公司本期与国家电网有限公司及其子公司的关联交易大幅增加的主要原因是控股股东的变更 导致关联方范围扩大。</w:t>
      </w:r>
    </w:p>
    <w:p>
      <w:pPr>
        <w:spacing w:line="240" w:lineRule="auto" w:before="9"/>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关联受托管理/承包及委托管理/出包情况" w:id="483"/>
      <w:bookmarkEnd w:id="4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1" w:right="19"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3"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338" w:lineRule="auto"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50" w:space="6281"/>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8" w:right="19" w:hanging="385"/>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0" w:right="46" w:hanging="246"/>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关联租赁情况" w:id="484"/>
      <w:bookmarkEnd w:id="4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关联担保情况" w:id="485"/>
      <w:bookmarkEnd w:id="4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关联方资金拆借"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关联方资产转让、债务重组情况" w:id="487"/>
      <w:bookmarkEnd w:id="4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关键管理人员报酬" w:id="488"/>
      <w:bookmarkEnd w:id="4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11,273,466.96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9,924,162.75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8）其他关联交易" w:id="489"/>
      <w:bookmarkEnd w:id="4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关联方应收应付款项" w:id="490"/>
      <w:bookmarkEnd w:id="49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项目" w:id="491"/>
      <w:bookmarkEnd w:id="4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国家电网有限公司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536,173,063.63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36,769,984.66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16,598,812.45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831,574.12</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国电电力发展股份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有限公司及其子公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30,107,878.74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8,591,020.40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47,093,891.69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11,097,510.44</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北京融和晟源售电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97,040.82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9,704.08</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远光共创智能科技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股份有限公司及其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5,666,944.60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5,666,944.60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深圳市深远数据技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648,662.00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25,881.23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国家电网有限公司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1,272,685.00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远光共创智能科技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股份有限公司及其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62,013,489.50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62,013,489.50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国家电网有限公司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4,078,053.35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33,035.66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应付项目"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国电电力发展股份有限公司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及其子公司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855,720.34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1,236,832.41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国家电网有限公司及其子公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1,276,372.30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国家电网有限公司及其子公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12,829,398.48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7、关联方承诺" w:id="493"/>
      <w:bookmarkEnd w:id="49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3"/>
          <w:szCs w:val="23"/>
        </w:rPr>
      </w:pPr>
    </w:p>
    <w:p>
      <w:pPr>
        <w:spacing w:line="484" w:lineRule="auto" w:before="0"/>
        <w:ind w:left="153" w:right="8748"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5"/>
      <w:bookmarkEnd w:id="495"/>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6"/>
      <w:bookmarkEnd w:id="4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3"/>
                <w:sz w:val="18"/>
                <w:szCs w:val="18"/>
              </w:rPr>
              <w:t>本年已全部行权完毕</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以权益结算的股份支付情况" w:id="497"/>
      <w:bookmarkEnd w:id="4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891,300.00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25" w:lineRule="auto" w:before="80"/>
        <w:ind w:right="1127"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日，公司召开</w:t>
      </w:r>
      <w:r>
        <w:rPr>
          <w:spacing w:val="-76"/>
        </w:rPr>
        <w:t> </w:t>
      </w:r>
      <w:r>
        <w:rPr>
          <w:rFonts w:ascii="Times New Roman" w:hAnsi="Times New Roman" w:cs="Times New Roman" w:eastAsia="Times New Roman" w:hint="default"/>
        </w:rPr>
        <w:t>2016</w:t>
      </w:r>
      <w:r>
        <w:rPr/>
        <w:t>年第三次临时股东大会，审议通过了《</w:t>
      </w:r>
      <w:r>
        <w:rPr>
          <w:rFonts w:ascii="Times New Roman" w:hAnsi="Times New Roman" w:cs="Times New Roman" w:eastAsia="Times New Roman" w:hint="default"/>
        </w:rPr>
        <w:t>2016</w:t>
      </w:r>
      <w:r>
        <w:rPr/>
        <w:t>年限制 </w:t>
      </w:r>
      <w:r>
        <w:rPr>
          <w:spacing w:val="-1"/>
        </w:rPr>
        <w:t>性股票激励计划（草案）》及其摘要，拟向激励对象授予不超过</w:t>
      </w:r>
      <w:r>
        <w:rPr>
          <w:rFonts w:ascii="Times New Roman" w:hAnsi="Times New Roman" w:cs="Times New Roman" w:eastAsia="Times New Roman" w:hint="default"/>
          <w:spacing w:val="-1"/>
        </w:rPr>
        <w:t>1795.58</w:t>
      </w:r>
      <w:r>
        <w:rPr>
          <w:spacing w:val="-1"/>
        </w:rPr>
        <w:t>万股限制性股票，其</w:t>
      </w:r>
      <w:r>
        <w:rPr>
          <w:spacing w:val="-97"/>
        </w:rPr>
        <w:t> </w:t>
      </w:r>
      <w:r>
        <w:rPr>
          <w:spacing w:val="-97"/>
        </w:rPr>
      </w:r>
      <w:r>
        <w:rPr/>
        <w:t>中首次授予</w:t>
      </w:r>
      <w:r>
        <w:rPr>
          <w:rFonts w:ascii="Times New Roman" w:hAnsi="Times New Roman" w:cs="Times New Roman" w:eastAsia="Times New Roman" w:hint="default"/>
        </w:rPr>
        <w:t>1,635.58</w:t>
      </w:r>
      <w:r>
        <w:rPr/>
        <w:t>万股，预留</w:t>
      </w:r>
      <w:r>
        <w:rPr>
          <w:rFonts w:ascii="Times New Roman" w:hAnsi="Times New Roman" w:cs="Times New Roman" w:eastAsia="Times New Roman" w:hint="default"/>
        </w:rPr>
        <w:t>160</w:t>
      </w:r>
      <w:r>
        <w:rPr/>
        <w:t>万股，预留部分的激励对象由本计划经股东大会审议通过</w:t>
      </w:r>
      <w:r>
        <w:rPr>
          <w:spacing w:val="-93"/>
        </w:rPr>
        <w:t> </w:t>
      </w:r>
      <w:r>
        <w:rPr>
          <w:spacing w:val="-93"/>
        </w:rPr>
      </w:r>
      <w:r>
        <w:rPr/>
        <w:t>后</w:t>
      </w:r>
      <w:r>
        <w:rPr>
          <w:rFonts w:ascii="Times New Roman" w:hAnsi="Times New Roman" w:cs="Times New Roman" w:eastAsia="Times New Roman" w:hint="default"/>
        </w:rPr>
        <w:t>12</w:t>
      </w:r>
      <w:r>
        <w:rPr/>
        <w:t>个月内确定，本计划的有效期为限制性股票完成登记之日起至所有限制性股票解除限售</w:t>
      </w:r>
      <w:r>
        <w:rPr>
          <w:spacing w:val="-93"/>
        </w:rPr>
        <w:t> </w:t>
      </w:r>
      <w:r>
        <w:rPr>
          <w:spacing w:val="-93"/>
        </w:rPr>
      </w:r>
      <w:r>
        <w:rPr/>
        <w:t>或回购注销完毕之日止，最长不超过</w:t>
      </w:r>
      <w:r>
        <w:rPr>
          <w:rFonts w:ascii="Times New Roman" w:hAnsi="Times New Roman" w:cs="Times New Roman" w:eastAsia="Times New Roman" w:hint="default"/>
        </w:rPr>
        <w:t>48</w:t>
      </w:r>
      <w:r>
        <w:rPr/>
        <w:t>个月。</w:t>
      </w:r>
    </w:p>
    <w:p>
      <w:pPr>
        <w:pStyle w:val="BodyText"/>
        <w:spacing w:line="228" w:lineRule="auto"/>
        <w:ind w:right="1129" w:firstLine="480"/>
        <w:jc w:val="righ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日，公司第五届董事会第三十四次会议审议通过了《关于调整</w:t>
      </w:r>
      <w:r>
        <w:rPr>
          <w:rFonts w:ascii="Times New Roman" w:hAnsi="Times New Roman" w:cs="Times New Roman" w:eastAsia="Times New Roman" w:hint="default"/>
          <w:spacing w:val="-2"/>
        </w:rPr>
        <w:t>2016</w:t>
      </w:r>
      <w:r>
        <w:rPr>
          <w:spacing w:val="-2"/>
        </w:rPr>
        <w:t>年限制性</w:t>
      </w:r>
      <w:r>
        <w:rPr/>
        <w:t> 股票激励计划授予对象及授予数量的议案》、《关于向激励对象授予限制性股票的议案》。 </w:t>
      </w:r>
      <w:r>
        <w:rPr>
          <w:spacing w:val="2"/>
        </w:rPr>
        <w:t>鉴于</w:t>
      </w:r>
      <w:r>
        <w:rPr>
          <w:rFonts w:ascii="Times New Roman" w:hAnsi="Times New Roman" w:cs="Times New Roman" w:eastAsia="Times New Roman" w:hint="default"/>
          <w:spacing w:val="2"/>
        </w:rPr>
        <w:t>40</w:t>
      </w:r>
      <w:r>
        <w:rPr>
          <w:spacing w:val="2"/>
        </w:rPr>
        <w:t>名激励对象因个人原因全部或部分放弃认购共计</w:t>
      </w:r>
      <w:r>
        <w:rPr>
          <w:rFonts w:ascii="Times New Roman" w:hAnsi="Times New Roman" w:cs="Times New Roman" w:eastAsia="Times New Roman" w:hint="default"/>
          <w:spacing w:val="2"/>
        </w:rPr>
        <w:t>57.5</w:t>
      </w:r>
      <w:r>
        <w:rPr>
          <w:spacing w:val="2"/>
        </w:rPr>
        <w:t>万股限制性股票，公司首次</w:t>
      </w:r>
      <w:r>
        <w:rPr/>
        <w:t> </w:t>
      </w:r>
      <w:r>
        <w:rPr>
          <w:spacing w:val="8"/>
        </w:rPr>
        <w:t>授予的激励对象人数由</w:t>
      </w:r>
      <w:r>
        <w:rPr>
          <w:rFonts w:ascii="Times New Roman" w:hAnsi="Times New Roman" w:cs="Times New Roman" w:eastAsia="Times New Roman" w:hint="default"/>
          <w:spacing w:val="8"/>
        </w:rPr>
        <w:t>668</w:t>
      </w:r>
      <w:r>
        <w:rPr>
          <w:spacing w:val="8"/>
        </w:rPr>
        <w:t>名变更为</w:t>
      </w:r>
      <w:r>
        <w:rPr>
          <w:rFonts w:ascii="Times New Roman" w:hAnsi="Times New Roman" w:cs="Times New Roman" w:eastAsia="Times New Roman" w:hint="default"/>
          <w:spacing w:val="8"/>
        </w:rPr>
        <w:t>633</w:t>
      </w:r>
      <w:r>
        <w:rPr>
          <w:spacing w:val="8"/>
        </w:rPr>
        <w:t>名；授予的限制性股票数量由</w:t>
      </w:r>
      <w:r>
        <w:rPr>
          <w:rFonts w:ascii="Times New Roman" w:hAnsi="Times New Roman" w:cs="Times New Roman" w:eastAsia="Times New Roman" w:hint="default"/>
          <w:spacing w:val="8"/>
        </w:rPr>
        <w:t>1,795.58</w:t>
      </w:r>
      <w:r>
        <w:rPr>
          <w:spacing w:val="8"/>
        </w:rPr>
        <w:t>万股变更为</w:t>
      </w:r>
      <w:r>
        <w:rPr/>
        <w:t> </w:t>
      </w:r>
      <w:r>
        <w:rPr>
          <w:rFonts w:ascii="Times New Roman" w:hAnsi="Times New Roman" w:cs="Times New Roman" w:eastAsia="Times New Roman" w:hint="default"/>
        </w:rPr>
        <w:t>1,738.08</w:t>
      </w:r>
      <w:r>
        <w:rPr/>
        <w:t>万股，首次授予的限制性股票数量由</w:t>
      </w:r>
      <w:r>
        <w:rPr>
          <w:rFonts w:ascii="Times New Roman" w:hAnsi="Times New Roman" w:cs="Times New Roman" w:eastAsia="Times New Roman" w:hint="default"/>
        </w:rPr>
        <w:t>1,635.58</w:t>
      </w:r>
      <w:r>
        <w:rPr/>
        <w:t>万股变更为</w:t>
      </w:r>
      <w:r>
        <w:rPr>
          <w:spacing w:val="23"/>
        </w:rPr>
        <w:t> </w:t>
      </w:r>
      <w:r>
        <w:rPr>
          <w:rFonts w:ascii="Times New Roman" w:hAnsi="Times New Roman" w:cs="Times New Roman" w:eastAsia="Times New Roman" w:hint="default"/>
        </w:rPr>
        <w:t>1,578.08</w:t>
      </w:r>
      <w:r>
        <w:rPr/>
        <w:t>万股，预留数量不</w:t>
      </w:r>
    </w:p>
    <w:p>
      <w:pPr>
        <w:pStyle w:val="BodyText"/>
        <w:spacing w:line="296" w:lineRule="exact"/>
        <w:ind w:right="0"/>
        <w:jc w:val="left"/>
      </w:pPr>
      <w:r>
        <w:rPr/>
        <w:t>变。</w:t>
      </w:r>
    </w:p>
    <w:p>
      <w:pPr>
        <w:spacing w:after="0" w:line="296" w:lineRule="exact"/>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BodyText"/>
        <w:spacing w:line="225" w:lineRule="auto" w:before="42"/>
        <w:ind w:right="1125" w:firstLine="480"/>
        <w:jc w:val="right"/>
      </w:pPr>
      <w:r>
        <w:rPr>
          <w:spacing w:val="-3"/>
        </w:rPr>
        <w:t>议案确定</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21</w:t>
      </w:r>
      <w:r>
        <w:rPr>
          <w:spacing w:val="-3"/>
        </w:rPr>
        <w:t>日为授予日，向激励对象授予相应额度的限制性股票。授予限制性</w:t>
      </w:r>
      <w:r>
        <w:rPr/>
        <w:t> 股票的授予价格为每股</w:t>
      </w:r>
      <w:r>
        <w:rPr>
          <w:spacing w:val="-22"/>
        </w:rPr>
        <w:t> </w:t>
      </w:r>
      <w:r>
        <w:rPr>
          <w:rFonts w:ascii="Times New Roman" w:hAnsi="Times New Roman" w:cs="Times New Roman" w:eastAsia="Times New Roman" w:hint="default"/>
        </w:rPr>
        <w:t>7.04</w:t>
      </w:r>
      <w:r>
        <w:rPr/>
        <w:t>元。股权激励计划拟授予激励对象的标的股票来源为公司定向增 </w:t>
      </w:r>
      <w:r>
        <w:rPr>
          <w:spacing w:val="-3"/>
        </w:rPr>
        <w:t>发的股票。在可行权</w:t>
      </w:r>
      <w:r>
        <w:rPr>
          <w:rFonts w:ascii="Times New Roman" w:hAnsi="Times New Roman" w:cs="Times New Roman" w:eastAsia="Times New Roman" w:hint="default"/>
          <w:spacing w:val="-3"/>
        </w:rPr>
        <w:t>/</w:t>
      </w:r>
      <w:r>
        <w:rPr>
          <w:spacing w:val="-3"/>
        </w:rPr>
        <w:t>解锁日内，若达到本计划规定的行权</w:t>
      </w:r>
      <w:r>
        <w:rPr>
          <w:rFonts w:ascii="Times New Roman" w:hAnsi="Times New Roman" w:cs="Times New Roman" w:eastAsia="Times New Roman" w:hint="default"/>
          <w:spacing w:val="-3"/>
        </w:rPr>
        <w:t>/</w:t>
      </w:r>
      <w:r>
        <w:rPr>
          <w:spacing w:val="-3"/>
        </w:rPr>
        <w:t>解锁条件，本计划首次授予的限制</w:t>
      </w:r>
      <w:r>
        <w:rPr>
          <w:spacing w:val="-115"/>
        </w:rPr>
        <w:t> </w:t>
      </w:r>
      <w:r>
        <w:rPr>
          <w:spacing w:val="-115"/>
        </w:rPr>
      </w:r>
      <w:r>
        <w:rPr/>
        <w:t>性股票自首次授予完成登记之日起</w:t>
      </w:r>
      <w:r>
        <w:rPr>
          <w:rFonts w:ascii="Times New Roman" w:hAnsi="Times New Roman" w:cs="Times New Roman" w:eastAsia="Times New Roman" w:hint="default"/>
        </w:rPr>
        <w:t>12</w:t>
      </w:r>
      <w:r>
        <w:rPr/>
        <w:t>个月后的首个交易日起至首次授予完成登记之日起</w:t>
      </w:r>
      <w:r>
        <w:rPr>
          <w:rFonts w:ascii="Times New Roman" w:hAnsi="Times New Roman" w:cs="Times New Roman" w:eastAsia="Times New Roman" w:hint="default"/>
        </w:rPr>
        <w:t>24</w:t>
      </w:r>
      <w:r>
        <w:rPr/>
        <w:t>个</w:t>
      </w:r>
      <w:r>
        <w:rPr>
          <w:spacing w:val="-107"/>
        </w:rPr>
        <w:t> </w:t>
      </w:r>
      <w:r>
        <w:rPr/>
        <w:t>月内的最后一个交易日当日止，激励对象可在解锁期内解锁</w:t>
      </w:r>
      <w:r>
        <w:rPr>
          <w:rFonts w:ascii="Times New Roman" w:hAnsi="Times New Roman" w:cs="Times New Roman" w:eastAsia="Times New Roman" w:hint="default"/>
        </w:rPr>
        <w:t>40%,</w:t>
      </w:r>
      <w:r>
        <w:rPr/>
        <w:t>自首次授予完成登记之日起 </w:t>
      </w:r>
      <w:r>
        <w:rPr>
          <w:rFonts w:ascii="Times New Roman" w:hAnsi="Times New Roman" w:cs="Times New Roman" w:eastAsia="Times New Roman" w:hint="default"/>
        </w:rPr>
        <w:t>24</w:t>
      </w:r>
      <w:r>
        <w:rPr/>
        <w:t>个月后的首个交易日起至首次授予完成登记之日起</w:t>
      </w:r>
      <w:r>
        <w:rPr>
          <w:rFonts w:ascii="Times New Roman" w:hAnsi="Times New Roman" w:cs="Times New Roman" w:eastAsia="Times New Roman" w:hint="default"/>
        </w:rPr>
        <w:t>36</w:t>
      </w:r>
      <w:r>
        <w:rPr/>
        <w:t>个月内的最后一个交易日当日止，激</w:t>
      </w:r>
      <w:r>
        <w:rPr>
          <w:spacing w:val="-113"/>
        </w:rPr>
        <w:t> </w:t>
      </w:r>
      <w:r>
        <w:rPr>
          <w:spacing w:val="-113"/>
        </w:rPr>
      </w:r>
      <w:r>
        <w:rPr/>
        <w:t>励对象可在解锁期内解锁</w:t>
      </w:r>
      <w:r>
        <w:rPr>
          <w:rFonts w:ascii="Times New Roman" w:hAnsi="Times New Roman" w:cs="Times New Roman" w:eastAsia="Times New Roman" w:hint="default"/>
        </w:rPr>
        <w:t>30%</w:t>
      </w:r>
      <w:r>
        <w:rPr/>
        <w:t>，自首次授予完成登记之日起</w:t>
      </w:r>
      <w:r>
        <w:rPr>
          <w:rFonts w:ascii="Times New Roman" w:hAnsi="Times New Roman" w:cs="Times New Roman" w:eastAsia="Times New Roman" w:hint="default"/>
        </w:rPr>
        <w:t>36</w:t>
      </w:r>
      <w:r>
        <w:rPr/>
        <w:t>个月后的首个交易日起至首次</w:t>
      </w:r>
      <w:r>
        <w:rPr>
          <w:spacing w:val="-85"/>
        </w:rPr>
        <w:t> </w:t>
      </w:r>
      <w:r>
        <w:rPr>
          <w:spacing w:val="-85"/>
        </w:rPr>
      </w:r>
      <w:r>
        <w:rPr/>
        <w:t>授予完成登记之日起</w:t>
      </w:r>
      <w:r>
        <w:rPr>
          <w:rFonts w:ascii="Times New Roman" w:hAnsi="Times New Roman" w:cs="Times New Roman" w:eastAsia="Times New Roman" w:hint="default"/>
        </w:rPr>
        <w:t>48</w:t>
      </w:r>
      <w:r>
        <w:rPr/>
        <w:t>个月内的最后一个交易日当日止，激励对象可在解锁期内解锁</w:t>
      </w:r>
      <w:r>
        <w:rPr>
          <w:rFonts w:ascii="Times New Roman" w:hAnsi="Times New Roman" w:cs="Times New Roman" w:eastAsia="Times New Roman" w:hint="default"/>
        </w:rPr>
        <w:t>30%</w:t>
      </w:r>
      <w:r>
        <w:rPr/>
        <w:t>。 </w:t>
      </w:r>
      <w:r>
        <w:rPr>
          <w:spacing w:val="3"/>
        </w:rPr>
        <w:t>本公司参考 </w:t>
      </w:r>
      <w:r>
        <w:rPr>
          <w:rFonts w:ascii="Times New Roman" w:hAnsi="Times New Roman" w:cs="Times New Roman" w:eastAsia="Times New Roman" w:hint="default"/>
        </w:rPr>
        <w:t>Black-Scholes</w:t>
      </w:r>
      <w:r>
        <w:rPr>
          <w:rFonts w:ascii="Times New Roman" w:hAnsi="Times New Roman" w:cs="Times New Roman" w:eastAsia="Times New Roman" w:hint="default"/>
          <w:spacing w:val="31"/>
        </w:rPr>
        <w:t> </w:t>
      </w:r>
      <w:r>
        <w:rPr>
          <w:spacing w:val="3"/>
        </w:rPr>
        <w:t>期权定价模型计算限制性股票的公允价值，具体参数选取如</w:t>
      </w:r>
      <w:r>
        <w:rPr/>
      </w:r>
    </w:p>
    <w:p>
      <w:pPr>
        <w:pStyle w:val="BodyText"/>
        <w:spacing w:line="296" w:lineRule="exact"/>
        <w:ind w:right="0"/>
        <w:jc w:val="left"/>
      </w:pPr>
      <w:r>
        <w:rPr/>
        <w:t>下：</w:t>
      </w:r>
    </w:p>
    <w:p>
      <w:pPr>
        <w:pStyle w:val="BodyText"/>
        <w:spacing w:line="321" w:lineRule="exact"/>
        <w:ind w:left="633" w:right="0"/>
        <w:jc w:val="left"/>
      </w:pPr>
      <w:r>
        <w:rPr/>
        <w:t>①标的股价：</w:t>
      </w:r>
      <w:r>
        <w:rPr>
          <w:rFonts w:ascii="Times New Roman" w:hAnsi="Times New Roman" w:cs="Times New Roman" w:eastAsia="Times New Roman" w:hint="default"/>
        </w:rPr>
        <w:t>13.6</w:t>
      </w:r>
      <w:r>
        <w:rPr/>
        <w:t>元</w:t>
      </w:r>
      <w:r>
        <w:rPr>
          <w:rFonts w:ascii="Times New Roman" w:hAnsi="Times New Roman" w:cs="Times New Roman" w:eastAsia="Times New Roman" w:hint="default"/>
        </w:rPr>
        <w:t>/</w:t>
      </w:r>
      <w:r>
        <w:rPr/>
        <w:t>股（假设授予日公司收盘价为</w:t>
      </w:r>
      <w:r>
        <w:rPr>
          <w:rFonts w:ascii="Times New Roman" w:hAnsi="Times New Roman" w:cs="Times New Roman" w:eastAsia="Times New Roman" w:hint="default"/>
        </w:rPr>
        <w:t>13.6</w:t>
      </w:r>
      <w:r>
        <w:rPr/>
        <w:t>元</w:t>
      </w:r>
      <w:r>
        <w:rPr>
          <w:rFonts w:ascii="Times New Roman" w:hAnsi="Times New Roman" w:cs="Times New Roman" w:eastAsia="Times New Roman" w:hint="default"/>
        </w:rPr>
        <w:t>/</w:t>
      </w:r>
      <w:r>
        <w:rPr/>
        <w:t>股）；</w:t>
      </w:r>
    </w:p>
    <w:p>
      <w:pPr>
        <w:pStyle w:val="BodyText"/>
        <w:spacing w:line="312" w:lineRule="exact"/>
        <w:ind w:left="633" w:right="0"/>
        <w:jc w:val="left"/>
      </w:pPr>
      <w:r>
        <w:rPr/>
        <w:t>②有效期分别为：</w:t>
      </w:r>
      <w:r>
        <w:rPr>
          <w:rFonts w:ascii="Times New Roman" w:hAnsi="Times New Roman" w:cs="Times New Roman" w:eastAsia="Times New Roman" w:hint="default"/>
        </w:rPr>
        <w:t>1</w:t>
      </w:r>
      <w:r>
        <w:rPr/>
        <w:t>期、</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3</w:t>
      </w:r>
      <w:r>
        <w:rPr/>
        <w:t>期（授予日至每期解除限售日的期限）；</w:t>
      </w:r>
    </w:p>
    <w:p>
      <w:pPr>
        <w:pStyle w:val="BodyText"/>
        <w:spacing w:line="312" w:lineRule="exact" w:before="20"/>
        <w:ind w:right="0" w:firstLine="480"/>
        <w:jc w:val="left"/>
      </w:pPr>
      <w:r>
        <w:rPr>
          <w:spacing w:val="-1"/>
        </w:rPr>
        <w:t>③历史波动率：</w:t>
      </w:r>
      <w:r>
        <w:rPr>
          <w:rFonts w:ascii="Times New Roman" w:hAnsi="Times New Roman" w:cs="Times New Roman" w:eastAsia="Times New Roman" w:hint="default"/>
          <w:spacing w:val="-1"/>
        </w:rPr>
        <w:t>38.16%</w:t>
      </w:r>
      <w:r>
        <w:rPr>
          <w:spacing w:val="-1"/>
        </w:rPr>
        <w:t>、</w:t>
      </w:r>
      <w:r>
        <w:rPr>
          <w:rFonts w:ascii="Times New Roman" w:hAnsi="Times New Roman" w:cs="Times New Roman" w:eastAsia="Times New Roman" w:hint="default"/>
          <w:spacing w:val="-1"/>
        </w:rPr>
        <w:t>36.85%</w:t>
      </w:r>
      <w:r>
        <w:rPr>
          <w:spacing w:val="-1"/>
        </w:rPr>
        <w:t>、</w:t>
      </w:r>
      <w:r>
        <w:rPr>
          <w:rFonts w:ascii="Times New Roman" w:hAnsi="Times New Roman" w:cs="Times New Roman" w:eastAsia="Times New Roman" w:hint="default"/>
          <w:spacing w:val="-1"/>
        </w:rPr>
        <w:t>32.25%</w:t>
      </w:r>
      <w:r>
        <w:rPr>
          <w:spacing w:val="-1"/>
        </w:rPr>
        <w:t>（分别采用中小板指最近一期、两期和三期的</w:t>
      </w:r>
      <w:r>
        <w:rPr/>
        <w:t> 波动率）；</w:t>
      </w:r>
    </w:p>
    <w:p>
      <w:pPr>
        <w:pStyle w:val="BodyText"/>
        <w:spacing w:line="292" w:lineRule="exact"/>
        <w:ind w:left="633" w:right="0"/>
        <w:jc w:val="left"/>
      </w:pPr>
      <w:r>
        <w:rPr/>
        <w:t>④无风险利率：</w:t>
      </w:r>
      <w:r>
        <w:rPr>
          <w:rFonts w:ascii="Times New Roman" w:hAnsi="Times New Roman" w:cs="Times New Roman" w:eastAsia="Times New Roman" w:hint="default"/>
        </w:rPr>
        <w:t>1.50%</w:t>
      </w:r>
      <w:r>
        <w:rPr/>
        <w:t>、</w:t>
      </w:r>
      <w:r>
        <w:rPr>
          <w:rFonts w:ascii="Times New Roman" w:hAnsi="Times New Roman" w:cs="Times New Roman" w:eastAsia="Times New Roman" w:hint="default"/>
        </w:rPr>
        <w:t>2.10%</w:t>
      </w:r>
      <w:r>
        <w:rPr/>
        <w:t>、</w:t>
      </w:r>
      <w:r>
        <w:rPr>
          <w:rFonts w:ascii="Times New Roman" w:hAnsi="Times New Roman" w:cs="Times New Roman" w:eastAsia="Times New Roman" w:hint="default"/>
        </w:rPr>
        <w:t>2.75%</w:t>
      </w:r>
      <w:r>
        <w:rPr/>
        <w:t>（分别采用中国人民银行制定的金融机构</w:t>
      </w:r>
      <w:r>
        <w:rPr>
          <w:rFonts w:ascii="Times New Roman" w:hAnsi="Times New Roman" w:cs="Times New Roman" w:eastAsia="Times New Roman" w:hint="default"/>
        </w:rPr>
        <w:t>1</w:t>
      </w:r>
      <w:r>
        <w:rPr/>
        <w:t>年期、</w:t>
      </w:r>
    </w:p>
    <w:p>
      <w:pPr>
        <w:pStyle w:val="BodyText"/>
        <w:spacing w:line="312" w:lineRule="exact"/>
        <w:ind w:right="0"/>
        <w:jc w:val="left"/>
      </w:pPr>
      <w:r>
        <w:rPr>
          <w:rFonts w:ascii="Times New Roman" w:hAnsi="Times New Roman" w:cs="Times New Roman" w:eastAsia="Times New Roman" w:hint="default"/>
        </w:rPr>
        <w:t>2</w:t>
      </w:r>
      <w:r>
        <w:rPr/>
        <w:t>年期、</w:t>
      </w:r>
      <w:r>
        <w:rPr>
          <w:rFonts w:ascii="Times New Roman" w:hAnsi="Times New Roman" w:cs="Times New Roman" w:eastAsia="Times New Roman" w:hint="default"/>
        </w:rPr>
        <w:t>3</w:t>
      </w:r>
      <w:r>
        <w:rPr/>
        <w:t>年期存款基准利率）；</w:t>
      </w:r>
    </w:p>
    <w:p>
      <w:pPr>
        <w:pStyle w:val="BodyText"/>
        <w:spacing w:line="312" w:lineRule="exact" w:before="20"/>
        <w:ind w:left="633" w:right="0"/>
        <w:jc w:val="left"/>
      </w:pPr>
      <w:r>
        <w:rPr/>
        <w:t>⑤股息率：</w:t>
      </w:r>
      <w:r>
        <w:rPr>
          <w:rFonts w:ascii="Times New Roman" w:hAnsi="Times New Roman" w:cs="Times New Roman" w:eastAsia="Times New Roman" w:hint="default"/>
        </w:rPr>
        <w:t>0.29%</w:t>
      </w:r>
      <w:r>
        <w:rPr/>
        <w:t>（最近三期公司股息率的平均值）。 根据授予日的公允价值总额确认限制性股票的激励成本，则</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年限制性股票</w:t>
      </w:r>
    </w:p>
    <w:p>
      <w:pPr>
        <w:pStyle w:val="BodyText"/>
        <w:spacing w:line="283" w:lineRule="exact"/>
        <w:ind w:right="0"/>
        <w:jc w:val="left"/>
      </w:pPr>
      <w:r>
        <w:rPr/>
        <w:t>成本摊销情况：</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219"/>
        <w:gridCol w:w="2036"/>
        <w:gridCol w:w="1100"/>
        <w:gridCol w:w="1306"/>
        <w:gridCol w:w="1306"/>
        <w:gridCol w:w="1308"/>
      </w:tblGrid>
      <w:tr>
        <w:trPr>
          <w:trHeight w:val="665" w:hRule="exact"/>
        </w:trPr>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left="3" w:right="0"/>
              <w:jc w:val="center"/>
              <w:rPr>
                <w:rFonts w:ascii="宋体" w:hAnsi="宋体" w:cs="宋体" w:eastAsia="宋体" w:hint="default"/>
                <w:sz w:val="24"/>
                <w:szCs w:val="24"/>
              </w:rPr>
            </w:pPr>
            <w:r>
              <w:rPr>
                <w:rFonts w:ascii="宋体" w:hAnsi="宋体" w:cs="宋体" w:eastAsia="宋体" w:hint="default"/>
                <w:sz w:val="24"/>
                <w:szCs w:val="24"/>
              </w:rPr>
              <w:t>授予的限制性股票</w:t>
            </w:r>
          </w:p>
          <w:p>
            <w:pPr>
              <w:pStyle w:val="TableParagraph"/>
              <w:spacing w:line="313" w:lineRule="exact"/>
              <w:ind w:left="3" w:right="0"/>
              <w:jc w:val="center"/>
              <w:rPr>
                <w:rFonts w:ascii="宋体" w:hAnsi="宋体" w:cs="宋体" w:eastAsia="宋体" w:hint="default"/>
                <w:sz w:val="24"/>
                <w:szCs w:val="24"/>
              </w:rPr>
            </w:pPr>
            <w:r>
              <w:rPr>
                <w:rFonts w:ascii="宋体" w:hAnsi="宋体" w:cs="宋体" w:eastAsia="宋体" w:hint="default"/>
                <w:sz w:val="24"/>
                <w:szCs w:val="24"/>
              </w:rPr>
              <w:t>（万股）</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left="4" w:right="0"/>
              <w:jc w:val="center"/>
              <w:rPr>
                <w:rFonts w:ascii="宋体" w:hAnsi="宋体" w:cs="宋体" w:eastAsia="宋体" w:hint="default"/>
                <w:sz w:val="24"/>
                <w:szCs w:val="24"/>
              </w:rPr>
            </w:pPr>
            <w:r>
              <w:rPr>
                <w:rFonts w:ascii="宋体" w:hAnsi="宋体" w:cs="宋体" w:eastAsia="宋体" w:hint="default"/>
                <w:sz w:val="24"/>
                <w:szCs w:val="24"/>
              </w:rPr>
              <w:t>需摊销的总费用</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p>
          <w:p>
            <w:pPr>
              <w:pStyle w:val="TableParagraph"/>
              <w:spacing w:line="304" w:lineRule="exact"/>
              <w:ind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92" w:lineRule="exact"/>
              <w:ind w:left="4"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p>
          <w:p>
            <w:pPr>
              <w:pStyle w:val="TableParagraph"/>
              <w:spacing w:line="304"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92" w:lineRule="exact"/>
              <w:ind w:left="4"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p>
          <w:p>
            <w:pPr>
              <w:pStyle w:val="TableParagraph"/>
              <w:spacing w:line="304"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308" w:type="dxa"/>
            <w:tcBorders>
              <w:top w:val="single" w:sz="6" w:space="0" w:color="000000"/>
              <w:left w:val="single" w:sz="6" w:space="0" w:color="000000"/>
              <w:bottom w:val="single" w:sz="12" w:space="0" w:color="000000"/>
              <w:right w:val="nil" w:sz="6" w:space="0" w:color="auto"/>
            </w:tcBorders>
          </w:tcPr>
          <w:p>
            <w:pPr>
              <w:pStyle w:val="TableParagraph"/>
              <w:spacing w:line="292" w:lineRule="exact"/>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p>
          <w:p>
            <w:pPr>
              <w:pStyle w:val="TableParagraph"/>
              <w:spacing w:line="304" w:lineRule="exact"/>
              <w:ind w:right="3"/>
              <w:jc w:val="center"/>
              <w:rPr>
                <w:rFonts w:ascii="宋体" w:hAnsi="宋体" w:cs="宋体" w:eastAsia="宋体" w:hint="default"/>
                <w:sz w:val="24"/>
                <w:szCs w:val="24"/>
              </w:rPr>
            </w:pPr>
            <w:r>
              <w:rPr>
                <w:rFonts w:ascii="宋体" w:hAnsi="宋体" w:cs="宋体" w:eastAsia="宋体" w:hint="default"/>
                <w:sz w:val="24"/>
                <w:szCs w:val="24"/>
              </w:rPr>
              <w:t>（万元）</w:t>
            </w:r>
          </w:p>
        </w:tc>
      </w:tr>
      <w:tr>
        <w:trPr>
          <w:trHeight w:val="355" w:hRule="exact"/>
        </w:trPr>
        <w:tc>
          <w:tcPr>
            <w:tcW w:w="22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681" w:right="0"/>
              <w:jc w:val="left"/>
              <w:rPr>
                <w:rFonts w:ascii="Times New Roman" w:hAnsi="Times New Roman" w:cs="Times New Roman" w:eastAsia="Times New Roman" w:hint="default"/>
                <w:sz w:val="24"/>
                <w:szCs w:val="24"/>
              </w:rPr>
            </w:pPr>
            <w:r>
              <w:rPr>
                <w:rFonts w:ascii="Times New Roman"/>
                <w:sz w:val="24"/>
              </w:rPr>
              <w:t>1,578.08</w:t>
            </w:r>
          </w:p>
        </w:tc>
        <w:tc>
          <w:tcPr>
            <w:tcW w:w="2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590" w:right="0"/>
              <w:jc w:val="left"/>
              <w:rPr>
                <w:rFonts w:ascii="Times New Roman" w:hAnsi="Times New Roman" w:cs="Times New Roman" w:eastAsia="Times New Roman" w:hint="default"/>
                <w:sz w:val="24"/>
                <w:szCs w:val="24"/>
              </w:rPr>
            </w:pPr>
            <w:r>
              <w:rPr>
                <w:rFonts w:ascii="Times New Roman"/>
                <w:sz w:val="24"/>
              </w:rPr>
              <w:t>2,421.49</w:t>
            </w: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11" w:right="0"/>
              <w:jc w:val="left"/>
              <w:rPr>
                <w:rFonts w:ascii="Times New Roman" w:hAnsi="Times New Roman" w:cs="Times New Roman" w:eastAsia="Times New Roman" w:hint="default"/>
                <w:sz w:val="24"/>
                <w:szCs w:val="24"/>
              </w:rPr>
            </w:pPr>
            <w:r>
              <w:rPr>
                <w:rFonts w:ascii="Times New Roman"/>
                <w:sz w:val="24"/>
              </w:rPr>
              <w:t>488.63</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25" w:right="0"/>
              <w:jc w:val="left"/>
              <w:rPr>
                <w:rFonts w:ascii="Times New Roman" w:hAnsi="Times New Roman" w:cs="Times New Roman" w:eastAsia="Times New Roman" w:hint="default"/>
                <w:sz w:val="24"/>
                <w:szCs w:val="24"/>
              </w:rPr>
            </w:pPr>
            <w:r>
              <w:rPr>
                <w:rFonts w:ascii="Times New Roman"/>
                <w:sz w:val="24"/>
              </w:rPr>
              <w:t>1,563.14</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16" w:right="0"/>
              <w:jc w:val="left"/>
              <w:rPr>
                <w:rFonts w:ascii="Times New Roman" w:hAnsi="Times New Roman" w:cs="Times New Roman" w:eastAsia="Times New Roman" w:hint="default"/>
                <w:sz w:val="24"/>
                <w:szCs w:val="24"/>
              </w:rPr>
            </w:pPr>
            <w:r>
              <w:rPr>
                <w:rFonts w:ascii="Times New Roman"/>
                <w:sz w:val="24"/>
              </w:rPr>
              <w:t>311.24</w:t>
            </w:r>
          </w:p>
        </w:tc>
        <w:tc>
          <w:tcPr>
            <w:tcW w:w="1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374" w:right="0"/>
              <w:jc w:val="left"/>
              <w:rPr>
                <w:rFonts w:ascii="Times New Roman" w:hAnsi="Times New Roman" w:cs="Times New Roman" w:eastAsia="Times New Roman" w:hint="default"/>
                <w:sz w:val="24"/>
                <w:szCs w:val="24"/>
              </w:rPr>
            </w:pPr>
            <w:r>
              <w:rPr>
                <w:rFonts w:ascii="Times New Roman"/>
                <w:sz w:val="24"/>
              </w:rPr>
              <w:t>58.48</w:t>
            </w:r>
          </w:p>
        </w:tc>
      </w:tr>
    </w:tbl>
    <w:p>
      <w:pPr>
        <w:pStyle w:val="BodyText"/>
        <w:spacing w:line="282" w:lineRule="exact"/>
        <w:ind w:left="0" w:right="1128"/>
        <w:jc w:val="righ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日公司召开第六届董事会第七次会议，审议通过了《关于向激励对象</w:t>
      </w:r>
    </w:p>
    <w:p>
      <w:pPr>
        <w:pStyle w:val="BodyText"/>
        <w:spacing w:line="228" w:lineRule="auto" w:before="4"/>
        <w:ind w:left="0" w:right="1127"/>
        <w:jc w:val="right"/>
      </w:pPr>
      <w:r>
        <w:rPr>
          <w:spacing w:val="-2"/>
        </w:rPr>
        <w:t>授予预留限制性股票的议案》，公司董事会确定以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日为本次预留限制性股票的授</w:t>
      </w:r>
      <w:r>
        <w:rPr/>
        <w:t> </w:t>
      </w:r>
      <w:r>
        <w:rPr>
          <w:spacing w:val="-2"/>
        </w:rPr>
        <w:t>予日，向</w:t>
      </w:r>
      <w:r>
        <w:rPr>
          <w:rFonts w:ascii="Times New Roman" w:hAnsi="Times New Roman" w:cs="Times New Roman" w:eastAsia="Times New Roman" w:hint="default"/>
          <w:spacing w:val="-2"/>
        </w:rPr>
        <w:t>264</w:t>
      </w:r>
      <w:r>
        <w:rPr>
          <w:spacing w:val="-2"/>
        </w:rPr>
        <w:t>名激励对象授予预留限制性股票</w:t>
      </w:r>
      <w:r>
        <w:rPr>
          <w:rFonts w:ascii="Times New Roman" w:hAnsi="Times New Roman" w:cs="Times New Roman" w:eastAsia="Times New Roman" w:hint="default"/>
          <w:spacing w:val="-2"/>
        </w:rPr>
        <w:t>1,466,810</w:t>
      </w:r>
      <w:r>
        <w:rPr>
          <w:spacing w:val="-2"/>
        </w:rPr>
        <w:t>股，授予价格为</w:t>
      </w:r>
      <w:r>
        <w:rPr>
          <w:rFonts w:ascii="Times New Roman" w:hAnsi="Times New Roman" w:cs="Times New Roman" w:eastAsia="Times New Roman" w:hint="default"/>
          <w:spacing w:val="-2"/>
        </w:rPr>
        <w:t>5.18</w:t>
      </w:r>
      <w:r>
        <w:rPr>
          <w:spacing w:val="-2"/>
        </w:rPr>
        <w:t>元</w:t>
      </w:r>
      <w:r>
        <w:rPr>
          <w:rFonts w:ascii="Times New Roman" w:hAnsi="Times New Roman" w:cs="Times New Roman" w:eastAsia="Times New Roman" w:hint="default"/>
          <w:spacing w:val="-2"/>
        </w:rPr>
        <w:t>/</w:t>
      </w:r>
      <w:r>
        <w:rPr>
          <w:spacing w:val="-2"/>
        </w:rPr>
        <w:t>股。公司董事会</w:t>
      </w:r>
      <w:r>
        <w:rPr/>
        <w:t> 办理本次授予事项已经公司</w:t>
      </w:r>
      <w:r>
        <w:rPr>
          <w:rFonts w:ascii="Times New Roman" w:hAnsi="Times New Roman" w:cs="Times New Roman" w:eastAsia="Times New Roman" w:hint="default"/>
        </w:rPr>
        <w:t>2016</w:t>
      </w:r>
      <w:r>
        <w:rPr/>
        <w:t>期第三次临时股东大会授权，无需提交公司股东大会审议。 公司本次激励计划预留限制性股票的授予对公司相关期度的财务状况和经营成果将产生 </w:t>
      </w:r>
      <w:r>
        <w:rPr>
          <w:spacing w:val="-2"/>
        </w:rPr>
        <w:t>一定的影响。董事会已确定激励计划的授予日为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日，根据授予日的公允价值总额</w:t>
      </w:r>
    </w:p>
    <w:p>
      <w:pPr>
        <w:pStyle w:val="BodyText"/>
        <w:spacing w:line="315" w:lineRule="exact"/>
        <w:ind w:right="0"/>
        <w:jc w:val="left"/>
      </w:pPr>
      <w:r>
        <w:rPr/>
        <w:t>确认限制性股票的激励成本，则</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年限制性股票成本摊销情况见下表：</w:t>
      </w:r>
    </w:p>
    <w:tbl>
      <w:tblPr>
        <w:tblW w:w="0" w:type="auto"/>
        <w:jc w:val="left"/>
        <w:tblInd w:w="143" w:type="dxa"/>
        <w:tblLayout w:type="fixed"/>
        <w:tblCellMar>
          <w:top w:w="0" w:type="dxa"/>
          <w:left w:w="0" w:type="dxa"/>
          <w:bottom w:w="0" w:type="dxa"/>
          <w:right w:w="0" w:type="dxa"/>
        </w:tblCellMar>
        <w:tblLook w:val="01E0"/>
      </w:tblPr>
      <w:tblGrid>
        <w:gridCol w:w="1844"/>
        <w:gridCol w:w="1844"/>
        <w:gridCol w:w="1844"/>
        <w:gridCol w:w="1844"/>
        <w:gridCol w:w="1846"/>
      </w:tblGrid>
      <w:tr>
        <w:trPr>
          <w:trHeight w:val="977" w:hRule="exact"/>
        </w:trPr>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left="4" w:right="0"/>
              <w:jc w:val="center"/>
              <w:rPr>
                <w:rFonts w:ascii="宋体" w:hAnsi="宋体" w:cs="宋体" w:eastAsia="宋体" w:hint="default"/>
                <w:sz w:val="24"/>
                <w:szCs w:val="24"/>
              </w:rPr>
            </w:pPr>
            <w:r>
              <w:rPr>
                <w:rFonts w:ascii="宋体" w:hAnsi="宋体" w:cs="宋体" w:eastAsia="宋体" w:hint="default"/>
                <w:sz w:val="24"/>
                <w:szCs w:val="24"/>
              </w:rPr>
              <w:t>授予的限制性股</w:t>
            </w:r>
          </w:p>
          <w:p>
            <w:pPr>
              <w:pStyle w:val="TableParagraph"/>
              <w:spacing w:line="312" w:lineRule="exact"/>
              <w:ind w:left="5" w:right="0"/>
              <w:jc w:val="center"/>
              <w:rPr>
                <w:rFonts w:ascii="宋体" w:hAnsi="宋体" w:cs="宋体" w:eastAsia="宋体" w:hint="default"/>
                <w:sz w:val="24"/>
                <w:szCs w:val="24"/>
              </w:rPr>
            </w:pPr>
            <w:r>
              <w:rPr>
                <w:rFonts w:ascii="宋体" w:hAnsi="宋体" w:cs="宋体" w:eastAsia="宋体" w:hint="default"/>
                <w:sz w:val="24"/>
                <w:szCs w:val="24"/>
              </w:rPr>
              <w:t>票</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（万股）</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left="3" w:right="0"/>
              <w:jc w:val="center"/>
              <w:rPr>
                <w:rFonts w:ascii="宋体" w:hAnsi="宋体" w:cs="宋体" w:eastAsia="宋体" w:hint="default"/>
                <w:sz w:val="24"/>
                <w:szCs w:val="24"/>
              </w:rPr>
            </w:pPr>
            <w:r>
              <w:rPr>
                <w:rFonts w:ascii="宋体" w:hAnsi="宋体" w:cs="宋体" w:eastAsia="宋体" w:hint="default"/>
                <w:sz w:val="24"/>
                <w:szCs w:val="24"/>
              </w:rPr>
              <w:t>需摊销的总费用</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92" w:lineRule="exact"/>
              <w:ind w:left="4"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p>
          <w:p>
            <w:pPr>
              <w:pStyle w:val="TableParagraph"/>
              <w:spacing w:line="304"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92" w:lineRule="exact"/>
              <w:ind w:left="4"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p>
          <w:p>
            <w:pPr>
              <w:pStyle w:val="TableParagraph"/>
              <w:spacing w:line="304" w:lineRule="exact"/>
              <w:ind w:left="4"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846" w:type="dxa"/>
            <w:tcBorders>
              <w:top w:val="single" w:sz="6" w:space="0" w:color="000000"/>
              <w:left w:val="single" w:sz="6" w:space="0" w:color="000000"/>
              <w:bottom w:val="single" w:sz="12" w:space="0" w:color="000000"/>
              <w:right w:val="nil" w:sz="6" w:space="0" w:color="auto"/>
            </w:tcBorders>
          </w:tcPr>
          <w:p>
            <w:pPr>
              <w:pStyle w:val="TableParagraph"/>
              <w:spacing w:line="292" w:lineRule="exact"/>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p>
          <w:p>
            <w:pPr>
              <w:pStyle w:val="TableParagraph"/>
              <w:spacing w:line="304" w:lineRule="exact"/>
              <w:ind w:right="3"/>
              <w:jc w:val="center"/>
              <w:rPr>
                <w:rFonts w:ascii="宋体" w:hAnsi="宋体" w:cs="宋体" w:eastAsia="宋体" w:hint="default"/>
                <w:sz w:val="24"/>
                <w:szCs w:val="24"/>
              </w:rPr>
            </w:pPr>
            <w:r>
              <w:rPr>
                <w:rFonts w:ascii="宋体" w:hAnsi="宋体" w:cs="宋体" w:eastAsia="宋体" w:hint="default"/>
                <w:sz w:val="24"/>
                <w:szCs w:val="24"/>
              </w:rPr>
              <w:t>（万元）</w:t>
            </w:r>
          </w:p>
        </w:tc>
      </w:tr>
      <w:tr>
        <w:trPr>
          <w:trHeight w:val="355"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left="465" w:right="0"/>
              <w:jc w:val="left"/>
              <w:rPr>
                <w:rFonts w:ascii="Times New Roman" w:hAnsi="Times New Roman" w:cs="Times New Roman" w:eastAsia="Times New Roman" w:hint="default"/>
                <w:sz w:val="24"/>
                <w:szCs w:val="24"/>
              </w:rPr>
            </w:pPr>
            <w:r>
              <w:rPr>
                <w:rFonts w:ascii="Times New Roman"/>
                <w:sz w:val="24"/>
              </w:rPr>
              <w:t>146.6810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left="585" w:right="0"/>
              <w:jc w:val="left"/>
              <w:rPr>
                <w:rFonts w:ascii="Times New Roman" w:hAnsi="Times New Roman" w:cs="Times New Roman" w:eastAsia="Times New Roman" w:hint="default"/>
                <w:sz w:val="24"/>
                <w:szCs w:val="24"/>
              </w:rPr>
            </w:pPr>
            <w:r>
              <w:rPr>
                <w:rFonts w:ascii="Times New Roman"/>
                <w:sz w:val="24"/>
              </w:rPr>
              <w:t>269.89</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90.56</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left="585" w:right="0"/>
              <w:jc w:val="left"/>
              <w:rPr>
                <w:rFonts w:ascii="Times New Roman" w:hAnsi="Times New Roman" w:cs="Times New Roman" w:eastAsia="Times New Roman" w:hint="default"/>
                <w:sz w:val="24"/>
                <w:szCs w:val="24"/>
              </w:rPr>
            </w:pPr>
            <w:r>
              <w:rPr>
                <w:rFonts w:ascii="Times New Roman"/>
                <w:sz w:val="24"/>
              </w:rPr>
              <w:t>148.68</w:t>
            </w:r>
          </w:p>
        </w:tc>
        <w:tc>
          <w:tcPr>
            <w:tcW w:w="1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
              <w:ind w:right="8"/>
              <w:jc w:val="center"/>
              <w:rPr>
                <w:rFonts w:ascii="Times New Roman" w:hAnsi="Times New Roman" w:cs="Times New Roman" w:eastAsia="Times New Roman" w:hint="default"/>
                <w:sz w:val="24"/>
                <w:szCs w:val="24"/>
              </w:rPr>
            </w:pPr>
            <w:r>
              <w:rPr>
                <w:rFonts w:ascii="Times New Roman"/>
                <w:sz w:val="24"/>
              </w:rPr>
              <w:t>30.65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以现金结算的股份支付情况" w:id="498"/>
      <w:bookmarkEnd w:id="49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股份支付的修改、终止情况" w:id="499"/>
      <w:bookmarkEnd w:id="49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4" w:lineRule="auto" w:before="0"/>
        <w:ind w:left="153" w:right="8341" w:firstLine="0"/>
        <w:jc w:val="left"/>
        <w:rPr>
          <w:rFonts w:ascii="宋体" w:hAnsi="宋体" w:cs="宋体" w:eastAsia="宋体" w:hint="default"/>
          <w:sz w:val="21"/>
          <w:szCs w:val="21"/>
        </w:rPr>
      </w:pPr>
      <w:bookmarkStart w:name="5、其他" w:id="500"/>
      <w:bookmarkEnd w:id="50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1"/>
      <w:bookmarkEnd w:id="501"/>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2"/>
      <w:bookmarkEnd w:id="5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40" w:lineRule="auto" w:before="59"/>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日，本集团不存在应披露的承诺事项。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before="0"/>
        <w:ind w:left="153" w:right="0" w:firstLine="0"/>
        <w:jc w:val="left"/>
        <w:rPr>
          <w:rFonts w:ascii="宋体" w:hAnsi="宋体" w:cs="宋体" w:eastAsia="宋体" w:hint="default"/>
          <w:sz w:val="21"/>
          <w:szCs w:val="21"/>
        </w:rPr>
      </w:pPr>
      <w:bookmarkStart w:name="2、或有事项" w:id="503"/>
      <w:bookmarkEnd w:id="5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日，本集团不存在应披露的未决诉讼、对外担保等或有事项。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8"/>
        <w:ind w:left="153" w:right="0" w:firstLine="0"/>
        <w:jc w:val="left"/>
        <w:rPr>
          <w:rFonts w:ascii="宋体" w:hAnsi="宋体" w:cs="宋体" w:eastAsia="宋体" w:hint="default"/>
          <w:sz w:val="21"/>
          <w:szCs w:val="21"/>
        </w:rPr>
      </w:pPr>
      <w:bookmarkStart w:name="（2）公司没有需要披露的重要或有事项，也应予以说明"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line="240" w:lineRule="auto" w:before="4"/>
        <w:rPr>
          <w:rFonts w:ascii="宋体" w:hAnsi="宋体" w:cs="宋体" w:eastAsia="宋体" w:hint="default"/>
          <w:sz w:val="26"/>
          <w:szCs w:val="26"/>
        </w:rPr>
      </w:pPr>
    </w:p>
    <w:p>
      <w:pPr>
        <w:spacing w:line="487" w:lineRule="auto" w:before="0"/>
        <w:ind w:left="153" w:right="7859" w:firstLine="0"/>
        <w:jc w:val="left"/>
        <w:rPr>
          <w:rFonts w:ascii="宋体" w:hAnsi="宋体" w:cs="宋体" w:eastAsia="宋体" w:hint="default"/>
          <w:sz w:val="21"/>
          <w:szCs w:val="21"/>
        </w:rPr>
      </w:pPr>
      <w:bookmarkStart w:name="3、其他" w:id="506"/>
      <w:bookmarkEnd w:id="5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7"/>
      <w:bookmarkEnd w:id="507"/>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8"/>
      <w:bookmarkEnd w:id="5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1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利润分配情况" w:id="509"/>
      <w:bookmarkEnd w:id="5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46,643,643.20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销售退回" w:id="510"/>
      <w:bookmarkEnd w:id="5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463" w:lineRule="auto" w:before="0"/>
        <w:ind w:left="153" w:right="3191" w:firstLine="0"/>
        <w:jc w:val="left"/>
        <w:rPr>
          <w:rFonts w:ascii="宋体" w:hAnsi="宋体" w:cs="宋体" w:eastAsia="宋体" w:hint="default"/>
          <w:sz w:val="24"/>
          <w:szCs w:val="24"/>
        </w:rPr>
      </w:pPr>
      <w:bookmarkStart w:name="4、其他资产负债表日后事项说明" w:id="511"/>
      <w:bookmarkEnd w:id="51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0"/>
          <w:sz w:val="21"/>
          <w:szCs w:val="21"/>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日，本集团不存在其他应披露的资产负债表日后事项。 </w:t>
      </w:r>
      <w:bookmarkStart w:name="十六、其他重要事项" w:id="512"/>
      <w:bookmarkEnd w:id="512"/>
      <w:r>
        <w:rPr>
          <w:rFonts w:ascii="宋体" w:hAnsi="宋体" w:cs="宋体" w:eastAsia="宋体" w:hint="default"/>
          <w:sz w:val="24"/>
          <w:szCs w:val="24"/>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spacing w:before="102"/>
        <w:ind w:left="153" w:right="0" w:firstLine="0"/>
        <w:jc w:val="left"/>
        <w:rPr>
          <w:rFonts w:ascii="宋体" w:hAnsi="宋体" w:cs="宋体" w:eastAsia="宋体" w:hint="default"/>
          <w:sz w:val="21"/>
          <w:szCs w:val="21"/>
        </w:rPr>
      </w:pPr>
      <w:bookmarkStart w:name="1、前期会计差错更正" w:id="513"/>
      <w:bookmarkEnd w:id="5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追溯重述法" w:id="514"/>
      <w:bookmarkEnd w:id="5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30" w:right="99" w:hanging="720"/>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5"/>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未来适用法"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债务重组" w:id="516"/>
      <w:bookmarkEnd w:id="5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资产置换" w:id="517"/>
      <w:bookmarkEnd w:id="5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非货币性资产交换" w:id="518"/>
      <w:bookmarkEnd w:id="5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其他资产置换"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年金计划" w:id="520"/>
      <w:bookmarkEnd w:id="5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终止经营" w:id="521"/>
      <w:bookmarkEnd w:id="5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6、分部信息" w:id="522"/>
      <w:bookmarkEnd w:id="5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分部的确定依据与会计政策" w:id="523"/>
      <w:bookmarkEnd w:id="5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报告分部的财务信息" w:id="524"/>
      <w:bookmarkEnd w:id="5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公司无报告分部的，或者不能披露各报告分部的资产总额和负债总额的，应说明原因" w:id="525"/>
      <w:bookmarkEnd w:id="5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说明" w:id="526"/>
      <w:bookmarkEnd w:id="5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其他对投资者决策有影响的重要交易和事项" w:id="527"/>
      <w:bookmarkEnd w:id="52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其他" w:id="528"/>
      <w:bookmarkEnd w:id="52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、分部报告</w:t>
      </w:r>
    </w:p>
    <w:p>
      <w:pPr>
        <w:pStyle w:val="BodyText"/>
        <w:spacing w:line="240" w:lineRule="auto" w:before="195"/>
        <w:ind w:right="0"/>
        <w:jc w:val="left"/>
      </w:pPr>
      <w:r>
        <w:rPr/>
        <w:t>由于本公司资源统一管理，并无具体营运分部财务资料，故就资源分配及业绩评估向本公司</w:t>
      </w:r>
      <w:r>
        <w:rPr>
          <w:spacing w:val="-93"/>
        </w:rPr>
        <w:t> </w:t>
      </w:r>
      <w:r>
        <w:rPr>
          <w:spacing w:val="-93"/>
        </w:rPr>
      </w:r>
      <w:r>
        <w:rPr/>
        <w:t>管理层呈报的资料以本公司整体营运业绩为主。因此，并无呈列营运分部及地区资料。</w:t>
      </w:r>
    </w:p>
    <w:p>
      <w:pPr>
        <w:pStyle w:val="BodyText"/>
        <w:spacing w:line="240" w:lineRule="auto" w:before="214"/>
        <w:ind w:right="0"/>
        <w:jc w:val="left"/>
      </w:pPr>
      <w:r>
        <w:rPr>
          <w:rFonts w:ascii="Times New Roman" w:hAnsi="Times New Roman" w:cs="Times New Roman" w:eastAsia="Times New Roman" w:hint="default"/>
        </w:rPr>
        <w:t>2</w:t>
      </w:r>
      <w:r>
        <w:rPr/>
        <w:t>、杭州昊美科技有限公司业绩完成情况</w:t>
      </w:r>
    </w:p>
    <w:p>
      <w:pPr>
        <w:pStyle w:val="BodyText"/>
        <w:spacing w:line="225" w:lineRule="auto" w:before="212"/>
        <w:ind w:right="1047"/>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日召开第六届董事会第四次会议，审议通过《关于对外投资的议案》， </w:t>
      </w:r>
      <w:r>
        <w:rPr>
          <w:spacing w:val="2"/>
        </w:rPr>
        <w:t>同意公司收购杭州昊美科技有限公司（</w:t>
      </w:r>
      <w:r>
        <w:rPr>
          <w:rFonts w:ascii="Times New Roman" w:hAnsi="Times New Roman" w:cs="Times New Roman" w:eastAsia="Times New Roman" w:hint="default"/>
          <w:spacing w:val="2"/>
        </w:rPr>
        <w:t>“</w:t>
      </w:r>
      <w:r>
        <w:rPr>
          <w:spacing w:val="2"/>
        </w:rPr>
        <w:t>昊美科技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67%</w:t>
      </w:r>
      <w:r>
        <w:rPr>
          <w:spacing w:val="2"/>
        </w:rPr>
        <w:t>的股权，并向昊美科技增资，收购</w:t>
      </w:r>
      <w:r>
        <w:rPr>
          <w:spacing w:val="-116"/>
        </w:rPr>
        <w:t> </w:t>
      </w:r>
      <w:r>
        <w:rPr>
          <w:spacing w:val="-116"/>
        </w:rPr>
      </w:r>
      <w:r>
        <w:rPr/>
        <w:t>及增资后，公司持有昊美科技</w:t>
      </w:r>
      <w:r>
        <w:rPr>
          <w:rFonts w:ascii="Times New Roman" w:hAnsi="Times New Roman" w:cs="Times New Roman" w:eastAsia="Times New Roman" w:hint="default"/>
        </w:rPr>
        <w:t>70.71%</w:t>
      </w:r>
      <w:r>
        <w:rPr/>
        <w:t>的股权。根据交易各方签署的《股权收购及增资协议》</w:t>
      </w:r>
      <w:r>
        <w:rPr>
          <w:spacing w:val="-109"/>
        </w:rPr>
        <w:t> </w:t>
      </w:r>
      <w:r>
        <w:rPr>
          <w:spacing w:val="-109"/>
        </w:rPr>
      </w:r>
      <w:r>
        <w:rPr/>
        <w:t>及补充协议，昊美科技股东承诺，收到首期股权转让款之日起</w:t>
      </w:r>
      <w:r>
        <w:rPr>
          <w:rFonts w:ascii="Times New Roman" w:hAnsi="Times New Roman" w:cs="Times New Roman" w:eastAsia="Times New Roman" w:hint="default"/>
        </w:rPr>
        <w:t>10</w:t>
      </w:r>
      <w:r>
        <w:rPr/>
        <w:t>个工作日内，用股权转让款</w:t>
      </w:r>
      <w:r>
        <w:rPr>
          <w:spacing w:val="-90"/>
        </w:rPr>
        <w:t> </w:t>
      </w:r>
      <w:r>
        <w:rPr>
          <w:spacing w:val="-90"/>
        </w:rPr>
      </w:r>
      <w:r>
        <w:rPr>
          <w:spacing w:val="-4"/>
        </w:rPr>
        <w:t>总金额</w:t>
      </w:r>
      <w:r>
        <w:rPr>
          <w:rFonts w:ascii="Times New Roman" w:hAnsi="Times New Roman" w:cs="Times New Roman" w:eastAsia="Times New Roman" w:hint="default"/>
          <w:spacing w:val="-4"/>
        </w:rPr>
        <w:t>30%</w:t>
      </w:r>
      <w:r>
        <w:rPr>
          <w:spacing w:val="-4"/>
        </w:rPr>
        <w:t>的资金在二级市场购买远光软件股票，并自愿将相应股票进行锁定。昊美科技</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49"/>
        </w:rPr>
        <w:t> </w:t>
      </w:r>
      <w:r>
        <w:rPr/>
        <w:t>年度扣除非经常性损益的净利润为</w:t>
      </w:r>
      <w:r>
        <w:rPr>
          <w:rFonts w:ascii="Times New Roman" w:hAnsi="Times New Roman" w:cs="Times New Roman" w:eastAsia="Times New Roman" w:hint="default"/>
        </w:rPr>
        <w:t>1,702.86</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年扣除非经常性损益后累计净 </w:t>
      </w:r>
      <w:r>
        <w:rPr>
          <w:spacing w:val="-2"/>
        </w:rPr>
        <w:t>利润为</w:t>
      </w:r>
      <w:r>
        <w:rPr>
          <w:rFonts w:ascii="Times New Roman" w:hAnsi="Times New Roman" w:cs="Times New Roman" w:eastAsia="Times New Roman" w:hint="default"/>
          <w:spacing w:val="-2"/>
        </w:rPr>
        <w:t>4,307.39</w:t>
      </w:r>
      <w:r>
        <w:rPr>
          <w:spacing w:val="-2"/>
        </w:rPr>
        <w:t>万元，较累计预测的业绩</w:t>
      </w:r>
      <w:r>
        <w:rPr>
          <w:rFonts w:ascii="Times New Roman" w:hAnsi="Times New Roman" w:cs="Times New Roman" w:eastAsia="Times New Roman" w:hint="default"/>
          <w:spacing w:val="-2"/>
        </w:rPr>
        <w:t>4,100</w:t>
      </w:r>
      <w:r>
        <w:rPr>
          <w:spacing w:val="-2"/>
        </w:rPr>
        <w:t>万元超出</w:t>
      </w:r>
      <w:r>
        <w:rPr>
          <w:rFonts w:ascii="Times New Roman" w:hAnsi="Times New Roman" w:cs="Times New Roman" w:eastAsia="Times New Roman" w:hint="default"/>
          <w:spacing w:val="-2"/>
        </w:rPr>
        <w:t>207.39</w:t>
      </w:r>
      <w:r>
        <w:rPr>
          <w:spacing w:val="-2"/>
        </w:rPr>
        <w:t>万元。根据《股权收购及增资协</w:t>
      </w:r>
      <w:r>
        <w:rPr>
          <w:spacing w:val="-100"/>
        </w:rPr>
        <w:t> </w:t>
      </w:r>
      <w:r>
        <w:rPr>
          <w:spacing w:val="-100"/>
        </w:rPr>
      </w:r>
      <w:r>
        <w:rPr/>
        <w:t>议》、《补充协议一》及《补充协议二》的约定，交易对方无需现金补偿。</w:t>
      </w:r>
    </w:p>
    <w:p>
      <w:pPr>
        <w:pStyle w:val="BodyText"/>
        <w:spacing w:line="240" w:lineRule="auto" w:before="216"/>
        <w:ind w:right="0"/>
        <w:jc w:val="left"/>
      </w:pPr>
      <w:r>
        <w:rPr>
          <w:rFonts w:ascii="Times New Roman" w:hAnsi="Times New Roman" w:cs="Times New Roman" w:eastAsia="Times New Roman" w:hint="default"/>
        </w:rPr>
        <w:t>3</w:t>
      </w:r>
      <w:r>
        <w:rPr/>
        <w:t>、政府补助</w:t>
      </w:r>
    </w:p>
    <w:p>
      <w:pPr>
        <w:pStyle w:val="BodyText"/>
        <w:spacing w:line="240" w:lineRule="auto" w:before="195"/>
        <w:ind w:left="575"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1"/>
        <w:rPr>
          <w:rFonts w:ascii="宋体" w:hAnsi="宋体" w:cs="宋体" w:eastAsia="宋体" w:hint="default"/>
          <w:sz w:val="18"/>
          <w:szCs w:val="18"/>
        </w:rPr>
      </w:pPr>
    </w:p>
    <w:tbl>
      <w:tblPr>
        <w:tblW w:w="0" w:type="auto"/>
        <w:jc w:val="left"/>
        <w:tblInd w:w="153" w:type="dxa"/>
        <w:tblLayout w:type="fixed"/>
        <w:tblCellMar>
          <w:top w:w="0" w:type="dxa"/>
          <w:left w:w="0" w:type="dxa"/>
          <w:bottom w:w="0" w:type="dxa"/>
          <w:right w:w="0" w:type="dxa"/>
        </w:tblCellMar>
        <w:tblLook w:val="01E0"/>
      </w:tblPr>
      <w:tblGrid>
        <w:gridCol w:w="2050"/>
        <w:gridCol w:w="814"/>
        <w:gridCol w:w="959"/>
        <w:gridCol w:w="1027"/>
        <w:gridCol w:w="1244"/>
        <w:gridCol w:w="662"/>
        <w:gridCol w:w="949"/>
        <w:gridCol w:w="1302"/>
        <w:gridCol w:w="1164"/>
      </w:tblGrid>
      <w:tr>
        <w:trPr>
          <w:trHeight w:val="658" w:hRule="exact"/>
        </w:trPr>
        <w:tc>
          <w:tcPr>
            <w:tcW w:w="2050"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left="9" w:right="0"/>
              <w:jc w:val="left"/>
              <w:rPr>
                <w:rFonts w:ascii="宋体" w:hAnsi="宋体" w:cs="宋体" w:eastAsia="宋体" w:hint="default"/>
                <w:sz w:val="15"/>
                <w:szCs w:val="15"/>
              </w:rPr>
            </w:pPr>
            <w:r>
              <w:rPr>
                <w:rFonts w:ascii="宋体" w:hAnsi="宋体" w:cs="宋体" w:eastAsia="宋体" w:hint="default"/>
                <w:b/>
                <w:bCs/>
                <w:sz w:val="15"/>
                <w:szCs w:val="15"/>
              </w:rPr>
              <w:t>补助项目</w:t>
            </w:r>
            <w:r>
              <w:rPr>
                <w:rFonts w:ascii="宋体" w:hAnsi="宋体" w:cs="宋体" w:eastAsia="宋体" w:hint="default"/>
                <w:sz w:val="15"/>
                <w:szCs w:val="15"/>
              </w:rPr>
            </w:r>
          </w:p>
        </w:tc>
        <w:tc>
          <w:tcPr>
            <w:tcW w:w="8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left="153" w:right="0"/>
              <w:jc w:val="left"/>
              <w:rPr>
                <w:rFonts w:ascii="宋体" w:hAnsi="宋体" w:cs="宋体" w:eastAsia="宋体" w:hint="default"/>
                <w:sz w:val="15"/>
                <w:szCs w:val="15"/>
              </w:rPr>
            </w:pPr>
            <w:r>
              <w:rPr>
                <w:rFonts w:ascii="宋体" w:hAnsi="宋体" w:cs="宋体" w:eastAsia="宋体" w:hint="default"/>
                <w:b/>
                <w:bCs/>
                <w:spacing w:val="4"/>
                <w:sz w:val="15"/>
                <w:szCs w:val="15"/>
              </w:rPr>
              <w:t>种类</w:t>
            </w:r>
            <w:r>
              <w:rPr>
                <w:rFonts w:ascii="宋体" w:hAnsi="宋体" w:cs="宋体" w:eastAsia="宋体" w:hint="default"/>
                <w:sz w:val="15"/>
                <w:szCs w:val="15"/>
              </w:rPr>
            </w:r>
          </w:p>
        </w:tc>
        <w:tc>
          <w:tcPr>
            <w:tcW w:w="959" w:type="dxa"/>
            <w:tcBorders>
              <w:top w:val="single" w:sz="6" w:space="0" w:color="000000"/>
              <w:left w:val="nil" w:sz="6" w:space="0" w:color="auto"/>
              <w:bottom w:val="single" w:sz="6" w:space="0" w:color="000000"/>
              <w:right w:val="nil" w:sz="6" w:space="0" w:color="auto"/>
            </w:tcBorders>
          </w:tcPr>
          <w:p>
            <w:pPr>
              <w:pStyle w:val="TableParagraph"/>
              <w:spacing w:line="240" w:lineRule="auto" w:before="81"/>
              <w:ind w:left="88" w:right="0"/>
              <w:jc w:val="left"/>
              <w:rPr>
                <w:rFonts w:ascii="Times New Roman" w:hAnsi="Times New Roman" w:cs="Times New Roman" w:eastAsia="Times New Roman" w:hint="default"/>
                <w:sz w:val="15"/>
                <w:szCs w:val="15"/>
              </w:rPr>
            </w:pPr>
            <w:r>
              <w:rPr>
                <w:rFonts w:ascii="Times New Roman"/>
                <w:b/>
                <w:sz w:val="15"/>
              </w:rPr>
              <w:t>2018.12.31</w:t>
            </w:r>
            <w:r>
              <w:rPr>
                <w:rFonts w:ascii="Times New Roman"/>
                <w:sz w:val="15"/>
              </w:rPr>
            </w:r>
          </w:p>
        </w:tc>
        <w:tc>
          <w:tcPr>
            <w:tcW w:w="1027" w:type="dxa"/>
            <w:tcBorders>
              <w:top w:val="single" w:sz="6" w:space="0" w:color="000000"/>
              <w:left w:val="nil" w:sz="6" w:space="0" w:color="auto"/>
              <w:bottom w:val="single" w:sz="6" w:space="0" w:color="000000"/>
              <w:right w:val="nil" w:sz="6" w:space="0" w:color="auto"/>
            </w:tcBorders>
          </w:tcPr>
          <w:p>
            <w:pPr>
              <w:pStyle w:val="TableParagraph"/>
              <w:spacing w:line="381" w:lineRule="auto" w:before="46"/>
              <w:ind w:left="335" w:right="89" w:hanging="303"/>
              <w:jc w:val="left"/>
              <w:rPr>
                <w:rFonts w:ascii="宋体" w:hAnsi="宋体" w:cs="宋体" w:eastAsia="宋体" w:hint="default"/>
                <w:sz w:val="15"/>
                <w:szCs w:val="15"/>
              </w:rPr>
            </w:pPr>
            <w:r>
              <w:rPr>
                <w:rFonts w:ascii="宋体" w:hAnsi="宋体" w:cs="宋体" w:eastAsia="宋体" w:hint="default"/>
                <w:b/>
                <w:bCs/>
                <w:sz w:val="15"/>
                <w:szCs w:val="15"/>
              </w:rPr>
              <w:t>本期新增补助</w:t>
            </w:r>
            <w:r>
              <w:rPr>
                <w:rFonts w:ascii="宋体" w:hAnsi="宋体" w:cs="宋体" w:eastAsia="宋体" w:hint="default"/>
                <w:b/>
                <w:bCs/>
                <w:w w:val="98"/>
                <w:sz w:val="15"/>
                <w:szCs w:val="15"/>
              </w:rPr>
              <w:t> </w:t>
            </w:r>
            <w:r>
              <w:rPr>
                <w:rFonts w:ascii="宋体" w:hAnsi="宋体" w:cs="宋体" w:eastAsia="宋体" w:hint="default"/>
                <w:b/>
                <w:bCs/>
                <w:spacing w:val="4"/>
                <w:sz w:val="15"/>
                <w:szCs w:val="15"/>
              </w:rPr>
              <w:t>金额</w:t>
            </w:r>
            <w:r>
              <w:rPr>
                <w:rFonts w:ascii="宋体" w:hAnsi="宋体" w:cs="宋体" w:eastAsia="宋体" w:hint="default"/>
                <w:sz w:val="15"/>
                <w:szCs w:val="15"/>
              </w:rPr>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381" w:lineRule="auto" w:before="46"/>
              <w:ind w:left="263" w:right="148" w:hanging="226"/>
              <w:jc w:val="left"/>
              <w:rPr>
                <w:rFonts w:ascii="宋体" w:hAnsi="宋体" w:cs="宋体" w:eastAsia="宋体" w:hint="default"/>
                <w:sz w:val="15"/>
                <w:szCs w:val="15"/>
              </w:rPr>
            </w:pPr>
            <w:r>
              <w:rPr>
                <w:rFonts w:ascii="宋体" w:hAnsi="宋体" w:cs="宋体" w:eastAsia="宋体" w:hint="default"/>
                <w:b/>
                <w:bCs/>
                <w:sz w:val="15"/>
                <w:szCs w:val="15"/>
              </w:rPr>
              <w:t>本期结转计入损</w:t>
            </w:r>
            <w:r>
              <w:rPr>
                <w:rFonts w:ascii="宋体" w:hAnsi="宋体" w:cs="宋体" w:eastAsia="宋体" w:hint="default"/>
                <w:b/>
                <w:bCs/>
                <w:w w:val="98"/>
                <w:sz w:val="15"/>
                <w:szCs w:val="15"/>
              </w:rPr>
              <w:t> </w:t>
            </w:r>
            <w:r>
              <w:rPr>
                <w:rFonts w:ascii="宋体" w:hAnsi="宋体" w:cs="宋体" w:eastAsia="宋体" w:hint="default"/>
                <w:b/>
                <w:bCs/>
                <w:sz w:val="15"/>
                <w:szCs w:val="15"/>
              </w:rPr>
              <w:t>益的金额</w:t>
            </w:r>
            <w:r>
              <w:rPr>
                <w:rFonts w:ascii="宋体" w:hAnsi="宋体" w:cs="宋体" w:eastAsia="宋体" w:hint="default"/>
                <w:sz w:val="15"/>
                <w:szCs w:val="15"/>
              </w:rPr>
            </w:r>
          </w:p>
        </w:tc>
        <w:tc>
          <w:tcPr>
            <w:tcW w:w="662" w:type="dxa"/>
            <w:tcBorders>
              <w:top w:val="single" w:sz="6" w:space="0" w:color="000000"/>
              <w:left w:val="nil" w:sz="6" w:space="0" w:color="auto"/>
              <w:bottom w:val="single" w:sz="6" w:space="0" w:color="000000"/>
              <w:right w:val="nil" w:sz="6" w:space="0" w:color="auto"/>
            </w:tcBorders>
          </w:tcPr>
          <w:p>
            <w:pPr>
              <w:pStyle w:val="TableParagraph"/>
              <w:spacing w:line="381" w:lineRule="auto" w:before="46"/>
              <w:ind w:left="95" w:right="257"/>
              <w:jc w:val="left"/>
              <w:rPr>
                <w:rFonts w:ascii="宋体" w:hAnsi="宋体" w:cs="宋体" w:eastAsia="宋体" w:hint="default"/>
                <w:sz w:val="15"/>
                <w:szCs w:val="15"/>
              </w:rPr>
            </w:pPr>
            <w:r>
              <w:rPr>
                <w:rFonts w:ascii="宋体" w:hAnsi="宋体" w:cs="宋体" w:eastAsia="宋体" w:hint="default"/>
                <w:b/>
                <w:bCs/>
                <w:spacing w:val="4"/>
                <w:w w:val="95"/>
                <w:sz w:val="15"/>
                <w:szCs w:val="15"/>
              </w:rPr>
              <w:t>其他</w:t>
            </w:r>
            <w:r>
              <w:rPr>
                <w:rFonts w:ascii="宋体" w:hAnsi="宋体" w:cs="宋体" w:eastAsia="宋体" w:hint="default"/>
                <w:b/>
                <w:bCs/>
                <w:spacing w:val="-61"/>
                <w:w w:val="95"/>
                <w:sz w:val="15"/>
                <w:szCs w:val="15"/>
              </w:rPr>
              <w:t> </w:t>
            </w:r>
            <w:r>
              <w:rPr>
                <w:rFonts w:ascii="宋体" w:hAnsi="宋体" w:cs="宋体" w:eastAsia="宋体" w:hint="default"/>
                <w:b/>
                <w:bCs/>
                <w:spacing w:val="4"/>
                <w:w w:val="95"/>
                <w:sz w:val="15"/>
                <w:szCs w:val="15"/>
              </w:rPr>
              <w:t>变动</w:t>
            </w:r>
            <w:r>
              <w:rPr>
                <w:rFonts w:ascii="宋体" w:hAnsi="宋体" w:cs="宋体" w:eastAsia="宋体" w:hint="default"/>
                <w:sz w:val="15"/>
                <w:szCs w:val="15"/>
              </w:rPr>
            </w:r>
          </w:p>
        </w:tc>
        <w:tc>
          <w:tcPr>
            <w:tcW w:w="949" w:type="dxa"/>
            <w:tcBorders>
              <w:top w:val="single" w:sz="6" w:space="0" w:color="000000"/>
              <w:left w:val="nil" w:sz="6" w:space="0" w:color="auto"/>
              <w:bottom w:val="single" w:sz="6" w:space="0" w:color="000000"/>
              <w:right w:val="nil" w:sz="6" w:space="0" w:color="auto"/>
            </w:tcBorders>
          </w:tcPr>
          <w:p>
            <w:pPr>
              <w:pStyle w:val="TableParagraph"/>
              <w:spacing w:line="240" w:lineRule="auto" w:before="81"/>
              <w:ind w:left="86" w:right="0"/>
              <w:jc w:val="left"/>
              <w:rPr>
                <w:rFonts w:ascii="Times New Roman" w:hAnsi="Times New Roman" w:cs="Times New Roman" w:eastAsia="Times New Roman" w:hint="default"/>
                <w:sz w:val="15"/>
                <w:szCs w:val="15"/>
              </w:rPr>
            </w:pPr>
            <w:r>
              <w:rPr>
                <w:rFonts w:ascii="Times New Roman"/>
                <w:b/>
                <w:sz w:val="15"/>
              </w:rPr>
              <w:t>2019.12.31</w:t>
            </w:r>
            <w:r>
              <w:rPr>
                <w:rFonts w:ascii="Times New Roman"/>
                <w:sz w:val="15"/>
              </w:rPr>
            </w:r>
          </w:p>
        </w:tc>
        <w:tc>
          <w:tcPr>
            <w:tcW w:w="1302" w:type="dxa"/>
            <w:tcBorders>
              <w:top w:val="single" w:sz="6" w:space="0" w:color="000000"/>
              <w:left w:val="nil" w:sz="6" w:space="0" w:color="auto"/>
              <w:bottom w:val="single" w:sz="6" w:space="0" w:color="000000"/>
              <w:right w:val="nil" w:sz="6" w:space="0" w:color="auto"/>
            </w:tcBorders>
          </w:tcPr>
          <w:p>
            <w:pPr>
              <w:pStyle w:val="TableParagraph"/>
              <w:spacing w:line="381" w:lineRule="auto" w:before="46"/>
              <w:ind w:left="256" w:right="64" w:hanging="226"/>
              <w:jc w:val="left"/>
              <w:rPr>
                <w:rFonts w:ascii="宋体" w:hAnsi="宋体" w:cs="宋体" w:eastAsia="宋体" w:hint="default"/>
                <w:sz w:val="15"/>
                <w:szCs w:val="15"/>
              </w:rPr>
            </w:pPr>
            <w:r>
              <w:rPr>
                <w:rFonts w:ascii="宋体" w:hAnsi="宋体" w:cs="宋体" w:eastAsia="宋体" w:hint="default"/>
                <w:b/>
                <w:bCs/>
                <w:sz w:val="15"/>
                <w:szCs w:val="15"/>
              </w:rPr>
              <w:t>本期结转计入损益</w:t>
            </w:r>
            <w:r>
              <w:rPr>
                <w:rFonts w:ascii="宋体" w:hAnsi="宋体" w:cs="宋体" w:eastAsia="宋体" w:hint="default"/>
                <w:b/>
                <w:bCs/>
                <w:w w:val="98"/>
                <w:sz w:val="15"/>
                <w:szCs w:val="15"/>
              </w:rPr>
              <w:t> </w:t>
            </w:r>
            <w:r>
              <w:rPr>
                <w:rFonts w:ascii="宋体" w:hAnsi="宋体" w:cs="宋体" w:eastAsia="宋体" w:hint="default"/>
                <w:b/>
                <w:bCs/>
                <w:sz w:val="15"/>
                <w:szCs w:val="15"/>
              </w:rPr>
              <w:t>的列报项目</w:t>
            </w:r>
            <w:r>
              <w:rPr>
                <w:rFonts w:ascii="宋体" w:hAnsi="宋体" w:cs="宋体" w:eastAsia="宋体" w:hint="default"/>
                <w:sz w:val="15"/>
                <w:szCs w:val="15"/>
              </w:rPr>
            </w:r>
          </w:p>
        </w:tc>
        <w:tc>
          <w:tcPr>
            <w:tcW w:w="1164" w:type="dxa"/>
            <w:tcBorders>
              <w:top w:val="single" w:sz="6" w:space="0" w:color="000000"/>
              <w:left w:val="nil" w:sz="6" w:space="0" w:color="auto"/>
              <w:bottom w:val="single" w:sz="6" w:space="0" w:color="000000"/>
              <w:right w:val="nil" w:sz="6" w:space="0" w:color="auto"/>
            </w:tcBorders>
          </w:tcPr>
          <w:p>
            <w:pPr>
              <w:pStyle w:val="TableParagraph"/>
              <w:spacing w:line="360" w:lineRule="auto" w:before="46"/>
              <w:ind w:left="347" w:right="41" w:hanging="322"/>
              <w:jc w:val="left"/>
              <w:rPr>
                <w:rFonts w:ascii="宋体" w:hAnsi="宋体" w:cs="宋体" w:eastAsia="宋体" w:hint="default"/>
                <w:sz w:val="15"/>
                <w:szCs w:val="15"/>
              </w:rPr>
            </w:pPr>
            <w:r>
              <w:rPr>
                <w:rFonts w:ascii="宋体" w:hAnsi="宋体" w:cs="宋体" w:eastAsia="宋体" w:hint="default"/>
                <w:b/>
                <w:bCs/>
                <w:sz w:val="15"/>
                <w:szCs w:val="15"/>
              </w:rPr>
              <w:t>与资产相关</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与收</w:t>
            </w:r>
            <w:r>
              <w:rPr>
                <w:rFonts w:ascii="宋体" w:hAnsi="宋体" w:cs="宋体" w:eastAsia="宋体" w:hint="default"/>
                <w:b/>
                <w:bCs/>
                <w:w w:val="98"/>
                <w:sz w:val="15"/>
                <w:szCs w:val="15"/>
              </w:rPr>
              <w:t> </w:t>
            </w:r>
            <w:r>
              <w:rPr>
                <w:rFonts w:ascii="宋体" w:hAnsi="宋体" w:cs="宋体" w:eastAsia="宋体" w:hint="default"/>
                <w:b/>
                <w:bCs/>
                <w:sz w:val="15"/>
                <w:szCs w:val="15"/>
              </w:rPr>
              <w:t>益相关</w:t>
            </w:r>
            <w:r>
              <w:rPr>
                <w:rFonts w:ascii="宋体" w:hAnsi="宋体" w:cs="宋体" w:eastAsia="宋体" w:hint="default"/>
                <w:sz w:val="15"/>
                <w:szCs w:val="15"/>
              </w:rPr>
            </w:r>
          </w:p>
        </w:tc>
      </w:tr>
      <w:tr>
        <w:trPr>
          <w:trHeight w:val="350" w:hRule="exact"/>
        </w:trPr>
        <w:tc>
          <w:tcPr>
            <w:tcW w:w="2050"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9" w:right="0"/>
              <w:jc w:val="left"/>
              <w:rPr>
                <w:rFonts w:ascii="宋体" w:hAnsi="宋体" w:cs="宋体" w:eastAsia="宋体" w:hint="default"/>
                <w:sz w:val="15"/>
                <w:szCs w:val="15"/>
              </w:rPr>
            </w:pPr>
            <w:r>
              <w:rPr>
                <w:rFonts w:ascii="宋体" w:hAnsi="宋体" w:cs="宋体" w:eastAsia="宋体" w:hint="default"/>
                <w:sz w:val="15"/>
                <w:szCs w:val="15"/>
              </w:rPr>
              <w:t>博士后工作站补助</w:t>
            </w:r>
          </w:p>
        </w:tc>
        <w:tc>
          <w:tcPr>
            <w:tcW w:w="81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129" w:right="0"/>
              <w:jc w:val="left"/>
              <w:rPr>
                <w:rFonts w:ascii="宋体" w:hAnsi="宋体" w:cs="宋体" w:eastAsia="宋体" w:hint="default"/>
                <w:sz w:val="15"/>
                <w:szCs w:val="15"/>
              </w:rPr>
            </w:pPr>
            <w:r>
              <w:rPr>
                <w:rFonts w:ascii="宋体" w:hAnsi="宋体" w:cs="宋体" w:eastAsia="宋体" w:hint="default"/>
                <w:sz w:val="15"/>
                <w:szCs w:val="15"/>
              </w:rPr>
              <w:t>财政拨款</w:t>
            </w:r>
          </w:p>
        </w:tc>
        <w:tc>
          <w:tcPr>
            <w:tcW w:w="959"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31"/>
              <w:jc w:val="right"/>
              <w:rPr>
                <w:rFonts w:ascii="Times New Roman" w:hAnsi="Times New Roman" w:cs="Times New Roman" w:eastAsia="Times New Roman" w:hint="default"/>
                <w:sz w:val="15"/>
                <w:szCs w:val="15"/>
              </w:rPr>
            </w:pPr>
            <w:r>
              <w:rPr>
                <w:rFonts w:ascii="Times New Roman"/>
                <w:sz w:val="15"/>
              </w:rPr>
              <w:t>300,000.00</w:t>
            </w:r>
          </w:p>
        </w:tc>
        <w:tc>
          <w:tcPr>
            <w:tcW w:w="1027"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41"/>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93"/>
              <w:jc w:val="right"/>
              <w:rPr>
                <w:rFonts w:ascii="Times New Roman" w:hAnsi="Times New Roman" w:cs="Times New Roman" w:eastAsia="Times New Roman" w:hint="default"/>
                <w:sz w:val="15"/>
                <w:szCs w:val="15"/>
              </w:rPr>
            </w:pPr>
            <w:r>
              <w:rPr>
                <w:rFonts w:ascii="Times New Roman"/>
                <w:sz w:val="15"/>
              </w:rPr>
              <w:t>300,000.00</w:t>
            </w:r>
          </w:p>
        </w:tc>
        <w:tc>
          <w:tcPr>
            <w:tcW w:w="662"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84"/>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949"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302"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9"/>
              <w:jc w:val="right"/>
              <w:rPr>
                <w:rFonts w:ascii="宋体" w:hAnsi="宋体" w:cs="宋体" w:eastAsia="宋体" w:hint="default"/>
                <w:sz w:val="15"/>
                <w:szCs w:val="15"/>
              </w:rPr>
            </w:pPr>
            <w:r>
              <w:rPr>
                <w:rFonts w:ascii="宋体" w:hAnsi="宋体" w:cs="宋体" w:eastAsia="宋体" w:hint="default"/>
                <w:w w:val="95"/>
                <w:sz w:val="15"/>
                <w:szCs w:val="15"/>
              </w:rPr>
              <w:t>其他收益</w:t>
            </w:r>
            <w:r>
              <w:rPr>
                <w:rFonts w:ascii="宋体" w:hAnsi="宋体" w:cs="宋体" w:eastAsia="宋体" w:hint="default"/>
                <w:sz w:val="15"/>
                <w:szCs w:val="15"/>
              </w:rPr>
            </w:r>
          </w:p>
        </w:tc>
        <w:tc>
          <w:tcPr>
            <w:tcW w:w="116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658" w:hRule="exact"/>
        </w:trPr>
        <w:tc>
          <w:tcPr>
            <w:tcW w:w="2050" w:type="dxa"/>
            <w:tcBorders>
              <w:top w:val="single" w:sz="6" w:space="0" w:color="000000"/>
              <w:left w:val="nil" w:sz="6" w:space="0" w:color="auto"/>
              <w:bottom w:val="single" w:sz="6" w:space="0" w:color="000000"/>
              <w:right w:val="nil" w:sz="6" w:space="0" w:color="auto"/>
            </w:tcBorders>
          </w:tcPr>
          <w:p>
            <w:pPr>
              <w:pStyle w:val="TableParagraph"/>
              <w:spacing w:line="381" w:lineRule="auto" w:before="45"/>
              <w:ind w:left="9" w:right="133"/>
              <w:jc w:val="left"/>
              <w:rPr>
                <w:rFonts w:ascii="宋体" w:hAnsi="宋体" w:cs="宋体" w:eastAsia="宋体" w:hint="default"/>
                <w:sz w:val="15"/>
                <w:szCs w:val="15"/>
              </w:rPr>
            </w:pPr>
            <w:r>
              <w:rPr>
                <w:rFonts w:ascii="宋体" w:hAnsi="宋体" w:cs="宋体" w:eastAsia="宋体" w:hint="default"/>
                <w:spacing w:val="9"/>
                <w:w w:val="95"/>
                <w:sz w:val="15"/>
                <w:szCs w:val="15"/>
              </w:rPr>
              <w:t>面向电力行业信息化的云计 </w:t>
            </w:r>
            <w:r>
              <w:rPr>
                <w:rFonts w:ascii="宋体" w:hAnsi="宋体" w:cs="宋体" w:eastAsia="宋体" w:hint="default"/>
                <w:sz w:val="15"/>
                <w:szCs w:val="15"/>
              </w:rPr>
              <w:t>算服务平台</w:t>
            </w:r>
          </w:p>
        </w:tc>
        <w:tc>
          <w:tcPr>
            <w:tcW w:w="81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29" w:right="0"/>
              <w:jc w:val="left"/>
              <w:rPr>
                <w:rFonts w:ascii="宋体" w:hAnsi="宋体" w:cs="宋体" w:eastAsia="宋体" w:hint="default"/>
                <w:sz w:val="15"/>
                <w:szCs w:val="15"/>
              </w:rPr>
            </w:pPr>
            <w:r>
              <w:rPr>
                <w:rFonts w:ascii="宋体" w:hAnsi="宋体" w:cs="宋体" w:eastAsia="宋体" w:hint="default"/>
                <w:sz w:val="15"/>
                <w:szCs w:val="15"/>
              </w:rPr>
              <w:t>财政拨款</w:t>
            </w:r>
          </w:p>
        </w:tc>
        <w:tc>
          <w:tcPr>
            <w:tcW w:w="95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15"/>
                <w:szCs w:val="15"/>
              </w:rPr>
            </w:pPr>
            <w:r>
              <w:rPr>
                <w:rFonts w:ascii="Times New Roman"/>
                <w:w w:val="95"/>
                <w:sz w:val="15"/>
              </w:rPr>
              <w:t>1,100,000.00</w:t>
            </w:r>
            <w:r>
              <w:rPr>
                <w:rFonts w:ascii="Times New Roman"/>
                <w:sz w:val="15"/>
              </w:rPr>
            </w:r>
          </w:p>
        </w:tc>
        <w:tc>
          <w:tcPr>
            <w:tcW w:w="1027"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6"/>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93"/>
              <w:jc w:val="right"/>
              <w:rPr>
                <w:rFonts w:ascii="Times New Roman" w:hAnsi="Times New Roman" w:cs="Times New Roman" w:eastAsia="Times New Roman" w:hint="default"/>
                <w:sz w:val="15"/>
                <w:szCs w:val="15"/>
              </w:rPr>
            </w:pPr>
            <w:r>
              <w:rPr>
                <w:rFonts w:ascii="Times New Roman"/>
                <w:w w:val="95"/>
                <w:sz w:val="15"/>
              </w:rPr>
              <w:t>1,100,000.00</w:t>
            </w:r>
            <w:r>
              <w:rPr>
                <w:rFonts w:ascii="Times New Roman"/>
                <w:sz w:val="15"/>
              </w:rPr>
            </w:r>
          </w:p>
        </w:tc>
        <w:tc>
          <w:tcPr>
            <w:tcW w:w="662"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84"/>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9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302"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9"/>
              <w:jc w:val="right"/>
              <w:rPr>
                <w:rFonts w:ascii="宋体" w:hAnsi="宋体" w:cs="宋体" w:eastAsia="宋体" w:hint="default"/>
                <w:sz w:val="15"/>
                <w:szCs w:val="15"/>
              </w:rPr>
            </w:pPr>
            <w:r>
              <w:rPr>
                <w:rFonts w:ascii="宋体" w:hAnsi="宋体" w:cs="宋体" w:eastAsia="宋体" w:hint="default"/>
                <w:w w:val="95"/>
                <w:sz w:val="15"/>
                <w:szCs w:val="15"/>
              </w:rPr>
              <w:t>其他收益</w:t>
            </w:r>
            <w:r>
              <w:rPr>
                <w:rFonts w:ascii="宋体" w:hAnsi="宋体" w:cs="宋体" w:eastAsia="宋体" w:hint="default"/>
                <w:sz w:val="15"/>
                <w:szCs w:val="15"/>
              </w:rPr>
            </w:r>
          </w:p>
        </w:tc>
        <w:tc>
          <w:tcPr>
            <w:tcW w:w="116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970" w:hRule="exact"/>
        </w:trPr>
        <w:tc>
          <w:tcPr>
            <w:tcW w:w="2050" w:type="dxa"/>
            <w:tcBorders>
              <w:top w:val="single" w:sz="6" w:space="0" w:color="000000"/>
              <w:left w:val="nil" w:sz="6" w:space="0" w:color="auto"/>
              <w:bottom w:val="single" w:sz="6" w:space="0" w:color="000000"/>
              <w:right w:val="nil" w:sz="6" w:space="0" w:color="auto"/>
            </w:tcBorders>
          </w:tcPr>
          <w:p>
            <w:pPr>
              <w:pStyle w:val="TableParagraph"/>
              <w:spacing w:line="372" w:lineRule="auto" w:before="46"/>
              <w:ind w:left="9" w:right="127"/>
              <w:jc w:val="both"/>
              <w:rPr>
                <w:rFonts w:ascii="宋体" w:hAnsi="宋体" w:cs="宋体" w:eastAsia="宋体" w:hint="default"/>
                <w:sz w:val="15"/>
                <w:szCs w:val="15"/>
              </w:rPr>
            </w:pPr>
            <w:r>
              <w:rPr>
                <w:rFonts w:ascii="宋体" w:hAnsi="宋体" w:cs="宋体" w:eastAsia="宋体" w:hint="default"/>
                <w:spacing w:val="9"/>
                <w:sz w:val="15"/>
                <w:szCs w:val="15"/>
              </w:rPr>
              <w:t>面向电力行业的云计算服务</w:t>
            </w:r>
            <w:r>
              <w:rPr>
                <w:rFonts w:ascii="宋体" w:hAnsi="宋体" w:cs="宋体" w:eastAsia="宋体" w:hint="default"/>
                <w:spacing w:val="9"/>
                <w:w w:val="99"/>
                <w:sz w:val="15"/>
                <w:szCs w:val="15"/>
              </w:rPr>
              <w:t> </w:t>
            </w:r>
            <w:r>
              <w:rPr>
                <w:rFonts w:ascii="宋体" w:hAnsi="宋体" w:cs="宋体" w:eastAsia="宋体" w:hint="default"/>
                <w:spacing w:val="10"/>
                <w:sz w:val="15"/>
                <w:szCs w:val="15"/>
              </w:rPr>
              <w:t>系统的</w:t>
            </w:r>
            <w:r>
              <w:rPr>
                <w:rFonts w:ascii="Times New Roman" w:hAnsi="Times New Roman" w:cs="Times New Roman" w:eastAsia="Times New Roman" w:hint="default"/>
                <w:spacing w:val="10"/>
                <w:sz w:val="15"/>
                <w:szCs w:val="15"/>
              </w:rPr>
              <w:t>QoS</w:t>
            </w:r>
            <w:r>
              <w:rPr>
                <w:rFonts w:ascii="宋体" w:hAnsi="宋体" w:cs="宋体" w:eastAsia="宋体" w:hint="default"/>
                <w:spacing w:val="10"/>
                <w:sz w:val="15"/>
                <w:szCs w:val="15"/>
              </w:rPr>
              <w:t>解决方案与管理</w:t>
            </w:r>
            <w:r>
              <w:rPr>
                <w:rFonts w:ascii="宋体" w:hAnsi="宋体" w:cs="宋体" w:eastAsia="宋体" w:hint="default"/>
                <w:spacing w:val="-61"/>
                <w:sz w:val="15"/>
                <w:szCs w:val="15"/>
              </w:rPr>
              <w:t> </w:t>
            </w:r>
            <w:r>
              <w:rPr>
                <w:rFonts w:ascii="宋体" w:hAnsi="宋体" w:cs="宋体" w:eastAsia="宋体" w:hint="default"/>
                <w:sz w:val="15"/>
                <w:szCs w:val="15"/>
              </w:rPr>
              <w:t>平台</w:t>
            </w:r>
          </w:p>
        </w:tc>
        <w:tc>
          <w:tcPr>
            <w:tcW w:w="8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left="129" w:right="0"/>
              <w:jc w:val="left"/>
              <w:rPr>
                <w:rFonts w:ascii="宋体" w:hAnsi="宋体" w:cs="宋体" w:eastAsia="宋体" w:hint="default"/>
                <w:sz w:val="15"/>
                <w:szCs w:val="15"/>
              </w:rPr>
            </w:pPr>
            <w:r>
              <w:rPr>
                <w:rFonts w:ascii="宋体" w:hAnsi="宋体" w:cs="宋体" w:eastAsia="宋体" w:hint="default"/>
                <w:sz w:val="15"/>
                <w:szCs w:val="15"/>
              </w:rPr>
              <w:t>财政拨款</w:t>
            </w:r>
          </w:p>
        </w:tc>
        <w:tc>
          <w:tcPr>
            <w:tcW w:w="95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15"/>
                <w:szCs w:val="15"/>
              </w:rPr>
            </w:pPr>
            <w:r>
              <w:rPr>
                <w:rFonts w:ascii="Times New Roman"/>
                <w:sz w:val="15"/>
              </w:rPr>
              <w:t>800,000.00</w:t>
            </w:r>
          </w:p>
        </w:tc>
        <w:tc>
          <w:tcPr>
            <w:tcW w:w="1027"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6"/>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662"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84"/>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9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5"/>
                <w:szCs w:val="15"/>
              </w:rPr>
            </w:pPr>
            <w:r>
              <w:rPr>
                <w:rFonts w:ascii="Times New Roman"/>
                <w:sz w:val="15"/>
              </w:rPr>
              <w:t>800,000.00</w:t>
            </w:r>
          </w:p>
        </w:tc>
        <w:tc>
          <w:tcPr>
            <w:tcW w:w="1302"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bl>
    <w:p>
      <w:pPr>
        <w:spacing w:after="0" w:line="240" w:lineRule="auto"/>
        <w:jc w:val="right"/>
        <w:rPr>
          <w:rFonts w:ascii="宋体" w:hAnsi="宋体" w:cs="宋体" w:eastAsia="宋体" w:hint="default"/>
          <w:sz w:val="15"/>
          <w:szCs w:val="15"/>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062"/>
        <w:gridCol w:w="841"/>
        <w:gridCol w:w="1019"/>
        <w:gridCol w:w="1104"/>
        <w:gridCol w:w="1275"/>
        <w:gridCol w:w="491"/>
        <w:gridCol w:w="1249"/>
        <w:gridCol w:w="1170"/>
        <w:gridCol w:w="974"/>
      </w:tblGrid>
      <w:tr>
        <w:trPr>
          <w:trHeight w:val="658" w:hRule="exact"/>
        </w:trPr>
        <w:tc>
          <w:tcPr>
            <w:tcW w:w="2062" w:type="dxa"/>
            <w:tcBorders>
              <w:top w:val="single" w:sz="6" w:space="0" w:color="000000"/>
              <w:left w:val="nil" w:sz="6" w:space="0" w:color="auto"/>
              <w:bottom w:val="single" w:sz="6" w:space="0" w:color="000000"/>
              <w:right w:val="nil" w:sz="6" w:space="0" w:color="auto"/>
            </w:tcBorders>
          </w:tcPr>
          <w:p>
            <w:pPr>
              <w:pStyle w:val="TableParagraph"/>
              <w:spacing w:line="381" w:lineRule="auto" w:before="45"/>
              <w:ind w:left="23" w:right="130"/>
              <w:jc w:val="left"/>
              <w:rPr>
                <w:rFonts w:ascii="宋体" w:hAnsi="宋体" w:cs="宋体" w:eastAsia="宋体" w:hint="default"/>
                <w:sz w:val="15"/>
                <w:szCs w:val="15"/>
              </w:rPr>
            </w:pPr>
            <w:r>
              <w:rPr>
                <w:rFonts w:ascii="宋体" w:hAnsi="宋体" w:cs="宋体" w:eastAsia="宋体" w:hint="default"/>
                <w:spacing w:val="9"/>
                <w:w w:val="95"/>
                <w:sz w:val="15"/>
                <w:szCs w:val="15"/>
              </w:rPr>
              <w:t>电力基建工程财务风险内控 </w:t>
            </w:r>
            <w:r>
              <w:rPr>
                <w:rFonts w:ascii="宋体" w:hAnsi="宋体" w:cs="宋体" w:eastAsia="宋体" w:hint="default"/>
                <w:sz w:val="15"/>
                <w:szCs w:val="15"/>
              </w:rPr>
              <w:t>信息化项目</w:t>
            </w:r>
          </w:p>
        </w:tc>
        <w:tc>
          <w:tcPr>
            <w:tcW w:w="84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9" w:right="0"/>
              <w:jc w:val="center"/>
              <w:rPr>
                <w:rFonts w:ascii="宋体" w:hAnsi="宋体" w:cs="宋体" w:eastAsia="宋体" w:hint="default"/>
                <w:sz w:val="15"/>
                <w:szCs w:val="15"/>
              </w:rPr>
            </w:pPr>
            <w:r>
              <w:rPr>
                <w:rFonts w:ascii="宋体" w:hAnsi="宋体" w:cs="宋体" w:eastAsia="宋体" w:hint="default"/>
                <w:sz w:val="15"/>
                <w:szCs w:val="15"/>
              </w:rPr>
              <w:t>财政拨款</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5"/>
                <w:szCs w:val="15"/>
              </w:rPr>
            </w:pPr>
            <w:r>
              <w:rPr>
                <w:rFonts w:ascii="Times New Roman"/>
                <w:sz w:val="15"/>
              </w:rPr>
              <w:t>300,000.00</w:t>
            </w: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9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75"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85"/>
              <w:jc w:val="right"/>
              <w:rPr>
                <w:rFonts w:ascii="Times New Roman" w:hAnsi="Times New Roman" w:cs="Times New Roman" w:eastAsia="Times New Roman" w:hint="default"/>
                <w:sz w:val="15"/>
                <w:szCs w:val="15"/>
              </w:rPr>
            </w:pPr>
            <w:r>
              <w:rPr>
                <w:rFonts w:ascii="Times New Roman"/>
                <w:sz w:val="15"/>
              </w:rPr>
              <w:t>300,000.00</w:t>
            </w:r>
          </w:p>
        </w:tc>
        <w:tc>
          <w:tcPr>
            <w:tcW w:w="491"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51"/>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19"/>
              <w:jc w:val="right"/>
              <w:rPr>
                <w:rFonts w:ascii="宋体" w:hAnsi="宋体" w:cs="宋体" w:eastAsia="宋体" w:hint="default"/>
                <w:sz w:val="15"/>
                <w:szCs w:val="15"/>
              </w:rPr>
            </w:pPr>
            <w:r>
              <w:rPr>
                <w:rFonts w:ascii="宋体" w:hAnsi="宋体" w:cs="宋体" w:eastAsia="宋体" w:hint="default"/>
                <w:w w:val="95"/>
                <w:sz w:val="15"/>
                <w:szCs w:val="15"/>
              </w:rPr>
              <w:t>其他收益</w:t>
            </w:r>
            <w:r>
              <w:rPr>
                <w:rFonts w:ascii="宋体" w:hAnsi="宋体" w:cs="宋体" w:eastAsia="宋体" w:hint="default"/>
                <w:sz w:val="15"/>
                <w:szCs w:val="15"/>
              </w:rPr>
            </w:r>
          </w:p>
        </w:tc>
        <w:tc>
          <w:tcPr>
            <w:tcW w:w="97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663" w:hRule="exact"/>
        </w:trPr>
        <w:tc>
          <w:tcPr>
            <w:tcW w:w="2062" w:type="dxa"/>
            <w:tcBorders>
              <w:top w:val="single" w:sz="6" w:space="0" w:color="000000"/>
              <w:left w:val="nil" w:sz="6" w:space="0" w:color="auto"/>
              <w:bottom w:val="single" w:sz="6" w:space="0" w:color="000000"/>
              <w:right w:val="nil" w:sz="6" w:space="0" w:color="auto"/>
            </w:tcBorders>
          </w:tcPr>
          <w:p>
            <w:pPr>
              <w:pStyle w:val="TableParagraph"/>
              <w:spacing w:line="381" w:lineRule="auto" w:before="45"/>
              <w:ind w:left="23" w:right="130"/>
              <w:jc w:val="left"/>
              <w:rPr>
                <w:rFonts w:ascii="宋体" w:hAnsi="宋体" w:cs="宋体" w:eastAsia="宋体" w:hint="default"/>
                <w:sz w:val="15"/>
                <w:szCs w:val="15"/>
              </w:rPr>
            </w:pPr>
            <w:r>
              <w:rPr>
                <w:rFonts w:ascii="宋体" w:hAnsi="宋体" w:cs="宋体" w:eastAsia="宋体" w:hint="default"/>
                <w:spacing w:val="9"/>
                <w:w w:val="95"/>
                <w:sz w:val="15"/>
                <w:szCs w:val="15"/>
              </w:rPr>
              <w:t>面向集团企业的监督管理系 </w:t>
            </w:r>
            <w:r>
              <w:rPr>
                <w:rFonts w:ascii="宋体" w:hAnsi="宋体" w:cs="宋体" w:eastAsia="宋体" w:hint="default"/>
                <w:sz w:val="15"/>
                <w:szCs w:val="15"/>
              </w:rPr>
              <w:t>统项目研发及产业化项目</w:t>
            </w:r>
          </w:p>
        </w:tc>
        <w:tc>
          <w:tcPr>
            <w:tcW w:w="84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9" w:right="0"/>
              <w:jc w:val="center"/>
              <w:rPr>
                <w:rFonts w:ascii="宋体" w:hAnsi="宋体" w:cs="宋体" w:eastAsia="宋体" w:hint="default"/>
                <w:sz w:val="15"/>
                <w:szCs w:val="15"/>
              </w:rPr>
            </w:pPr>
            <w:r>
              <w:rPr>
                <w:rFonts w:ascii="宋体" w:hAnsi="宋体" w:cs="宋体" w:eastAsia="宋体" w:hint="default"/>
                <w:sz w:val="15"/>
                <w:szCs w:val="15"/>
              </w:rPr>
              <w:t>财政拨款</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5"/>
                <w:szCs w:val="15"/>
              </w:rPr>
            </w:pPr>
            <w:r>
              <w:rPr>
                <w:rFonts w:ascii="Times New Roman"/>
                <w:w w:val="95"/>
                <w:sz w:val="15"/>
              </w:rPr>
              <w:t>1,000,000.00</w:t>
            </w:r>
            <w:r>
              <w:rPr>
                <w:rFonts w:ascii="Times New Roman"/>
                <w:sz w:val="15"/>
              </w:rPr>
            </w: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9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75"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86"/>
              <w:jc w:val="right"/>
              <w:rPr>
                <w:rFonts w:ascii="Times New Roman" w:hAnsi="Times New Roman" w:cs="Times New Roman" w:eastAsia="Times New Roman" w:hint="default"/>
                <w:sz w:val="15"/>
                <w:szCs w:val="15"/>
              </w:rPr>
            </w:pPr>
            <w:r>
              <w:rPr>
                <w:rFonts w:ascii="Times New Roman"/>
                <w:w w:val="95"/>
                <w:sz w:val="15"/>
              </w:rPr>
              <w:t>1,000,000.00</w:t>
            </w:r>
            <w:r>
              <w:rPr>
                <w:rFonts w:ascii="Times New Roman"/>
                <w:sz w:val="15"/>
              </w:rPr>
            </w:r>
          </w:p>
        </w:tc>
        <w:tc>
          <w:tcPr>
            <w:tcW w:w="491"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51"/>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19"/>
              <w:jc w:val="right"/>
              <w:rPr>
                <w:rFonts w:ascii="宋体" w:hAnsi="宋体" w:cs="宋体" w:eastAsia="宋体" w:hint="default"/>
                <w:sz w:val="15"/>
                <w:szCs w:val="15"/>
              </w:rPr>
            </w:pPr>
            <w:r>
              <w:rPr>
                <w:rFonts w:ascii="宋体" w:hAnsi="宋体" w:cs="宋体" w:eastAsia="宋体" w:hint="default"/>
                <w:w w:val="95"/>
                <w:sz w:val="15"/>
                <w:szCs w:val="15"/>
              </w:rPr>
              <w:t>其他收益</w:t>
            </w:r>
            <w:r>
              <w:rPr>
                <w:rFonts w:ascii="宋体" w:hAnsi="宋体" w:cs="宋体" w:eastAsia="宋体" w:hint="default"/>
                <w:sz w:val="15"/>
                <w:szCs w:val="15"/>
              </w:rPr>
            </w:r>
          </w:p>
        </w:tc>
        <w:tc>
          <w:tcPr>
            <w:tcW w:w="97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970" w:hRule="exact"/>
        </w:trPr>
        <w:tc>
          <w:tcPr>
            <w:tcW w:w="2062" w:type="dxa"/>
            <w:tcBorders>
              <w:top w:val="single" w:sz="6" w:space="0" w:color="000000"/>
              <w:left w:val="nil" w:sz="6" w:space="0" w:color="auto"/>
              <w:bottom w:val="single" w:sz="6" w:space="0" w:color="000000"/>
              <w:right w:val="nil" w:sz="6" w:space="0" w:color="auto"/>
            </w:tcBorders>
          </w:tcPr>
          <w:p>
            <w:pPr>
              <w:pStyle w:val="TableParagraph"/>
              <w:spacing w:line="372" w:lineRule="auto" w:before="45"/>
              <w:ind w:left="23" w:right="130"/>
              <w:jc w:val="both"/>
              <w:rPr>
                <w:rFonts w:ascii="宋体" w:hAnsi="宋体" w:cs="宋体" w:eastAsia="宋体" w:hint="default"/>
                <w:sz w:val="15"/>
                <w:szCs w:val="15"/>
              </w:rPr>
            </w:pPr>
            <w:r>
              <w:rPr>
                <w:rFonts w:ascii="Times New Roman" w:hAnsi="Times New Roman" w:cs="Times New Roman" w:eastAsia="Times New Roman" w:hint="default"/>
                <w:spacing w:val="7"/>
                <w:sz w:val="15"/>
                <w:szCs w:val="15"/>
              </w:rPr>
              <w:t>2017</w:t>
            </w:r>
            <w:r>
              <w:rPr>
                <w:rFonts w:ascii="宋体" w:hAnsi="宋体" w:cs="宋体" w:eastAsia="宋体" w:hint="default"/>
                <w:spacing w:val="7"/>
                <w:sz w:val="15"/>
                <w:szCs w:val="15"/>
              </w:rPr>
              <w:t>期省级工业和信息化专</w:t>
            </w:r>
            <w:r>
              <w:rPr>
                <w:rFonts w:ascii="宋体" w:hAnsi="宋体" w:cs="宋体" w:eastAsia="宋体" w:hint="default"/>
                <w:w w:val="99"/>
                <w:sz w:val="15"/>
                <w:szCs w:val="15"/>
              </w:rPr>
              <w:t> </w:t>
            </w:r>
            <w:r>
              <w:rPr>
                <w:rFonts w:ascii="宋体" w:hAnsi="宋体" w:cs="宋体" w:eastAsia="宋体" w:hint="default"/>
                <w:spacing w:val="9"/>
                <w:w w:val="95"/>
                <w:sz w:val="15"/>
                <w:szCs w:val="15"/>
              </w:rPr>
              <w:t>项资金支持大数据应用示范 </w:t>
            </w:r>
            <w:r>
              <w:rPr>
                <w:rFonts w:ascii="宋体" w:hAnsi="宋体" w:cs="宋体" w:eastAsia="宋体" w:hint="default"/>
                <w:spacing w:val="9"/>
                <w:w w:val="95"/>
                <w:sz w:val="15"/>
                <w:szCs w:val="15"/>
              </w:rPr>
            </w:r>
            <w:r>
              <w:rPr>
                <w:rFonts w:ascii="宋体" w:hAnsi="宋体" w:cs="宋体" w:eastAsia="宋体" w:hint="default"/>
                <w:sz w:val="15"/>
                <w:szCs w:val="15"/>
              </w:rPr>
              <w:t>项目</w:t>
            </w:r>
          </w:p>
        </w:tc>
        <w:tc>
          <w:tcPr>
            <w:tcW w:w="84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9" w:right="0"/>
              <w:jc w:val="center"/>
              <w:rPr>
                <w:rFonts w:ascii="宋体" w:hAnsi="宋体" w:cs="宋体" w:eastAsia="宋体" w:hint="default"/>
                <w:sz w:val="15"/>
                <w:szCs w:val="15"/>
              </w:rPr>
            </w:pPr>
            <w:r>
              <w:rPr>
                <w:rFonts w:ascii="宋体" w:hAnsi="宋体" w:cs="宋体" w:eastAsia="宋体" w:hint="default"/>
                <w:sz w:val="15"/>
                <w:szCs w:val="15"/>
              </w:rPr>
              <w:t>财政拨款</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5"/>
                <w:szCs w:val="15"/>
              </w:rPr>
            </w:pPr>
            <w:r>
              <w:rPr>
                <w:rFonts w:ascii="Times New Roman"/>
                <w:w w:val="95"/>
                <w:sz w:val="15"/>
              </w:rPr>
              <w:t>1,200,000.00</w:t>
            </w:r>
            <w:r>
              <w:rPr>
                <w:rFonts w:ascii="Times New Roman"/>
                <w:sz w:val="15"/>
              </w:rPr>
            </w: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9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75"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86"/>
              <w:jc w:val="right"/>
              <w:rPr>
                <w:rFonts w:ascii="Times New Roman" w:hAnsi="Times New Roman" w:cs="Times New Roman" w:eastAsia="Times New Roman" w:hint="default"/>
                <w:sz w:val="15"/>
                <w:szCs w:val="15"/>
              </w:rPr>
            </w:pPr>
            <w:r>
              <w:rPr>
                <w:rFonts w:ascii="Times New Roman"/>
                <w:w w:val="95"/>
                <w:sz w:val="15"/>
              </w:rPr>
              <w:t>1,200,000.00</w:t>
            </w:r>
            <w:r>
              <w:rPr>
                <w:rFonts w:ascii="Times New Roman"/>
                <w:sz w:val="15"/>
              </w:rPr>
            </w:r>
          </w:p>
        </w:tc>
        <w:tc>
          <w:tcPr>
            <w:tcW w:w="491"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51"/>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19"/>
              <w:jc w:val="right"/>
              <w:rPr>
                <w:rFonts w:ascii="宋体" w:hAnsi="宋体" w:cs="宋体" w:eastAsia="宋体" w:hint="default"/>
                <w:sz w:val="15"/>
                <w:szCs w:val="15"/>
              </w:rPr>
            </w:pPr>
            <w:r>
              <w:rPr>
                <w:rFonts w:ascii="宋体" w:hAnsi="宋体" w:cs="宋体" w:eastAsia="宋体" w:hint="default"/>
                <w:w w:val="95"/>
                <w:sz w:val="15"/>
                <w:szCs w:val="15"/>
              </w:rPr>
              <w:t>其他收益</w:t>
            </w:r>
            <w:r>
              <w:rPr>
                <w:rFonts w:ascii="宋体" w:hAnsi="宋体" w:cs="宋体" w:eastAsia="宋体" w:hint="default"/>
                <w:sz w:val="15"/>
                <w:szCs w:val="15"/>
              </w:rPr>
            </w:r>
          </w:p>
        </w:tc>
        <w:tc>
          <w:tcPr>
            <w:tcW w:w="97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658" w:hRule="exact"/>
        </w:trPr>
        <w:tc>
          <w:tcPr>
            <w:tcW w:w="2062" w:type="dxa"/>
            <w:tcBorders>
              <w:top w:val="single" w:sz="6" w:space="0" w:color="000000"/>
              <w:left w:val="nil" w:sz="6" w:space="0" w:color="auto"/>
              <w:bottom w:val="single" w:sz="6" w:space="0" w:color="000000"/>
              <w:right w:val="nil" w:sz="6" w:space="0" w:color="auto"/>
            </w:tcBorders>
          </w:tcPr>
          <w:p>
            <w:pPr>
              <w:pStyle w:val="TableParagraph"/>
              <w:spacing w:line="381" w:lineRule="auto" w:before="45"/>
              <w:ind w:left="23" w:right="130"/>
              <w:jc w:val="left"/>
              <w:rPr>
                <w:rFonts w:ascii="宋体" w:hAnsi="宋体" w:cs="宋体" w:eastAsia="宋体" w:hint="default"/>
                <w:sz w:val="15"/>
                <w:szCs w:val="15"/>
              </w:rPr>
            </w:pPr>
            <w:r>
              <w:rPr>
                <w:rFonts w:ascii="宋体" w:hAnsi="宋体" w:cs="宋体" w:eastAsia="宋体" w:hint="default"/>
                <w:spacing w:val="9"/>
                <w:w w:val="95"/>
                <w:sz w:val="15"/>
                <w:szCs w:val="15"/>
              </w:rPr>
              <w:t>基于区块链技术的可信云服 </w:t>
            </w:r>
            <w:r>
              <w:rPr>
                <w:rFonts w:ascii="宋体" w:hAnsi="宋体" w:cs="宋体" w:eastAsia="宋体" w:hint="default"/>
                <w:sz w:val="15"/>
                <w:szCs w:val="15"/>
              </w:rPr>
              <w:t>务基础架构研究与应用</w:t>
            </w:r>
          </w:p>
        </w:tc>
        <w:tc>
          <w:tcPr>
            <w:tcW w:w="84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9" w:right="0"/>
              <w:jc w:val="center"/>
              <w:rPr>
                <w:rFonts w:ascii="宋体" w:hAnsi="宋体" w:cs="宋体" w:eastAsia="宋体" w:hint="default"/>
                <w:sz w:val="15"/>
                <w:szCs w:val="15"/>
              </w:rPr>
            </w:pPr>
            <w:r>
              <w:rPr>
                <w:rFonts w:ascii="宋体" w:hAnsi="宋体" w:cs="宋体" w:eastAsia="宋体" w:hint="default"/>
                <w:sz w:val="15"/>
                <w:szCs w:val="15"/>
              </w:rPr>
              <w:t>财政拨款</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96"/>
              <w:jc w:val="right"/>
              <w:rPr>
                <w:rFonts w:ascii="Times New Roman" w:hAnsi="Times New Roman" w:cs="Times New Roman" w:eastAsia="Times New Roman" w:hint="default"/>
                <w:sz w:val="15"/>
                <w:szCs w:val="15"/>
              </w:rPr>
            </w:pPr>
            <w:r>
              <w:rPr>
                <w:rFonts w:ascii="Times New Roman"/>
                <w:w w:val="95"/>
                <w:sz w:val="15"/>
              </w:rPr>
              <w:t>2,000,000.00</w:t>
            </w:r>
            <w:r>
              <w:rPr>
                <w:rFonts w:ascii="Times New Roman"/>
                <w:sz w:val="15"/>
              </w:rPr>
            </w:r>
          </w:p>
        </w:tc>
        <w:tc>
          <w:tcPr>
            <w:tcW w:w="1275"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85"/>
              <w:jc w:val="right"/>
              <w:rPr>
                <w:rFonts w:ascii="Times New Roman" w:hAnsi="Times New Roman" w:cs="Times New Roman" w:eastAsia="Times New Roman" w:hint="default"/>
                <w:sz w:val="15"/>
                <w:szCs w:val="15"/>
              </w:rPr>
            </w:pPr>
            <w:r>
              <w:rPr>
                <w:rFonts w:ascii="Times New Roman"/>
                <w:sz w:val="15"/>
              </w:rPr>
              <w:t>0.00</w:t>
            </w:r>
          </w:p>
        </w:tc>
        <w:tc>
          <w:tcPr>
            <w:tcW w:w="491"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5"/>
                <w:szCs w:val="15"/>
              </w:rPr>
            </w:pPr>
            <w:r>
              <w:rPr>
                <w:rFonts w:ascii="Times New Roman"/>
                <w:spacing w:val="-2"/>
                <w:w w:val="95"/>
                <w:sz w:val="15"/>
              </w:rPr>
              <w:t>--</w:t>
            </w:r>
            <w:r>
              <w:rPr>
                <w:rFonts w:ascii="Times New Roman"/>
                <w:sz w:val="15"/>
              </w:rPr>
            </w:r>
          </w:p>
        </w:tc>
        <w:tc>
          <w:tcPr>
            <w:tcW w:w="1249"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350"/>
              <w:jc w:val="right"/>
              <w:rPr>
                <w:rFonts w:ascii="Times New Roman" w:hAnsi="Times New Roman" w:cs="Times New Roman" w:eastAsia="Times New Roman" w:hint="default"/>
                <w:sz w:val="15"/>
                <w:szCs w:val="15"/>
              </w:rPr>
            </w:pPr>
            <w:r>
              <w:rPr>
                <w:rFonts w:ascii="Times New Roman"/>
                <w:w w:val="95"/>
                <w:sz w:val="15"/>
              </w:rPr>
              <w:t>2,000,000.00</w:t>
            </w:r>
            <w:r>
              <w:rPr>
                <w:rFonts w:ascii="Times New Roman"/>
                <w:sz w:val="15"/>
              </w:rPr>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21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2"/>
              <w:jc w:val="right"/>
              <w:rPr>
                <w:rFonts w:ascii="宋体" w:hAnsi="宋体" w:cs="宋体" w:eastAsia="宋体" w:hint="default"/>
                <w:sz w:val="15"/>
                <w:szCs w:val="15"/>
              </w:rPr>
            </w:pPr>
            <w:r>
              <w:rPr>
                <w:rFonts w:ascii="宋体" w:hAnsi="宋体" w:cs="宋体" w:eastAsia="宋体" w:hint="default"/>
                <w:w w:val="95"/>
                <w:sz w:val="15"/>
                <w:szCs w:val="15"/>
              </w:rPr>
              <w:t>与收益相关</w:t>
            </w:r>
            <w:r>
              <w:rPr>
                <w:rFonts w:ascii="宋体" w:hAnsi="宋体" w:cs="宋体" w:eastAsia="宋体" w:hint="default"/>
                <w:sz w:val="15"/>
                <w:szCs w:val="15"/>
              </w:rPr>
            </w:r>
          </w:p>
        </w:tc>
      </w:tr>
      <w:tr>
        <w:trPr>
          <w:trHeight w:val="350" w:hRule="exact"/>
        </w:trPr>
        <w:tc>
          <w:tcPr>
            <w:tcW w:w="2062"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23" w:right="0"/>
              <w:jc w:val="left"/>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50"/>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841" w:type="dxa"/>
            <w:tcBorders>
              <w:top w:val="single" w:sz="6" w:space="0" w:color="000000"/>
              <w:left w:val="nil" w:sz="6" w:space="0" w:color="auto"/>
              <w:bottom w:val="single" w:sz="6" w:space="0" w:color="000000"/>
              <w:right w:val="nil" w:sz="6" w:space="0" w:color="auto"/>
            </w:tcBorders>
          </w:tcPr>
          <w:p>
            <w:pP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115"/>
              <w:jc w:val="right"/>
              <w:rPr>
                <w:rFonts w:ascii="Times New Roman" w:hAnsi="Times New Roman" w:cs="Times New Roman" w:eastAsia="Times New Roman" w:hint="default"/>
                <w:sz w:val="15"/>
                <w:szCs w:val="15"/>
              </w:rPr>
            </w:pPr>
            <w:r>
              <w:rPr>
                <w:rFonts w:ascii="Times New Roman"/>
                <w:b/>
                <w:w w:val="95"/>
                <w:sz w:val="15"/>
              </w:rPr>
              <w:t>4,700,000.00</w:t>
            </w:r>
            <w:r>
              <w:rPr>
                <w:rFonts w:ascii="Times New Roman"/>
                <w:sz w:val="15"/>
              </w:rPr>
            </w: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196"/>
              <w:jc w:val="right"/>
              <w:rPr>
                <w:rFonts w:ascii="Times New Roman" w:hAnsi="Times New Roman" w:cs="Times New Roman" w:eastAsia="Times New Roman" w:hint="default"/>
                <w:sz w:val="15"/>
                <w:szCs w:val="15"/>
              </w:rPr>
            </w:pPr>
            <w:r>
              <w:rPr>
                <w:rFonts w:ascii="Times New Roman"/>
                <w:b/>
                <w:w w:val="95"/>
                <w:sz w:val="15"/>
              </w:rPr>
              <w:t>2,000,000.00</w:t>
            </w:r>
            <w:r>
              <w:rPr>
                <w:rFonts w:ascii="Times New Roman"/>
                <w:sz w:val="15"/>
              </w:rPr>
            </w:r>
          </w:p>
        </w:tc>
        <w:tc>
          <w:tcPr>
            <w:tcW w:w="1275"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286"/>
              <w:jc w:val="right"/>
              <w:rPr>
                <w:rFonts w:ascii="Times New Roman" w:hAnsi="Times New Roman" w:cs="Times New Roman" w:eastAsia="Times New Roman" w:hint="default"/>
                <w:sz w:val="15"/>
                <w:szCs w:val="15"/>
              </w:rPr>
            </w:pPr>
            <w:r>
              <w:rPr>
                <w:rFonts w:ascii="Times New Roman"/>
                <w:b/>
                <w:w w:val="95"/>
                <w:sz w:val="15"/>
              </w:rPr>
              <w:t>3,900,000.00</w:t>
            </w:r>
            <w:r>
              <w:rPr>
                <w:rFonts w:ascii="Times New Roman"/>
                <w:sz w:val="15"/>
              </w:rPr>
            </w:r>
          </w:p>
        </w:tc>
        <w:tc>
          <w:tcPr>
            <w:tcW w:w="491"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5"/>
                <w:szCs w:val="15"/>
              </w:rPr>
            </w:pPr>
            <w:r>
              <w:rPr>
                <w:rFonts w:ascii="Times New Roman"/>
                <w:b/>
                <w:spacing w:val="-2"/>
                <w:w w:val="95"/>
                <w:sz w:val="15"/>
              </w:rPr>
              <w:t>--</w:t>
            </w:r>
            <w:r>
              <w:rPr>
                <w:rFonts w:ascii="Times New Roman"/>
                <w:sz w:val="15"/>
              </w:rPr>
            </w:r>
          </w:p>
        </w:tc>
        <w:tc>
          <w:tcPr>
            <w:tcW w:w="1249" w:type="dxa"/>
            <w:tcBorders>
              <w:top w:val="single" w:sz="6" w:space="0" w:color="000000"/>
              <w:left w:val="nil" w:sz="6" w:space="0" w:color="auto"/>
              <w:bottom w:val="single" w:sz="6" w:space="0" w:color="000000"/>
              <w:right w:val="nil" w:sz="6" w:space="0" w:color="auto"/>
            </w:tcBorders>
          </w:tcPr>
          <w:p>
            <w:pPr>
              <w:pStyle w:val="TableParagraph"/>
              <w:spacing w:line="240" w:lineRule="auto" w:before="80"/>
              <w:ind w:right="350"/>
              <w:jc w:val="right"/>
              <w:rPr>
                <w:rFonts w:ascii="Times New Roman" w:hAnsi="Times New Roman" w:cs="Times New Roman" w:eastAsia="Times New Roman" w:hint="default"/>
                <w:sz w:val="15"/>
                <w:szCs w:val="15"/>
              </w:rPr>
            </w:pPr>
            <w:r>
              <w:rPr>
                <w:rFonts w:ascii="Times New Roman"/>
                <w:b/>
                <w:w w:val="95"/>
                <w:sz w:val="15"/>
              </w:rPr>
              <w:t>2,800,000.00</w:t>
            </w:r>
            <w:r>
              <w:rPr>
                <w:rFonts w:ascii="Times New Roman"/>
                <w:sz w:val="15"/>
              </w:rPr>
            </w:r>
          </w:p>
        </w:tc>
        <w:tc>
          <w:tcPr>
            <w:tcW w:w="1170" w:type="dxa"/>
            <w:tcBorders>
              <w:top w:val="single" w:sz="6" w:space="0" w:color="000000"/>
              <w:left w:val="nil" w:sz="6" w:space="0" w:color="auto"/>
              <w:bottom w:val="single" w:sz="6" w:space="0" w:color="000000"/>
              <w:right w:val="nil" w:sz="6" w:space="0" w:color="auto"/>
            </w:tcBorders>
          </w:tcPr>
          <w:p>
            <w:pPr/>
          </w:p>
        </w:tc>
        <w:tc>
          <w:tcPr>
            <w:tcW w:w="974" w:type="dxa"/>
            <w:tcBorders>
              <w:top w:val="single" w:sz="6" w:space="0" w:color="000000"/>
              <w:left w:val="nil" w:sz="6" w:space="0" w:color="auto"/>
              <w:bottom w:val="single" w:sz="6" w:space="0" w:color="000000"/>
              <w:right w:val="nil" w:sz="6" w:space="0" w:color="auto"/>
            </w:tcBorders>
          </w:tcPr>
          <w:p>
            <w:pPr/>
          </w:p>
        </w:tc>
      </w:tr>
    </w:tbl>
    <w:p>
      <w:pPr>
        <w:pStyle w:val="BodyText"/>
        <w:spacing w:line="240" w:lineRule="auto" w:before="79"/>
        <w:ind w:left="575" w:right="0"/>
        <w:jc w:val="left"/>
      </w:pPr>
      <w:r>
        <w:rPr/>
        <w:t>（</w:t>
      </w:r>
      <w:r>
        <w:rPr>
          <w:rFonts w:ascii="Times New Roman" w:hAnsi="Times New Roman" w:cs="Times New Roman" w:eastAsia="Times New Roman" w:hint="default"/>
        </w:rPr>
        <w:t>2</w:t>
      </w:r>
      <w:r>
        <w:rPr/>
        <w:t>）采用总额法计入当期损益的政府补助情况</w:t>
      </w:r>
    </w:p>
    <w:p>
      <w:pPr>
        <w:spacing w:line="240" w:lineRule="auto" w:before="1"/>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2290"/>
        <w:gridCol w:w="1150"/>
        <w:gridCol w:w="1678"/>
        <w:gridCol w:w="1695"/>
        <w:gridCol w:w="1362"/>
        <w:gridCol w:w="1592"/>
      </w:tblGrid>
      <w:tr>
        <w:trPr>
          <w:trHeight w:val="658"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1"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73" w:lineRule="auto"/>
              <w:ind w:left="458" w:right="268" w:hanging="317"/>
              <w:jc w:val="left"/>
              <w:rPr>
                <w:rFonts w:ascii="宋体" w:hAnsi="宋体" w:cs="宋体" w:eastAsia="宋体" w:hint="default"/>
                <w:sz w:val="21"/>
                <w:szCs w:val="21"/>
              </w:rPr>
            </w:pPr>
            <w:r>
              <w:rPr>
                <w:rFonts w:ascii="宋体" w:hAnsi="宋体" w:cs="宋体" w:eastAsia="宋体" w:hint="default"/>
                <w:b/>
                <w:bCs/>
                <w:sz w:val="21"/>
                <w:szCs w:val="21"/>
              </w:rPr>
              <w:t>上期计入损益</w:t>
            </w:r>
            <w:r>
              <w:rPr>
                <w:rFonts w:ascii="宋体" w:hAnsi="宋体" w:cs="宋体" w:eastAsia="宋体" w:hint="default"/>
                <w:b/>
                <w:bCs/>
                <w:spacing w:val="-104"/>
                <w:sz w:val="21"/>
                <w:szCs w:val="21"/>
              </w:rPr>
              <w:t> </w:t>
            </w:r>
            <w:r>
              <w:rPr>
                <w:rFonts w:ascii="宋体" w:hAnsi="宋体" w:cs="宋体" w:eastAsia="宋体" w:hint="default"/>
                <w:b/>
                <w:bCs/>
                <w:sz w:val="21"/>
                <w:szCs w:val="21"/>
              </w:rPr>
              <w:t>的金额</w:t>
            </w:r>
            <w:r>
              <w:rPr>
                <w:rFonts w:ascii="宋体" w:hAnsi="宋体" w:cs="宋体" w:eastAsia="宋体" w:hint="default"/>
                <w:sz w:val="21"/>
                <w:szCs w:val="21"/>
              </w:rPr>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73" w:lineRule="auto"/>
              <w:ind w:left="417" w:right="324" w:hanging="317"/>
              <w:jc w:val="left"/>
              <w:rPr>
                <w:rFonts w:ascii="宋体" w:hAnsi="宋体" w:cs="宋体" w:eastAsia="宋体" w:hint="default"/>
                <w:sz w:val="21"/>
                <w:szCs w:val="21"/>
              </w:rPr>
            </w:pPr>
            <w:r>
              <w:rPr>
                <w:rFonts w:ascii="宋体" w:hAnsi="宋体" w:cs="宋体" w:eastAsia="宋体" w:hint="default"/>
                <w:b/>
                <w:bCs/>
                <w:sz w:val="21"/>
                <w:szCs w:val="21"/>
              </w:rPr>
              <w:t>本期计入损益</w:t>
            </w:r>
            <w:r>
              <w:rPr>
                <w:rFonts w:ascii="宋体" w:hAnsi="宋体" w:cs="宋体" w:eastAsia="宋体" w:hint="default"/>
                <w:b/>
                <w:bCs/>
                <w:spacing w:val="-104"/>
                <w:sz w:val="21"/>
                <w:szCs w:val="21"/>
              </w:rPr>
              <w:t> </w:t>
            </w:r>
            <w:r>
              <w:rPr>
                <w:rFonts w:ascii="宋体" w:hAnsi="宋体" w:cs="宋体" w:eastAsia="宋体" w:hint="default"/>
                <w:b/>
                <w:bCs/>
                <w:sz w:val="21"/>
                <w:szCs w:val="21"/>
              </w:rPr>
              <w:t>的金额</w:t>
            </w:r>
            <w:r>
              <w:rPr>
                <w:rFonts w:ascii="宋体" w:hAnsi="宋体" w:cs="宋体" w:eastAsia="宋体" w:hint="default"/>
                <w:sz w:val="21"/>
                <w:szCs w:val="21"/>
              </w:rPr>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3" w:lineRule="auto"/>
              <w:ind w:left="240" w:right="168" w:hanging="106"/>
              <w:jc w:val="left"/>
              <w:rPr>
                <w:rFonts w:ascii="宋体" w:hAnsi="宋体" w:cs="宋体" w:eastAsia="宋体" w:hint="default"/>
                <w:sz w:val="21"/>
                <w:szCs w:val="21"/>
              </w:rPr>
            </w:pPr>
            <w:r>
              <w:rPr>
                <w:rFonts w:ascii="宋体" w:hAnsi="宋体" w:cs="宋体" w:eastAsia="宋体" w:hint="default"/>
                <w:b/>
                <w:bCs/>
                <w:sz w:val="21"/>
                <w:szCs w:val="21"/>
              </w:rPr>
              <w:t>计入损益的</w:t>
            </w:r>
            <w:r>
              <w:rPr>
                <w:rFonts w:ascii="宋体" w:hAnsi="宋体" w:cs="宋体" w:eastAsia="宋体" w:hint="default"/>
                <w:b/>
                <w:bCs/>
                <w:w w:val="100"/>
                <w:sz w:val="21"/>
                <w:szCs w:val="21"/>
              </w:rPr>
              <w:t> </w:t>
            </w:r>
            <w:r>
              <w:rPr>
                <w:rFonts w:ascii="宋体" w:hAnsi="宋体" w:cs="宋体" w:eastAsia="宋体" w:hint="default"/>
                <w:b/>
                <w:bCs/>
                <w:sz w:val="21"/>
                <w:szCs w:val="21"/>
              </w:rPr>
              <w:t>列报项目</w:t>
            </w:r>
            <w:r>
              <w:rPr>
                <w:rFonts w:ascii="宋体" w:hAnsi="宋体" w:cs="宋体" w:eastAsia="宋体" w:hint="default"/>
                <w:sz w:val="21"/>
                <w:szCs w:val="21"/>
              </w:rPr>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59" w:lineRule="auto"/>
              <w:ind w:left="410" w:right="94" w:hanging="24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与</w:t>
            </w:r>
            <w:r>
              <w:rPr>
                <w:rFonts w:ascii="宋体" w:hAnsi="宋体" w:cs="宋体" w:eastAsia="宋体" w:hint="default"/>
                <w:b/>
                <w:bCs/>
                <w:w w:val="100"/>
                <w:sz w:val="21"/>
                <w:szCs w:val="21"/>
              </w:rPr>
              <w:t> </w:t>
            </w:r>
            <w:r>
              <w:rPr>
                <w:rFonts w:ascii="宋体" w:hAnsi="宋体" w:cs="宋体" w:eastAsia="宋体" w:hint="default"/>
                <w:b/>
                <w:bCs/>
                <w:sz w:val="21"/>
                <w:szCs w:val="21"/>
              </w:rPr>
              <w:t>收益相关</w:t>
            </w:r>
            <w:r>
              <w:rPr>
                <w:rFonts w:ascii="宋体" w:hAnsi="宋体" w:cs="宋体" w:eastAsia="宋体" w:hint="default"/>
                <w:sz w:val="21"/>
                <w:szCs w:val="21"/>
              </w:rPr>
            </w:r>
          </w:p>
        </w:tc>
      </w:tr>
      <w:tr>
        <w:trPr>
          <w:trHeight w:val="346"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博士后工作站补助</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1" w:right="0"/>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250,000.00</w:t>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32"/>
              <w:jc w:val="right"/>
              <w:rPr>
                <w:rFonts w:ascii="Times New Roman" w:hAnsi="Times New Roman" w:cs="Times New Roman" w:eastAsia="Times New Roman" w:hint="default"/>
                <w:sz w:val="21"/>
                <w:szCs w:val="21"/>
              </w:rPr>
            </w:pPr>
            <w:r>
              <w:rPr>
                <w:rFonts w:ascii="Times New Roman"/>
                <w:sz w:val="21"/>
              </w:rPr>
              <w:t>360,000.00</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34"/>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6"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1" w:right="0"/>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10,810,800.40</w:t>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32"/>
              <w:jc w:val="right"/>
              <w:rPr>
                <w:rFonts w:ascii="Times New Roman" w:hAnsi="Times New Roman" w:cs="Times New Roman" w:eastAsia="Times New Roman" w:hint="default"/>
                <w:sz w:val="21"/>
                <w:szCs w:val="21"/>
              </w:rPr>
            </w:pPr>
            <w:r>
              <w:rPr>
                <w:rFonts w:ascii="Times New Roman"/>
                <w:sz w:val="21"/>
              </w:rPr>
              <w:t>6,575,333.08</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34"/>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研发补助</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z w:val="21"/>
              </w:rPr>
              <w:t>5,346,100.00</w:t>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48"/>
              <w:ind w:right="132"/>
              <w:jc w:val="right"/>
              <w:rPr>
                <w:rFonts w:ascii="Times New Roman" w:hAnsi="Times New Roman" w:cs="Times New Roman" w:eastAsia="Times New Roman" w:hint="default"/>
                <w:sz w:val="21"/>
                <w:szCs w:val="21"/>
              </w:rPr>
            </w:pPr>
            <w:r>
              <w:rPr>
                <w:rFonts w:ascii="Times New Roman"/>
                <w:sz w:val="21"/>
              </w:rPr>
              <w:t>1,339,420.00</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34"/>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2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6"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高新技术企业认定补助</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1" w:right="0"/>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1,518,000.00</w:t>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32"/>
              <w:jc w:val="right"/>
              <w:rPr>
                <w:rFonts w:ascii="Times New Roman" w:hAnsi="Times New Roman" w:cs="Times New Roman" w:eastAsia="Times New Roman" w:hint="default"/>
                <w:sz w:val="21"/>
                <w:szCs w:val="21"/>
              </w:rPr>
            </w:pPr>
            <w:r>
              <w:rPr>
                <w:rFonts w:ascii="Times New Roman"/>
                <w:sz w:val="21"/>
              </w:rPr>
              <w:t>1,050,000.00</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34"/>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6"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1" w:right="0"/>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2,805,791.00</w:t>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32"/>
              <w:jc w:val="right"/>
              <w:rPr>
                <w:rFonts w:ascii="Times New Roman" w:hAnsi="Times New Roman" w:cs="Times New Roman" w:eastAsia="Times New Roman" w:hint="default"/>
                <w:sz w:val="21"/>
                <w:szCs w:val="21"/>
              </w:rPr>
            </w:pPr>
            <w:r>
              <w:rPr>
                <w:rFonts w:ascii="Times New Roman"/>
                <w:sz w:val="21"/>
              </w:rPr>
              <w:t>1,309,822.72</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34"/>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92"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2290"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150" w:type="dxa"/>
            <w:tcBorders>
              <w:top w:val="single" w:sz="6" w:space="0" w:color="000000"/>
              <w:left w:val="nil" w:sz="6" w:space="0" w:color="auto"/>
              <w:bottom w:val="single" w:sz="6" w:space="0" w:color="000000"/>
              <w:right w:val="nil" w:sz="6" w:space="0" w:color="auto"/>
            </w:tcBorders>
          </w:tcPr>
          <w:p>
            <w:pPr/>
          </w:p>
        </w:tc>
        <w:tc>
          <w:tcPr>
            <w:tcW w:w="1678" w:type="dxa"/>
            <w:tcBorders>
              <w:top w:val="single" w:sz="6" w:space="0" w:color="000000"/>
              <w:left w:val="nil" w:sz="6" w:space="0" w:color="auto"/>
              <w:bottom w:val="single" w:sz="6" w:space="0" w:color="000000"/>
              <w:right w:val="nil" w:sz="6" w:space="0" w:color="auto"/>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b/>
                <w:sz w:val="21"/>
              </w:rPr>
              <w:t>20,730,691.4</w:t>
            </w:r>
            <w:r>
              <w:rPr>
                <w:rFonts w:ascii="Times New Roman"/>
                <w:sz w:val="21"/>
              </w:rPr>
            </w:r>
          </w:p>
        </w:tc>
        <w:tc>
          <w:tcPr>
            <w:tcW w:w="1695" w:type="dxa"/>
            <w:tcBorders>
              <w:top w:val="single" w:sz="6" w:space="0" w:color="000000"/>
              <w:left w:val="nil" w:sz="6" w:space="0" w:color="auto"/>
              <w:bottom w:val="single" w:sz="6" w:space="0" w:color="000000"/>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21"/>
                <w:szCs w:val="21"/>
              </w:rPr>
            </w:pPr>
            <w:r>
              <w:rPr>
                <w:rFonts w:ascii="Times New Roman"/>
                <w:b/>
                <w:sz w:val="21"/>
              </w:rPr>
              <w:t>10,634,575.80</w:t>
            </w:r>
            <w:r>
              <w:rPr>
                <w:rFonts w:ascii="Times New Roman"/>
                <w:sz w:val="21"/>
              </w:rPr>
            </w:r>
          </w:p>
        </w:tc>
        <w:tc>
          <w:tcPr>
            <w:tcW w:w="1362" w:type="dxa"/>
            <w:tcBorders>
              <w:top w:val="single" w:sz="6" w:space="0" w:color="000000"/>
              <w:left w:val="nil" w:sz="6" w:space="0" w:color="auto"/>
              <w:bottom w:val="single" w:sz="6" w:space="0" w:color="000000"/>
              <w:right w:val="nil" w:sz="6" w:space="0" w:color="auto"/>
            </w:tcBorders>
          </w:tcPr>
          <w:p>
            <w:pPr/>
          </w:p>
        </w:tc>
        <w:tc>
          <w:tcPr>
            <w:tcW w:w="1592"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2"/>
        <w:spacing w:line="240" w:lineRule="auto" w:before="26"/>
        <w:ind w:right="0"/>
        <w:jc w:val="left"/>
        <w:rPr>
          <w:b w:val="0"/>
          <w:bCs w:val="0"/>
        </w:rPr>
      </w:pPr>
      <w:bookmarkStart w:name="十七、母公司财务报表主要项目注释" w:id="529"/>
      <w:bookmarkEnd w:id="529"/>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 w:id="530"/>
      <w:bookmarkEnd w:id="5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531"/>
      <w:bookmarkEnd w:id="5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8"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250,561.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250,561.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750,483,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236.40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99.97%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107,976,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223.87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14.39%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642,507,0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12.53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603,728,6</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34.72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77,099,52</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526,629,10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5.61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4,857,91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4,857,912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4,527,008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4,527,008.3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745,625,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324.38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107,976,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223.87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637,649,1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599,201,6</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26.36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77,099,52</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522,102,09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7.25</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750,733,</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798.18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108,226,</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785.65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642,507,0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12.53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603,728,6</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34.72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77,099,52</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526,629,10</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5.61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按单项计提坏账准备：</w:t>
      </w:r>
      <w:r>
        <w:rPr>
          <w:rFonts w:ascii="Times New Roman" w:hAnsi="Times New Roman" w:cs="Times New Roman" w:eastAsia="Times New Roman" w:hint="default"/>
          <w:spacing w:val="-2"/>
          <w:sz w:val="18"/>
          <w:szCs w:val="18"/>
        </w:rPr>
        <w:t>250,561.78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远光共创智能科技股份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250,561.78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250,561.78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38"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250,561.78</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250,561.78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w:t>
      </w:r>
      <w:r>
        <w:rPr>
          <w:rFonts w:ascii="Times New Roman" w:hAnsi="Times New Roman" w:cs="Times New Roman" w:eastAsia="Times New Roman" w:hint="default"/>
          <w:spacing w:val="-2"/>
          <w:sz w:val="18"/>
          <w:szCs w:val="18"/>
        </w:rPr>
        <w:t>107,976,223.87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522,860,425.54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20,861,822.65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104,884,409.14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14,031,603.70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13.38%</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58,530,179.38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13,732,487.20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23.46%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59,350,310.32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59,350,310.32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745,625,324.38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107,976,223.87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23"/>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527,127,358.48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105,567,629.10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58,688,500.28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59,350,310.32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31,201,301.49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13,567,142.76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14,581,866.07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750,733,798.18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本期计提、收回或转回的坏账准备情况"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77,099,529.11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31,036,456.54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108,226,785.65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77,099,529.11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31,036,456.54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108,226,785.65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国电四川发电有限公司南桠河水电分公司</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39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国网吉林乾安县供电有限公司</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90,800.00</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实际核销的应收账款情况" w:id="533"/>
      <w:bookmarkEnd w:id="5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按欠款方归集的期末余额前五名的应收账款情况" w:id="534"/>
      <w:bookmarkEnd w:id="5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49,032,472.79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1,956,366.75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46,814,405.04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9,397,866.51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25,444,714.50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1,015,229.10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22,367,892.90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892,465.74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22,087,240.00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881,267.85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165,746,725.23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22.08%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因金融资产转移而终止确认的应收账款"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转移应收账款且继续涉入形成的资产、负债金额"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其他应收款" w:id="537"/>
      <w:bookmarkEnd w:id="5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138,010,429.15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231,752,345.27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153,010,429.15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246,752,345.27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应收利息" w:id="538"/>
      <w:bookmarkEnd w:id="5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利息分类" w:id="539"/>
      <w:bookmarkEnd w:id="5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逾期利息" w:id="540"/>
      <w:bookmarkEnd w:id="5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b/>
          <w:bCs/>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坏账准备计提情况" w:id="541"/>
      <w:bookmarkEnd w:id="5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应收股利" w:id="542"/>
      <w:bookmarkEnd w:id="5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股利分类" w:id="543"/>
      <w:bookmarkEnd w:id="5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的账龄超过1年的应收股利" w:id="544"/>
      <w:bookmarkEnd w:id="5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预计将于下个年度收到</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坏账准备计提情况" w:id="545"/>
      <w:bookmarkEnd w:id="5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其他应收款" w:id="546"/>
      <w:bookmarkEnd w:id="5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547"/>
      <w:bookmarkEnd w:id="5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173,804,775.09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216,914,885.23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10,676,021.27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15,337,946.17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1,392,024.03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2,252,047.92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185,872,820.39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234,504,879.32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坏账准备计提情况" w:id="548"/>
      <w:bookmarkEnd w:id="5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2,752,534.05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2,752,534.05</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-903,632.31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46,013,489.50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45,109,857.19</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1,848,901.74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46,013,489.50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47,862,391.24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64,732,304.73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55,541,992.61</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46,534,634.61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19,063,888.44</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6,053,531.67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9,002,660.70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4,007,696.07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185,872,820.39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549"/>
      <w:bookmarkEnd w:id="5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其他应收款坏账准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2,752,534.05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45,109,857.19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47,862,391.24</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2,752,534.05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45,109,857.19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47,862,391.24</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r>
        <w:rPr/>
        <w:pict>
          <v:group style="position:absolute;margin-left:141.169998pt;margin-top:445.075989pt;width:77.1pt;height:51.55pt;mso-position-horizontal-relative:page;mso-position-vertical-relative:page;z-index:-1384360" coordorigin="2823,8902" coordsize="1542,1031">
            <v:group style="position:absolute;left:2823;top:8902;width:1542;height:625" coordorigin="2823,8902" coordsize="1542,625">
              <v:shape style="position:absolute;left:2823;top:8902;width:1542;height:625" coordorigin="2823,8902" coordsize="1542,625" path="m2823,9526l4365,9526,4365,8902,2823,8902,2823,9526xe" filled="true" fillcolor="#ffffff" stroked="false">
                <v:path arrowok="t"/>
                <v:fill type="solid"/>
              </v:shape>
            </v:group>
            <v:group style="position:absolute;left:2835;top:9526;width:2;height:394" coordorigin="2835,9526" coordsize="2,394">
              <v:shape style="position:absolute;left:2835;top:9526;width:2;height:394" coordorigin="2835,9526" coordsize="0,394" path="m2835,9526l2835,9920e" filled="false" stroked="true" strokeweight="1.2pt" strokecolor="#ffffff">
                <v:path arrowok="t"/>
              </v:shape>
            </v:group>
            <v:group style="position:absolute;left:2847;top:9526;width:1494;height:394" coordorigin="2847,9526" coordsize="1494,394">
              <v:shape style="position:absolute;left:2847;top:9526;width:1494;height:394" coordorigin="2847,9526" coordsize="1494,394" path="m2847,9920l4341,9920,4341,9526,2847,9526,2847,9920xe" filled="true" fillcolor="#ffffff" stroked="false">
                <v:path arrowok="t"/>
                <v:fill type="solid"/>
              </v:shape>
            </v:group>
            <w10:wrap type="none"/>
          </v:group>
        </w:pict>
      </w:r>
    </w:p>
    <w:p>
      <w:pPr>
        <w:spacing w:before="36"/>
        <w:ind w:left="153" w:right="0" w:firstLine="0"/>
        <w:jc w:val="left"/>
        <w:rPr>
          <w:rFonts w:ascii="宋体" w:hAnsi="宋体" w:cs="宋体" w:eastAsia="宋体" w:hint="default"/>
          <w:sz w:val="21"/>
          <w:szCs w:val="21"/>
        </w:rPr>
      </w:pPr>
      <w:bookmarkStart w:name="4）本期实际核销的其他应收款情况" w:id="550"/>
      <w:bookmarkEnd w:id="5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按欠款方归集的期末余额前五名的其他应收款情况" w:id="551"/>
      <w:bookmarkEnd w:id="55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227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27"/>
              <w:jc w:val="left"/>
              <w:rPr>
                <w:rFonts w:ascii="宋体" w:hAnsi="宋体" w:cs="宋体" w:eastAsia="宋体" w:hint="default"/>
                <w:sz w:val="18"/>
                <w:szCs w:val="18"/>
              </w:rPr>
            </w:pPr>
            <w:r>
              <w:rPr>
                <w:rFonts w:ascii="宋体" w:hAnsi="宋体" w:cs="宋体" w:eastAsia="宋体" w:hint="default"/>
                <w:spacing w:val="-3"/>
                <w:sz w:val="18"/>
                <w:szCs w:val="18"/>
              </w:rPr>
              <w:t>远光软件（北京）有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54,730,011.45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8,263,346.16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13,529,566.99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15,350,575.32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年以上</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17,586,522.98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29.44%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65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pacing w:val="-12"/>
                <w:w w:val="101"/>
                <w:sz w:val="18"/>
                <w:szCs w:val="18"/>
              </w:rPr>
              <w:t>远光资本管理（横琴</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195" w:lineRule="exact"/>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51,830,000.00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15,500,000.00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30,330,000.00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27.88%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27"/>
              <w:jc w:val="left"/>
              <w:rPr>
                <w:rFonts w:ascii="宋体" w:hAnsi="宋体" w:cs="宋体" w:eastAsia="宋体" w:hint="default"/>
                <w:sz w:val="18"/>
                <w:szCs w:val="18"/>
              </w:rPr>
            </w:pPr>
            <w:r>
              <w:rPr>
                <w:rFonts w:ascii="宋体" w:hAnsi="宋体" w:cs="宋体" w:eastAsia="宋体" w:hint="default"/>
                <w:spacing w:val="-3"/>
                <w:sz w:val="18"/>
                <w:szCs w:val="18"/>
              </w:rPr>
              <w:t>远光共创智能科技股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46,013,489.50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25,660,910.07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20,352,579.43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24.76%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46,013,489.50</w:t>
            </w:r>
          </w:p>
        </w:tc>
      </w:tr>
      <w:tr>
        <w:trPr>
          <w:trHeight w:val="133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27"/>
              <w:jc w:val="left"/>
              <w:rPr>
                <w:rFonts w:ascii="宋体" w:hAnsi="宋体" w:cs="宋体" w:eastAsia="宋体" w:hint="default"/>
                <w:sz w:val="18"/>
                <w:szCs w:val="18"/>
              </w:rPr>
            </w:pPr>
            <w:r>
              <w:rPr>
                <w:rFonts w:ascii="宋体" w:hAnsi="宋体" w:cs="宋体" w:eastAsia="宋体" w:hint="default"/>
                <w:spacing w:val="-3"/>
                <w:sz w:val="18"/>
                <w:szCs w:val="18"/>
              </w:rPr>
              <w:t>珠海远光移动互联科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16,525,300.31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12,470,764.38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4,054,535.93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3"/>
                <w:sz w:val="18"/>
                <w:szCs w:val="18"/>
              </w:rPr>
              <w:t>南京远光广安信息科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2,142,540.41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2,125,232.14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17,308.27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171,241,341.67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46,013,489.50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6）涉及政府补助的应收款项" w:id="552"/>
      <w:bookmarkEnd w:id="55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96" w:right="60"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因金融资产转移而终止确认的其他应收款" w:id="553"/>
      <w:bookmarkEnd w:id="55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转移其他应收款且继续涉入形成的资产、负债金额" w:id="554"/>
      <w:bookmarkEnd w:id="55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长期股权投资" w:id="555"/>
      <w:bookmarkEnd w:id="55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242,611,196.00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242,611,196.00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273,861,196.00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272,597,660.21</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103,084,415.30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103,084,415.30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102,696,821.98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102,696,821.98</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345,695,611.30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345,695,611.30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376,558,017.98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1,263,535.79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375,294,482.19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对子公司投资" w:id="556"/>
      <w:bookmarkEnd w:id="5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spacing w:val="-2"/>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远光资本管理</w:t>
            </w:r>
          </w:p>
          <w:p>
            <w:pPr>
              <w:pStyle w:val="TableParagraph"/>
              <w:spacing w:line="321" w:lineRule="auto" w:before="72"/>
              <w:ind w:left="24" w:right="17"/>
              <w:jc w:val="left"/>
              <w:rPr>
                <w:rFonts w:ascii="宋体" w:hAnsi="宋体" w:cs="宋体" w:eastAsia="宋体" w:hint="default"/>
                <w:sz w:val="18"/>
                <w:szCs w:val="18"/>
              </w:rPr>
            </w:pPr>
            <w:r>
              <w:rPr>
                <w:rFonts w:ascii="宋体" w:hAnsi="宋体" w:cs="宋体" w:eastAsia="宋体" w:hint="default"/>
                <w:spacing w:val="-9"/>
                <w:sz w:val="18"/>
                <w:szCs w:val="18"/>
              </w:rPr>
              <w:t>（横琴）有限公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远光共创智能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28,050,000.00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远光软件（北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京）有限公司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北京神航星云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8,936,464.21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8,936,464.21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远光软件（武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汉）有限公司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珠海远光软件</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center"/>
              <w:rPr>
                <w:rFonts w:ascii="Times New Roman" w:hAnsi="Times New Roman" w:cs="Times New Roman" w:eastAsia="Times New Roman" w:hint="default"/>
                <w:sz w:val="18"/>
                <w:szCs w:val="18"/>
              </w:rPr>
            </w:pPr>
            <w:r>
              <w:rPr>
                <w:rFonts w:ascii="Times New Roman"/>
                <w:sz w:val="18"/>
              </w:rPr>
              <w:t>1,840,000.00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1,840,000.00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6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产业有限公司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珠海高远电能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珠海远光移动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互联科技有限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远光能源互联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网产业发展（横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琴）有限公司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杭州昊美科技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75,771,196.00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75,771,196.00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珠海远光晴天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能源科技有限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272,597,660.2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38,486,464.21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242,611,196.00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对联营、合营企业投资" w:id="557"/>
      <w:bookmarkEnd w:id="5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801"/>
        <w:gridCol w:w="794"/>
        <w:gridCol w:w="801"/>
        <w:gridCol w:w="797"/>
        <w:gridCol w:w="798"/>
        <w:gridCol w:w="793"/>
        <w:gridCol w:w="805"/>
        <w:gridCol w:w="797"/>
        <w:gridCol w:w="797"/>
      </w:tblGrid>
      <w:tr>
        <w:trPr>
          <w:trHeight w:val="206" w:hRule="exact"/>
        </w:trPr>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70" w:hRule="exact"/>
        </w:trPr>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3"/>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3"/>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29" w:right="28"/>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37"/>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64" w:hRule="exact"/>
        </w:trPr>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4"/>
              <w:ind w:left="32"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4"/>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8"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4"/>
              <w:ind w:left="215" w:right="24"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92" w:hRule="exact"/>
        </w:trPr>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80" w:hRule="exact"/>
        </w:trPr>
        <w:tc>
          <w:tcPr>
            <w:tcW w:w="797"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121" w:hRule="exact"/>
        </w:trPr>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5"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7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8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34"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北京融和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晟源售电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28,456,11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1,018,455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.91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29,474,57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绍兴柯桥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天堂硅谷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远光股权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42,872,73</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-635,098.</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91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42,237,63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3.66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129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合肥启迪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远光区块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链技术合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3" w:right="0"/>
              <w:jc w:val="left"/>
              <w:rPr>
                <w:rFonts w:ascii="Times New Roman" w:hAnsi="Times New Roman" w:cs="Times New Roman" w:eastAsia="Times New Roman" w:hint="default"/>
                <w:sz w:val="18"/>
                <w:szCs w:val="18"/>
              </w:rPr>
            </w:pPr>
            <w:r>
              <w:rPr>
                <w:rFonts w:ascii="Times New Roman"/>
                <w:sz w:val="18"/>
              </w:rPr>
              <w:t>31,367,97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4,236.32</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7" w:right="0"/>
              <w:jc w:val="left"/>
              <w:rPr>
                <w:rFonts w:ascii="Times New Roman" w:hAnsi="Times New Roman" w:cs="Times New Roman" w:eastAsia="Times New Roman" w:hint="default"/>
                <w:sz w:val="18"/>
                <w:szCs w:val="18"/>
              </w:rPr>
            </w:pPr>
            <w:r>
              <w:rPr>
                <w:rFonts w:ascii="Times New Roman"/>
                <w:sz w:val="18"/>
              </w:rPr>
              <w:t>31,372,20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远光共创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智能科技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-29,550,0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29,550,00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102,696,8</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21.98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-29,162,4</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06.68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29,550,00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103,084,4</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102,696,8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-29,162,4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06.68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29,550,00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103,084,4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其他说明" w:id="558"/>
      <w:bookmarkEnd w:id="5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营业收入和营业成本" w:id="559"/>
      <w:bookmarkEnd w:id="5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1,349,788,337.05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489,582,263.77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1,084,685,364.58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391,237,060.15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2,010,275.56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1,739,315.42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3,923,751.17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1,589,208.26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1,351,798,612.61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491,321,579.19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1,088,609,115.75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392,826,268.41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2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8"/>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5、投资收益" w:id="560"/>
      <w:bookmarkEnd w:id="56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-29,162,406.68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-3,704,559.67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-1,408,495.93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58"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4,148,411.90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益的金融资产取得的投资收益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41,592.97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12,471,780.82</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-26,422,490.71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23,808,814.12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6、其他" w:id="561"/>
      <w:bookmarkEnd w:id="56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62"/>
      <w:bookmarkEnd w:id="562"/>
      <w:r>
        <w:rPr>
          <w:b w:val="0"/>
          <w:bCs w:val="0"/>
        </w:rPr>
      </w:r>
      <w:r>
        <w:rPr/>
        <w:t>十八、补充资料</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当期非经常性损益明细表" w:id="563"/>
      <w:bookmarkEnd w:id="56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58" w:hRule="exact"/>
        </w:trPr>
        <w:tc>
          <w:tcPr>
            <w:tcW w:w="33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0"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31,278,842.21</w:t>
            </w:r>
          </w:p>
        </w:tc>
        <w:tc>
          <w:tcPr>
            <w:tcW w:w="3188"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3"/>
                <w:sz w:val="18"/>
                <w:szCs w:val="18"/>
              </w:rPr>
              <w:t>其中，处置长期股权投资产生的投资收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 </w:t>
            </w:r>
            <w:r>
              <w:rPr>
                <w:rFonts w:ascii="Times New Roman" w:hAnsi="Times New Roman" w:cs="Times New Roman" w:eastAsia="Times New Roman" w:hint="default"/>
                <w:sz w:val="18"/>
                <w:szCs w:val="18"/>
              </w:rPr>
              <w:t>31,330,996.31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394" w:hRule="exact"/>
        </w:trPr>
        <w:tc>
          <w:tcPr>
            <w:tcW w:w="3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vMerge/>
            <w:tcBorders>
              <w:left w:val="single" w:sz="13" w:space="0" w:color="D2D2D2"/>
              <w:right w:val="single" w:sz="4" w:space="0" w:color="000000"/>
            </w:tcBorders>
          </w:tcPr>
          <w:p>
            <w:pPr/>
          </w:p>
        </w:tc>
        <w:tc>
          <w:tcPr>
            <w:tcW w:w="3188" w:type="dxa"/>
            <w:vMerge/>
            <w:tcBorders>
              <w:left w:val="single" w:sz="4" w:space="0" w:color="000000"/>
              <w:right w:val="single" w:sz="4" w:space="0" w:color="000000"/>
            </w:tcBorders>
          </w:tcPr>
          <w:p>
            <w:pPr/>
          </w:p>
        </w:tc>
      </w:tr>
      <w:tr>
        <w:trPr>
          <w:trHeight w:val="158" w:hRule="exact"/>
        </w:trPr>
        <w:tc>
          <w:tcPr>
            <w:tcW w:w="33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0" w:type="dxa"/>
            <w:vMerge/>
            <w:tcBorders>
              <w:left w:val="single" w:sz="13" w:space="0" w:color="D2D2D2"/>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7,959,242.72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84,044.53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4,861,233.73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-617,648.01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1,426,206.35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505,899.05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41,633,609.78</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993"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564"/>
      <w:bookmarkEnd w:id="56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7"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0.2671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0.2671</w:t>
            </w:r>
          </w:p>
        </w:tc>
      </w:tr>
      <w:tr>
        <w:trPr>
          <w:trHeight w:val="715"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0.2180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spacing w:before="36"/>
        <w:ind w:left="153" w:right="0" w:firstLine="0"/>
        <w:jc w:val="left"/>
        <w:rPr>
          <w:rFonts w:ascii="宋体" w:hAnsi="宋体" w:cs="宋体" w:eastAsia="宋体" w:hint="default"/>
          <w:sz w:val="21"/>
          <w:szCs w:val="21"/>
        </w:rPr>
      </w:pPr>
      <w:bookmarkStart w:name="3、境内外会计准则下会计数据差异" w:id="565"/>
      <w:bookmarkEnd w:id="5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566"/>
      <w:bookmarkEnd w:id="5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567"/>
      <w:bookmarkEnd w:id="5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line="256" w:lineRule="auto" w:before="0"/>
        <w:ind w:left="153" w:right="0" w:firstLine="0"/>
        <w:jc w:val="left"/>
        <w:rPr>
          <w:rFonts w:ascii="宋体" w:hAnsi="宋体" w:cs="宋体" w:eastAsia="宋体" w:hint="default"/>
          <w:sz w:val="21"/>
          <w:szCs w:val="21"/>
        </w:rPr>
      </w:pPr>
      <w:bookmarkStart w:name="（3）境内外会计准则下会计数据差异原因说明，对已经境外审计机构审计的数据进行差异" w:id="568"/>
      <w:bookmarkEnd w:id="5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 w:id="569"/>
      <w:bookmarkEnd w:id="5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283" w:right="0"/>
        <w:jc w:val="left"/>
        <w:rPr>
          <w:b w:val="0"/>
          <w:bCs w:val="0"/>
        </w:rPr>
      </w:pPr>
      <w:bookmarkStart w:name="第十三节 备查文件目录" w:id="570"/>
      <w:bookmarkEnd w:id="570"/>
      <w:r>
        <w:rPr>
          <w:b w:val="0"/>
          <w:bCs w:val="0"/>
        </w:rPr>
      </w:r>
      <w:bookmarkStart w:name="_bookmark12" w:id="571"/>
      <w:bookmarkEnd w:id="571"/>
      <w:r>
        <w:rPr>
          <w:b w:val="0"/>
          <w:bCs w:val="0"/>
        </w:rPr>
      </w:r>
      <w:r>
        <w:rPr/>
        <w:t>第十三节</w:t>
      </w:r>
      <w:r>
        <w:rPr>
          <w:spacing w:val="1"/>
        </w:rPr>
        <w:t> </w:t>
      </w:r>
      <w:r>
        <w:rPr/>
        <w:t>备查文件目录</w:t>
      </w:r>
      <w:r>
        <w:rPr>
          <w:b w:val="0"/>
          <w:bCs w:val="0"/>
        </w:rPr>
      </w:r>
    </w:p>
    <w:p>
      <w:pPr>
        <w:spacing w:line="240" w:lineRule="auto" w:before="12"/>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（一）载有公司负责人、主管会计工作负责人、会计机构负责人（会计主管人员）签名并盖章的财务报表。</w:t>
      </w:r>
    </w:p>
    <w:p>
      <w:pPr>
        <w:spacing w:before="11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（二）载有会计师事务所盖章、注册会计师签名并盖章的审计报告原件。</w:t>
      </w:r>
    </w:p>
    <w:p>
      <w:pPr>
        <w:spacing w:before="11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（三）报告期内在中国证监会指定网站上公开披露过的所有公司文件的正本及公告的原稿。</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272" type="#_x0000_t75" stroked="false">
          <v:imagedata r:id="rId1" o:title=""/>
        </v:shape>
      </w:pict>
    </w:r>
    <w:r>
      <w:rPr/>
      <w:pict>
        <v:shape style="position:absolute;margin-left:533.190002pt;margin-top:795.661377pt;width:6.6pt;height:11.15pt;mso-position-horizontal-relative:page;mso-position-vertical-relative:page;z-index:-138524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224" type="#_x0000_t75" stroked="false">
          <v:imagedata r:id="rId1" o:title=""/>
        </v:shape>
      </w:pict>
    </w:r>
    <w:r>
      <w:rPr/>
      <w:pict>
        <v:shape style="position:absolute;margin-left:527.869995pt;margin-top:781.957336pt;width:13.15pt;height:11.15pt;mso-position-horizontal-relative:page;mso-position-vertical-relative:page;z-index:-13852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176" type="#_x0000_t75" stroked="false">
          <v:imagedata r:id="rId1" o:title=""/>
        </v:shape>
      </w:pict>
    </w:r>
    <w:r>
      <w:rPr/>
      <w:pict>
        <v:shape style="position:absolute;margin-left:527.869995pt;margin-top:781.957336pt;width:13.15pt;height:11.15pt;mso-position-horizontal-relative:page;mso-position-vertical-relative:page;z-index:-13851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128" type="#_x0000_t75" stroked="false">
          <v:imagedata r:id="rId1" o:title=""/>
        </v:shape>
      </w:pict>
    </w:r>
    <w:r>
      <w:rPr/>
      <w:pict>
        <v:shape style="position:absolute;margin-left:524.309998pt;margin-top:781.957336pt;width:15.7pt;height:11.15pt;mso-position-horizontal-relative:page;mso-position-vertical-relative:page;z-index:-138510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080" type="#_x0000_t75" stroked="false">
          <v:imagedata r:id="rId1" o:title=""/>
        </v:shape>
      </w:pict>
    </w:r>
    <w:r>
      <w:rPr/>
      <w:pict>
        <v:shape style="position:absolute;margin-left:523.309998pt;margin-top:781.957336pt;width:17.7pt;height:11.15pt;mso-position-horizontal-relative:page;mso-position-vertical-relative:page;z-index:-13850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5032" type="#_x0000_t75" stroked="false">
          <v:imagedata r:id="rId1" o:title=""/>
        </v:shape>
      </w:pict>
    </w:r>
    <w:r>
      <w:rPr/>
      <w:pict>
        <v:shape style="position:absolute;margin-left:523.309998pt;margin-top:781.957336pt;width:17.7pt;height:11.15pt;mso-position-horizontal-relative:page;mso-position-vertical-relative:page;z-index:-13850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4984" type="#_x0000_t75" stroked="false">
          <v:imagedata r:id="rId1" o:title=""/>
        </v:shape>
      </w:pict>
    </w:r>
    <w:r>
      <w:rPr/>
      <w:pict>
        <v:shape style="position:absolute;margin-left:524.309998pt;margin-top:781.957336pt;width:15.7pt;height:11.15pt;mso-position-horizontal-relative:page;mso-position-vertical-relative:page;z-index:-138496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84936" type="#_x0000_t75" stroked="false">
          <v:imagedata r:id="rId1" o:title=""/>
        </v:shape>
      </w:pict>
    </w:r>
    <w:r>
      <w:rPr/>
      <w:pict>
        <v:shape style="position:absolute;margin-left:523.309998pt;margin-top:781.957336pt;width:17.7pt;height:11.15pt;mso-position-horizontal-relative:page;mso-position-vertical-relative:page;z-index:-138491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26001pt;margin-top:36.062485pt;width:177.75pt;height:11.65pt;mso-position-horizontal-relative:page;mso-position-vertical-relative:page;z-index:-13852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远光软件股份有限公司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5"/>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2"/>
      <w:ind w:left="314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hyperlink" Target="http://www.dian123.com/" TargetMode="External"/><Relationship Id="rId12" Type="http://schemas.openxmlformats.org/officeDocument/2006/relationships/footer" Target="footer3.xml"/><Relationship Id="rId13" Type="http://schemas.openxmlformats.org/officeDocument/2006/relationships/hyperlink" Target="http://irm.cninfo.com.cn/ircs/company/c" TargetMode="External"/><Relationship Id="rId14" Type="http://schemas.openxmlformats.org/officeDocument/2006/relationships/hyperlink" Target="http://www.cninfo.com.cn/new/disclosure/detail?plate=szse&amp;amp;org" TargetMode="External"/><Relationship Id="rId15" Type="http://schemas.openxmlformats.org/officeDocument/2006/relationships/image" Target="media/image2.jpeg"/><Relationship Id="rId16" Type="http://schemas.openxmlformats.org/officeDocument/2006/relationships/hyperlink" Target="http://www.cninfo.co/"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远光软件股份有限公司</dc:creator>
  <dc:title>远光软件股份有限公司2019年年度报告全文</dc:title>
  <dcterms:created xsi:type="dcterms:W3CDTF">2020-05-19T13:13:06Z</dcterms:created>
  <dcterms:modified xsi:type="dcterms:W3CDTF">2020-05-19T13:13:06Z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